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04CD31">
      <w:pPr>
        <w:spacing w:line="360" w:lineRule="auto"/>
        <w:jc w:val="center"/>
        <w:rPr>
          <w:rFonts w:hint="eastAsia" w:ascii="宋体" w:hAnsi="宋体" w:eastAsia="宋体" w:cs="宋体"/>
          <w:b/>
          <w:color w:val="auto"/>
          <w:sz w:val="24"/>
          <w:lang w:val="en-US" w:eastAsia="zh-CN"/>
        </w:rPr>
      </w:pPr>
      <w:r>
        <w:rPr>
          <w:rFonts w:hint="eastAsia" w:ascii="宋体" w:hAnsi="宋体" w:cs="宋体"/>
          <w:b/>
          <w:color w:val="auto"/>
          <w:sz w:val="24"/>
          <w:lang w:val="en-US" w:eastAsia="zh-CN"/>
        </w:rPr>
        <w:t xml:space="preserve"> </w:t>
      </w:r>
    </w:p>
    <w:p w14:paraId="195BFF06">
      <w:pPr>
        <w:spacing w:line="360" w:lineRule="auto"/>
        <w:jc w:val="center"/>
        <w:rPr>
          <w:rFonts w:ascii="宋体" w:hAnsi="宋体" w:cs="宋体"/>
          <w:b/>
          <w:color w:val="auto"/>
          <w:sz w:val="24"/>
        </w:rPr>
      </w:pPr>
    </w:p>
    <w:p w14:paraId="5992DB9F">
      <w:pPr>
        <w:spacing w:line="360" w:lineRule="auto"/>
        <w:jc w:val="both"/>
        <w:rPr>
          <w:rFonts w:ascii="宋体" w:hAnsi="宋体" w:cs="宋体"/>
          <w:b/>
          <w:color w:val="auto"/>
          <w:sz w:val="44"/>
          <w:szCs w:val="44"/>
        </w:rPr>
      </w:pPr>
    </w:p>
    <w:p w14:paraId="37DE2E3F">
      <w:pPr>
        <w:adjustRightInd/>
        <w:spacing w:line="360" w:lineRule="auto"/>
        <w:jc w:val="center"/>
        <w:rPr>
          <w:rFonts w:ascii="宋体" w:hAnsi="宋体" w:cs="宋体"/>
          <w:b/>
          <w:color w:val="auto"/>
          <w:sz w:val="48"/>
          <w:szCs w:val="48"/>
        </w:rPr>
      </w:pPr>
    </w:p>
    <w:p w14:paraId="727F78F4">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宁海传媒集团高清电视非线性编辑系统网络核心存储设备硬件升级改造项目</w:t>
      </w:r>
    </w:p>
    <w:p w14:paraId="69830AE7">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3AC4013E">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01139B1B">
      <w:pPr>
        <w:snapToGrid w:val="0"/>
        <w:spacing w:line="360" w:lineRule="auto"/>
        <w:jc w:val="center"/>
        <w:rPr>
          <w:rFonts w:ascii="宋体" w:hAnsi="宋体" w:cs="宋体"/>
          <w:color w:val="auto"/>
          <w:sz w:val="30"/>
          <w:szCs w:val="30"/>
        </w:rPr>
      </w:pPr>
      <w:r>
        <w:rPr>
          <w:rFonts w:hint="eastAsia" w:ascii="宋体" w:hAnsi="宋体" w:cs="宋体"/>
          <w:color w:val="auto"/>
          <w:sz w:val="30"/>
          <w:szCs w:val="30"/>
        </w:rPr>
        <w:t>编号</w:t>
      </w:r>
      <w:r>
        <w:rPr>
          <w:rFonts w:hint="eastAsia" w:ascii="宋体" w:hAnsi="宋体" w:cs="宋体"/>
          <w:color w:val="auto"/>
          <w:sz w:val="30"/>
          <w:szCs w:val="30"/>
          <w:highlight w:val="none"/>
        </w:rPr>
        <w:t>:（</w:t>
      </w:r>
      <w:r>
        <w:rPr>
          <w:rFonts w:hint="eastAsia" w:ascii="宋体" w:hAnsi="宋体" w:cs="宋体"/>
          <w:color w:val="auto"/>
          <w:sz w:val="30"/>
          <w:szCs w:val="30"/>
          <w:highlight w:val="none"/>
          <w:lang w:eastAsia="zh-CN"/>
        </w:rPr>
        <w:t>ZJTC2024-026</w:t>
      </w:r>
      <w:r>
        <w:rPr>
          <w:rFonts w:hint="eastAsia" w:ascii="宋体" w:hAnsi="宋体" w:cs="宋体"/>
          <w:color w:val="auto"/>
          <w:sz w:val="30"/>
          <w:szCs w:val="30"/>
          <w:highlight w:val="none"/>
        </w:rPr>
        <w:t>）</w:t>
      </w:r>
    </w:p>
    <w:p w14:paraId="43A32A2E">
      <w:pPr>
        <w:adjustRightInd/>
        <w:spacing w:line="360" w:lineRule="auto"/>
        <w:rPr>
          <w:rFonts w:ascii="宋体" w:hAnsi="宋体" w:cs="宋体"/>
          <w:color w:val="auto"/>
          <w:sz w:val="28"/>
          <w:szCs w:val="20"/>
        </w:rPr>
      </w:pPr>
    </w:p>
    <w:p w14:paraId="6F46913D">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1BFDAA3A">
      <w:pPr>
        <w:spacing w:line="360" w:lineRule="auto"/>
        <w:jc w:val="center"/>
        <w:rPr>
          <w:rFonts w:ascii="宋体" w:hAnsi="宋体" w:cs="宋体"/>
          <w:b/>
          <w:color w:val="auto"/>
          <w:sz w:val="44"/>
          <w:szCs w:val="44"/>
        </w:rPr>
      </w:pPr>
    </w:p>
    <w:p w14:paraId="0A5F2545">
      <w:pPr>
        <w:spacing w:line="360" w:lineRule="auto"/>
        <w:jc w:val="center"/>
        <w:rPr>
          <w:rFonts w:ascii="宋体" w:hAnsi="宋体" w:cs="宋体"/>
          <w:color w:val="auto"/>
          <w:sz w:val="24"/>
        </w:rPr>
      </w:pPr>
    </w:p>
    <w:p w14:paraId="571F6346">
      <w:pPr>
        <w:spacing w:line="360" w:lineRule="auto"/>
        <w:jc w:val="center"/>
        <w:rPr>
          <w:rFonts w:ascii="宋体" w:hAnsi="宋体" w:cs="宋体"/>
          <w:color w:val="auto"/>
          <w:sz w:val="24"/>
        </w:rPr>
      </w:pPr>
    </w:p>
    <w:p w14:paraId="21151AA1">
      <w:pPr>
        <w:spacing w:line="360" w:lineRule="auto"/>
        <w:rPr>
          <w:rFonts w:ascii="宋体" w:hAnsi="宋体" w:cs="宋体"/>
          <w:color w:val="auto"/>
          <w:sz w:val="32"/>
          <w:szCs w:val="32"/>
        </w:rPr>
      </w:pPr>
    </w:p>
    <w:p w14:paraId="33F24049">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rPr>
        <w:t>采购人</w:t>
      </w:r>
      <w:r>
        <w:rPr>
          <w:rFonts w:hint="eastAsia" w:ascii="宋体" w:hAnsi="宋体" w:cs="宋体"/>
          <w:color w:val="auto"/>
          <w:sz w:val="32"/>
          <w:szCs w:val="32"/>
          <w:lang w:eastAsia="zh-CN"/>
        </w:rPr>
        <w:t>：宁海传媒集团（宁海县广播电视台）</w:t>
      </w:r>
    </w:p>
    <w:p w14:paraId="316A13C1">
      <w:pPr>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rPr>
        <w:t>采购代理机构</w:t>
      </w:r>
      <w:r>
        <w:rPr>
          <w:rFonts w:hint="eastAsia" w:ascii="宋体" w:hAnsi="宋体" w:cs="宋体"/>
          <w:bCs/>
          <w:color w:val="auto"/>
          <w:sz w:val="32"/>
          <w:szCs w:val="32"/>
          <w:lang w:eastAsia="zh-CN"/>
        </w:rPr>
        <w:t>：浙江天诚工程咨询有限公司</w:t>
      </w:r>
    </w:p>
    <w:p w14:paraId="3E040A5B">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八月</w:t>
      </w:r>
    </w:p>
    <w:p w14:paraId="57F3CF19">
      <w:pPr>
        <w:pStyle w:val="638"/>
        <w:rPr>
          <w:color w:val="auto"/>
        </w:rPr>
        <w:sectPr>
          <w:headerReference r:id="rId4" w:type="first"/>
          <w:headerReference r:id="rId3" w:type="default"/>
          <w:footerReference r:id="rId5" w:type="even"/>
          <w:pgSz w:w="11906" w:h="16838"/>
          <w:pgMar w:top="1417" w:right="1418" w:bottom="1417" w:left="1418" w:header="851" w:footer="992" w:gutter="0"/>
          <w:pgNumType w:fmt="decimal"/>
          <w:cols w:space="720" w:num="1"/>
          <w:titlePg/>
          <w:docGrid w:linePitch="312" w:charSpace="0"/>
        </w:sectPr>
      </w:pPr>
    </w:p>
    <w:p w14:paraId="27A419FE">
      <w:pPr>
        <w:pStyle w:val="638"/>
        <w:rPr>
          <w:color w:val="auto"/>
        </w:rPr>
      </w:pPr>
    </w:p>
    <w:p w14:paraId="2FFF0971">
      <w:pPr>
        <w:pStyle w:val="638"/>
        <w:rPr>
          <w:color w:val="auto"/>
        </w:rPr>
      </w:pPr>
    </w:p>
    <w:p w14:paraId="25A4E355">
      <w:pPr>
        <w:pStyle w:val="638"/>
        <w:rPr>
          <w:color w:val="auto"/>
        </w:rPr>
      </w:pPr>
    </w:p>
    <w:p w14:paraId="40A52E82">
      <w:pPr>
        <w:pStyle w:val="638"/>
        <w:rPr>
          <w:color w:val="auto"/>
        </w:rPr>
      </w:pPr>
    </w:p>
    <w:p w14:paraId="34D2B317">
      <w:pPr>
        <w:pStyle w:val="638"/>
        <w:rPr>
          <w:color w:val="auto"/>
        </w:rPr>
      </w:pPr>
    </w:p>
    <w:p w14:paraId="37D1AA0F">
      <w:pPr>
        <w:pStyle w:val="638"/>
        <w:rPr>
          <w:color w:val="auto"/>
        </w:rPr>
      </w:pPr>
    </w:p>
    <w:p w14:paraId="73926334">
      <w:pPr>
        <w:pStyle w:val="638"/>
        <w:rPr>
          <w:color w:val="auto"/>
        </w:rPr>
      </w:pPr>
    </w:p>
    <w:p w14:paraId="43FA2588">
      <w:pPr>
        <w:pStyle w:val="638"/>
        <w:rPr>
          <w:color w:val="auto"/>
        </w:rPr>
      </w:pPr>
    </w:p>
    <w:p w14:paraId="58D1D70B">
      <w:pPr>
        <w:pStyle w:val="638"/>
        <w:rPr>
          <w:color w:val="auto"/>
        </w:rPr>
      </w:pPr>
    </w:p>
    <w:p w14:paraId="415F08A1">
      <w:pPr>
        <w:pStyle w:val="638"/>
        <w:rPr>
          <w:color w:val="auto"/>
        </w:rPr>
      </w:pPr>
    </w:p>
    <w:p w14:paraId="5F75BD0D">
      <w:pPr>
        <w:pStyle w:val="638"/>
        <w:rPr>
          <w:color w:val="auto"/>
        </w:rPr>
      </w:pPr>
    </w:p>
    <w:p w14:paraId="24FB3A30">
      <w:pPr>
        <w:pStyle w:val="638"/>
        <w:rPr>
          <w:color w:val="auto"/>
        </w:rPr>
      </w:pPr>
    </w:p>
    <w:p w14:paraId="4743397D">
      <w:pPr>
        <w:pStyle w:val="638"/>
        <w:rPr>
          <w:color w:val="auto"/>
        </w:rPr>
      </w:pPr>
    </w:p>
    <w:p w14:paraId="008CA24F">
      <w:pPr>
        <w:pStyle w:val="638"/>
        <w:rPr>
          <w:color w:val="auto"/>
        </w:rPr>
      </w:pPr>
    </w:p>
    <w:p w14:paraId="44007300">
      <w:pPr>
        <w:pStyle w:val="638"/>
        <w:rPr>
          <w:color w:val="auto"/>
        </w:rPr>
      </w:pPr>
    </w:p>
    <w:p w14:paraId="0A0C3E98">
      <w:pPr>
        <w:pStyle w:val="638"/>
        <w:rPr>
          <w:color w:val="auto"/>
        </w:rPr>
      </w:pPr>
    </w:p>
    <w:p w14:paraId="258C2892">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7B990BD9">
      <w:pPr>
        <w:spacing w:line="360" w:lineRule="auto"/>
        <w:rPr>
          <w:rFonts w:ascii="宋体" w:hAnsi="宋体" w:cs="宋体"/>
          <w:color w:val="auto"/>
          <w:sz w:val="32"/>
          <w:szCs w:val="32"/>
        </w:rPr>
      </w:pPr>
    </w:p>
    <w:p w14:paraId="1C109192">
      <w:pPr>
        <w:spacing w:line="360" w:lineRule="auto"/>
        <w:rPr>
          <w:rFonts w:ascii="宋体" w:hAnsi="宋体" w:cs="宋体"/>
          <w:color w:val="auto"/>
          <w:sz w:val="32"/>
          <w:szCs w:val="32"/>
        </w:rPr>
      </w:pPr>
    </w:p>
    <w:p w14:paraId="62981043">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7031A3C2">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38A65A06">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5FC26850">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7A3094F1">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68D79B68">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58BCCE9A">
      <w:pPr>
        <w:spacing w:line="360" w:lineRule="auto"/>
        <w:ind w:firstLine="549" w:firstLineChars="229"/>
        <w:rPr>
          <w:rFonts w:ascii="宋体" w:hAnsi="宋体" w:cs="宋体"/>
          <w:color w:val="auto"/>
          <w:sz w:val="24"/>
        </w:rPr>
      </w:pPr>
      <w:bookmarkStart w:id="0" w:name="_Hlt91233176"/>
      <w:bookmarkEnd w:id="0"/>
      <w:bookmarkStart w:id="1" w:name="_Toc91899869"/>
    </w:p>
    <w:p w14:paraId="4727A7C6">
      <w:pPr>
        <w:spacing w:line="360" w:lineRule="auto"/>
        <w:ind w:firstLine="549" w:firstLineChars="229"/>
        <w:rPr>
          <w:rFonts w:ascii="宋体" w:hAnsi="宋体" w:cs="宋体"/>
          <w:color w:val="auto"/>
          <w:sz w:val="24"/>
        </w:rPr>
      </w:pPr>
    </w:p>
    <w:p w14:paraId="3593B192">
      <w:pPr>
        <w:spacing w:line="360" w:lineRule="auto"/>
        <w:ind w:firstLine="549" w:firstLineChars="229"/>
        <w:rPr>
          <w:rFonts w:ascii="宋体" w:hAnsi="宋体" w:cs="宋体"/>
          <w:color w:val="auto"/>
          <w:sz w:val="24"/>
        </w:rPr>
      </w:pPr>
    </w:p>
    <w:p w14:paraId="3FCA835B">
      <w:pPr>
        <w:spacing w:line="360" w:lineRule="auto"/>
        <w:ind w:firstLine="549" w:firstLineChars="229"/>
        <w:rPr>
          <w:rFonts w:ascii="宋体" w:hAnsi="宋体" w:cs="宋体"/>
          <w:color w:val="auto"/>
          <w:sz w:val="24"/>
        </w:rPr>
      </w:pPr>
    </w:p>
    <w:p w14:paraId="509BA906">
      <w:pPr>
        <w:spacing w:line="360" w:lineRule="auto"/>
        <w:ind w:firstLine="549" w:firstLineChars="229"/>
        <w:rPr>
          <w:rFonts w:ascii="宋体" w:hAnsi="宋体" w:cs="宋体"/>
          <w:color w:val="auto"/>
          <w:sz w:val="24"/>
        </w:rPr>
      </w:pPr>
    </w:p>
    <w:p w14:paraId="380B41F4">
      <w:pPr>
        <w:spacing w:line="360" w:lineRule="auto"/>
        <w:ind w:firstLine="549" w:firstLineChars="229"/>
        <w:rPr>
          <w:rFonts w:ascii="宋体" w:hAnsi="宋体" w:cs="宋体"/>
          <w:color w:val="auto"/>
          <w:sz w:val="24"/>
        </w:rPr>
      </w:pPr>
    </w:p>
    <w:p w14:paraId="5C00F939">
      <w:pPr>
        <w:spacing w:line="360" w:lineRule="auto"/>
        <w:ind w:firstLine="549" w:firstLineChars="229"/>
        <w:rPr>
          <w:rFonts w:ascii="宋体" w:hAnsi="宋体" w:cs="宋体"/>
          <w:color w:val="auto"/>
          <w:sz w:val="24"/>
        </w:rPr>
      </w:pPr>
    </w:p>
    <w:p w14:paraId="50455A19">
      <w:pPr>
        <w:spacing w:line="360" w:lineRule="auto"/>
        <w:ind w:firstLine="549" w:firstLineChars="229"/>
        <w:rPr>
          <w:rFonts w:ascii="宋体" w:hAnsi="宋体" w:cs="宋体"/>
          <w:color w:val="auto"/>
          <w:sz w:val="24"/>
        </w:rPr>
      </w:pPr>
    </w:p>
    <w:p w14:paraId="03B7FFD1">
      <w:pPr>
        <w:spacing w:line="360" w:lineRule="auto"/>
        <w:ind w:firstLine="549" w:firstLineChars="229"/>
        <w:rPr>
          <w:rFonts w:ascii="宋体" w:hAnsi="宋体" w:cs="宋体"/>
          <w:color w:val="auto"/>
          <w:sz w:val="24"/>
        </w:rPr>
      </w:pPr>
    </w:p>
    <w:p w14:paraId="2D685F13">
      <w:pPr>
        <w:spacing w:line="360" w:lineRule="auto"/>
        <w:ind w:firstLine="549" w:firstLineChars="229"/>
        <w:rPr>
          <w:rFonts w:ascii="宋体" w:hAnsi="宋体" w:cs="宋体"/>
          <w:color w:val="auto"/>
          <w:sz w:val="24"/>
        </w:rPr>
      </w:pPr>
    </w:p>
    <w:p w14:paraId="744EC94A">
      <w:pPr>
        <w:spacing w:line="360" w:lineRule="auto"/>
        <w:ind w:firstLine="549" w:firstLineChars="229"/>
        <w:rPr>
          <w:rFonts w:ascii="宋体" w:hAnsi="宋体" w:cs="宋体"/>
          <w:color w:val="auto"/>
          <w:sz w:val="24"/>
        </w:rPr>
      </w:pPr>
    </w:p>
    <w:p w14:paraId="1F954C99">
      <w:pPr>
        <w:spacing w:line="360" w:lineRule="auto"/>
        <w:ind w:firstLine="549" w:firstLineChars="229"/>
        <w:rPr>
          <w:rFonts w:ascii="宋体" w:hAnsi="宋体" w:cs="宋体"/>
          <w:color w:val="auto"/>
          <w:sz w:val="24"/>
        </w:rPr>
      </w:pPr>
    </w:p>
    <w:p w14:paraId="631767E6">
      <w:pPr>
        <w:spacing w:line="360" w:lineRule="auto"/>
        <w:ind w:firstLine="549" w:firstLineChars="229"/>
        <w:rPr>
          <w:rFonts w:ascii="宋体" w:hAnsi="宋体" w:cs="宋体"/>
          <w:color w:val="auto"/>
          <w:sz w:val="24"/>
        </w:rPr>
      </w:pPr>
    </w:p>
    <w:bookmarkEnd w:id="1"/>
    <w:p w14:paraId="0C06BF42">
      <w:pPr>
        <w:adjustRightInd/>
        <w:spacing w:line="360" w:lineRule="auto"/>
        <w:jc w:val="both"/>
        <w:outlineLvl w:val="0"/>
        <w:rPr>
          <w:rFonts w:hint="eastAsia" w:ascii="宋体" w:hAnsi="宋体" w:cs="宋体"/>
          <w:b/>
          <w:color w:val="auto"/>
          <w:sz w:val="36"/>
          <w:szCs w:val="20"/>
        </w:rPr>
        <w:sectPr>
          <w:footerReference r:id="rId7" w:type="first"/>
          <w:footerReference r:id="rId6" w:type="default"/>
          <w:pgSz w:w="11906" w:h="16838"/>
          <w:pgMar w:top="680" w:right="1418" w:bottom="468" w:left="1418" w:header="851" w:footer="992" w:gutter="0"/>
          <w:pgNumType w:fmt="decimal" w:start="1"/>
          <w:cols w:space="720" w:num="1"/>
          <w:docGrid w:linePitch="312" w:charSpace="0"/>
        </w:sectPr>
      </w:pPr>
      <w:bookmarkStart w:id="2" w:name="_Hlt74649545"/>
      <w:bookmarkEnd w:id="2"/>
      <w:bookmarkStart w:id="3" w:name="_Hlt74729822"/>
      <w:bookmarkEnd w:id="3"/>
      <w:bookmarkStart w:id="4" w:name="_Hlt74728647"/>
      <w:bookmarkEnd w:id="4"/>
      <w:bookmarkStart w:id="5" w:name="_Hlt74707423"/>
      <w:bookmarkEnd w:id="5"/>
      <w:bookmarkStart w:id="6" w:name="第二部分"/>
      <w:bookmarkStart w:id="7" w:name="_Toc91899870"/>
      <w:bookmarkStart w:id="8" w:name="_Toc91899871"/>
    </w:p>
    <w:p w14:paraId="052D043B">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第一部分 招标公告</w:t>
      </w:r>
    </w:p>
    <w:p w14:paraId="73E98EA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73E7D53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w:t>
      </w:r>
      <w:r>
        <w:rPr>
          <w:rFonts w:hint="eastAsia" w:ascii="宋体" w:hAnsi="宋体" w:cs="宋体"/>
          <w:color w:val="auto"/>
          <w:sz w:val="24"/>
          <w:u w:val="single"/>
          <w:lang w:eastAsia="zh-CN"/>
        </w:rPr>
        <w:t>宁海传媒集团高清电视非线性编辑系统网络核心存储设备硬件升级改造项目</w:t>
      </w:r>
      <w:r>
        <w:rPr>
          <w:rFonts w:hint="eastAsia" w:ascii="宋体" w:hAnsi="宋体" w:cs="宋体"/>
          <w:color w:val="auto"/>
          <w:sz w:val="24"/>
          <w:u w:val="single"/>
        </w:rPr>
        <w:t>）</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color w:val="auto"/>
          <w:sz w:val="24"/>
          <w:lang w:eastAsia="zh-CN"/>
        </w:rPr>
        <w:t>2024年</w:t>
      </w:r>
      <w:r>
        <w:rPr>
          <w:rFonts w:hint="eastAsia" w:ascii="宋体" w:hAnsi="宋体" w:cs="宋体"/>
          <w:color w:val="auto"/>
          <w:sz w:val="24"/>
          <w:lang w:val="en-US" w:eastAsia="zh-CN"/>
        </w:rPr>
        <w:t xml:space="preserve">  </w:t>
      </w:r>
      <w:r>
        <w:rPr>
          <w:rFonts w:hint="eastAsia" w:ascii="宋体" w:hAnsi="宋体" w:cs="宋体"/>
          <w:color w:val="auto"/>
          <w:sz w:val="24"/>
          <w:lang w:eastAsia="zh-CN"/>
        </w:rPr>
        <w:t>月</w:t>
      </w:r>
      <w:r>
        <w:rPr>
          <w:rFonts w:hint="eastAsia" w:ascii="宋体" w:hAnsi="宋体" w:cs="宋体"/>
          <w:color w:val="auto"/>
          <w:sz w:val="24"/>
          <w:lang w:val="en-US" w:eastAsia="zh-CN"/>
        </w:rPr>
        <w:t xml:space="preserve">  </w:t>
      </w:r>
      <w:r>
        <w:rPr>
          <w:rFonts w:hint="eastAsia" w:ascii="宋体" w:hAnsi="宋体" w:cs="宋体"/>
          <w:color w:val="auto"/>
          <w:sz w:val="24"/>
          <w:lang w:eastAsia="zh-CN"/>
        </w:rPr>
        <w:t>日</w:t>
      </w:r>
      <w:r>
        <w:rPr>
          <w:rFonts w:hint="eastAsia" w:ascii="宋体" w:hAnsi="宋体" w:cs="宋体"/>
          <w:color w:val="auto"/>
          <w:sz w:val="24"/>
          <w:lang w:val="en-US" w:eastAsia="zh-CN"/>
        </w:rPr>
        <w:t xml:space="preserve">  </w:t>
      </w:r>
      <w:r>
        <w:rPr>
          <w:rFonts w:hint="eastAsia" w:ascii="宋体" w:hAnsi="宋体" w:cs="宋体"/>
          <w:color w:val="auto"/>
          <w:sz w:val="24"/>
          <w:lang w:eastAsia="zh-CN"/>
        </w:rPr>
        <w:t>点</w:t>
      </w:r>
      <w:r>
        <w:rPr>
          <w:rFonts w:hint="eastAsia" w:ascii="宋体" w:hAnsi="宋体" w:cs="宋体"/>
          <w:color w:val="auto"/>
          <w:sz w:val="24"/>
          <w:lang w:val="en-US" w:eastAsia="zh-CN"/>
        </w:rPr>
        <w:t xml:space="preserve">  </w:t>
      </w:r>
      <w:r>
        <w:rPr>
          <w:rFonts w:hint="eastAsia" w:ascii="宋体" w:hAnsi="宋体" w:cs="宋体"/>
          <w:color w:val="auto"/>
          <w:sz w:val="24"/>
          <w:lang w:eastAsia="zh-CN"/>
        </w:rPr>
        <w:t>分</w:t>
      </w:r>
      <w:r>
        <w:rPr>
          <w:rFonts w:hint="eastAsia" w:ascii="宋体" w:hAnsi="宋体" w:cs="宋体"/>
          <w:color w:val="auto"/>
          <w:sz w:val="24"/>
          <w:lang w:val="en-US" w:eastAsia="zh-CN"/>
        </w:rPr>
        <w:t xml:space="preserve">  </w:t>
      </w:r>
      <w:r>
        <w:rPr>
          <w:rFonts w:hint="eastAsia" w:ascii="宋体" w:hAnsi="宋体" w:cs="宋体"/>
          <w:color w:val="auto"/>
          <w:sz w:val="24"/>
          <w:lang w:eastAsia="zh-CN"/>
        </w:rPr>
        <w:t>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45D117C1">
      <w:pPr>
        <w:keepNext w:val="0"/>
        <w:keepLines w:val="0"/>
        <w:pageBreakBefore w:val="0"/>
        <w:kinsoku/>
        <w:wordWrap/>
        <w:overflowPunct/>
        <w:topLinePunct w:val="0"/>
        <w:autoSpaceDE/>
        <w:autoSpaceDN/>
        <w:bidi w:val="0"/>
        <w:adjustRightInd w:val="0"/>
        <w:spacing w:line="353" w:lineRule="auto"/>
        <w:textAlignment w:val="auto"/>
        <w:rPr>
          <w:rFonts w:ascii="宋体" w:hAnsi="宋体" w:cs="宋体"/>
          <w:b/>
          <w:color w:val="auto"/>
          <w:sz w:val="24"/>
        </w:rPr>
      </w:pPr>
      <w:r>
        <w:rPr>
          <w:rFonts w:hint="eastAsia" w:ascii="宋体" w:hAnsi="宋体" w:cs="宋体"/>
          <w:b/>
          <w:color w:val="auto"/>
          <w:sz w:val="24"/>
        </w:rPr>
        <w:t xml:space="preserve">一、项目基本情况                                            </w:t>
      </w:r>
    </w:p>
    <w:p w14:paraId="1CF7DDFB">
      <w:pPr>
        <w:keepNext w:val="0"/>
        <w:keepLines w:val="0"/>
        <w:pageBreakBefore w:val="0"/>
        <w:kinsoku/>
        <w:wordWrap/>
        <w:overflowPunct/>
        <w:topLinePunct w:val="0"/>
        <w:autoSpaceDE/>
        <w:autoSpaceDN/>
        <w:bidi w:val="0"/>
        <w:adjustRightInd w:val="0"/>
        <w:spacing w:line="353"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ZJTC2024-026</w:t>
      </w:r>
    </w:p>
    <w:p w14:paraId="2AF45C65">
      <w:pPr>
        <w:keepNext w:val="0"/>
        <w:keepLines w:val="0"/>
        <w:pageBreakBefore w:val="0"/>
        <w:kinsoku/>
        <w:wordWrap/>
        <w:overflowPunct/>
        <w:topLinePunct w:val="0"/>
        <w:autoSpaceDE/>
        <w:autoSpaceDN/>
        <w:bidi w:val="0"/>
        <w:adjustRightInd w:val="0"/>
        <w:spacing w:line="353" w:lineRule="auto"/>
        <w:ind w:firstLine="480"/>
        <w:textAlignment w:val="auto"/>
        <w:rPr>
          <w:rFonts w:hint="eastAsia" w:ascii="宋体" w:hAnsi="宋体" w:cs="宋体"/>
          <w:color w:val="auto"/>
          <w:sz w:val="24"/>
        </w:rPr>
      </w:pPr>
      <w:r>
        <w:rPr>
          <w:rFonts w:hint="eastAsia" w:ascii="宋体" w:hAnsi="宋体" w:cs="宋体"/>
          <w:b/>
          <w:color w:val="auto"/>
          <w:sz w:val="24"/>
        </w:rPr>
        <w:t>项目名称：</w:t>
      </w:r>
      <w:r>
        <w:rPr>
          <w:rFonts w:hint="eastAsia" w:ascii="宋体" w:hAnsi="宋体" w:cs="宋体"/>
          <w:color w:val="auto"/>
          <w:sz w:val="24"/>
          <w:u w:val="none"/>
          <w:lang w:eastAsia="zh-CN"/>
        </w:rPr>
        <w:t>宁海传媒集团高清电视非线性编辑系统网络核心存储设备硬件升级改造项目</w:t>
      </w:r>
      <w:r>
        <w:rPr>
          <w:rFonts w:hint="eastAsia" w:ascii="宋体" w:hAnsi="宋体" w:cs="宋体"/>
          <w:color w:val="auto"/>
          <w:sz w:val="24"/>
          <w:u w:val="none"/>
          <w:lang w:val="en-US" w:eastAsia="zh-CN"/>
        </w:rPr>
        <w:tab/>
      </w:r>
      <w:r>
        <w:rPr>
          <w:rFonts w:hint="eastAsia" w:ascii="宋体" w:hAnsi="宋体" w:cs="宋体"/>
          <w:color w:val="auto"/>
          <w:sz w:val="24"/>
        </w:rPr>
        <w:t xml:space="preserve">  </w:t>
      </w:r>
    </w:p>
    <w:p w14:paraId="4FF8BFCE">
      <w:pPr>
        <w:keepNext w:val="0"/>
        <w:keepLines w:val="0"/>
        <w:pageBreakBefore w:val="0"/>
        <w:kinsoku/>
        <w:wordWrap/>
        <w:overflowPunct/>
        <w:topLinePunct w:val="0"/>
        <w:autoSpaceDE/>
        <w:autoSpaceDN/>
        <w:bidi w:val="0"/>
        <w:adjustRightInd w:val="0"/>
        <w:spacing w:line="353" w:lineRule="auto"/>
        <w:ind w:firstLine="480"/>
        <w:textAlignment w:val="auto"/>
        <w:rPr>
          <w:rFonts w:hint="eastAsia" w:ascii="宋体" w:hAnsi="宋体" w:eastAsia="宋体" w:cs="宋体"/>
          <w:color w:val="auto"/>
          <w:sz w:val="24"/>
          <w:lang w:eastAsia="zh-CN"/>
        </w:rPr>
      </w:pPr>
      <w:r>
        <w:rPr>
          <w:rFonts w:hint="eastAsia" w:ascii="宋体" w:hAnsi="宋体" w:cs="宋体"/>
          <w:b/>
          <w:color w:val="auto"/>
          <w:sz w:val="24"/>
        </w:rPr>
        <w:t>预算金额（元）：</w:t>
      </w:r>
      <w:r>
        <w:rPr>
          <w:rFonts w:hint="eastAsia" w:ascii="宋体" w:hAnsi="宋体" w:cs="宋体"/>
          <w:color w:val="auto"/>
          <w:sz w:val="24"/>
          <w:lang w:eastAsia="zh-CN"/>
        </w:rPr>
        <w:t>1200000</w:t>
      </w:r>
    </w:p>
    <w:p w14:paraId="5FB7DB55">
      <w:pPr>
        <w:keepNext w:val="0"/>
        <w:keepLines w:val="0"/>
        <w:pageBreakBefore w:val="0"/>
        <w:kinsoku/>
        <w:wordWrap/>
        <w:overflowPunct/>
        <w:topLinePunct w:val="0"/>
        <w:autoSpaceDE/>
        <w:autoSpaceDN/>
        <w:bidi w:val="0"/>
        <w:adjustRightInd w:val="0"/>
        <w:spacing w:line="353" w:lineRule="auto"/>
        <w:ind w:firstLine="480"/>
        <w:textAlignment w:val="auto"/>
        <w:rPr>
          <w:rFonts w:hint="eastAsia" w:ascii="宋体" w:hAnsi="宋体" w:eastAsia="宋体" w:cs="宋体"/>
          <w:color w:val="auto"/>
          <w:sz w:val="24"/>
          <w:lang w:eastAsia="zh-CN"/>
        </w:rPr>
      </w:pPr>
      <w:r>
        <w:rPr>
          <w:rFonts w:hint="eastAsia" w:ascii="宋体" w:hAnsi="宋体" w:cs="宋体"/>
          <w:b/>
          <w:color w:val="auto"/>
          <w:sz w:val="24"/>
        </w:rPr>
        <w:t>最高限价（元）：</w:t>
      </w:r>
      <w:r>
        <w:rPr>
          <w:rFonts w:hint="eastAsia" w:ascii="宋体" w:hAnsi="宋体" w:cs="宋体"/>
          <w:color w:val="auto"/>
          <w:sz w:val="24"/>
          <w:lang w:eastAsia="zh-CN"/>
        </w:rPr>
        <w:t>1200000</w:t>
      </w:r>
    </w:p>
    <w:p w14:paraId="214C7C67">
      <w:pPr>
        <w:pStyle w:val="5"/>
        <w:keepNext w:val="0"/>
        <w:keepLines w:val="0"/>
        <w:pageBreakBefore w:val="0"/>
        <w:kinsoku/>
        <w:wordWrap/>
        <w:overflowPunct/>
        <w:topLinePunct w:val="0"/>
        <w:autoSpaceDE/>
        <w:autoSpaceDN/>
        <w:bidi w:val="0"/>
        <w:adjustRightInd w:val="0"/>
        <w:spacing w:line="353" w:lineRule="auto"/>
        <w:ind w:firstLine="480"/>
        <w:textAlignment w:val="auto"/>
        <w:rPr>
          <w:rFonts w:hint="eastAsia" w:hAnsi="宋体" w:cs="宋体"/>
          <w:b/>
          <w:color w:val="auto"/>
          <w:sz w:val="24"/>
        </w:rPr>
      </w:pPr>
      <w:r>
        <w:rPr>
          <w:rFonts w:hint="eastAsia" w:hAnsi="宋体" w:cs="宋体"/>
          <w:b/>
          <w:color w:val="auto"/>
          <w:sz w:val="24"/>
        </w:rPr>
        <w:t>采购需求：</w:t>
      </w:r>
    </w:p>
    <w:p w14:paraId="15115CEB">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简要规格描述或项目基本概况介绍、用途：详见招标文件第三部分采购需求。</w:t>
      </w:r>
      <w:r>
        <w:rPr>
          <w:rFonts w:hint="eastAsia" w:ascii="宋体" w:hAnsi="宋体" w:cs="宋体"/>
          <w:color w:val="auto"/>
          <w:sz w:val="24"/>
          <w:lang w:eastAsia="zh-CN"/>
        </w:rPr>
        <w:t>投标人</w:t>
      </w:r>
      <w:r>
        <w:rPr>
          <w:rFonts w:hint="eastAsia" w:ascii="宋体" w:hAnsi="宋体" w:cs="宋体"/>
          <w:color w:val="auto"/>
          <w:sz w:val="24"/>
        </w:rPr>
        <w:t>可点击本公告下方“浏览采购文件”查看采购需求。</w:t>
      </w:r>
    </w:p>
    <w:p w14:paraId="26AA01B9">
      <w:pPr>
        <w:pStyle w:val="5"/>
        <w:keepNext w:val="0"/>
        <w:keepLines w:val="0"/>
        <w:pageBreakBefore w:val="0"/>
        <w:kinsoku/>
        <w:wordWrap/>
        <w:overflowPunct/>
        <w:topLinePunct w:val="0"/>
        <w:autoSpaceDE/>
        <w:autoSpaceDN/>
        <w:bidi w:val="0"/>
        <w:adjustRightInd w:val="0"/>
        <w:spacing w:line="353" w:lineRule="auto"/>
        <w:ind w:firstLine="480"/>
        <w:textAlignment w:val="auto"/>
        <w:rPr>
          <w:rFonts w:hint="eastAsia" w:hAnsi="宋体" w:cs="宋体"/>
          <w:b/>
          <w:color w:val="auto"/>
          <w:sz w:val="24"/>
        </w:rPr>
      </w:pPr>
      <w:r>
        <w:rPr>
          <w:rFonts w:hint="eastAsia" w:hAnsi="宋体" w:cs="宋体"/>
          <w:b/>
          <w:color w:val="auto"/>
          <w:sz w:val="24"/>
          <w:lang w:eastAsia="zh-CN"/>
        </w:rPr>
        <w:t>★</w:t>
      </w:r>
      <w:r>
        <w:rPr>
          <w:rFonts w:hint="eastAsia" w:hAnsi="宋体" w:cs="宋体"/>
          <w:b/>
          <w:color w:val="auto"/>
          <w:sz w:val="24"/>
        </w:rPr>
        <w:t>合同履约期限：</w:t>
      </w:r>
      <w:r>
        <w:rPr>
          <w:rFonts w:hint="eastAsia" w:hAnsi="宋体" w:cs="宋体"/>
          <w:b w:val="0"/>
          <w:bCs/>
          <w:color w:val="auto"/>
          <w:sz w:val="24"/>
          <w:lang w:eastAsia="zh-CN"/>
        </w:rPr>
        <w:t>签订合同后接业主通知三个月内完成采购安装</w:t>
      </w:r>
      <w:r>
        <w:rPr>
          <w:rFonts w:hint="eastAsia" w:hAnsi="宋体" w:cs="宋体"/>
          <w:b w:val="0"/>
          <w:bCs/>
          <w:color w:val="auto"/>
          <w:sz w:val="24"/>
        </w:rPr>
        <w:t>。</w:t>
      </w:r>
    </w:p>
    <w:p w14:paraId="75E7811F">
      <w:pPr>
        <w:pStyle w:val="5"/>
        <w:keepNext w:val="0"/>
        <w:keepLines w:val="0"/>
        <w:pageBreakBefore w:val="0"/>
        <w:kinsoku/>
        <w:wordWrap/>
        <w:overflowPunct/>
        <w:topLinePunct w:val="0"/>
        <w:autoSpaceDE/>
        <w:autoSpaceDN/>
        <w:bidi w:val="0"/>
        <w:adjustRightInd w:val="0"/>
        <w:spacing w:line="353" w:lineRule="auto"/>
        <w:ind w:firstLine="480"/>
        <w:textAlignment w:val="auto"/>
        <w:rPr>
          <w:rFonts w:hint="eastAsia" w:hAnsi="宋体" w:cs="宋体"/>
          <w:color w:val="auto"/>
          <w:kern w:val="0"/>
          <w:sz w:val="24"/>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sdt>
        <w:sdtPr>
          <w:rPr>
            <w:rFonts w:hAnsi="宋体" w:cs="宋体"/>
            <w:color w:val="auto"/>
            <w:kern w:val="0"/>
            <w:sz w:val="24"/>
          </w:rPr>
          <w:id w:val="-1591624199"/>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Segoe UI Symbol"/>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14:paraId="013E0FBF">
      <w:pPr>
        <w:keepNext w:val="0"/>
        <w:keepLines w:val="0"/>
        <w:pageBreakBefore w:val="0"/>
        <w:kinsoku/>
        <w:wordWrap/>
        <w:overflowPunct/>
        <w:topLinePunct w:val="0"/>
        <w:autoSpaceDE/>
        <w:autoSpaceDN/>
        <w:bidi w:val="0"/>
        <w:adjustRightInd w:val="0"/>
        <w:spacing w:line="353" w:lineRule="auto"/>
        <w:textAlignment w:val="auto"/>
        <w:rPr>
          <w:rFonts w:ascii="宋体" w:hAnsi="宋体" w:cs="宋体"/>
          <w:b/>
          <w:color w:val="auto"/>
          <w:sz w:val="24"/>
        </w:rPr>
      </w:pPr>
      <w:r>
        <w:rPr>
          <w:rFonts w:hint="eastAsia" w:ascii="宋体" w:hAnsi="宋体" w:cs="宋体"/>
          <w:b/>
          <w:color w:val="auto"/>
          <w:sz w:val="24"/>
        </w:rPr>
        <w:t>二、申请人的资格要求：</w:t>
      </w:r>
    </w:p>
    <w:p w14:paraId="2348BA3A">
      <w:pPr>
        <w:keepNext w:val="0"/>
        <w:keepLines w:val="0"/>
        <w:pageBreakBefore w:val="0"/>
        <w:kinsoku/>
        <w:wordWrap/>
        <w:overflowPunct/>
        <w:topLinePunct w:val="0"/>
        <w:autoSpaceDE/>
        <w:autoSpaceDN/>
        <w:bidi w:val="0"/>
        <w:adjustRightInd w:val="0"/>
        <w:spacing w:line="353" w:lineRule="auto"/>
        <w:ind w:firstLine="480"/>
        <w:textAlignment w:val="auto"/>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5CBF81A">
      <w:pPr>
        <w:keepNext w:val="0"/>
        <w:keepLines w:val="0"/>
        <w:pageBreakBefore w:val="0"/>
        <w:kinsoku/>
        <w:wordWrap/>
        <w:overflowPunct/>
        <w:topLinePunct w:val="0"/>
        <w:autoSpaceDE/>
        <w:autoSpaceDN/>
        <w:bidi w:val="0"/>
        <w:adjustRightInd w:val="0"/>
        <w:spacing w:line="353" w:lineRule="auto"/>
        <w:ind w:firstLine="480" w:firstLineChars="200"/>
        <w:textAlignment w:val="auto"/>
        <w:rPr>
          <w:rFonts w:hint="eastAsia" w:ascii="宋体" w:hAnsi="宋体" w:eastAsia="宋体" w:cs="宋体"/>
          <w:b w:val="0"/>
          <w:bCs w:val="0"/>
          <w:color w:val="auto"/>
          <w:sz w:val="24"/>
          <w:lang w:eastAsia="zh-CN"/>
        </w:rPr>
      </w:pPr>
      <w:r>
        <w:rPr>
          <w:rFonts w:hint="eastAsia" w:ascii="宋体" w:hAnsi="宋体" w:cs="宋体"/>
          <w:snapToGrid w:val="0"/>
          <w:color w:val="auto"/>
          <w:kern w:val="28"/>
          <w:sz w:val="24"/>
          <w:szCs w:val="20"/>
          <w:lang w:val="en-US" w:eastAsia="zh-CN"/>
        </w:rPr>
        <w:t>2</w:t>
      </w:r>
      <w:r>
        <w:rPr>
          <w:rFonts w:hint="eastAsia" w:ascii="宋体" w:hAnsi="宋体" w:cs="宋体"/>
          <w:snapToGrid w:val="0"/>
          <w:color w:val="auto"/>
          <w:kern w:val="28"/>
          <w:sz w:val="24"/>
          <w:szCs w:val="20"/>
        </w:rPr>
        <w:t>.落实政府采购政策需满足的资格要求</w:t>
      </w:r>
      <w:r>
        <w:rPr>
          <w:rFonts w:hint="eastAsia" w:ascii="宋体" w:hAnsi="宋体" w:cs="宋体"/>
          <w:snapToGrid w:val="0"/>
          <w:color w:val="auto"/>
          <w:kern w:val="28"/>
          <w:sz w:val="24"/>
          <w:szCs w:val="20"/>
          <w:lang w:eastAsia="zh-CN"/>
        </w:rPr>
        <w:t>：</w:t>
      </w:r>
      <w:r>
        <w:rPr>
          <w:rFonts w:hint="eastAsia" w:ascii="宋体" w:hAnsi="宋体" w:cs="宋体"/>
          <w:snapToGrid w:val="0"/>
          <w:color w:val="auto"/>
          <w:kern w:val="28"/>
          <w:sz w:val="24"/>
          <w:szCs w:val="20"/>
          <w:lang w:val="en-US" w:eastAsia="zh-CN"/>
        </w:rPr>
        <w:t>无</w:t>
      </w:r>
      <w:r>
        <w:rPr>
          <w:rFonts w:hint="eastAsia" w:ascii="宋体" w:hAnsi="宋体" w:cs="宋体"/>
          <w:b w:val="0"/>
          <w:bCs w:val="0"/>
          <w:color w:val="auto"/>
          <w:kern w:val="0"/>
          <w:sz w:val="24"/>
          <w:lang w:eastAsia="zh-CN"/>
        </w:rPr>
        <w:t>。</w:t>
      </w:r>
    </w:p>
    <w:p w14:paraId="652395BF">
      <w:pPr>
        <w:keepNext w:val="0"/>
        <w:keepLines w:val="0"/>
        <w:pageBreakBefore w:val="0"/>
        <w:kinsoku/>
        <w:wordWrap/>
        <w:overflowPunct/>
        <w:topLinePunct w:val="0"/>
        <w:autoSpaceDE/>
        <w:autoSpaceDN/>
        <w:bidi w:val="0"/>
        <w:adjustRightInd w:val="0"/>
        <w:spacing w:line="353" w:lineRule="auto"/>
        <w:ind w:firstLine="480" w:firstLineChars="200"/>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r>
        <w:rPr>
          <w:rFonts w:hint="eastAsia" w:ascii="宋体" w:hAnsi="宋体" w:cs="宋体"/>
          <w:color w:val="auto"/>
          <w:sz w:val="24"/>
        </w:rPr>
        <w:t>.本项目的特定资格要求：</w:t>
      </w:r>
      <w:r>
        <w:rPr>
          <w:rFonts w:hint="eastAsia" w:ascii="宋体" w:hAnsi="宋体" w:cs="宋体"/>
          <w:color w:val="auto"/>
          <w:sz w:val="24"/>
          <w:highlight w:val="none"/>
          <w:lang w:val="en-US" w:eastAsia="zh-CN"/>
        </w:rPr>
        <w:t>无</w:t>
      </w:r>
      <w:r>
        <w:rPr>
          <w:rFonts w:hint="eastAsia" w:ascii="宋体" w:hAnsi="宋体" w:cs="宋体"/>
          <w:color w:val="auto"/>
          <w:sz w:val="24"/>
          <w:highlight w:val="none"/>
          <w:lang w:eastAsia="zh-CN"/>
        </w:rPr>
        <w:t>。</w:t>
      </w:r>
    </w:p>
    <w:p w14:paraId="46454E2B">
      <w:pPr>
        <w:keepNext w:val="0"/>
        <w:keepLines w:val="0"/>
        <w:pageBreakBefore w:val="0"/>
        <w:kinsoku/>
        <w:wordWrap/>
        <w:overflowPunct/>
        <w:topLinePunct w:val="0"/>
        <w:autoSpaceDE/>
        <w:autoSpaceDN/>
        <w:bidi w:val="0"/>
        <w:adjustRightInd w:val="0"/>
        <w:snapToGrid w:val="0"/>
        <w:spacing w:line="353"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.单位负责人为同一人或者存在直接控股、管理关系的不同</w:t>
      </w:r>
      <w:r>
        <w:rPr>
          <w:rFonts w:hint="eastAsia" w:ascii="宋体" w:hAnsi="宋体" w:cs="宋体"/>
          <w:color w:val="auto"/>
          <w:sz w:val="24"/>
          <w:lang w:eastAsia="zh-CN"/>
        </w:rPr>
        <w:t>投标人</w:t>
      </w:r>
      <w:r>
        <w:rPr>
          <w:rFonts w:hint="eastAsia" w:ascii="宋体" w:hAnsi="宋体" w:cs="宋体"/>
          <w:color w:val="auto"/>
          <w:sz w:val="24"/>
        </w:rPr>
        <w:t>，不得参加同一合同项下的政府采购活动；为采购项目提供整体设计、规范编制或者项目管理、监理、检测等服务后不得再参加该采购项目的其他采购活动。</w:t>
      </w:r>
    </w:p>
    <w:p w14:paraId="4EC67A3F">
      <w:pPr>
        <w:keepNext w:val="0"/>
        <w:keepLines w:val="0"/>
        <w:pageBreakBefore w:val="0"/>
        <w:kinsoku/>
        <w:wordWrap/>
        <w:overflowPunct/>
        <w:topLinePunct w:val="0"/>
        <w:autoSpaceDE/>
        <w:autoSpaceDN/>
        <w:bidi w:val="0"/>
        <w:adjustRightInd w:val="0"/>
        <w:spacing w:line="353" w:lineRule="auto"/>
        <w:textAlignment w:val="auto"/>
        <w:rPr>
          <w:rFonts w:ascii="宋体" w:hAnsi="宋体" w:cs="宋体"/>
          <w:b/>
          <w:color w:val="auto"/>
          <w:sz w:val="24"/>
        </w:rPr>
      </w:pPr>
      <w:r>
        <w:rPr>
          <w:rFonts w:hint="eastAsia" w:ascii="宋体" w:hAnsi="宋体" w:cs="宋体"/>
          <w:b/>
          <w:color w:val="auto"/>
          <w:sz w:val="24"/>
        </w:rPr>
        <w:t xml:space="preserve">三、获取招标文件 </w:t>
      </w:r>
    </w:p>
    <w:p w14:paraId="5ECC0519">
      <w:pPr>
        <w:keepNext w:val="0"/>
        <w:keepLines w:val="0"/>
        <w:pageBreakBefore w:val="0"/>
        <w:kinsoku/>
        <w:wordWrap/>
        <w:overflowPunct/>
        <w:topLinePunct w:val="0"/>
        <w:autoSpaceDE/>
        <w:autoSpaceDN/>
        <w:bidi w:val="0"/>
        <w:adjustRightInd w:val="0"/>
        <w:spacing w:line="353" w:lineRule="auto"/>
        <w:ind w:firstLine="482" w:firstLineChars="200"/>
        <w:textAlignment w:val="auto"/>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rPr>
        <w:t>，</w:t>
      </w:r>
      <w:r>
        <w:rPr>
          <w:rFonts w:hint="eastAsia" w:ascii="宋体" w:hAnsi="宋体" w:cs="宋体"/>
          <w:color w:val="auto"/>
          <w:sz w:val="24"/>
        </w:rPr>
        <w:t>每天上午00:00至12:00 ，下午12:00至23:59（北京时间，线上获取法定节假日均可，线下获取文件法定节假日除外）</w:t>
      </w:r>
    </w:p>
    <w:p w14:paraId="018E2D4C">
      <w:pPr>
        <w:keepNext w:val="0"/>
        <w:keepLines w:val="0"/>
        <w:pageBreakBefore w:val="0"/>
        <w:kinsoku/>
        <w:wordWrap/>
        <w:overflowPunct/>
        <w:topLinePunct w:val="0"/>
        <w:autoSpaceDE/>
        <w:autoSpaceDN/>
        <w:bidi w:val="0"/>
        <w:adjustRightInd w:val="0"/>
        <w:spacing w:line="353" w:lineRule="auto"/>
        <w:ind w:firstLine="482" w:firstLineChars="200"/>
        <w:textAlignment w:val="auto"/>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12632705">
      <w:pPr>
        <w:keepNext w:val="0"/>
        <w:keepLines w:val="0"/>
        <w:pageBreakBefore w:val="0"/>
        <w:kinsoku/>
        <w:wordWrap/>
        <w:overflowPunct/>
        <w:topLinePunct w:val="0"/>
        <w:autoSpaceDE/>
        <w:autoSpaceDN/>
        <w:bidi w:val="0"/>
        <w:adjustRightInd w:val="0"/>
        <w:spacing w:line="353" w:lineRule="auto"/>
        <w:ind w:firstLine="482" w:firstLineChars="200"/>
        <w:textAlignment w:val="auto"/>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lang w:eastAsia="zh-CN"/>
        </w:rPr>
        <w:t>投标人</w:t>
      </w:r>
      <w:r>
        <w:rPr>
          <w:rFonts w:hint="eastAsia" w:ascii="宋体" w:hAnsi="宋体" w:cs="宋体"/>
          <w:color w:val="auto"/>
          <w:sz w:val="24"/>
        </w:rPr>
        <w:t xml:space="preserve">登录政采云平台https://www.zcygov.cn/在线申请获取采购文件（进入“项目采购”应用，在获取采购文件菜单中选择项目，申请获取采购文件）。 </w:t>
      </w:r>
    </w:p>
    <w:p w14:paraId="04C795B0">
      <w:pPr>
        <w:keepNext w:val="0"/>
        <w:keepLines w:val="0"/>
        <w:pageBreakBefore w:val="0"/>
        <w:kinsoku/>
        <w:wordWrap/>
        <w:overflowPunct/>
        <w:topLinePunct w:val="0"/>
        <w:autoSpaceDE/>
        <w:autoSpaceDN/>
        <w:bidi w:val="0"/>
        <w:adjustRightInd w:val="0"/>
        <w:spacing w:line="353" w:lineRule="auto"/>
        <w:ind w:firstLine="482" w:firstLineChars="200"/>
        <w:textAlignment w:val="auto"/>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23DB410C">
      <w:pPr>
        <w:keepNext w:val="0"/>
        <w:keepLines w:val="0"/>
        <w:pageBreakBefore w:val="0"/>
        <w:kinsoku/>
        <w:wordWrap/>
        <w:overflowPunct/>
        <w:topLinePunct w:val="0"/>
        <w:autoSpaceDE/>
        <w:autoSpaceDN/>
        <w:bidi w:val="0"/>
        <w:adjustRightInd w:val="0"/>
        <w:spacing w:line="353" w:lineRule="auto"/>
        <w:textAlignment w:val="auto"/>
        <w:rPr>
          <w:rFonts w:ascii="宋体" w:hAnsi="宋体" w:cs="宋体"/>
          <w:b/>
          <w:color w:val="auto"/>
          <w:sz w:val="24"/>
        </w:rPr>
      </w:pPr>
      <w:r>
        <w:rPr>
          <w:rFonts w:hint="eastAsia" w:ascii="宋体" w:hAnsi="宋体" w:cs="宋体"/>
          <w:b/>
          <w:color w:val="auto"/>
          <w:sz w:val="24"/>
        </w:rPr>
        <w:t>四、提交投标文件截止时间、开标时间和地点</w:t>
      </w:r>
    </w:p>
    <w:p w14:paraId="791164D9">
      <w:pPr>
        <w:keepNext w:val="0"/>
        <w:keepLines w:val="0"/>
        <w:pageBreakBefore w:val="0"/>
        <w:kinsoku/>
        <w:wordWrap/>
        <w:overflowPunct/>
        <w:topLinePunct w:val="0"/>
        <w:autoSpaceDE/>
        <w:autoSpaceDN/>
        <w:bidi w:val="0"/>
        <w:adjustRightInd w:val="0"/>
        <w:spacing w:line="353" w:lineRule="auto"/>
        <w:ind w:firstLine="482" w:firstLineChars="200"/>
        <w:textAlignment w:val="auto"/>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2024</w:t>
      </w:r>
      <w:r>
        <w:rPr>
          <w:rFonts w:hint="eastAsia" w:ascii="宋体" w:hAnsi="宋体" w:cs="宋体"/>
          <w:color w:val="auto"/>
          <w:sz w:val="24"/>
          <w:u w:val="single"/>
        </w:rPr>
        <w:t>年</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日</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点</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分</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46B476DD">
      <w:pPr>
        <w:keepNext w:val="0"/>
        <w:keepLines w:val="0"/>
        <w:pageBreakBefore w:val="0"/>
        <w:kinsoku/>
        <w:wordWrap/>
        <w:overflowPunct/>
        <w:topLinePunct w:val="0"/>
        <w:autoSpaceDE/>
        <w:autoSpaceDN/>
        <w:bidi w:val="0"/>
        <w:adjustRightInd w:val="0"/>
        <w:spacing w:line="353" w:lineRule="auto"/>
        <w:ind w:firstLine="482" w:firstLineChars="200"/>
        <w:textAlignment w:val="auto"/>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43EC1DF6">
      <w:pPr>
        <w:keepNext w:val="0"/>
        <w:keepLines w:val="0"/>
        <w:pageBreakBefore w:val="0"/>
        <w:kinsoku/>
        <w:wordWrap/>
        <w:overflowPunct/>
        <w:topLinePunct w:val="0"/>
        <w:autoSpaceDE/>
        <w:autoSpaceDN/>
        <w:bidi w:val="0"/>
        <w:adjustRightInd w:val="0"/>
        <w:spacing w:line="353" w:lineRule="auto"/>
        <w:ind w:firstLine="482" w:firstLineChars="200"/>
        <w:textAlignment w:val="auto"/>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eastAsia="zh-CN"/>
        </w:rPr>
        <w:t>2024年</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lang w:eastAsia="zh-CN"/>
        </w:rPr>
        <w:t>月</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lang w:eastAsia="zh-CN"/>
        </w:rPr>
        <w:t>日</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lang w:eastAsia="zh-CN"/>
        </w:rPr>
        <w:t>点</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lang w:eastAsia="zh-CN"/>
        </w:rPr>
        <w:t>分</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lang w:eastAsia="zh-CN"/>
        </w:rPr>
        <w:t>秒</w:t>
      </w:r>
      <w:r>
        <w:rPr>
          <w:rFonts w:hint="eastAsia" w:ascii="宋体" w:hAnsi="宋体" w:cs="宋体"/>
          <w:bCs/>
          <w:color w:val="auto"/>
          <w:sz w:val="24"/>
          <w:u w:val="single"/>
        </w:rPr>
        <w:t xml:space="preserve">  </w:t>
      </w:r>
    </w:p>
    <w:p w14:paraId="2C9BE15D">
      <w:pPr>
        <w:keepNext w:val="0"/>
        <w:keepLines w:val="0"/>
        <w:pageBreakBefore w:val="0"/>
        <w:kinsoku/>
        <w:wordWrap/>
        <w:overflowPunct/>
        <w:topLinePunct w:val="0"/>
        <w:autoSpaceDE/>
        <w:autoSpaceDN/>
        <w:bidi w:val="0"/>
        <w:adjustRightInd w:val="0"/>
        <w:spacing w:line="353" w:lineRule="auto"/>
        <w:ind w:firstLine="482" w:firstLineChars="200"/>
        <w:textAlignment w:val="auto"/>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3B99BD9F">
      <w:pPr>
        <w:keepNext w:val="0"/>
        <w:keepLines w:val="0"/>
        <w:pageBreakBefore w:val="0"/>
        <w:kinsoku/>
        <w:wordWrap/>
        <w:overflowPunct/>
        <w:topLinePunct w:val="0"/>
        <w:autoSpaceDE/>
        <w:autoSpaceDN/>
        <w:bidi w:val="0"/>
        <w:adjustRightInd w:val="0"/>
        <w:spacing w:line="353" w:lineRule="auto"/>
        <w:textAlignment w:val="auto"/>
        <w:rPr>
          <w:rFonts w:ascii="宋体" w:hAnsi="宋体" w:cs="宋体"/>
          <w:color w:val="auto"/>
          <w:sz w:val="24"/>
        </w:rPr>
      </w:pPr>
      <w:r>
        <w:rPr>
          <w:rFonts w:hint="eastAsia" w:ascii="宋体" w:hAnsi="宋体" w:cs="宋体"/>
          <w:b/>
          <w:color w:val="auto"/>
          <w:sz w:val="24"/>
        </w:rPr>
        <w:t xml:space="preserve">五、公告期限 </w:t>
      </w:r>
    </w:p>
    <w:p w14:paraId="1E872918">
      <w:pPr>
        <w:keepNext w:val="0"/>
        <w:keepLines w:val="0"/>
        <w:pageBreakBefore w:val="0"/>
        <w:kinsoku/>
        <w:wordWrap/>
        <w:overflowPunct/>
        <w:topLinePunct w:val="0"/>
        <w:autoSpaceDE/>
        <w:autoSpaceDN/>
        <w:bidi w:val="0"/>
        <w:adjustRightInd w:val="0"/>
        <w:spacing w:line="353" w:lineRule="auto"/>
        <w:ind w:firstLine="480" w:firstLineChars="200"/>
        <w:textAlignment w:val="auto"/>
        <w:rPr>
          <w:rFonts w:ascii="宋体" w:hAnsi="宋体" w:cs="宋体"/>
          <w:color w:val="auto"/>
          <w:sz w:val="24"/>
        </w:rPr>
      </w:pPr>
      <w:r>
        <w:rPr>
          <w:rFonts w:hint="eastAsia" w:ascii="宋体" w:hAnsi="宋体" w:cs="宋体"/>
          <w:color w:val="auto"/>
          <w:sz w:val="24"/>
        </w:rPr>
        <w:t>自本公告发布之日起5个工作日。</w:t>
      </w:r>
    </w:p>
    <w:p w14:paraId="7DE82B06">
      <w:pPr>
        <w:keepNext w:val="0"/>
        <w:keepLines w:val="0"/>
        <w:pageBreakBefore w:val="0"/>
        <w:kinsoku/>
        <w:wordWrap/>
        <w:overflowPunct/>
        <w:topLinePunct w:val="0"/>
        <w:autoSpaceDE/>
        <w:autoSpaceDN/>
        <w:bidi w:val="0"/>
        <w:adjustRightInd w:val="0"/>
        <w:spacing w:line="353" w:lineRule="auto"/>
        <w:textAlignment w:val="auto"/>
        <w:rPr>
          <w:rFonts w:ascii="宋体" w:hAnsi="宋体" w:cs="宋体"/>
          <w:b/>
          <w:color w:val="auto"/>
          <w:sz w:val="24"/>
        </w:rPr>
      </w:pPr>
      <w:r>
        <w:rPr>
          <w:rFonts w:hint="eastAsia" w:ascii="宋体" w:hAnsi="宋体" w:cs="宋体"/>
          <w:b/>
          <w:color w:val="auto"/>
          <w:sz w:val="24"/>
        </w:rPr>
        <w:t>六、其他补充事宜</w:t>
      </w:r>
    </w:p>
    <w:p w14:paraId="01CBFE36">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0A40827F">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w:t>
      </w:r>
      <w:r>
        <w:rPr>
          <w:rFonts w:hint="eastAsia" w:ascii="宋体" w:hAnsi="宋体" w:cs="宋体"/>
          <w:color w:val="auto"/>
          <w:sz w:val="24"/>
          <w:lang w:eastAsia="zh-CN"/>
        </w:rPr>
        <w:t>投标人</w:t>
      </w:r>
      <w:r>
        <w:rPr>
          <w:rFonts w:hint="eastAsia" w:ascii="宋体" w:hAnsi="宋体" w:cs="宋体"/>
          <w:color w:val="auto"/>
          <w:sz w:val="24"/>
        </w:rPr>
        <w:t>在线提起询问，路径为：政采云-项目采购-询问质疑投诉-询问列表:鼓励</w:t>
      </w:r>
      <w:r>
        <w:rPr>
          <w:rFonts w:hint="eastAsia" w:ascii="宋体" w:hAnsi="宋体" w:cs="宋体"/>
          <w:color w:val="auto"/>
          <w:sz w:val="24"/>
          <w:lang w:eastAsia="zh-CN"/>
        </w:rPr>
        <w:t>投标人</w:t>
      </w:r>
      <w:r>
        <w:rPr>
          <w:rFonts w:hint="eastAsia" w:ascii="宋体" w:hAnsi="宋体" w:cs="宋体"/>
          <w:color w:val="auto"/>
          <w:sz w:val="24"/>
        </w:rPr>
        <w:t>在线提起质疑，路径为：政采云-项目采购-询问质疑投诉-质疑列表。质疑</w:t>
      </w:r>
      <w:r>
        <w:rPr>
          <w:rFonts w:hint="eastAsia" w:ascii="宋体" w:hAnsi="宋体" w:cs="宋体"/>
          <w:color w:val="auto"/>
          <w:sz w:val="24"/>
          <w:lang w:eastAsia="zh-CN"/>
        </w:rPr>
        <w:t>投标人</w:t>
      </w:r>
      <w:r>
        <w:rPr>
          <w:rFonts w:hint="eastAsia" w:ascii="宋体" w:hAnsi="宋体" w:cs="宋体"/>
          <w:color w:val="auto"/>
          <w:sz w:val="24"/>
        </w:rPr>
        <w:t>对在线质疑答复不满意的，可在线提起投诉，路径为：浙江政府服务网-政府采购投诉处理-在线办理。</w:t>
      </w:r>
    </w:p>
    <w:p w14:paraId="4376117D">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eastAsia="zh-CN"/>
        </w:rPr>
        <w:t>投标人</w:t>
      </w:r>
      <w:r>
        <w:rPr>
          <w:rFonts w:hint="eastAsia" w:ascii="宋体" w:hAnsi="宋体" w:cs="宋体"/>
          <w:color w:val="auto"/>
          <w:sz w:val="24"/>
        </w:rPr>
        <w:t>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w:t>
      </w:r>
      <w:r>
        <w:rPr>
          <w:rFonts w:hint="eastAsia" w:ascii="宋体" w:hAnsi="宋体" w:cs="宋体"/>
          <w:color w:val="auto"/>
          <w:sz w:val="24"/>
          <w:lang w:eastAsia="zh-CN"/>
        </w:rPr>
        <w:t>投标人</w:t>
      </w:r>
      <w:r>
        <w:rPr>
          <w:rFonts w:hint="eastAsia" w:ascii="宋体" w:hAnsi="宋体" w:cs="宋体"/>
          <w:color w:val="auto"/>
          <w:sz w:val="24"/>
        </w:rPr>
        <w:t>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1AA850">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hint="eastAsia" w:ascii="宋体" w:hAnsi="宋体" w:cs="宋体"/>
          <w:b/>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w:t>
      </w:r>
      <w:r>
        <w:rPr>
          <w:rFonts w:hint="eastAsia" w:ascii="宋体" w:hAnsi="宋体" w:cs="宋体"/>
          <w:color w:val="auto"/>
          <w:sz w:val="24"/>
          <w:lang w:eastAsia="zh-CN"/>
        </w:rPr>
        <w:t>投标人</w:t>
      </w:r>
      <w:r>
        <w:rPr>
          <w:rFonts w:hint="eastAsia" w:ascii="宋体" w:hAnsi="宋体" w:cs="宋体"/>
          <w:color w:val="auto"/>
          <w:sz w:val="24"/>
        </w:rPr>
        <w:t>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w:t>
      </w:r>
      <w:r>
        <w:rPr>
          <w:rFonts w:hint="eastAsia" w:ascii="宋体" w:hAnsi="宋体" w:cs="宋体"/>
          <w:color w:val="auto"/>
          <w:sz w:val="24"/>
          <w:lang w:eastAsia="zh-CN"/>
        </w:rPr>
        <w:t>投标人</w:t>
      </w:r>
      <w:r>
        <w:rPr>
          <w:rFonts w:hint="eastAsia" w:ascii="宋体" w:hAnsi="宋体" w:cs="宋体"/>
          <w:color w:val="auto"/>
          <w:sz w:val="24"/>
        </w:rPr>
        <w:t>进行投标活动； ⑥对未按上述方式获取招标文件的</w:t>
      </w:r>
      <w:r>
        <w:rPr>
          <w:rFonts w:hint="eastAsia" w:ascii="宋体" w:hAnsi="宋体" w:cs="宋体"/>
          <w:color w:val="auto"/>
          <w:sz w:val="24"/>
          <w:lang w:eastAsia="zh-CN"/>
        </w:rPr>
        <w:t>投标人</w:t>
      </w:r>
      <w:r>
        <w:rPr>
          <w:rFonts w:hint="eastAsia" w:ascii="宋体" w:hAnsi="宋体" w:cs="宋体"/>
          <w:color w:val="auto"/>
          <w:sz w:val="24"/>
        </w:rPr>
        <w:t>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w:t>
      </w:r>
      <w:r>
        <w:rPr>
          <w:rFonts w:hint="eastAsia" w:ascii="宋体" w:hAnsi="宋体" w:cs="宋体"/>
          <w:color w:val="auto"/>
          <w:sz w:val="24"/>
          <w:highlight w:val="none"/>
        </w:rPr>
        <w:t>第</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点—“备份投标文件”</w:t>
      </w:r>
      <w:r>
        <w:rPr>
          <w:rFonts w:hint="eastAsia" w:ascii="宋体" w:hAnsi="宋体" w:cs="宋体"/>
          <w:color w:val="auto"/>
          <w:sz w:val="24"/>
        </w:rPr>
        <w:t>；⑨投标文件的解密：投标人按照平台提示和招标文件的规定在半小时内完成在线解密。通过“政府采购云平台”上传递交的投标文件无法按时解密，</w:t>
      </w:r>
      <w:r>
        <w:rPr>
          <w:rFonts w:hint="eastAsia" w:ascii="宋体" w:hAnsi="宋体" w:cs="宋体"/>
          <w:color w:val="auto"/>
          <w:sz w:val="24"/>
          <w:lang w:eastAsia="zh-CN"/>
        </w:rPr>
        <w:t>投标人</w:t>
      </w:r>
      <w:r>
        <w:rPr>
          <w:rFonts w:hint="eastAsia" w:ascii="宋体" w:hAnsi="宋体" w:cs="宋体"/>
          <w:color w:val="auto"/>
          <w:sz w:val="24"/>
        </w:rPr>
        <w:t>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w:t>
      </w:r>
      <w:r>
        <w:rPr>
          <w:rFonts w:hint="eastAsia" w:ascii="宋体" w:hAnsi="宋体" w:cs="宋体"/>
          <w:color w:val="auto"/>
          <w:sz w:val="24"/>
          <w:lang w:eastAsia="zh-CN"/>
        </w:rPr>
        <w:t>投标人</w:t>
      </w:r>
      <w:r>
        <w:rPr>
          <w:rFonts w:hint="eastAsia" w:ascii="宋体" w:hAnsi="宋体" w:cs="宋体"/>
          <w:color w:val="auto"/>
          <w:sz w:val="24"/>
        </w:rPr>
        <w:t>”。（3）招标文件公告期限与招标公告的公告期限一致。（</w:t>
      </w:r>
      <w:r>
        <w:rPr>
          <w:rFonts w:hint="eastAsia" w:ascii="宋体" w:hAnsi="宋体" w:cs="宋体"/>
          <w:color w:val="auto"/>
          <w:sz w:val="24"/>
          <w:lang w:val="en-US" w:eastAsia="zh-CN"/>
        </w:rPr>
        <w:t>4</w:t>
      </w:r>
      <w:r>
        <w:rPr>
          <w:rFonts w:hint="eastAsia" w:ascii="宋体" w:hAnsi="宋体" w:cs="宋体"/>
          <w:color w:val="auto"/>
          <w:sz w:val="24"/>
        </w:rPr>
        <w:t>）因信用中国网站中“重大税收违法案件当事人名单”已调整为“重大税收违法失信主体”，但政采云系统自动生成的仍为“重大税收违法案件当事人名单”，故查询的内容以“重大税收违法失信主体”为准。</w:t>
      </w:r>
    </w:p>
    <w:p w14:paraId="6F0838D4">
      <w:pPr>
        <w:rPr>
          <w:rFonts w:hint="eastAsia" w:ascii="宋体" w:hAnsi="宋体" w:cs="宋体"/>
          <w:b/>
          <w:color w:val="auto"/>
          <w:sz w:val="24"/>
        </w:rPr>
      </w:pPr>
      <w:r>
        <w:rPr>
          <w:rFonts w:hint="eastAsia" w:ascii="宋体" w:hAnsi="宋体" w:cs="宋体"/>
          <w:b/>
          <w:color w:val="auto"/>
          <w:sz w:val="24"/>
        </w:rPr>
        <w:br w:type="page"/>
      </w:r>
    </w:p>
    <w:p w14:paraId="468E1039">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6DEC0597">
      <w:pPr>
        <w:spacing w:line="360" w:lineRule="auto"/>
        <w:rPr>
          <w:rFonts w:ascii="宋体" w:hAnsi="宋体" w:cs="宋体"/>
          <w:color w:val="auto"/>
          <w:sz w:val="24"/>
        </w:rPr>
      </w:pPr>
      <w:r>
        <w:rPr>
          <w:rFonts w:hint="eastAsia" w:ascii="宋体" w:hAnsi="宋体" w:cs="宋体"/>
          <w:color w:val="auto"/>
          <w:sz w:val="24"/>
        </w:rPr>
        <w:t xml:space="preserve">    1.采购人信息</w:t>
      </w:r>
    </w:p>
    <w:p w14:paraId="1A21DA19">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eastAsia="zh-CN"/>
        </w:rPr>
        <w:t>宁海传媒集团（宁海县广播电视台）</w:t>
      </w:r>
      <w:r>
        <w:rPr>
          <w:rFonts w:hint="eastAsia" w:ascii="宋体" w:hAnsi="宋体" w:cs="宋体"/>
          <w:color w:val="auto"/>
          <w:sz w:val="24"/>
        </w:rPr>
        <w:t xml:space="preserve"> </w:t>
      </w:r>
    </w:p>
    <w:p w14:paraId="1DE90B8F">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cs="宋体"/>
          <w:color w:val="auto"/>
          <w:sz w:val="24"/>
          <w:lang w:eastAsia="zh-CN"/>
        </w:rPr>
        <w:t>宁海县跃龙街道桃源中路228号</w:t>
      </w:r>
      <w:r>
        <w:rPr>
          <w:rFonts w:hint="eastAsia" w:ascii="宋体" w:hAnsi="宋体" w:cs="宋体"/>
          <w:color w:val="auto"/>
          <w:sz w:val="24"/>
        </w:rPr>
        <w:t xml:space="preserve">      </w:t>
      </w:r>
    </w:p>
    <w:p w14:paraId="0E7CA333">
      <w:pPr>
        <w:spacing w:line="360" w:lineRule="auto"/>
        <w:ind w:firstLine="480"/>
        <w:rPr>
          <w:rFonts w:ascii="宋体" w:hAnsi="宋体" w:cs="宋体"/>
          <w:color w:val="auto"/>
          <w:sz w:val="24"/>
        </w:rPr>
      </w:pPr>
      <w:r>
        <w:rPr>
          <w:rFonts w:hint="eastAsia" w:ascii="宋体" w:hAnsi="宋体" w:cs="宋体"/>
          <w:color w:val="auto"/>
          <w:sz w:val="24"/>
        </w:rPr>
        <w:t>传    真： /</w:t>
      </w:r>
    </w:p>
    <w:p w14:paraId="39A92B24">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王海峰</w:t>
      </w:r>
    </w:p>
    <w:p w14:paraId="77FC350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0574-59990032</w:t>
      </w:r>
    </w:p>
    <w:p w14:paraId="35AF4EB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王老师 </w:t>
      </w:r>
    </w:p>
    <w:p w14:paraId="5BD427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0574-59990032</w:t>
      </w:r>
    </w:p>
    <w:p w14:paraId="2FB478D3">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5BB18B93">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浙江天诚工程咨询有限公司</w:t>
      </w:r>
    </w:p>
    <w:p w14:paraId="6685B889">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地    址：</w:t>
      </w:r>
      <w:r>
        <w:rPr>
          <w:rFonts w:hint="eastAsia" w:ascii="宋体" w:hAnsi="宋体" w:cs="宋体"/>
          <w:color w:val="auto"/>
          <w:sz w:val="24"/>
          <w:lang w:eastAsia="zh-CN"/>
        </w:rPr>
        <w:t>宁海县紫园大厦13楼 </w:t>
      </w:r>
    </w:p>
    <w:p w14:paraId="0706865C">
      <w:pPr>
        <w:spacing w:line="360" w:lineRule="auto"/>
        <w:rPr>
          <w:rFonts w:ascii="宋体" w:hAnsi="宋体" w:cs="宋体"/>
          <w:color w:val="auto"/>
          <w:sz w:val="24"/>
        </w:rPr>
      </w:pPr>
      <w:r>
        <w:rPr>
          <w:rFonts w:hint="eastAsia" w:ascii="宋体" w:hAnsi="宋体" w:cs="宋体"/>
          <w:color w:val="auto"/>
          <w:sz w:val="24"/>
        </w:rPr>
        <w:t xml:space="preserve">    传    真：</w:t>
      </w:r>
      <w:r>
        <w:rPr>
          <w:rFonts w:hint="eastAsia" w:ascii="宋体" w:hAnsi="宋体" w:cs="宋体"/>
          <w:color w:val="auto"/>
          <w:sz w:val="24"/>
          <w:lang w:val="en-US" w:eastAsia="zh-CN"/>
        </w:rPr>
        <w:t>/</w:t>
      </w:r>
      <w:r>
        <w:rPr>
          <w:rFonts w:hint="eastAsia" w:ascii="宋体" w:hAnsi="宋体" w:cs="宋体"/>
          <w:color w:val="auto"/>
          <w:sz w:val="24"/>
        </w:rPr>
        <w:t xml:space="preserve"> </w:t>
      </w:r>
    </w:p>
    <w:p w14:paraId="26658D7F">
      <w:pPr>
        <w:spacing w:line="360" w:lineRule="auto"/>
        <w:rPr>
          <w:rFonts w:ascii="宋体" w:hAnsi="宋体" w:cs="宋体"/>
          <w:color w:val="auto"/>
          <w:sz w:val="24"/>
        </w:rPr>
      </w:pPr>
      <w:r>
        <w:rPr>
          <w:rFonts w:hint="eastAsia" w:ascii="宋体" w:hAnsi="宋体" w:cs="宋体"/>
          <w:color w:val="auto"/>
          <w:sz w:val="24"/>
        </w:rPr>
        <w:t xml:space="preserve">    项目联系人（询问）：</w:t>
      </w:r>
      <w:r>
        <w:rPr>
          <w:rFonts w:hint="eastAsia" w:ascii="宋体" w:hAnsi="宋体" w:cs="宋体"/>
          <w:color w:val="auto"/>
          <w:sz w:val="24"/>
          <w:lang w:val="en-US" w:eastAsia="zh-CN"/>
        </w:rPr>
        <w:t>胡韬宇</w:t>
      </w:r>
      <w:r>
        <w:rPr>
          <w:rFonts w:hint="eastAsia" w:ascii="宋体" w:hAnsi="宋体" w:cs="宋体"/>
          <w:color w:val="auto"/>
          <w:sz w:val="24"/>
        </w:rPr>
        <w:t xml:space="preserve"> </w:t>
      </w:r>
    </w:p>
    <w:p w14:paraId="2318F849">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18758356336</w:t>
      </w:r>
    </w:p>
    <w:p w14:paraId="6923D948">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val="en-US" w:eastAsia="zh-CN"/>
        </w:rPr>
        <w:t>许丹</w:t>
      </w:r>
      <w:r>
        <w:rPr>
          <w:rFonts w:hint="eastAsia" w:ascii="宋体" w:hAnsi="宋体" w:cs="宋体"/>
          <w:color w:val="auto"/>
          <w:sz w:val="24"/>
        </w:rPr>
        <w:t xml:space="preserve"> </w:t>
      </w:r>
    </w:p>
    <w:p w14:paraId="0935B58B">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质疑联系方式：</w:t>
      </w:r>
      <w:r>
        <w:rPr>
          <w:rFonts w:hint="eastAsia" w:ascii="宋体" w:hAnsi="宋体" w:cs="宋体"/>
          <w:color w:val="auto"/>
          <w:sz w:val="24"/>
          <w:lang w:eastAsia="zh-CN"/>
        </w:rPr>
        <w:t>0574-87939871</w:t>
      </w:r>
    </w:p>
    <w:p w14:paraId="2B20775B">
      <w:pPr>
        <w:spacing w:line="360" w:lineRule="auto"/>
        <w:rPr>
          <w:rFonts w:ascii="宋体" w:hAnsi="宋体" w:cs="宋体"/>
          <w:color w:val="auto"/>
          <w:sz w:val="24"/>
        </w:rPr>
      </w:pPr>
      <w:r>
        <w:rPr>
          <w:rFonts w:hint="eastAsia" w:ascii="宋体" w:hAnsi="宋体" w:cs="宋体"/>
          <w:color w:val="auto"/>
          <w:sz w:val="24"/>
        </w:rPr>
        <w:t xml:space="preserve">    3.同级政府采购监督管理部门            </w:t>
      </w:r>
    </w:p>
    <w:p w14:paraId="06617489">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名    称：宁海县政府采购管理办公室</w:t>
      </w:r>
    </w:p>
    <w:p w14:paraId="542F9E01">
      <w:pPr>
        <w:spacing w:line="360" w:lineRule="auto"/>
        <w:rPr>
          <w:rFonts w:ascii="宋体" w:hAnsi="宋体" w:cs="宋体"/>
          <w:color w:val="auto"/>
          <w:sz w:val="24"/>
        </w:rPr>
      </w:pPr>
      <w:r>
        <w:rPr>
          <w:rFonts w:hint="eastAsia" w:ascii="宋体" w:hAnsi="宋体" w:cs="宋体"/>
          <w:color w:val="auto"/>
          <w:sz w:val="24"/>
        </w:rPr>
        <w:t xml:space="preserve">    地    址：宁海县跃龙街道桃源中路218号</w:t>
      </w:r>
    </w:p>
    <w:p w14:paraId="0753BD3A">
      <w:pPr>
        <w:spacing w:line="360" w:lineRule="auto"/>
        <w:rPr>
          <w:rFonts w:ascii="宋体" w:hAnsi="宋体" w:cs="宋体"/>
          <w:color w:val="auto"/>
          <w:sz w:val="24"/>
        </w:rPr>
      </w:pPr>
      <w:r>
        <w:rPr>
          <w:rFonts w:hint="eastAsia" w:ascii="宋体" w:hAnsi="宋体" w:cs="宋体"/>
          <w:color w:val="auto"/>
          <w:sz w:val="24"/>
        </w:rPr>
        <w:t xml:space="preserve">    传    真： 0574-65265612</w:t>
      </w:r>
    </w:p>
    <w:p w14:paraId="626ADBF6">
      <w:pPr>
        <w:spacing w:line="360" w:lineRule="auto"/>
        <w:rPr>
          <w:rFonts w:ascii="宋体" w:hAnsi="宋体" w:cs="宋体"/>
          <w:color w:val="auto"/>
          <w:sz w:val="24"/>
        </w:rPr>
      </w:pPr>
      <w:r>
        <w:rPr>
          <w:rFonts w:hint="eastAsia" w:ascii="宋体" w:hAnsi="宋体" w:cs="宋体"/>
          <w:color w:val="auto"/>
          <w:sz w:val="24"/>
        </w:rPr>
        <w:t xml:space="preserve">    联系人 ：王老师</w:t>
      </w:r>
    </w:p>
    <w:p w14:paraId="5EB3F3EC">
      <w:pPr>
        <w:spacing w:line="360" w:lineRule="auto"/>
        <w:ind w:firstLine="480"/>
        <w:rPr>
          <w:rFonts w:hint="eastAsia" w:ascii="宋体" w:hAnsi="宋体" w:cs="宋体"/>
          <w:color w:val="auto"/>
          <w:sz w:val="24"/>
        </w:rPr>
      </w:pPr>
      <w:r>
        <w:rPr>
          <w:rFonts w:hint="eastAsia" w:ascii="宋体" w:hAnsi="宋体" w:cs="宋体"/>
          <w:color w:val="auto"/>
          <w:sz w:val="24"/>
        </w:rPr>
        <w:t xml:space="preserve">监督投诉电话：0574-65265668   </w:t>
      </w:r>
    </w:p>
    <w:p w14:paraId="0292489E">
      <w:pPr>
        <w:spacing w:line="360"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47FCA44A">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5E69C0E5">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013379DB">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6"/>
      <w:r>
        <w:rPr>
          <w:rFonts w:hint="eastAsia" w:ascii="宋体" w:hAnsi="宋体" w:cs="宋体"/>
          <w:b/>
          <w:color w:val="auto"/>
          <w:sz w:val="36"/>
          <w:szCs w:val="20"/>
        </w:rPr>
        <w:t xml:space="preserve"> 投标人须知</w:t>
      </w:r>
      <w:bookmarkEnd w:id="7"/>
    </w:p>
    <w:p w14:paraId="7A927EB2">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5DD5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1A4EAD5">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0AC16DA">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47306FC">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2ECFC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F3B5C8F">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D4E48CF">
            <w:pPr>
              <w:snapToGrid w:val="0"/>
              <w:spacing w:line="360" w:lineRule="auto"/>
              <w:jc w:val="center"/>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1704CBA">
            <w:pPr>
              <w:keepNext w:val="0"/>
              <w:keepLines w:val="0"/>
              <w:pageBreakBefore w:val="0"/>
              <w:widowControl w:val="0"/>
              <w:kinsoku/>
              <w:wordWrap/>
              <w:overflowPunct/>
              <w:topLinePunct w:val="0"/>
              <w:autoSpaceDE/>
              <w:autoSpaceDN/>
              <w:bidi w:val="0"/>
              <w:adjustRightInd w:val="0"/>
              <w:spacing w:line="440" w:lineRule="exact"/>
              <w:textAlignment w:val="auto"/>
              <w:rPr>
                <w:rFonts w:ascii="宋体" w:hAnsi="宋体" w:cs="宋体"/>
                <w:color w:val="auto"/>
                <w:sz w:val="24"/>
              </w:rPr>
            </w:pPr>
            <w:r>
              <w:rPr>
                <w:rFonts w:hint="eastAsia" w:ascii="宋体" w:hAnsi="宋体" w:cs="宋体"/>
                <w:color w:val="auto"/>
                <w:sz w:val="24"/>
                <w:lang w:val="en-US" w:eastAsia="zh-CN"/>
              </w:rPr>
              <w:t>货物</w:t>
            </w:r>
            <w:r>
              <w:rPr>
                <w:rFonts w:hint="eastAsia" w:ascii="宋体" w:hAnsi="宋体" w:cs="宋体"/>
                <w:color w:val="auto"/>
                <w:sz w:val="24"/>
              </w:rPr>
              <w:t>类。</w:t>
            </w:r>
          </w:p>
        </w:tc>
      </w:tr>
      <w:tr w14:paraId="28F79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89" w:hRule="atLeast"/>
          <w:tblHeader/>
        </w:trPr>
        <w:tc>
          <w:tcPr>
            <w:tcW w:w="629" w:type="dxa"/>
            <w:tcBorders>
              <w:top w:val="single" w:color="auto" w:sz="4" w:space="0"/>
              <w:left w:val="single" w:color="auto" w:sz="4" w:space="0"/>
              <w:bottom w:val="single" w:color="auto" w:sz="4" w:space="0"/>
              <w:right w:val="single" w:color="auto" w:sz="4" w:space="0"/>
            </w:tcBorders>
          </w:tcPr>
          <w:p w14:paraId="7D84ECF5">
            <w:pPr>
              <w:snapToGrid w:val="0"/>
              <w:spacing w:line="360" w:lineRule="auto"/>
              <w:jc w:val="center"/>
              <w:rPr>
                <w:rFonts w:ascii="宋体" w:hAnsi="宋体" w:cs="宋体"/>
                <w:color w:val="auto"/>
                <w:sz w:val="24"/>
              </w:rPr>
            </w:pPr>
          </w:p>
          <w:p w14:paraId="75EE9216">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67785DB">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F131FFA">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rPr>
                <w:rFonts w:hint="eastAsia" w:ascii="宋体" w:hAnsi="宋体" w:cs="宋体"/>
                <w:color w:val="auto"/>
                <w:kern w:val="0"/>
                <w:sz w:val="24"/>
              </w:rPr>
            </w:pPr>
            <w:r>
              <w:rPr>
                <w:rFonts w:hint="eastAsia" w:ascii="宋体" w:hAnsi="宋体" w:eastAsia="宋体" w:cs="宋体"/>
                <w:color w:val="auto"/>
                <w:kern w:val="0"/>
                <w:sz w:val="24"/>
                <w:szCs w:val="24"/>
                <w:lang w:val="en-US" w:eastAsia="zh-CN" w:bidi="ar-SA"/>
              </w:rPr>
              <w:t>（1）</w:t>
            </w:r>
            <w:r>
              <w:rPr>
                <w:rFonts w:hint="eastAsia" w:ascii="宋体" w:hAnsi="宋体" w:cs="宋体"/>
                <w:color w:val="auto"/>
                <w:kern w:val="0"/>
                <w:sz w:val="24"/>
              </w:rPr>
              <w:t>标的：</w:t>
            </w:r>
            <w:r>
              <w:rPr>
                <w:rFonts w:hint="eastAsia" w:ascii="宋体" w:hAnsi="宋体" w:cs="宋体"/>
                <w:color w:val="auto"/>
                <w:kern w:val="0"/>
                <w:sz w:val="24"/>
                <w:u w:val="single"/>
                <w:lang w:val="en-US" w:eastAsia="zh-CN"/>
              </w:rPr>
              <w:t>宁海传媒集团高清电视非线性编辑系统网络核心存储设备硬件升级改造项目</w:t>
            </w:r>
            <w:r>
              <w:rPr>
                <w:rFonts w:hint="eastAsia" w:ascii="宋体" w:hAnsi="宋体" w:cs="宋体"/>
                <w:color w:val="auto"/>
                <w:kern w:val="0"/>
                <w:sz w:val="24"/>
              </w:rPr>
              <w:t>，属于</w:t>
            </w:r>
            <w:r>
              <w:rPr>
                <w:rFonts w:hint="eastAsia" w:ascii="宋体" w:hAnsi="宋体" w:cs="宋体"/>
                <w:color w:val="auto"/>
                <w:kern w:val="0"/>
                <w:sz w:val="24"/>
                <w:u w:val="single"/>
              </w:rPr>
              <w:t>工业</w:t>
            </w:r>
            <w:r>
              <w:rPr>
                <w:rFonts w:hint="eastAsia" w:ascii="宋体" w:hAnsi="宋体" w:cs="宋体"/>
                <w:color w:val="auto"/>
                <w:kern w:val="0"/>
                <w:sz w:val="24"/>
              </w:rPr>
              <w:t>行业；</w:t>
            </w:r>
          </w:p>
          <w:p w14:paraId="7A852FFA">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rPr>
                <w:rFonts w:hint="eastAsia" w:ascii="宋体" w:hAnsi="宋体" w:eastAsia="宋体" w:cs="宋体"/>
                <w:b/>
                <w:bCs/>
                <w:color w:val="auto"/>
                <w:kern w:val="0"/>
                <w:sz w:val="24"/>
                <w:szCs w:val="24"/>
                <w:lang w:val="en-US" w:eastAsia="zh-CN" w:bidi="ar-SA"/>
              </w:rPr>
            </w:pPr>
            <w:bookmarkStart w:id="9" w:name="_Toc15395"/>
            <w:r>
              <w:rPr>
                <w:rFonts w:hint="eastAsia" w:ascii="宋体" w:hAnsi="宋体" w:eastAsia="宋体" w:cs="宋体"/>
                <w:b/>
                <w:bCs/>
                <w:color w:val="auto"/>
                <w:kern w:val="0"/>
                <w:sz w:val="24"/>
                <w:szCs w:val="24"/>
                <w:lang w:val="en-US" w:eastAsia="zh-CN" w:bidi="ar-SA"/>
              </w:rPr>
              <w:t>备注：《关于印发中小企业划型标准规定的通知》（工信</w:t>
            </w:r>
            <w:bookmarkEnd w:id="9"/>
            <w:bookmarkStart w:id="10" w:name="_Toc11782"/>
            <w:r>
              <w:rPr>
                <w:rFonts w:hint="eastAsia" w:ascii="宋体" w:hAnsi="宋体" w:eastAsia="宋体" w:cs="宋体"/>
                <w:b/>
                <w:bCs/>
                <w:color w:val="auto"/>
                <w:kern w:val="0"/>
                <w:sz w:val="24"/>
                <w:szCs w:val="24"/>
                <w:lang w:val="en-US" w:eastAsia="zh-CN" w:bidi="ar-SA"/>
              </w:rPr>
              <w:t>部联企业〔2011〕300）：</w:t>
            </w:r>
            <w:bookmarkEnd w:id="10"/>
          </w:p>
          <w:p w14:paraId="12FB17B8">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rPr>
                <w:rFonts w:hint="eastAsia" w:ascii="宋体" w:hAnsi="宋体" w:cs="宋体"/>
                <w:color w:val="auto"/>
                <w:kern w:val="0"/>
                <w:sz w:val="24"/>
                <w:lang w:val="en-US"/>
              </w:rPr>
            </w:pPr>
            <w:bookmarkStart w:id="11" w:name="_Toc30940"/>
            <w:r>
              <w:rPr>
                <w:rFonts w:hint="eastAsia" w:ascii="宋体" w:hAnsi="宋体" w:eastAsia="宋体" w:cs="宋体"/>
                <w:b/>
                <w:bCs/>
                <w:color w:val="auto"/>
                <w:kern w:val="0"/>
                <w:sz w:val="24"/>
                <w:szCs w:val="24"/>
                <w:lang w:val="en-US" w:eastAsia="zh-CN" w:bidi="ar-SA"/>
              </w:rPr>
              <w:t>工业：从业人员1000人以下或营业收入40000万元以</w:t>
            </w:r>
            <w:bookmarkStart w:id="12" w:name="_Toc13384"/>
            <w:r>
              <w:rPr>
                <w:rFonts w:hint="eastAsia" w:ascii="宋体" w:hAnsi="宋体" w:eastAsia="宋体" w:cs="宋体"/>
                <w:b/>
                <w:bCs/>
                <w:color w:val="auto"/>
                <w:kern w:val="0"/>
                <w:sz w:val="24"/>
                <w:szCs w:val="24"/>
                <w:lang w:val="en-US" w:eastAsia="zh-CN" w:bidi="ar-SA"/>
              </w:rPr>
              <w:t>下的为中小微型企业。其中，从业人员300人及以上，且</w:t>
            </w:r>
            <w:bookmarkEnd w:id="12"/>
            <w:bookmarkStart w:id="13" w:name="_Toc30185"/>
            <w:r>
              <w:rPr>
                <w:rFonts w:hint="eastAsia" w:ascii="宋体" w:hAnsi="宋体" w:eastAsia="宋体" w:cs="宋体"/>
                <w:b/>
                <w:bCs/>
                <w:color w:val="auto"/>
                <w:kern w:val="0"/>
                <w:sz w:val="24"/>
                <w:szCs w:val="24"/>
                <w:lang w:val="en-US" w:eastAsia="zh-CN" w:bidi="ar-SA"/>
              </w:rPr>
              <w:t>营业收入2000万元及以上的为中型企业；从业人员20人</w:t>
            </w:r>
            <w:bookmarkEnd w:id="13"/>
            <w:bookmarkStart w:id="14" w:name="_Toc15943"/>
            <w:r>
              <w:rPr>
                <w:rFonts w:hint="eastAsia" w:ascii="宋体" w:hAnsi="宋体" w:eastAsia="宋体" w:cs="宋体"/>
                <w:b/>
                <w:bCs/>
                <w:color w:val="auto"/>
                <w:kern w:val="0"/>
                <w:sz w:val="24"/>
                <w:szCs w:val="24"/>
                <w:lang w:val="en-US" w:eastAsia="zh-CN" w:bidi="ar-SA"/>
              </w:rPr>
              <w:t>及以上，且营业收入300万元及以上的为小型企业；从业</w:t>
            </w:r>
            <w:bookmarkEnd w:id="14"/>
            <w:bookmarkStart w:id="15" w:name="_Toc17053"/>
            <w:r>
              <w:rPr>
                <w:rFonts w:hint="eastAsia" w:ascii="宋体" w:hAnsi="宋体" w:eastAsia="宋体" w:cs="宋体"/>
                <w:b/>
                <w:bCs/>
                <w:color w:val="auto"/>
                <w:kern w:val="0"/>
                <w:sz w:val="24"/>
                <w:szCs w:val="24"/>
                <w:lang w:val="en-US" w:eastAsia="zh-CN" w:bidi="ar-SA"/>
              </w:rPr>
              <w:t>人员20人以下或营业收入300万元以下的为微型企业。</w:t>
            </w:r>
            <w:bookmarkEnd w:id="11"/>
            <w:bookmarkEnd w:id="15"/>
          </w:p>
        </w:tc>
      </w:tr>
      <w:tr w14:paraId="467F8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9" w:hRule="atLeast"/>
          <w:tblHeader/>
        </w:trPr>
        <w:tc>
          <w:tcPr>
            <w:tcW w:w="629" w:type="dxa"/>
            <w:tcBorders>
              <w:top w:val="single" w:color="auto" w:sz="4" w:space="0"/>
              <w:left w:val="single" w:color="auto" w:sz="4" w:space="0"/>
              <w:bottom w:val="single" w:color="auto" w:sz="4" w:space="0"/>
              <w:right w:val="single" w:color="auto" w:sz="4" w:space="0"/>
            </w:tcBorders>
          </w:tcPr>
          <w:p w14:paraId="4CE3E475">
            <w:pPr>
              <w:snapToGrid w:val="0"/>
              <w:spacing w:line="360" w:lineRule="auto"/>
              <w:jc w:val="both"/>
              <w:rPr>
                <w:rFonts w:ascii="宋体" w:hAnsi="宋体" w:cs="宋体"/>
                <w:color w:val="auto"/>
                <w:sz w:val="24"/>
              </w:rPr>
            </w:pPr>
          </w:p>
          <w:p w14:paraId="0C189784">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2ACE517">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1577C78">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75EB31A3">
            <w:pPr>
              <w:keepNext w:val="0"/>
              <w:keepLines w:val="0"/>
              <w:pageBreakBefore w:val="0"/>
              <w:widowControl w:val="0"/>
              <w:kinsoku/>
              <w:wordWrap/>
              <w:overflowPunct/>
              <w:topLinePunct w:val="0"/>
              <w:autoSpaceDE/>
              <w:autoSpaceDN/>
              <w:bidi w:val="0"/>
              <w:adjustRightInd w:val="0"/>
              <w:spacing w:line="440" w:lineRule="exact"/>
              <w:textAlignment w:val="auto"/>
              <w:rPr>
                <w:color w:val="auto"/>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34BC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96DD45">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BE37837">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2E52B8D">
            <w:pPr>
              <w:keepNext w:val="0"/>
              <w:keepLines w:val="0"/>
              <w:pageBreakBefore w:val="0"/>
              <w:widowControl w:val="0"/>
              <w:kinsoku/>
              <w:wordWrap/>
              <w:overflowPunct/>
              <w:topLinePunct w:val="0"/>
              <w:autoSpaceDE/>
              <w:autoSpaceDN/>
              <w:bidi w:val="0"/>
              <w:adjustRightInd w:val="0"/>
              <w:snapToGrid/>
              <w:spacing w:line="440" w:lineRule="exact"/>
              <w:textAlignment w:val="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10543472">
            <w:pPr>
              <w:keepNext w:val="0"/>
              <w:keepLines w:val="0"/>
              <w:pageBreakBefore w:val="0"/>
              <w:widowControl w:val="0"/>
              <w:kinsoku/>
              <w:wordWrap/>
              <w:overflowPunct/>
              <w:topLinePunct w:val="0"/>
              <w:autoSpaceDE/>
              <w:autoSpaceDN/>
              <w:bidi w:val="0"/>
              <w:adjustRightInd w:val="0"/>
              <w:snapToGrid/>
              <w:spacing w:line="440" w:lineRule="exact"/>
              <w:textAlignment w:val="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47B9D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0FB403">
            <w:pPr>
              <w:snapToGri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1D48AF3">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64651CB">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2E2E9C52">
            <w:pPr>
              <w:keepNext w:val="0"/>
              <w:keepLines w:val="0"/>
              <w:pageBreakBefore w:val="0"/>
              <w:widowControl w:val="0"/>
              <w:kinsoku/>
              <w:wordWrap/>
              <w:overflowPunct/>
              <w:topLinePunct w:val="0"/>
              <w:autoSpaceDE/>
              <w:autoSpaceDN/>
              <w:bidi w:val="0"/>
              <w:adjustRightInd w:val="0"/>
              <w:spacing w:line="440" w:lineRule="exact"/>
              <w:textAlignment w:val="auto"/>
              <w:rPr>
                <w:color w:val="auto"/>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735ACB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6CF433">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38E3667">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7E809B7">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宋体" w:hAnsi="宋体" w:cs="宋体"/>
                <w:color w:val="auto"/>
                <w:sz w:val="24"/>
                <w:lang w:eastAsia="zh-CN"/>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r>
              <w:rPr>
                <w:rFonts w:hint="eastAsia" w:ascii="宋体" w:hAnsi="宋体" w:cs="宋体"/>
                <w:color w:val="auto"/>
                <w:sz w:val="24"/>
                <w:lang w:eastAsia="zh-CN"/>
              </w:rPr>
              <w:t>。</w:t>
            </w:r>
          </w:p>
          <w:p w14:paraId="2F430EB9">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color w:val="auto"/>
                <w:lang w:eastAsia="zh-CN"/>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r>
              <w:rPr>
                <w:rFonts w:hint="eastAsia" w:ascii="宋体" w:hAnsi="宋体" w:cs="宋体"/>
                <w:color w:val="auto"/>
                <w:kern w:val="0"/>
                <w:sz w:val="24"/>
                <w:highlight w:val="none"/>
                <w:lang w:eastAsia="zh-CN"/>
              </w:rPr>
              <w:t>。</w:t>
            </w:r>
          </w:p>
        </w:tc>
      </w:tr>
      <w:tr w14:paraId="553D0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5" w:hRule="atLeast"/>
          <w:tblHeader/>
        </w:trPr>
        <w:tc>
          <w:tcPr>
            <w:tcW w:w="629" w:type="dxa"/>
            <w:tcBorders>
              <w:top w:val="single" w:color="auto" w:sz="4" w:space="0"/>
              <w:left w:val="single" w:color="auto" w:sz="4" w:space="0"/>
              <w:bottom w:val="single" w:color="auto" w:sz="4" w:space="0"/>
              <w:right w:val="single" w:color="auto" w:sz="4" w:space="0"/>
            </w:tcBorders>
          </w:tcPr>
          <w:p w14:paraId="641CF22D">
            <w:pPr>
              <w:snapToGrid w:val="0"/>
              <w:spacing w:line="360" w:lineRule="auto"/>
              <w:jc w:val="both"/>
              <w:rPr>
                <w:rFonts w:ascii="宋体" w:hAnsi="宋体" w:cs="宋体"/>
                <w:color w:val="auto"/>
                <w:sz w:val="24"/>
              </w:rPr>
            </w:pPr>
          </w:p>
          <w:p w14:paraId="4FED8463">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87A7200">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F8DF915">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79CB6116">
            <w:pPr>
              <w:keepNext w:val="0"/>
              <w:keepLines w:val="0"/>
              <w:pageBreakBefore w:val="0"/>
              <w:widowControl w:val="0"/>
              <w:kinsoku/>
              <w:wordWrap/>
              <w:overflowPunct/>
              <w:topLinePunct w:val="0"/>
              <w:autoSpaceDE/>
              <w:autoSpaceDN/>
              <w:bidi w:val="0"/>
              <w:adjustRightInd w:val="0"/>
              <w:spacing w:line="440" w:lineRule="exact"/>
              <w:textAlignment w:val="auto"/>
              <w:rPr>
                <w:rFonts w:ascii="宋体" w:hAnsi="宋体" w:cs="宋体"/>
                <w:b/>
                <w:color w:val="auto"/>
                <w:kern w:val="0"/>
                <w:sz w:val="24"/>
                <w:lang w:val="zh-CN"/>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B组织。</w:t>
            </w:r>
          </w:p>
        </w:tc>
      </w:tr>
      <w:tr w14:paraId="2B8B15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69767E1">
            <w:pPr>
              <w:snapToGrid w:val="0"/>
              <w:spacing w:line="360" w:lineRule="auto"/>
              <w:jc w:val="center"/>
              <w:rPr>
                <w:rFonts w:ascii="宋体" w:hAnsi="宋体" w:cs="宋体"/>
                <w:color w:val="auto"/>
                <w:sz w:val="24"/>
              </w:rPr>
            </w:pPr>
          </w:p>
          <w:p w14:paraId="2DCA9691">
            <w:pPr>
              <w:snapToGrid w:val="0"/>
              <w:spacing w:line="360" w:lineRule="auto"/>
              <w:jc w:val="center"/>
              <w:rPr>
                <w:rFonts w:ascii="宋体" w:hAnsi="宋体" w:cs="宋体"/>
                <w:color w:val="auto"/>
                <w:sz w:val="24"/>
              </w:rPr>
            </w:pPr>
          </w:p>
          <w:p w14:paraId="362A5004">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25130A19">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C0EA876">
            <w:pPr>
              <w:keepNext w:val="0"/>
              <w:keepLines w:val="0"/>
              <w:pageBreakBefore w:val="0"/>
              <w:widowControl w:val="0"/>
              <w:kinsoku/>
              <w:wordWrap/>
              <w:overflowPunct/>
              <w:topLinePunct w:val="0"/>
              <w:autoSpaceDE/>
              <w:autoSpaceDN/>
              <w:bidi w:val="0"/>
              <w:adjustRightInd w:val="0"/>
              <w:spacing w:line="440" w:lineRule="exact"/>
              <w:textAlignment w:val="auto"/>
              <w:rPr>
                <w:rFonts w:ascii="宋体" w:hAnsi="宋体" w:cs="宋体"/>
                <w:color w:val="auto"/>
                <w:sz w:val="24"/>
              </w:rPr>
            </w:pPr>
            <w:r>
              <w:rPr>
                <w:rFonts w:hint="eastAsia" w:ascii="宋体" w:hAnsi="宋体" w:cs="宋体"/>
                <w:color w:val="auto"/>
                <w:sz w:val="24"/>
              </w:rPr>
              <w:t>（1）资格证明文件：见招标文件第二部分1</w:t>
            </w:r>
            <w:r>
              <w:rPr>
                <w:rFonts w:hint="eastAsia" w:ascii="宋体" w:hAnsi="宋体" w:cs="宋体"/>
                <w:color w:val="auto"/>
                <w:sz w:val="24"/>
                <w:lang w:val="en-US" w:eastAsia="zh-CN"/>
              </w:rPr>
              <w:t>2</w:t>
            </w:r>
            <w:r>
              <w:rPr>
                <w:rFonts w:hint="eastAsia" w:ascii="宋体" w:hAnsi="宋体" w:cs="宋体"/>
                <w:color w:val="auto"/>
                <w:sz w:val="24"/>
              </w:rPr>
              <w:t>.1。</w:t>
            </w:r>
          </w:p>
          <w:p w14:paraId="72CEABAD">
            <w:pPr>
              <w:keepNext w:val="0"/>
              <w:keepLines w:val="0"/>
              <w:pageBreakBefore w:val="0"/>
              <w:widowControl w:val="0"/>
              <w:kinsoku/>
              <w:wordWrap/>
              <w:overflowPunct/>
              <w:topLinePunct w:val="0"/>
              <w:autoSpaceDE/>
              <w:autoSpaceDN/>
              <w:bidi w:val="0"/>
              <w:adjustRightInd w:val="0"/>
              <w:spacing w:line="440" w:lineRule="exact"/>
              <w:textAlignment w:val="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6344B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1" w:hRule="atLeast"/>
          <w:tblHeader/>
        </w:trPr>
        <w:tc>
          <w:tcPr>
            <w:tcW w:w="629" w:type="dxa"/>
            <w:vMerge w:val="continue"/>
            <w:tcBorders>
              <w:left w:val="single" w:color="auto" w:sz="4" w:space="0"/>
              <w:bottom w:val="single" w:color="auto" w:sz="4" w:space="0"/>
              <w:right w:val="single" w:color="auto" w:sz="4" w:space="0"/>
            </w:tcBorders>
          </w:tcPr>
          <w:p w14:paraId="1F0D1A73">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468DCAA7">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F207A80">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074DF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BB2EFC7">
            <w:pPr>
              <w:snapToGrid w:val="0"/>
              <w:spacing w:line="360" w:lineRule="auto"/>
              <w:jc w:val="center"/>
              <w:rPr>
                <w:rFonts w:ascii="宋体" w:hAnsi="宋体" w:cs="宋体"/>
                <w:color w:val="auto"/>
                <w:sz w:val="24"/>
              </w:rPr>
            </w:pPr>
          </w:p>
          <w:p w14:paraId="1F3B7475">
            <w:pPr>
              <w:snapToGrid w:val="0"/>
              <w:spacing w:line="360" w:lineRule="auto"/>
              <w:jc w:val="center"/>
              <w:rPr>
                <w:rFonts w:ascii="宋体" w:hAnsi="宋体" w:cs="宋体"/>
                <w:color w:val="auto"/>
                <w:sz w:val="24"/>
              </w:rPr>
            </w:pPr>
          </w:p>
          <w:p w14:paraId="05C84039">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F90D56D">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B42D72B">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A686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CE6E58A">
            <w:pPr>
              <w:snapToGrid w:val="0"/>
              <w:spacing w:line="360" w:lineRule="auto"/>
              <w:jc w:val="center"/>
              <w:rPr>
                <w:rFonts w:ascii="宋体" w:hAnsi="宋体" w:cs="宋体"/>
                <w:color w:val="auto"/>
                <w:sz w:val="24"/>
              </w:rPr>
            </w:pPr>
          </w:p>
          <w:p w14:paraId="4155D3FD">
            <w:pPr>
              <w:snapToGrid w:val="0"/>
              <w:spacing w:line="360" w:lineRule="auto"/>
              <w:jc w:val="center"/>
              <w:rPr>
                <w:rFonts w:ascii="宋体" w:hAnsi="宋体" w:cs="宋体"/>
                <w:color w:val="auto"/>
                <w:sz w:val="24"/>
              </w:rPr>
            </w:pPr>
          </w:p>
          <w:p w14:paraId="3656FF86">
            <w:pPr>
              <w:snapToGrid w:val="0"/>
              <w:spacing w:line="360" w:lineRule="auto"/>
              <w:jc w:val="center"/>
              <w:rPr>
                <w:rFonts w:ascii="宋体" w:hAnsi="宋体" w:cs="宋体"/>
                <w:color w:val="auto"/>
                <w:sz w:val="24"/>
              </w:rPr>
            </w:pPr>
          </w:p>
          <w:p w14:paraId="0FA136E4">
            <w:pPr>
              <w:snapToGrid w:val="0"/>
              <w:spacing w:line="360" w:lineRule="auto"/>
              <w:jc w:val="center"/>
              <w:rPr>
                <w:rFonts w:ascii="宋体" w:hAnsi="宋体" w:cs="宋体"/>
                <w:color w:val="auto"/>
                <w:sz w:val="24"/>
              </w:rPr>
            </w:pPr>
          </w:p>
          <w:p w14:paraId="5D209343">
            <w:pPr>
              <w:snapToGrid w:val="0"/>
              <w:spacing w:line="360" w:lineRule="auto"/>
              <w:jc w:val="center"/>
              <w:rPr>
                <w:rFonts w:ascii="宋体" w:hAnsi="宋体" w:cs="宋体"/>
                <w:color w:val="auto"/>
                <w:sz w:val="24"/>
              </w:rPr>
            </w:pPr>
          </w:p>
          <w:p w14:paraId="2F9514CB">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31AC201">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7FB82E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p>
          <w:p w14:paraId="3D809F95">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26E2BE70">
            <w:pPr>
              <w:keepNext w:val="0"/>
              <w:keepLines w:val="0"/>
              <w:pageBreakBefore w:val="0"/>
              <w:widowControl w:val="0"/>
              <w:kinsoku/>
              <w:wordWrap/>
              <w:overflowPunct/>
              <w:topLinePunct w:val="0"/>
              <w:autoSpaceDE/>
              <w:autoSpaceDN/>
              <w:bidi w:val="0"/>
              <w:adjustRightInd w:val="0"/>
              <w:snapToGrid w:val="0"/>
              <w:spacing w:line="440" w:lineRule="exact"/>
              <w:ind w:firstLine="241" w:firstLineChars="100"/>
              <w:jc w:val="left"/>
              <w:textAlignment w:val="auto"/>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13C587B9">
            <w:pPr>
              <w:keepNext w:val="0"/>
              <w:keepLines w:val="0"/>
              <w:pageBreakBefore w:val="0"/>
              <w:widowControl w:val="0"/>
              <w:kinsoku/>
              <w:wordWrap/>
              <w:overflowPunct/>
              <w:topLinePunct w:val="0"/>
              <w:autoSpaceDE/>
              <w:autoSpaceDN/>
              <w:bidi w:val="0"/>
              <w:adjustRightInd w:val="0"/>
              <w:snapToGrid w:val="0"/>
              <w:spacing w:line="440" w:lineRule="exact"/>
              <w:ind w:firstLine="241" w:firstLineChars="100"/>
              <w:jc w:val="left"/>
              <w:textAlignment w:val="auto"/>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5F632624">
            <w:pPr>
              <w:keepNext w:val="0"/>
              <w:keepLines w:val="0"/>
              <w:pageBreakBefore w:val="0"/>
              <w:widowControl w:val="0"/>
              <w:kinsoku/>
              <w:wordWrap/>
              <w:overflowPunct/>
              <w:topLinePunct w:val="0"/>
              <w:autoSpaceDE/>
              <w:autoSpaceDN/>
              <w:bidi w:val="0"/>
              <w:adjustRightInd w:val="0"/>
              <w:spacing w:line="440" w:lineRule="exact"/>
              <w:ind w:firstLine="241" w:firstLineChars="100"/>
              <w:textAlignment w:val="auto"/>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492721B4">
            <w:pPr>
              <w:keepNext w:val="0"/>
              <w:keepLines w:val="0"/>
              <w:pageBreakBefore w:val="0"/>
              <w:widowControl w:val="0"/>
              <w:kinsoku/>
              <w:wordWrap/>
              <w:overflowPunct/>
              <w:topLinePunct w:val="0"/>
              <w:autoSpaceDE/>
              <w:autoSpaceDN/>
              <w:bidi w:val="0"/>
              <w:adjustRightInd w:val="0"/>
              <w:spacing w:line="440" w:lineRule="exact"/>
              <w:ind w:firstLine="241" w:firstLineChars="100"/>
              <w:textAlignment w:val="auto"/>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1B2FB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31" w:hRule="atLeast"/>
          <w:tblHeader/>
        </w:trPr>
        <w:tc>
          <w:tcPr>
            <w:tcW w:w="629" w:type="dxa"/>
            <w:tcBorders>
              <w:top w:val="single" w:color="auto" w:sz="4" w:space="0"/>
              <w:left w:val="single" w:color="000000" w:sz="8" w:space="0"/>
              <w:right w:val="single" w:color="000000" w:sz="2" w:space="0"/>
            </w:tcBorders>
          </w:tcPr>
          <w:p w14:paraId="3281625A">
            <w:pPr>
              <w:snapToGrid w:val="0"/>
              <w:spacing w:line="360" w:lineRule="auto"/>
              <w:jc w:val="center"/>
              <w:rPr>
                <w:rFonts w:ascii="宋体" w:hAnsi="宋体" w:cs="宋体"/>
                <w:color w:val="auto"/>
                <w:sz w:val="24"/>
              </w:rPr>
            </w:pPr>
          </w:p>
          <w:p w14:paraId="5A039227">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5CEE222D">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1C02B62B">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宋体" w:hAnsi="宋体" w:cs="宋体"/>
                <w:color w:val="auto"/>
                <w:sz w:val="24"/>
              </w:rPr>
            </w:pPr>
            <w:r>
              <w:rPr>
                <w:rFonts w:hint="eastAsia" w:ascii="宋体" w:hAnsi="宋体" w:cs="宋体"/>
                <w:snapToGrid w:val="0"/>
                <w:color w:val="auto"/>
                <w:kern w:val="28"/>
                <w:sz w:val="24"/>
                <w:lang w:eastAsia="zh-CN"/>
              </w:rPr>
              <w:t>投标人</w:t>
            </w:r>
            <w:r>
              <w:rPr>
                <w:rFonts w:hint="eastAsia" w:ascii="宋体" w:hAnsi="宋体" w:cs="宋体"/>
                <w:snapToGrid w:val="0"/>
                <w:color w:val="auto"/>
                <w:kern w:val="28"/>
                <w:sz w:val="24"/>
              </w:rPr>
              <w:t>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1C33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394F37">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50D72488">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07C71240">
            <w:pPr>
              <w:keepNext w:val="0"/>
              <w:keepLines w:val="0"/>
              <w:pageBreakBefore w:val="0"/>
              <w:widowControl w:val="0"/>
              <w:kinsoku/>
              <w:wordWrap/>
              <w:overflowPunct/>
              <w:topLinePunct w:val="0"/>
              <w:autoSpaceDE/>
              <w:autoSpaceDN/>
              <w:bidi w:val="0"/>
              <w:adjustRightInd w:val="0"/>
              <w:spacing w:line="440" w:lineRule="exact"/>
              <w:jc w:val="both"/>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（1）</w:t>
            </w:r>
            <w:r>
              <w:rPr>
                <w:rFonts w:hint="eastAsia" w:ascii="宋体" w:hAnsi="宋体" w:eastAsia="宋体" w:cs="宋体"/>
                <w:snapToGrid w:val="0"/>
                <w:color w:val="auto"/>
                <w:kern w:val="2"/>
                <w:sz w:val="24"/>
                <w:szCs w:val="24"/>
                <w:highlight w:val="none"/>
                <w:lang w:val="en-US" w:eastAsia="zh-CN" w:bidi="ar-SA"/>
              </w:rPr>
              <w:t>直接提交备份投标文件的：</w:t>
            </w:r>
          </w:p>
          <w:p w14:paraId="25C91ABC">
            <w:pPr>
              <w:keepNext w:val="0"/>
              <w:keepLines w:val="0"/>
              <w:pageBreakBefore w:val="0"/>
              <w:widowControl w:val="0"/>
              <w:kinsoku/>
              <w:wordWrap/>
              <w:overflowPunct/>
              <w:topLinePunct w:val="0"/>
              <w:autoSpaceDE/>
              <w:autoSpaceDN/>
              <w:bidi w:val="0"/>
              <w:adjustRightInd w:val="0"/>
              <w:spacing w:line="440" w:lineRule="exact"/>
              <w:jc w:val="both"/>
              <w:textAlignment w:val="auto"/>
              <w:rPr>
                <w:rFonts w:hint="default"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备份投标文件送达地点：</w:t>
            </w:r>
            <w:r>
              <w:rPr>
                <w:rFonts w:hint="eastAsia" w:ascii="宋体" w:hAnsi="宋体" w:cs="宋体"/>
                <w:snapToGrid w:val="0"/>
                <w:color w:val="auto"/>
                <w:kern w:val="28"/>
                <w:sz w:val="24"/>
                <w:szCs w:val="24"/>
                <w:highlight w:val="none"/>
                <w:u w:val="single"/>
                <w:lang w:val="en-US" w:eastAsia="zh-CN" w:bidi="ar-SA"/>
              </w:rPr>
              <w:t>宁海县公共资源交易中心五楼</w:t>
            </w:r>
            <w:r>
              <w:rPr>
                <w:rFonts w:hint="eastAsia" w:ascii="宋体" w:hAnsi="宋体" w:eastAsia="宋体" w:cs="宋体"/>
                <w:snapToGrid w:val="0"/>
                <w:color w:val="auto"/>
                <w:kern w:val="28"/>
                <w:sz w:val="24"/>
                <w:szCs w:val="24"/>
                <w:highlight w:val="none"/>
                <w:u w:val="single"/>
                <w:lang w:val="en-US" w:eastAsia="zh-CN" w:bidi="ar-SA"/>
              </w:rPr>
              <w:t>【具体受理场所详见当日</w:t>
            </w:r>
            <w:r>
              <w:rPr>
                <w:rFonts w:hint="eastAsia" w:ascii="宋体" w:hAnsi="宋体" w:cs="宋体"/>
                <w:snapToGrid w:val="0"/>
                <w:color w:val="auto"/>
                <w:kern w:val="28"/>
                <w:sz w:val="24"/>
                <w:szCs w:val="24"/>
                <w:highlight w:val="none"/>
                <w:u w:val="single"/>
                <w:lang w:val="en-US" w:eastAsia="zh-CN" w:bidi="ar-SA"/>
              </w:rPr>
              <w:t>电子显示屏</w:t>
            </w:r>
            <w:r>
              <w:rPr>
                <w:rFonts w:hint="eastAsia" w:ascii="宋体" w:hAnsi="宋体" w:eastAsia="宋体" w:cs="宋体"/>
                <w:snapToGrid w:val="0"/>
                <w:color w:val="auto"/>
                <w:kern w:val="28"/>
                <w:sz w:val="24"/>
                <w:szCs w:val="24"/>
                <w:highlight w:val="none"/>
                <w:u w:val="single"/>
                <w:lang w:val="en-US" w:eastAsia="zh-CN" w:bidi="ar-SA"/>
              </w:rPr>
              <w:t>】。</w:t>
            </w:r>
          </w:p>
          <w:p w14:paraId="4256C39B">
            <w:pPr>
              <w:keepNext w:val="0"/>
              <w:keepLines w:val="0"/>
              <w:pageBreakBefore w:val="0"/>
              <w:widowControl w:val="0"/>
              <w:kinsoku/>
              <w:wordWrap/>
              <w:overflowPunct/>
              <w:topLinePunct w:val="0"/>
              <w:autoSpaceDE/>
              <w:autoSpaceDN/>
              <w:bidi w:val="0"/>
              <w:adjustRightInd w:val="0"/>
              <w:spacing w:line="440" w:lineRule="exact"/>
              <w:jc w:val="both"/>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（2）</w:t>
            </w:r>
            <w:r>
              <w:rPr>
                <w:rFonts w:hint="eastAsia" w:ascii="宋体" w:hAnsi="宋体" w:eastAsia="宋体" w:cs="宋体"/>
                <w:snapToGrid w:val="0"/>
                <w:color w:val="auto"/>
                <w:kern w:val="2"/>
                <w:sz w:val="24"/>
                <w:szCs w:val="24"/>
                <w:highlight w:val="none"/>
                <w:lang w:val="en-US" w:eastAsia="zh-CN" w:bidi="ar-SA"/>
              </w:rPr>
              <w:t>以邮政快递方式递交备份投标文件的：</w:t>
            </w:r>
          </w:p>
          <w:p w14:paraId="43C32D87">
            <w:pPr>
              <w:keepNext w:val="0"/>
              <w:keepLines w:val="0"/>
              <w:pageBreakBefore w:val="0"/>
              <w:widowControl w:val="0"/>
              <w:kinsoku/>
              <w:wordWrap/>
              <w:overflowPunct/>
              <w:topLinePunct w:val="0"/>
              <w:autoSpaceDE/>
              <w:autoSpaceDN/>
              <w:bidi w:val="0"/>
              <w:adjustRightInd w:val="0"/>
              <w:spacing w:line="440" w:lineRule="exact"/>
              <w:jc w:val="both"/>
              <w:textAlignment w:val="auto"/>
              <w:rPr>
                <w:rFonts w:hint="default"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备份投标文件送达</w:t>
            </w:r>
            <w:r>
              <w:rPr>
                <w:rFonts w:hint="eastAsia" w:ascii="宋体" w:hAnsi="宋体" w:eastAsia="宋体" w:cs="宋体"/>
                <w:snapToGrid w:val="0"/>
                <w:color w:val="auto"/>
                <w:kern w:val="2"/>
                <w:sz w:val="24"/>
                <w:szCs w:val="24"/>
                <w:highlight w:val="none"/>
                <w:lang w:val="en-US" w:eastAsia="zh-CN" w:bidi="ar-SA"/>
              </w:rPr>
              <w:t>截止时间：</w:t>
            </w:r>
            <w:r>
              <w:rPr>
                <w:rFonts w:hint="eastAsia" w:ascii="宋体" w:hAnsi="宋体" w:eastAsia="宋体" w:cs="宋体"/>
                <w:snapToGrid w:val="0"/>
                <w:color w:val="auto"/>
                <w:kern w:val="2"/>
                <w:sz w:val="24"/>
                <w:szCs w:val="24"/>
                <w:highlight w:val="none"/>
                <w:u w:val="single"/>
                <w:lang w:val="en-US" w:eastAsia="zh-CN" w:bidi="ar-SA"/>
              </w:rPr>
              <w:t>开标</w:t>
            </w:r>
            <w:r>
              <w:rPr>
                <w:rFonts w:hint="eastAsia" w:ascii="宋体" w:hAnsi="宋体" w:cs="宋体"/>
                <w:snapToGrid w:val="0"/>
                <w:color w:val="auto"/>
                <w:kern w:val="2"/>
                <w:sz w:val="24"/>
                <w:szCs w:val="24"/>
                <w:highlight w:val="none"/>
                <w:u w:val="single"/>
                <w:lang w:val="en-US" w:eastAsia="zh-CN" w:bidi="ar-SA"/>
              </w:rPr>
              <w:t>时间前一个工作日的</w:t>
            </w:r>
            <w:r>
              <w:rPr>
                <w:rFonts w:hint="eastAsia" w:ascii="宋体" w:hAnsi="宋体" w:eastAsia="宋体" w:cs="宋体"/>
                <w:snapToGrid w:val="0"/>
                <w:color w:val="auto"/>
                <w:kern w:val="2"/>
                <w:sz w:val="24"/>
                <w:szCs w:val="24"/>
                <w:highlight w:val="none"/>
                <w:u w:val="single"/>
                <w:lang w:val="en-US" w:eastAsia="zh-CN" w:bidi="ar-SA"/>
              </w:rPr>
              <w:t>16:00止。</w:t>
            </w:r>
          </w:p>
          <w:p w14:paraId="2440C6CD">
            <w:pPr>
              <w:pStyle w:val="33"/>
              <w:keepNext w:val="0"/>
              <w:keepLines w:val="0"/>
              <w:pageBreakBefore w:val="0"/>
              <w:widowControl w:val="0"/>
              <w:kinsoku/>
              <w:wordWrap/>
              <w:overflowPunct/>
              <w:topLinePunct w:val="0"/>
              <w:autoSpaceDE/>
              <w:autoSpaceDN/>
              <w:bidi w:val="0"/>
              <w:adjustRightInd w:val="0"/>
              <w:spacing w:line="440" w:lineRule="exact"/>
              <w:textAlignment w:val="auto"/>
              <w:rPr>
                <w:rFonts w:hint="eastAsia" w:hAnsi="宋体" w:cs="宋体"/>
                <w:color w:val="auto"/>
                <w:kern w:val="28"/>
                <w:sz w:val="24"/>
                <w:szCs w:val="24"/>
              </w:rPr>
            </w:pPr>
            <w:r>
              <w:rPr>
                <w:rFonts w:hint="eastAsia" w:ascii="宋体" w:hAnsi="宋体" w:eastAsia="宋体" w:cs="宋体"/>
                <w:snapToGrid w:val="0"/>
                <w:color w:val="auto"/>
                <w:kern w:val="28"/>
                <w:sz w:val="24"/>
                <w:szCs w:val="24"/>
                <w:highlight w:val="none"/>
                <w:lang w:val="en-US" w:eastAsia="zh-CN" w:bidi="ar-SA"/>
              </w:rPr>
              <w:t>备份投标文件送达地点：</w:t>
            </w:r>
            <w:r>
              <w:rPr>
                <w:rFonts w:hint="eastAsia" w:ascii="宋体" w:hAnsi="宋体" w:eastAsia="宋体" w:cs="宋体"/>
                <w:snapToGrid w:val="0"/>
                <w:color w:val="auto"/>
                <w:kern w:val="2"/>
                <w:sz w:val="24"/>
                <w:szCs w:val="21"/>
                <w:highlight w:val="none"/>
                <w:u w:val="single"/>
                <w:lang w:val="en-US" w:eastAsia="zh-CN" w:bidi="ar-SA"/>
              </w:rPr>
              <w:t xml:space="preserve"> </w:t>
            </w:r>
            <w:r>
              <w:rPr>
                <w:rFonts w:hint="eastAsia" w:hAnsi="宋体" w:cs="宋体"/>
                <w:snapToGrid w:val="0"/>
                <w:color w:val="auto"/>
                <w:kern w:val="2"/>
                <w:sz w:val="24"/>
                <w:szCs w:val="21"/>
                <w:highlight w:val="none"/>
                <w:u w:val="single"/>
                <w:lang w:val="en-US" w:eastAsia="zh-CN" w:bidi="ar-SA"/>
              </w:rPr>
              <w:t>宁海县紫园大厦13楼 </w:t>
            </w:r>
            <w:r>
              <w:rPr>
                <w:rFonts w:hint="eastAsia" w:ascii="宋体" w:hAnsi="宋体" w:eastAsia="宋体" w:cs="宋体"/>
                <w:snapToGrid w:val="0"/>
                <w:color w:val="auto"/>
                <w:kern w:val="2"/>
                <w:sz w:val="24"/>
                <w:szCs w:val="21"/>
                <w:highlight w:val="none"/>
                <w:u w:val="single"/>
                <w:lang w:val="en-US" w:eastAsia="zh-CN" w:bidi="ar-SA"/>
              </w:rPr>
              <w:t xml:space="preserve"> </w:t>
            </w:r>
            <w:r>
              <w:rPr>
                <w:rFonts w:hint="eastAsia" w:ascii="宋体" w:hAnsi="宋体" w:eastAsia="宋体" w:cs="宋体"/>
                <w:snapToGrid w:val="0"/>
                <w:color w:val="auto"/>
                <w:kern w:val="28"/>
                <w:sz w:val="24"/>
                <w:szCs w:val="24"/>
                <w:highlight w:val="none"/>
                <w:lang w:val="en-US" w:eastAsia="zh-CN" w:bidi="ar-SA"/>
              </w:rPr>
              <w:t>；备份投标文件签收人员联系电话：</w:t>
            </w:r>
            <w:r>
              <w:rPr>
                <w:rFonts w:hint="eastAsia" w:ascii="宋体" w:hAnsi="宋体" w:eastAsia="宋体" w:cs="宋体"/>
                <w:snapToGrid w:val="0"/>
                <w:color w:val="auto"/>
                <w:kern w:val="2"/>
                <w:sz w:val="24"/>
                <w:szCs w:val="21"/>
                <w:highlight w:val="none"/>
                <w:u w:val="single"/>
                <w:lang w:val="en-US" w:eastAsia="zh-CN" w:bidi="ar-SA"/>
              </w:rPr>
              <w:t xml:space="preserve"> </w:t>
            </w:r>
            <w:r>
              <w:rPr>
                <w:rFonts w:hint="eastAsia" w:hAnsi="宋体" w:cs="宋体"/>
                <w:snapToGrid w:val="0"/>
                <w:color w:val="auto"/>
                <w:kern w:val="2"/>
                <w:sz w:val="24"/>
                <w:szCs w:val="21"/>
                <w:highlight w:val="none"/>
                <w:u w:val="single"/>
                <w:lang w:val="en-US" w:eastAsia="zh-CN" w:bidi="ar-SA"/>
              </w:rPr>
              <w:t>18758356336</w:t>
            </w:r>
            <w:r>
              <w:rPr>
                <w:rFonts w:hint="eastAsia" w:ascii="宋体" w:hAnsi="宋体" w:eastAsia="宋体" w:cs="宋体"/>
                <w:snapToGrid w:val="0"/>
                <w:color w:val="auto"/>
                <w:kern w:val="2"/>
                <w:sz w:val="24"/>
                <w:szCs w:val="21"/>
                <w:highlight w:val="none"/>
                <w:u w:val="single"/>
                <w:lang w:val="en-US" w:eastAsia="zh-CN" w:bidi="ar-SA"/>
              </w:rPr>
              <w:t xml:space="preserve"> </w:t>
            </w:r>
            <w:r>
              <w:rPr>
                <w:rFonts w:hint="eastAsia" w:ascii="宋体" w:hAnsi="宋体" w:eastAsia="宋体" w:cs="宋体"/>
                <w:snapToGrid w:val="0"/>
                <w:color w:val="auto"/>
                <w:kern w:val="2"/>
                <w:sz w:val="24"/>
                <w:szCs w:val="24"/>
                <w:highlight w:val="none"/>
                <w:lang w:val="en-US" w:eastAsia="zh-CN" w:bidi="ar-SA"/>
              </w:rPr>
              <w:t>。</w:t>
            </w:r>
          </w:p>
          <w:p w14:paraId="145020F7">
            <w:pPr>
              <w:pStyle w:val="33"/>
              <w:keepNext w:val="0"/>
              <w:keepLines w:val="0"/>
              <w:pageBreakBefore w:val="0"/>
              <w:widowControl w:val="0"/>
              <w:kinsoku/>
              <w:wordWrap/>
              <w:overflowPunct/>
              <w:topLinePunct w:val="0"/>
              <w:autoSpaceDE/>
              <w:autoSpaceDN/>
              <w:bidi w:val="0"/>
              <w:adjustRightInd w:val="0"/>
              <w:spacing w:line="440" w:lineRule="exact"/>
              <w:textAlignment w:val="auto"/>
              <w:rPr>
                <w:rFonts w:hAnsi="宋体" w:cs="宋体"/>
                <w:color w:val="auto"/>
                <w:kern w:val="28"/>
                <w:sz w:val="24"/>
              </w:rPr>
            </w:pP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14:paraId="0E616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5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98AFA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cs="宋体"/>
                <w:color w:val="auto"/>
                <w:sz w:val="24"/>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w:t>
            </w:r>
          </w:p>
        </w:tc>
        <w:tc>
          <w:tcPr>
            <w:tcW w:w="1843" w:type="dxa"/>
            <w:tcBorders>
              <w:top w:val="single" w:color="auto" w:sz="4" w:space="0"/>
              <w:left w:val="single" w:color="auto" w:sz="4" w:space="0"/>
              <w:bottom w:val="single" w:color="auto" w:sz="4" w:space="0"/>
              <w:right w:val="single" w:color="auto" w:sz="4" w:space="0"/>
            </w:tcBorders>
            <w:vAlign w:val="center"/>
          </w:tcPr>
          <w:p w14:paraId="1A96C46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cs="宋体"/>
                <w:b/>
                <w:color w:val="auto"/>
                <w:sz w:val="24"/>
              </w:rPr>
            </w:pPr>
            <w:r>
              <w:rPr>
                <w:rFonts w:hint="eastAsia" w:cs="仿宋_GB2312" w:asciiTheme="minorEastAsia" w:hAnsiTheme="minorEastAsia" w:eastAsiaTheme="minorEastAsia"/>
                <w:b/>
                <w:color w:val="auto"/>
                <w:sz w:val="24"/>
              </w:rPr>
              <w:t>招标代理服务费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22DA2FEE">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lang w:val="en-US" w:eastAsia="zh-CN"/>
              </w:rPr>
              <w:t>1、</w:t>
            </w:r>
            <w:r>
              <w:rPr>
                <w:rFonts w:hint="eastAsia" w:ascii="宋体" w:hAnsi="宋体" w:eastAsia="宋体" w:cs="宋体"/>
                <w:snapToGrid w:val="0"/>
                <w:color w:val="auto"/>
                <w:kern w:val="28"/>
                <w:sz w:val="24"/>
              </w:rPr>
              <w:t>浙江天诚工程咨询有限公司（本项目采购代理机构）向中标人收取壹万</w:t>
            </w:r>
            <w:r>
              <w:rPr>
                <w:rFonts w:hint="eastAsia" w:ascii="宋体" w:hAnsi="宋体" w:cs="宋体"/>
                <w:snapToGrid w:val="0"/>
                <w:color w:val="auto"/>
                <w:kern w:val="28"/>
                <w:sz w:val="24"/>
                <w:lang w:val="en-US" w:eastAsia="zh-CN"/>
              </w:rPr>
              <w:t>柒</w:t>
            </w:r>
            <w:r>
              <w:rPr>
                <w:rFonts w:hint="eastAsia" w:ascii="宋体" w:hAnsi="宋体" w:eastAsia="宋体" w:cs="宋体"/>
                <w:snapToGrid w:val="0"/>
                <w:color w:val="auto"/>
                <w:kern w:val="28"/>
                <w:sz w:val="24"/>
              </w:rPr>
              <w:t>仟元整招标代理服务费。该费用须中标人在领取中标通知书前一次性支付给招标代理人。</w:t>
            </w:r>
          </w:p>
          <w:p w14:paraId="4977F73F">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2、招标代理服务费</w:t>
            </w:r>
            <w:r>
              <w:rPr>
                <w:rFonts w:hint="eastAsia" w:ascii="宋体" w:hAnsi="宋体" w:eastAsia="宋体" w:cs="宋体"/>
                <w:snapToGrid w:val="0"/>
                <w:color w:val="auto"/>
                <w:kern w:val="28"/>
                <w:sz w:val="24"/>
                <w:lang w:eastAsia="zh-CN"/>
              </w:rPr>
              <w:t>汇入以下账户</w:t>
            </w:r>
          </w:p>
          <w:p w14:paraId="2C0F4995">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宋体" w:hAnsi="宋体" w:eastAsia="宋体" w:cs="宋体"/>
                <w:snapToGrid w:val="0"/>
                <w:color w:val="auto"/>
                <w:kern w:val="28"/>
                <w:sz w:val="24"/>
                <w:lang w:eastAsia="zh-CN"/>
              </w:rPr>
            </w:pPr>
            <w:r>
              <w:rPr>
                <w:rFonts w:hint="eastAsia" w:ascii="宋体" w:hAnsi="宋体" w:eastAsia="宋体" w:cs="宋体"/>
                <w:snapToGrid w:val="0"/>
                <w:color w:val="auto"/>
                <w:kern w:val="28"/>
                <w:sz w:val="24"/>
              </w:rPr>
              <w:t>户名：</w:t>
            </w:r>
            <w:r>
              <w:rPr>
                <w:rFonts w:hint="eastAsia" w:ascii="宋体" w:hAnsi="宋体" w:cs="宋体"/>
                <w:snapToGrid w:val="0"/>
                <w:color w:val="auto"/>
                <w:kern w:val="28"/>
                <w:sz w:val="24"/>
                <w:lang w:eastAsia="zh-CN"/>
              </w:rPr>
              <w:t>浙江天诚工程咨询有限公司宁海分公司</w:t>
            </w:r>
          </w:p>
          <w:p w14:paraId="10862B2C">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开户行：</w:t>
            </w:r>
            <w:r>
              <w:rPr>
                <w:rFonts w:hint="eastAsia" w:ascii="宋体" w:hAnsi="宋体" w:cs="宋体"/>
                <w:snapToGrid w:val="0"/>
                <w:color w:val="auto"/>
                <w:kern w:val="28"/>
                <w:sz w:val="24"/>
                <w:lang w:eastAsia="zh-CN"/>
              </w:rPr>
              <w:t>宁波银行宁海支行</w:t>
            </w:r>
            <w:r>
              <w:rPr>
                <w:rFonts w:hint="eastAsia" w:ascii="宋体" w:hAnsi="宋体" w:eastAsia="宋体" w:cs="宋体"/>
                <w:snapToGrid w:val="0"/>
                <w:color w:val="auto"/>
                <w:kern w:val="28"/>
                <w:sz w:val="24"/>
              </w:rPr>
              <w:t xml:space="preserve">    </w:t>
            </w:r>
          </w:p>
          <w:p w14:paraId="172BF675">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eastAsia="宋体" w:cs="Arial" w:asciiTheme="minorEastAsia" w:hAnsiTheme="minorEastAsia"/>
                <w:color w:val="auto"/>
                <w:kern w:val="0"/>
                <w:sz w:val="24"/>
                <w:lang w:eastAsia="zh-CN"/>
              </w:rPr>
            </w:pPr>
            <w:r>
              <w:rPr>
                <w:rFonts w:hint="eastAsia" w:ascii="宋体" w:hAnsi="宋体" w:eastAsia="宋体" w:cs="宋体"/>
                <w:snapToGrid w:val="0"/>
                <w:color w:val="auto"/>
                <w:kern w:val="28"/>
                <w:sz w:val="24"/>
              </w:rPr>
              <w:t>账户：</w:t>
            </w:r>
            <w:r>
              <w:rPr>
                <w:rFonts w:hint="eastAsia" w:ascii="宋体" w:hAnsi="宋体" w:cs="宋体"/>
                <w:snapToGrid w:val="0"/>
                <w:color w:val="auto"/>
                <w:kern w:val="28"/>
                <w:sz w:val="24"/>
                <w:lang w:eastAsia="zh-CN"/>
              </w:rPr>
              <w:t>60010122000294791</w:t>
            </w:r>
          </w:p>
        </w:tc>
      </w:tr>
    </w:tbl>
    <w:p w14:paraId="6EA00810">
      <w:pPr>
        <w:snapToGrid w:val="0"/>
        <w:spacing w:line="360" w:lineRule="auto"/>
        <w:jc w:val="center"/>
        <w:rPr>
          <w:rFonts w:ascii="宋体" w:hAnsi="宋体" w:cs="宋体"/>
          <w:b/>
          <w:color w:val="auto"/>
          <w:sz w:val="32"/>
          <w:szCs w:val="20"/>
        </w:rPr>
      </w:pPr>
    </w:p>
    <w:p w14:paraId="72F58DAE">
      <w:pPr>
        <w:pStyle w:val="3"/>
        <w:rPr>
          <w:rFonts w:ascii="宋体" w:hAnsi="宋体" w:cs="宋体"/>
          <w:b/>
          <w:color w:val="auto"/>
          <w:sz w:val="32"/>
          <w:szCs w:val="20"/>
        </w:rPr>
      </w:pPr>
    </w:p>
    <w:p w14:paraId="2965A985">
      <w:pPr>
        <w:pStyle w:val="5"/>
        <w:rPr>
          <w:rFonts w:ascii="宋体" w:hAnsi="宋体" w:cs="宋体"/>
          <w:b/>
          <w:color w:val="auto"/>
          <w:sz w:val="32"/>
          <w:szCs w:val="20"/>
        </w:rPr>
      </w:pPr>
    </w:p>
    <w:p w14:paraId="2101A440">
      <w:pPr>
        <w:pStyle w:val="5"/>
        <w:ind w:left="0" w:leftChars="0" w:firstLine="0" w:firstLineChars="0"/>
        <w:rPr>
          <w:rFonts w:ascii="宋体" w:hAnsi="宋体" w:cs="宋体"/>
          <w:b/>
          <w:color w:val="auto"/>
          <w:sz w:val="32"/>
          <w:szCs w:val="20"/>
        </w:rPr>
      </w:pPr>
    </w:p>
    <w:p w14:paraId="565AD4B5">
      <w:pPr>
        <w:pStyle w:val="5"/>
        <w:ind w:left="0" w:leftChars="0" w:firstLine="0" w:firstLineChars="0"/>
        <w:rPr>
          <w:rFonts w:ascii="宋体" w:hAnsi="宋体" w:cs="宋体"/>
          <w:b/>
          <w:color w:val="auto"/>
          <w:sz w:val="32"/>
          <w:szCs w:val="20"/>
        </w:rPr>
      </w:pPr>
    </w:p>
    <w:p w14:paraId="6829317B">
      <w:pPr>
        <w:pStyle w:val="5"/>
        <w:ind w:left="0" w:leftChars="0" w:firstLine="0" w:firstLineChars="0"/>
        <w:rPr>
          <w:rFonts w:ascii="宋体" w:hAnsi="宋体" w:cs="宋体"/>
          <w:b/>
          <w:color w:val="auto"/>
          <w:sz w:val="32"/>
          <w:szCs w:val="20"/>
        </w:rPr>
      </w:pPr>
    </w:p>
    <w:p w14:paraId="0C8A93B7">
      <w:pPr>
        <w:pStyle w:val="5"/>
        <w:ind w:left="0" w:leftChars="0" w:firstLine="0" w:firstLineChars="0"/>
        <w:rPr>
          <w:rFonts w:ascii="宋体" w:hAnsi="宋体" w:cs="宋体"/>
          <w:b/>
          <w:color w:val="auto"/>
          <w:sz w:val="32"/>
          <w:szCs w:val="20"/>
        </w:rPr>
      </w:pPr>
    </w:p>
    <w:p w14:paraId="3A296B5F">
      <w:pPr>
        <w:pStyle w:val="5"/>
        <w:ind w:left="0" w:leftChars="0" w:firstLine="0" w:firstLineChars="0"/>
        <w:rPr>
          <w:rFonts w:ascii="宋体" w:hAnsi="宋体" w:cs="宋体"/>
          <w:b/>
          <w:color w:val="auto"/>
          <w:sz w:val="32"/>
          <w:szCs w:val="20"/>
        </w:rPr>
      </w:pPr>
    </w:p>
    <w:p w14:paraId="1709A7A1">
      <w:pPr>
        <w:pStyle w:val="5"/>
        <w:ind w:left="0" w:leftChars="0" w:firstLine="0" w:firstLineChars="0"/>
        <w:rPr>
          <w:rFonts w:ascii="宋体" w:hAnsi="宋体" w:cs="宋体"/>
          <w:b/>
          <w:color w:val="auto"/>
          <w:sz w:val="32"/>
          <w:szCs w:val="20"/>
        </w:rPr>
      </w:pPr>
    </w:p>
    <w:p w14:paraId="664C978A">
      <w:pPr>
        <w:pStyle w:val="5"/>
        <w:ind w:left="0" w:leftChars="0" w:firstLine="0" w:firstLineChars="0"/>
        <w:rPr>
          <w:rFonts w:hint="default" w:ascii="宋体" w:hAnsi="宋体" w:eastAsia="宋体" w:cs="宋体"/>
          <w:b/>
          <w:color w:val="auto"/>
          <w:sz w:val="32"/>
          <w:szCs w:val="20"/>
          <w:lang w:val="en-US" w:eastAsia="zh-CN"/>
        </w:rPr>
      </w:pPr>
    </w:p>
    <w:p w14:paraId="6D3A2E2A">
      <w:pPr>
        <w:pStyle w:val="5"/>
        <w:ind w:left="0" w:leftChars="0" w:firstLine="0" w:firstLineChars="0"/>
        <w:rPr>
          <w:rFonts w:hint="default" w:ascii="宋体" w:hAnsi="宋体" w:eastAsia="宋体" w:cs="宋体"/>
          <w:b/>
          <w:color w:val="auto"/>
          <w:sz w:val="32"/>
          <w:szCs w:val="20"/>
          <w:lang w:val="en-US" w:eastAsia="zh-CN"/>
        </w:rPr>
      </w:pPr>
    </w:p>
    <w:bookmarkEnd w:id="8"/>
    <w:p w14:paraId="59F15702">
      <w:pPr>
        <w:adjustRightInd/>
        <w:spacing w:line="360" w:lineRule="auto"/>
        <w:ind w:firstLine="3845" w:firstLineChars="1197"/>
        <w:outlineLvl w:val="0"/>
        <w:rPr>
          <w:rFonts w:ascii="宋体" w:hAnsi="宋体" w:cs="宋体"/>
          <w:b/>
          <w:color w:val="auto"/>
          <w:sz w:val="32"/>
          <w:szCs w:val="20"/>
        </w:rPr>
      </w:pPr>
      <w:bookmarkStart w:id="16" w:name="_Toc164416483"/>
      <w:bookmarkStart w:id="17" w:name="第三部分"/>
      <w:r>
        <w:rPr>
          <w:rFonts w:hint="eastAsia" w:ascii="宋体" w:hAnsi="宋体" w:cs="宋体"/>
          <w:b/>
          <w:color w:val="auto"/>
          <w:sz w:val="32"/>
          <w:szCs w:val="20"/>
        </w:rPr>
        <w:t>一、总则</w:t>
      </w:r>
    </w:p>
    <w:p w14:paraId="4C263A5B">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5B6B58C2">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4838F05B">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2A07A69E">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59A0BF73">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3140E908">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41373E8C">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3E2DEF0D">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cs="宋体"/>
          <w:color w:val="auto"/>
          <w:sz w:val="24"/>
          <w:lang w:val="en-US" w:eastAsia="zh-CN"/>
        </w:rPr>
        <w:t>2</w:t>
      </w:r>
      <w:r>
        <w:rPr>
          <w:rFonts w:hint="eastAsia" w:ascii="宋体" w:hAnsi="宋体" w:cs="宋体"/>
          <w:color w:val="auto"/>
          <w:sz w:val="24"/>
        </w:rPr>
        <w:t>）。</w:t>
      </w:r>
    </w:p>
    <w:p w14:paraId="7D67CB2C">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4737127B">
      <w:pPr>
        <w:spacing w:line="360" w:lineRule="auto"/>
        <w:ind w:firstLine="480" w:firstLineChars="200"/>
        <w:rPr>
          <w:rFonts w:ascii="宋体" w:hAnsi="宋体" w:cs="宋体"/>
          <w:color w:val="auto"/>
          <w:sz w:val="24"/>
        </w:rPr>
      </w:pPr>
      <w:r>
        <w:rPr>
          <w:rFonts w:hint="eastAsia" w:ascii="宋体" w:hAnsi="宋体" w:cs="宋体"/>
          <w:color w:val="auto"/>
          <w:sz w:val="24"/>
        </w:rPr>
        <w:t>2.7 “</w:t>
      </w:r>
      <w:r>
        <w:rPr>
          <w:rFonts w:hint="eastAsia" w:ascii="宋体" w:hAnsi="宋体" w:cs="宋体"/>
          <w:color w:val="auto"/>
          <w:sz w:val="24"/>
          <w:lang w:eastAsia="zh-CN"/>
        </w:rPr>
        <w:t>★</w:t>
      </w:r>
      <w:r>
        <w:rPr>
          <w:rFonts w:hint="eastAsia" w:ascii="宋体" w:hAnsi="宋体" w:cs="宋体"/>
          <w:color w:val="auto"/>
          <w:sz w:val="24"/>
        </w:rPr>
        <w:t>” 系指实质性要求条款，“</w:t>
      </w:r>
      <w:r>
        <w:rPr>
          <w:rFonts w:hint="eastAsia" w:ascii="宋体" w:hAnsi="宋体" w:cs="宋体"/>
          <w:color w:val="auto"/>
        </w:rPr>
        <w:t>▲</w:t>
      </w:r>
      <w:r>
        <w:rPr>
          <w:rFonts w:hint="eastAsia" w:ascii="宋体" w:hAnsi="宋体" w:cs="宋体"/>
          <w:color w:val="auto"/>
          <w:sz w:val="24"/>
        </w:rPr>
        <w:t>” 系指</w:t>
      </w:r>
      <w:r>
        <w:rPr>
          <w:rFonts w:hint="eastAsia" w:ascii="宋体" w:hAnsi="宋体" w:cs="宋体"/>
          <w:color w:val="auto"/>
          <w:sz w:val="24"/>
          <w:lang w:val="en-US" w:eastAsia="zh-CN"/>
        </w:rPr>
        <w:t>重要参数</w:t>
      </w:r>
      <w:r>
        <w:rPr>
          <w:rFonts w:hint="eastAsia" w:ascii="宋体" w:hAnsi="宋体" w:cs="宋体"/>
          <w:color w:val="auto"/>
          <w:sz w:val="24"/>
        </w:rPr>
        <w:t>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6D14AF2B">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7CE38F9F">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w:t>
      </w:r>
      <w:r>
        <w:rPr>
          <w:rFonts w:hint="eastAsia" w:ascii="宋体" w:hAnsi="宋体" w:cs="宋体"/>
          <w:color w:val="auto"/>
          <w:kern w:val="0"/>
          <w:sz w:val="24"/>
          <w:lang w:eastAsia="zh-CN"/>
        </w:rPr>
        <w:t>投标人</w:t>
      </w:r>
      <w:r>
        <w:rPr>
          <w:rFonts w:hint="eastAsia" w:ascii="宋体" w:hAnsi="宋体" w:cs="宋体"/>
          <w:color w:val="auto"/>
          <w:kern w:val="0"/>
          <w:sz w:val="24"/>
        </w:rPr>
        <w:t>的进口产品</w:t>
      </w:r>
      <w:r>
        <w:rPr>
          <w:rFonts w:hint="eastAsia" w:ascii="宋体" w:hAnsi="宋体" w:cs="宋体"/>
          <w:color w:val="auto"/>
          <w:sz w:val="24"/>
        </w:rPr>
        <w:t>。</w:t>
      </w:r>
    </w:p>
    <w:p w14:paraId="1E207490">
      <w:pPr>
        <w:spacing w:line="360" w:lineRule="auto"/>
        <w:ind w:firstLine="240" w:firstLineChars="100"/>
        <w:rPr>
          <w:rFonts w:hint="eastAsia" w:ascii="宋体" w:hAnsi="宋体" w:cs="宋体"/>
          <w:color w:val="auto"/>
          <w:sz w:val="24"/>
        </w:rPr>
      </w:pPr>
      <w:r>
        <w:rPr>
          <w:rFonts w:hint="eastAsia" w:ascii="宋体" w:hAnsi="宋体" w:cs="宋体"/>
          <w:color w:val="auto"/>
          <w:sz w:val="24"/>
        </w:rPr>
        <w:t>3.2 支持绿色发展</w:t>
      </w:r>
    </w:p>
    <w:p w14:paraId="054BB5E7">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lang w:eastAsia="zh-CN"/>
        </w:rPr>
        <w:t>★</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6A1EAD19">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14:paraId="1268473A">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w:t>
      </w:r>
      <w:r>
        <w:rPr>
          <w:rFonts w:hint="eastAsia" w:ascii="宋体" w:hAnsi="宋体" w:cs="宋体"/>
          <w:color w:val="auto"/>
          <w:sz w:val="24"/>
          <w:lang w:eastAsia="zh-CN"/>
        </w:rPr>
        <w:t>投标人</w:t>
      </w:r>
      <w:r>
        <w:rPr>
          <w:rFonts w:hint="eastAsia" w:ascii="宋体" w:hAnsi="宋体" w:cs="宋体"/>
          <w:color w:val="auto"/>
          <w:sz w:val="24"/>
        </w:rPr>
        <w:t>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12C6CB7D">
      <w:pPr>
        <w:spacing w:line="360" w:lineRule="auto"/>
        <w:ind w:firstLine="480" w:firstLineChars="200"/>
        <w:rPr>
          <w:rFonts w:hint="eastAsia"/>
          <w:color w:val="auto"/>
          <w:lang w:eastAsia="zh-CN"/>
        </w:rPr>
      </w:pPr>
      <w:r>
        <w:rPr>
          <w:rFonts w:ascii="宋体" w:hAnsi="宋体" w:cs="宋体"/>
          <w:color w:val="auto"/>
          <w:sz w:val="24"/>
          <w:highlight w:val="none"/>
        </w:rPr>
        <w:t xml:space="preserve">3.2.4 </w:t>
      </w:r>
      <w:r>
        <w:rPr>
          <w:rFonts w:hint="eastAsia" w:ascii="宋体" w:hAnsi="宋体" w:cs="宋体"/>
          <w:color w:val="auto"/>
          <w:sz w:val="24"/>
          <w:highlight w:val="none"/>
        </w:rPr>
        <w:t>鼓励</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在参加政府采购过程中开展绿色设计、选择绿色材料、打造绿色制造工艺、开展绿色运输、做好废弃产品回收处理，实现产品全周期的绿色环保。鼓励采购单位对其提高预付款比例、免收履约保证金。</w:t>
      </w:r>
    </w:p>
    <w:p w14:paraId="67AC96A4">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60E51521">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50A0BBB">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0D094AF2">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9FF6A0C">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46B1E2A7">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14:paraId="0A1FE266">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6FF8C038">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0611EF5">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16D8BE4">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5E0E7397">
      <w:pPr>
        <w:spacing w:line="360" w:lineRule="auto"/>
        <w:ind w:firstLine="240" w:firstLineChars="100"/>
        <w:rPr>
          <w:rFonts w:hint="eastAsia" w:ascii="宋体" w:hAnsi="宋体" w:cs="宋体"/>
          <w:bCs/>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4F925F10">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7D459F91">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01BE7B89">
      <w:pPr>
        <w:pStyle w:val="3"/>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465637EB">
      <w:pPr>
        <w:spacing w:line="360" w:lineRule="auto"/>
        <w:ind w:firstLine="240" w:firstLineChars="100"/>
        <w:rPr>
          <w:rFonts w:ascii="宋体" w:hAnsi="宋体" w:cs="宋体"/>
          <w:color w:val="auto"/>
          <w:sz w:val="24"/>
        </w:rPr>
      </w:pPr>
      <w:r>
        <w:rPr>
          <w:rFonts w:hint="eastAsia" w:ascii="宋体" w:hAnsi="宋体" w:cs="宋体"/>
          <w:color w:val="auto"/>
          <w:sz w:val="24"/>
        </w:rPr>
        <w:t>3.5平等对待内外资企业和符合条件的破产重整企业</w:t>
      </w:r>
    </w:p>
    <w:p w14:paraId="56F0C4D2">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w:t>
      </w:r>
      <w:r>
        <w:rPr>
          <w:rFonts w:hint="eastAsia" w:ascii="宋体" w:hAnsi="宋体" w:eastAsia="宋体" w:cs="宋体"/>
          <w:b/>
          <w:color w:val="auto"/>
          <w:sz w:val="24"/>
        </w:rPr>
        <w:t>诉</w:t>
      </w:r>
    </w:p>
    <w:p w14:paraId="090CB64A">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14:paraId="2394D1DC">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4.2投标人询问</w:t>
      </w:r>
    </w:p>
    <w:p w14:paraId="73359AD8">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14:paraId="245B90B2">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4.3投标人质疑</w:t>
      </w:r>
    </w:p>
    <w:p w14:paraId="0D534A49">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w:t>
      </w:r>
      <w:r>
        <w:rPr>
          <w:rFonts w:hint="eastAsia" w:hAnsi="宋体" w:cs="宋体"/>
          <w:color w:val="auto"/>
          <w:sz w:val="24"/>
          <w:lang w:eastAsia="zh-CN"/>
        </w:rPr>
        <w:t>投标人</w:t>
      </w:r>
      <w:r>
        <w:rPr>
          <w:rFonts w:hint="eastAsia" w:hAnsi="宋体" w:cs="宋体"/>
          <w:color w:val="auto"/>
          <w:sz w:val="24"/>
        </w:rPr>
        <w:t>应当是参与所质疑项目采购活动的</w:t>
      </w:r>
      <w:r>
        <w:rPr>
          <w:rFonts w:hint="eastAsia" w:hAnsi="宋体" w:cs="宋体"/>
          <w:color w:val="auto"/>
          <w:sz w:val="24"/>
          <w:lang w:eastAsia="zh-CN"/>
        </w:rPr>
        <w:t>投标人</w:t>
      </w:r>
      <w:r>
        <w:rPr>
          <w:rFonts w:hint="eastAsia" w:hAnsi="宋体" w:cs="宋体"/>
          <w:color w:val="auto"/>
          <w:sz w:val="24"/>
        </w:rPr>
        <w:t>。潜在</w:t>
      </w:r>
      <w:r>
        <w:rPr>
          <w:rFonts w:hint="eastAsia" w:hAnsi="宋体" w:cs="宋体"/>
          <w:color w:val="auto"/>
          <w:sz w:val="24"/>
          <w:lang w:eastAsia="zh-CN"/>
        </w:rPr>
        <w:t>投标人</w:t>
      </w:r>
      <w:r>
        <w:rPr>
          <w:rFonts w:hint="eastAsia" w:hAnsi="宋体" w:cs="宋体"/>
          <w:color w:val="auto"/>
          <w:sz w:val="24"/>
        </w:rPr>
        <w:t>已依法获取其可质疑的招标文件的，可以对该文件提出质疑。</w:t>
      </w:r>
    </w:p>
    <w:p w14:paraId="332DEA1C">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w:t>
      </w:r>
      <w:r>
        <w:rPr>
          <w:rFonts w:hint="eastAsia" w:hAnsi="宋体" w:cs="宋体"/>
          <w:color w:val="auto"/>
          <w:sz w:val="24"/>
          <w:lang w:eastAsia="zh-CN"/>
        </w:rPr>
        <w:t>投标人</w:t>
      </w:r>
      <w:r>
        <w:rPr>
          <w:rFonts w:hint="eastAsia" w:hAnsi="宋体" w:cs="宋体"/>
          <w:color w:val="auto"/>
          <w:sz w:val="24"/>
        </w:rPr>
        <w:t>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343F6A6A">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w:t>
      </w:r>
      <w:r>
        <w:rPr>
          <w:rFonts w:hint="eastAsia" w:hAnsi="宋体" w:cs="宋体"/>
          <w:snapToGrid/>
          <w:color w:val="auto"/>
          <w:kern w:val="2"/>
          <w:sz w:val="24"/>
          <w:lang w:eastAsia="zh-CN"/>
        </w:rPr>
        <w:t>投标人</w:t>
      </w:r>
      <w:r>
        <w:rPr>
          <w:rFonts w:hint="eastAsia" w:hAnsi="宋体" w:cs="宋体"/>
          <w:snapToGrid/>
          <w:color w:val="auto"/>
          <w:kern w:val="2"/>
          <w:sz w:val="24"/>
        </w:rPr>
        <w:t>获得招标文件之日或者招标文件公告期限届满之日起计算。</w:t>
      </w:r>
    </w:p>
    <w:p w14:paraId="3BD344B6">
      <w:pPr>
        <w:pStyle w:val="33"/>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463B0016">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lang w:eastAsia="zh-CN"/>
        </w:rPr>
        <w:t>投标人</w:t>
      </w:r>
      <w:r>
        <w:rPr>
          <w:rFonts w:hint="eastAsia" w:hAnsi="宋体" w:cs="宋体"/>
          <w:color w:val="auto"/>
          <w:sz w:val="24"/>
        </w:rPr>
        <w:t>提出质疑应当提交质疑函和必要的证明材料。质疑函应当包括下列内容：</w:t>
      </w:r>
    </w:p>
    <w:p w14:paraId="1CEC56A1">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4.3.3.1投标人的姓名或者名称、地址、邮编、联系人及联系电话；</w:t>
      </w:r>
    </w:p>
    <w:p w14:paraId="67879EF1">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777E7120">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02F6B3F9">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62423666">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6359C4CF">
      <w:pPr>
        <w:pStyle w:val="33"/>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46C39D56">
      <w:pPr>
        <w:pStyle w:val="889"/>
        <w:shd w:val="clear" w:color="auto" w:fill="FFFFFF"/>
        <w:snapToGrid w:val="0"/>
        <w:spacing w:after="240" w:afterAutospacing="0" w:line="360" w:lineRule="auto"/>
        <w:ind w:firstLine="400"/>
        <w:contextualSpacing/>
        <w:rPr>
          <w:color w:val="auto"/>
        </w:rPr>
      </w:pPr>
      <w:r>
        <w:rPr>
          <w:rFonts w:hint="eastAsia"/>
          <w:color w:val="auto"/>
          <w:lang w:eastAsia="zh-CN"/>
        </w:rPr>
        <w:t>投标人</w:t>
      </w:r>
      <w:r>
        <w:rPr>
          <w:rFonts w:hint="eastAsia"/>
          <w:color w:val="auto"/>
        </w:rPr>
        <w:t>提交的质疑函需一式三份。</w:t>
      </w:r>
      <w:r>
        <w:rPr>
          <w:rFonts w:hint="eastAsia"/>
          <w:color w:val="auto"/>
          <w:lang w:eastAsia="zh-CN"/>
        </w:rPr>
        <w:t>投标人</w:t>
      </w:r>
      <w:r>
        <w:rPr>
          <w:rFonts w:hint="eastAsia"/>
          <w:color w:val="auto"/>
        </w:rPr>
        <w:t>为自然人的，应当由本人签字；</w:t>
      </w:r>
      <w:r>
        <w:rPr>
          <w:rFonts w:hint="eastAsia"/>
          <w:color w:val="auto"/>
          <w:lang w:eastAsia="zh-CN"/>
        </w:rPr>
        <w:t>投标人</w:t>
      </w:r>
      <w:r>
        <w:rPr>
          <w:rFonts w:hint="eastAsia"/>
          <w:color w:val="auto"/>
        </w:rPr>
        <w:t>为法人或者其他组织的，应当由法定代表人、主要负责人，或者其授权代表签字或者盖章，并加盖公章。</w:t>
      </w:r>
    </w:p>
    <w:p w14:paraId="5A7ED0F9">
      <w:pPr>
        <w:pStyle w:val="889"/>
        <w:shd w:val="clear" w:color="auto" w:fill="FFFFFF"/>
        <w:snapToGrid w:val="0"/>
        <w:spacing w:after="240" w:afterAutospacing="0" w:line="360" w:lineRule="auto"/>
        <w:ind w:firstLine="400"/>
        <w:contextualSpacing/>
        <w:rPr>
          <w:color w:val="auto"/>
        </w:rPr>
      </w:pPr>
      <w:r>
        <w:rPr>
          <w:rFonts w:hint="eastAsia"/>
          <w:color w:val="auto"/>
        </w:rPr>
        <w:t>质疑函范本请到浙江政府采购网下载专区下载。</w:t>
      </w:r>
    </w:p>
    <w:p w14:paraId="0E494AFE">
      <w:pPr>
        <w:pStyle w:val="889"/>
        <w:shd w:val="clear" w:color="auto" w:fill="FFFFFF"/>
        <w:snapToGrid w:val="0"/>
        <w:spacing w:after="240" w:afterAutospacing="0" w:line="360" w:lineRule="auto"/>
        <w:ind w:firstLine="400"/>
        <w:contextualSpacing/>
        <w:rPr>
          <w:color w:val="auto"/>
        </w:rPr>
      </w:pPr>
      <w:r>
        <w:rPr>
          <w:rFonts w:hint="eastAsia"/>
          <w:color w:val="auto"/>
        </w:rPr>
        <w:t>4.3.4对同一采购程序环节的质疑，</w:t>
      </w:r>
      <w:r>
        <w:rPr>
          <w:rFonts w:hint="eastAsia"/>
          <w:color w:val="auto"/>
          <w:lang w:eastAsia="zh-CN"/>
        </w:rPr>
        <w:t>投标人</w:t>
      </w:r>
      <w:r>
        <w:rPr>
          <w:rFonts w:hint="eastAsia"/>
          <w:color w:val="auto"/>
        </w:rPr>
        <w:t>须在法定质疑期内一次性提出。</w:t>
      </w:r>
    </w:p>
    <w:p w14:paraId="5549F6EB">
      <w:pPr>
        <w:pStyle w:val="88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w:t>
      </w:r>
      <w:r>
        <w:rPr>
          <w:rFonts w:hint="eastAsia"/>
          <w:color w:val="auto"/>
          <w:lang w:eastAsia="zh-CN"/>
        </w:rPr>
        <w:t>投标人</w:t>
      </w:r>
      <w:r>
        <w:rPr>
          <w:rFonts w:hint="eastAsia"/>
          <w:color w:val="auto"/>
        </w:rPr>
        <w:t>的书面质疑后七个工作日内作出答复，并以书面形式通知质疑</w:t>
      </w:r>
      <w:r>
        <w:rPr>
          <w:rFonts w:hint="eastAsia"/>
          <w:color w:val="auto"/>
          <w:lang w:eastAsia="zh-CN"/>
        </w:rPr>
        <w:t>投标人</w:t>
      </w:r>
      <w:r>
        <w:rPr>
          <w:rFonts w:hint="eastAsia"/>
          <w:color w:val="auto"/>
        </w:rPr>
        <w:t>和其他与质疑处理结果有利害关系的政府采购当事人，但答复的内容不得涉及商业秘密。</w:t>
      </w:r>
      <w:r>
        <w:rPr>
          <w:rFonts w:hint="eastAsia"/>
          <w:color w:val="auto"/>
          <w:highlight w:val="none"/>
        </w:rPr>
        <w:t>根据《浙江省财政厅关于进一步加强政府采购公平竞争打造最优营商环境的通知》（浙财采监〔2021〕22号）,采购人或者</w:t>
      </w:r>
      <w:r>
        <w:rPr>
          <w:rFonts w:hint="eastAsia"/>
          <w:color w:val="auto"/>
          <w:highlight w:val="none"/>
          <w:lang w:eastAsia="zh-CN"/>
        </w:rPr>
        <w:t>采购代理机构</w:t>
      </w:r>
      <w:r>
        <w:rPr>
          <w:rFonts w:hint="eastAsia"/>
          <w:color w:val="auto"/>
          <w:highlight w:val="none"/>
        </w:rPr>
        <w:t>在质疑回复后5个工作日内，</w:t>
      </w:r>
      <w:r>
        <w:rPr>
          <w:rFonts w:hint="eastAsia"/>
          <w:color w:val="auto"/>
        </w:rPr>
        <w:t>在浙江政府采购网的“其他公告”栏目公开质疑答复，答复内容应当完整。质疑函作为附件上传。</w:t>
      </w:r>
    </w:p>
    <w:p w14:paraId="5B32F970">
      <w:pPr>
        <w:pStyle w:val="88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08252C3B">
      <w:pPr>
        <w:pStyle w:val="889"/>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4.4投标人投诉</w:t>
      </w:r>
    </w:p>
    <w:p w14:paraId="683AAAB9">
      <w:pPr>
        <w:pStyle w:val="889"/>
        <w:shd w:val="clear" w:color="auto" w:fill="FFFFFF"/>
        <w:snapToGrid w:val="0"/>
        <w:spacing w:after="240" w:afterAutospacing="0" w:line="360" w:lineRule="auto"/>
        <w:ind w:firstLine="480" w:firstLineChars="200"/>
        <w:contextualSpacing/>
        <w:rPr>
          <w:rFonts w:hint="eastAsia" w:ascii="宋体" w:hAnsi="宋体" w:eastAsia="宋体" w:cs="宋体"/>
          <w:color w:val="auto"/>
          <w:lang w:val="zh-CN"/>
        </w:rPr>
      </w:pPr>
      <w:r>
        <w:rPr>
          <w:rFonts w:hint="eastAsia" w:ascii="宋体" w:hAnsi="宋体" w:eastAsia="宋体" w:cs="宋体"/>
          <w:color w:val="auto"/>
          <w:lang w:val="zh-CN"/>
        </w:rPr>
        <w:t>4.4.1质疑</w:t>
      </w:r>
      <w:r>
        <w:rPr>
          <w:rFonts w:hint="eastAsia" w:cs="宋体"/>
          <w:color w:val="auto"/>
          <w:lang w:val="zh-CN"/>
        </w:rPr>
        <w:t>投标人</w:t>
      </w:r>
      <w:r>
        <w:rPr>
          <w:rFonts w:hint="eastAsia" w:ascii="宋体" w:hAnsi="宋体" w:eastAsia="宋体" w:cs="宋体"/>
          <w:color w:val="auto"/>
          <w:lang w:val="zh-CN"/>
        </w:rPr>
        <w:t>对采购人、</w:t>
      </w:r>
      <w:r>
        <w:rPr>
          <w:rFonts w:hint="eastAsia" w:ascii="宋体" w:hAnsi="宋体" w:eastAsia="宋体" w:cs="宋体"/>
          <w:color w:val="auto"/>
          <w:lang w:val="zh-CN" w:eastAsia="zh-CN"/>
        </w:rPr>
        <w:t>采购代理机构</w:t>
      </w:r>
      <w:r>
        <w:rPr>
          <w:rFonts w:hint="eastAsia" w:ascii="宋体" w:hAnsi="宋体" w:eastAsia="宋体" w:cs="宋体"/>
          <w:color w:val="auto"/>
          <w:lang w:val="zh-CN"/>
        </w:rPr>
        <w:t>的答复不满意或者采购人、</w:t>
      </w:r>
      <w:r>
        <w:rPr>
          <w:rFonts w:hint="eastAsia" w:ascii="宋体" w:hAnsi="宋体" w:eastAsia="宋体" w:cs="宋体"/>
          <w:color w:val="auto"/>
          <w:lang w:val="zh-CN" w:eastAsia="zh-CN"/>
        </w:rPr>
        <w:t>采购代理机构</w:t>
      </w:r>
      <w:r>
        <w:rPr>
          <w:rFonts w:hint="eastAsia" w:ascii="宋体" w:hAnsi="宋体" w:eastAsia="宋体" w:cs="宋体"/>
          <w:color w:val="auto"/>
          <w:lang w:val="zh-CN"/>
        </w:rPr>
        <w:t>未在规定的时间内作出答复的，可以在答复期满后十五个工作日内向同级政府采购监督管理部门提出投诉。</w:t>
      </w:r>
    </w:p>
    <w:p w14:paraId="31C77BAA">
      <w:pPr>
        <w:pStyle w:val="889"/>
        <w:shd w:val="clear" w:color="auto" w:fill="FFFFFF"/>
        <w:snapToGrid w:val="0"/>
        <w:spacing w:after="240" w:afterAutospacing="0" w:line="360" w:lineRule="auto"/>
        <w:ind w:firstLine="400"/>
        <w:contextualSpacing/>
        <w:rPr>
          <w:rFonts w:hint="eastAsia"/>
          <w:color w:val="auto"/>
          <w:lang w:val="zh-CN"/>
        </w:rPr>
      </w:pPr>
      <w:r>
        <w:rPr>
          <w:rFonts w:hint="eastAsia"/>
          <w:color w:val="auto"/>
          <w:lang w:val="zh-CN"/>
        </w:rPr>
        <w:t>4.4.2投标人投诉的事项不得超出已质疑事项的范围，基于质疑答复内容提出的投诉事项除外。</w:t>
      </w:r>
    </w:p>
    <w:p w14:paraId="05236179">
      <w:pPr>
        <w:pStyle w:val="889"/>
        <w:shd w:val="clear" w:color="auto" w:fill="FFFFFF"/>
        <w:snapToGrid w:val="0"/>
        <w:spacing w:after="240" w:afterAutospacing="0" w:line="360" w:lineRule="auto"/>
        <w:ind w:firstLine="400"/>
        <w:contextualSpacing/>
        <w:rPr>
          <w:rFonts w:hint="eastAsia"/>
          <w:color w:val="auto"/>
          <w:lang w:val="zh-CN"/>
        </w:rPr>
      </w:pPr>
      <w:r>
        <w:rPr>
          <w:rFonts w:hint="eastAsia"/>
          <w:color w:val="auto"/>
          <w:lang w:val="zh-CN"/>
        </w:rPr>
        <w:t>4.4.3投标人投诉应当有明确的请求和必要的证明材料。</w:t>
      </w:r>
    </w:p>
    <w:p w14:paraId="6771D0C3">
      <w:pPr>
        <w:pStyle w:val="889"/>
        <w:shd w:val="clear" w:color="auto" w:fill="FFFFFF"/>
        <w:snapToGrid w:val="0"/>
        <w:spacing w:after="240" w:afterAutospacing="0" w:line="360" w:lineRule="auto"/>
        <w:ind w:firstLine="400"/>
        <w:contextualSpacing/>
        <w:rPr>
          <w:rFonts w:hint="eastAsia"/>
          <w:color w:val="auto"/>
          <w:lang w:val="zh-CN"/>
        </w:rPr>
      </w:pPr>
      <w:r>
        <w:rPr>
          <w:rFonts w:hint="eastAsia"/>
          <w:color w:val="auto"/>
          <w:lang w:val="zh-CN"/>
        </w:rPr>
        <w:t>4.4.4以联合体形式参加政府采购活动的，其投诉应当由组成联合体的所有投标人共同提出。</w:t>
      </w:r>
    </w:p>
    <w:p w14:paraId="578E67B3">
      <w:pPr>
        <w:pStyle w:val="889"/>
        <w:shd w:val="clear" w:color="auto" w:fill="FFFFFF"/>
        <w:snapToGrid w:val="0"/>
        <w:spacing w:after="240" w:afterAutospacing="0" w:line="360" w:lineRule="auto"/>
        <w:ind w:firstLine="400"/>
        <w:contextualSpacing/>
        <w:rPr>
          <w:rFonts w:hint="eastAsia"/>
          <w:color w:val="auto"/>
          <w:lang w:val="zh-CN"/>
        </w:rPr>
      </w:pPr>
      <w:r>
        <w:rPr>
          <w:rFonts w:hint="eastAsia"/>
          <w:color w:val="auto"/>
          <w:lang w:val="zh-CN"/>
        </w:rPr>
        <w:t>4.4.5投诉材料可寄送至</w:t>
      </w:r>
      <w:r>
        <w:rPr>
          <w:rFonts w:hint="eastAsia"/>
          <w:color w:val="auto"/>
          <w:lang w:val="zh-CN" w:eastAsia="zh-CN"/>
        </w:rPr>
        <w:t>：</w:t>
      </w:r>
      <w:r>
        <w:rPr>
          <w:rFonts w:hint="eastAsia"/>
          <w:color w:val="auto"/>
          <w:lang w:val="zh-CN"/>
        </w:rPr>
        <w:t>宁海县政府采购管理办公室，地址：宁海县跃龙街道桃源中路218号，收件人：王老师，电话</w:t>
      </w:r>
      <w:r>
        <w:rPr>
          <w:rFonts w:hint="eastAsia"/>
          <w:color w:val="auto"/>
          <w:lang w:val="en-US" w:eastAsia="zh-CN"/>
        </w:rPr>
        <w:t>：</w:t>
      </w:r>
      <w:r>
        <w:rPr>
          <w:rFonts w:hint="eastAsia"/>
          <w:color w:val="auto"/>
          <w:lang w:val="zh-CN"/>
        </w:rPr>
        <w:t>0574-65265668。</w:t>
      </w:r>
    </w:p>
    <w:p w14:paraId="23C30874">
      <w:pPr>
        <w:pStyle w:val="889"/>
        <w:keepNext w:val="0"/>
        <w:keepLines w:val="0"/>
        <w:pageBreakBefore w:val="0"/>
        <w:widowControl/>
        <w:shd w:val="clear" w:color="auto" w:fill="FFFFFF"/>
        <w:kinsoku/>
        <w:wordWrap/>
        <w:overflowPunct/>
        <w:topLinePunct w:val="0"/>
        <w:autoSpaceDE/>
        <w:autoSpaceDN/>
        <w:bidi w:val="0"/>
        <w:adjustRightInd/>
        <w:snapToGrid w:val="0"/>
        <w:spacing w:after="0" w:afterAutospacing="0" w:line="360" w:lineRule="auto"/>
        <w:ind w:firstLine="403"/>
        <w:contextualSpacing/>
        <w:textAlignment w:val="auto"/>
        <w:rPr>
          <w:rFonts w:hint="eastAsia"/>
          <w:color w:val="auto"/>
          <w:lang w:val="zh-CN"/>
        </w:rPr>
      </w:pPr>
      <w:r>
        <w:rPr>
          <w:rFonts w:hint="eastAsia"/>
          <w:color w:val="auto"/>
          <w:lang w:val="zh-CN"/>
        </w:rPr>
        <w:t>投诉书范本及制作请到浙江政府采购网下载专区下载。</w:t>
      </w:r>
    </w:p>
    <w:p w14:paraId="53B67874">
      <w:pPr>
        <w:pStyle w:val="5"/>
        <w:keepNext w:val="0"/>
        <w:keepLines w:val="0"/>
        <w:pageBreakBefore w:val="0"/>
        <w:kinsoku/>
        <w:wordWrap/>
        <w:overflowPunct/>
        <w:topLinePunct w:val="0"/>
        <w:bidi w:val="0"/>
        <w:spacing w:line="440" w:lineRule="exact"/>
        <w:ind w:left="0" w:leftChars="0" w:firstLine="0" w:firstLineChars="0"/>
        <w:textAlignment w:val="auto"/>
        <w:rPr>
          <w:rFonts w:hint="eastAsia" w:ascii="宋体" w:hAnsi="宋体" w:eastAsia="宋体" w:cs="宋体"/>
          <w:b/>
          <w:snapToGrid/>
          <w:color w:val="auto"/>
          <w:kern w:val="2"/>
          <w:sz w:val="24"/>
          <w:szCs w:val="24"/>
          <w:lang w:val="en-US" w:eastAsia="zh-CN" w:bidi="ar-SA"/>
        </w:rPr>
      </w:pPr>
      <w:r>
        <w:rPr>
          <w:rFonts w:hint="eastAsia" w:ascii="宋体" w:hAnsi="宋体" w:eastAsia="宋体" w:cs="宋体"/>
          <w:b/>
          <w:snapToGrid/>
          <w:color w:val="auto"/>
          <w:kern w:val="2"/>
          <w:sz w:val="24"/>
          <w:szCs w:val="24"/>
          <w:lang w:val="en-US" w:eastAsia="zh-CN" w:bidi="ar-SA"/>
        </w:rPr>
        <w:t>5. 特别说明</w:t>
      </w:r>
    </w:p>
    <w:p w14:paraId="668479D4">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5.1关于分公司投标</w:t>
      </w:r>
    </w:p>
    <w:p w14:paraId="4B3BB7B2">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除银行、保险、石油石化、电力、电信等特殊行业外。法人的分支机构由于不能独立承担民事责任，不能以分支机构的身份参加政府采购，只能以法人身份参加。 </w:t>
      </w:r>
    </w:p>
    <w:p w14:paraId="51D96020">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5.2关于知识产权</w:t>
      </w:r>
    </w:p>
    <w:p w14:paraId="5C0FC850">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5.2.1 </w:t>
      </w:r>
      <w:r>
        <w:rPr>
          <w:rFonts w:hint="eastAsia" w:ascii="宋体" w:hAnsi="宋体" w:cs="宋体"/>
          <w:color w:val="auto"/>
          <w:kern w:val="0"/>
          <w:sz w:val="24"/>
          <w:lang w:val="zh-CN"/>
        </w:rPr>
        <w:t>投标人</w:t>
      </w:r>
      <w:r>
        <w:rPr>
          <w:rFonts w:hint="eastAsia" w:ascii="宋体" w:hAnsi="宋体" w:eastAsia="宋体" w:cs="宋体"/>
          <w:color w:val="auto"/>
          <w:kern w:val="0"/>
          <w:sz w:val="24"/>
          <w:lang w:val="zh-CN"/>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ascii="宋体" w:hAnsi="宋体" w:cs="宋体"/>
          <w:color w:val="auto"/>
          <w:kern w:val="0"/>
          <w:sz w:val="24"/>
          <w:lang w:val="zh-CN"/>
        </w:rPr>
        <w:t>投标人</w:t>
      </w:r>
      <w:r>
        <w:rPr>
          <w:rFonts w:hint="eastAsia" w:ascii="宋体" w:hAnsi="宋体" w:eastAsia="宋体" w:cs="宋体"/>
          <w:color w:val="auto"/>
          <w:kern w:val="0"/>
          <w:sz w:val="24"/>
          <w:lang w:val="zh-CN"/>
        </w:rPr>
        <w:t>承担。</w:t>
      </w:r>
    </w:p>
    <w:p w14:paraId="4E31406B">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5.2.2 投标报价应包含所有应向所有权人支付的专利权、商标权或其它知识产权的一切相关费用。</w:t>
      </w:r>
    </w:p>
    <w:p w14:paraId="617636BF">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5.2.3 系统软件、通用软件必须是具有在中国境内的合法使用权或版权的正版软件，涉及到第三方提出侵权或知识产权的起诉及支付版税等费用由</w:t>
      </w:r>
      <w:r>
        <w:rPr>
          <w:rFonts w:hint="eastAsia" w:ascii="宋体" w:hAnsi="宋体" w:cs="宋体"/>
          <w:color w:val="auto"/>
          <w:kern w:val="0"/>
          <w:sz w:val="24"/>
          <w:lang w:val="zh-CN"/>
        </w:rPr>
        <w:t>投标人</w:t>
      </w:r>
      <w:r>
        <w:rPr>
          <w:rFonts w:hint="eastAsia" w:ascii="宋体" w:hAnsi="宋体" w:eastAsia="宋体" w:cs="宋体"/>
          <w:color w:val="auto"/>
          <w:kern w:val="0"/>
          <w:sz w:val="24"/>
          <w:lang w:val="zh-CN"/>
        </w:rPr>
        <w:t>承担所有责任及费用。</w:t>
      </w:r>
    </w:p>
    <w:p w14:paraId="384654F0">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5.3</w:t>
      </w:r>
      <w:r>
        <w:rPr>
          <w:rFonts w:hint="eastAsia" w:ascii="宋体" w:hAnsi="宋体" w:cs="宋体"/>
          <w:color w:val="auto"/>
          <w:kern w:val="0"/>
          <w:sz w:val="24"/>
          <w:lang w:val="zh-CN"/>
        </w:rPr>
        <w:t>投标人</w:t>
      </w:r>
      <w:r>
        <w:rPr>
          <w:rFonts w:hint="eastAsia" w:ascii="宋体" w:hAnsi="宋体" w:eastAsia="宋体" w:cs="宋体"/>
          <w:color w:val="auto"/>
          <w:kern w:val="0"/>
          <w:sz w:val="24"/>
          <w:lang w:val="zh-CN"/>
        </w:rPr>
        <w:t>的风险</w:t>
      </w:r>
    </w:p>
    <w:p w14:paraId="2CF7B642">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5.3.1 </w:t>
      </w:r>
      <w:r>
        <w:rPr>
          <w:rFonts w:hint="eastAsia" w:ascii="宋体" w:hAnsi="宋体" w:cs="宋体"/>
          <w:color w:val="auto"/>
          <w:kern w:val="0"/>
          <w:sz w:val="24"/>
          <w:lang w:val="zh-CN"/>
        </w:rPr>
        <w:t>投标人</w:t>
      </w:r>
      <w:r>
        <w:rPr>
          <w:rFonts w:hint="eastAsia" w:ascii="宋体" w:hAnsi="宋体" w:eastAsia="宋体" w:cs="宋体"/>
          <w:color w:val="auto"/>
          <w:kern w:val="0"/>
          <w:sz w:val="24"/>
          <w:lang w:val="zh-CN"/>
        </w:rPr>
        <w:t>应详细阅读招标文件中的全部内容和要求，按照招标文件的要求提交投标文件，没有按照招标文件要求提供投标文件和资料导致的风险由</w:t>
      </w:r>
      <w:r>
        <w:rPr>
          <w:rFonts w:hint="eastAsia" w:ascii="宋体" w:hAnsi="宋体" w:cs="宋体"/>
          <w:color w:val="auto"/>
          <w:kern w:val="0"/>
          <w:sz w:val="24"/>
          <w:lang w:val="zh-CN"/>
        </w:rPr>
        <w:t>投标人</w:t>
      </w:r>
      <w:r>
        <w:rPr>
          <w:rFonts w:hint="eastAsia" w:ascii="宋体" w:hAnsi="宋体" w:eastAsia="宋体" w:cs="宋体"/>
          <w:color w:val="auto"/>
          <w:kern w:val="0"/>
          <w:sz w:val="24"/>
          <w:lang w:val="zh-CN"/>
        </w:rPr>
        <w:t>承担</w:t>
      </w:r>
      <w:r>
        <w:rPr>
          <w:rFonts w:hint="eastAsia" w:ascii="宋体" w:hAnsi="宋体" w:eastAsia="宋体" w:cs="宋体"/>
          <w:color w:val="auto"/>
          <w:kern w:val="0"/>
          <w:sz w:val="24"/>
          <w:lang w:val="zh-CN" w:eastAsia="zh-CN"/>
        </w:rPr>
        <w:t>，</w:t>
      </w:r>
      <w:r>
        <w:rPr>
          <w:rFonts w:hint="eastAsia" w:ascii="宋体" w:hAnsi="宋体" w:eastAsia="宋体" w:cs="宋体"/>
          <w:color w:val="auto"/>
          <w:kern w:val="0"/>
          <w:sz w:val="24"/>
          <w:lang w:val="zh-CN"/>
        </w:rPr>
        <w:t>并对所提供的全部资料的真实性承担法律责任。</w:t>
      </w:r>
    </w:p>
    <w:p w14:paraId="52D39351">
      <w:pPr>
        <w:autoSpaceDE w:val="0"/>
        <w:autoSpaceDN w:val="0"/>
        <w:spacing w:line="360" w:lineRule="auto"/>
        <w:ind w:firstLine="480" w:firstLineChars="200"/>
        <w:jc w:val="left"/>
        <w:rPr>
          <w:rFonts w:ascii="宋体" w:hAnsi="宋体" w:cs="宋体"/>
          <w:color w:val="auto"/>
          <w:sz w:val="18"/>
          <w:szCs w:val="18"/>
        </w:rPr>
      </w:pP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lang w:val="zh-CN"/>
        </w:rPr>
        <w:t>.3.2 无论因何种原因导致本次采购活动终止致</w:t>
      </w:r>
      <w:r>
        <w:rPr>
          <w:rFonts w:hint="eastAsia" w:ascii="宋体" w:hAnsi="宋体" w:cs="宋体"/>
          <w:color w:val="auto"/>
          <w:kern w:val="0"/>
          <w:sz w:val="24"/>
          <w:lang w:val="zh-CN"/>
        </w:rPr>
        <w:t>投标人</w:t>
      </w:r>
      <w:r>
        <w:rPr>
          <w:rFonts w:hint="eastAsia" w:ascii="宋体" w:hAnsi="宋体" w:eastAsia="宋体" w:cs="宋体"/>
          <w:color w:val="auto"/>
          <w:kern w:val="0"/>
          <w:sz w:val="24"/>
          <w:lang w:val="zh-CN"/>
        </w:rPr>
        <w:t>损失的，相关责任人均不承担任何责任。</w:t>
      </w:r>
    </w:p>
    <w:p w14:paraId="3B777211">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615CB8A4">
      <w:pPr>
        <w:pStyle w:val="33"/>
        <w:spacing w:line="360" w:lineRule="auto"/>
        <w:rPr>
          <w:rFonts w:hAnsi="宋体" w:cs="宋体"/>
          <w:b/>
          <w:color w:val="auto"/>
          <w:sz w:val="24"/>
          <w:szCs w:val="24"/>
        </w:rPr>
      </w:pPr>
      <w:r>
        <w:rPr>
          <w:rFonts w:hint="eastAsia" w:hAnsi="宋体" w:cs="宋体"/>
          <w:b/>
          <w:color w:val="auto"/>
          <w:sz w:val="24"/>
          <w:szCs w:val="24"/>
          <w:lang w:val="en-US" w:eastAsia="zh-CN"/>
        </w:rPr>
        <w:t>6</w:t>
      </w:r>
      <w:r>
        <w:rPr>
          <w:rFonts w:hint="eastAsia" w:hAnsi="宋体" w:cs="宋体"/>
          <w:b/>
          <w:color w:val="auto"/>
          <w:sz w:val="24"/>
          <w:szCs w:val="24"/>
        </w:rPr>
        <w:t>．招标文件的构成</w:t>
      </w:r>
    </w:p>
    <w:p w14:paraId="366BC4AE">
      <w:pPr>
        <w:pStyle w:val="33"/>
        <w:spacing w:line="360" w:lineRule="auto"/>
        <w:ind w:firstLine="480" w:firstLineChars="200"/>
        <w:rPr>
          <w:rFonts w:hAnsi="宋体" w:cs="宋体"/>
          <w:color w:val="auto"/>
          <w:sz w:val="24"/>
          <w:szCs w:val="24"/>
        </w:rPr>
      </w:pPr>
      <w:r>
        <w:rPr>
          <w:rFonts w:hint="eastAsia" w:hAnsi="宋体" w:cs="宋体"/>
          <w:color w:val="auto"/>
          <w:sz w:val="24"/>
          <w:szCs w:val="24"/>
          <w:lang w:val="en-US" w:eastAsia="zh-CN"/>
        </w:rPr>
        <w:t>6</w:t>
      </w:r>
      <w:r>
        <w:rPr>
          <w:rFonts w:hint="eastAsia" w:hAnsi="宋体" w:cs="宋体"/>
          <w:color w:val="auto"/>
          <w:sz w:val="24"/>
          <w:szCs w:val="24"/>
        </w:rPr>
        <w:t>.1 招标文件包括下列文件及附件：</w:t>
      </w:r>
    </w:p>
    <w:p w14:paraId="01D05735">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lang w:val="en-US" w:eastAsia="zh-CN"/>
        </w:rPr>
        <w:t>6</w:t>
      </w:r>
      <w:r>
        <w:rPr>
          <w:rFonts w:hint="eastAsia" w:hAnsi="宋体" w:cs="宋体"/>
          <w:color w:val="auto"/>
          <w:sz w:val="24"/>
          <w:szCs w:val="24"/>
        </w:rPr>
        <w:t>.1.1招标公告；</w:t>
      </w:r>
    </w:p>
    <w:p w14:paraId="12928958">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lang w:val="en-US" w:eastAsia="zh-CN"/>
        </w:rPr>
        <w:t>6</w:t>
      </w:r>
      <w:r>
        <w:rPr>
          <w:rFonts w:hint="eastAsia" w:hAnsi="宋体" w:cs="宋体"/>
          <w:color w:val="auto"/>
          <w:sz w:val="24"/>
          <w:szCs w:val="24"/>
        </w:rPr>
        <w:t>.1.2投标人须知；</w:t>
      </w:r>
    </w:p>
    <w:p w14:paraId="3592011D">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lang w:val="en-US" w:eastAsia="zh-CN"/>
        </w:rPr>
        <w:t>6</w:t>
      </w:r>
      <w:r>
        <w:rPr>
          <w:rFonts w:hint="eastAsia" w:hAnsi="宋体" w:cs="宋体"/>
          <w:color w:val="auto"/>
          <w:sz w:val="24"/>
          <w:szCs w:val="24"/>
        </w:rPr>
        <w:t>.1.3采购需求；</w:t>
      </w:r>
    </w:p>
    <w:p w14:paraId="580847C3">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lang w:val="en-US" w:eastAsia="zh-CN"/>
        </w:rPr>
        <w:t>6</w:t>
      </w:r>
      <w:r>
        <w:rPr>
          <w:rFonts w:hint="eastAsia" w:hAnsi="宋体" w:cs="宋体"/>
          <w:color w:val="auto"/>
          <w:sz w:val="24"/>
          <w:szCs w:val="24"/>
        </w:rPr>
        <w:t>.1.4评标办法；</w:t>
      </w:r>
    </w:p>
    <w:p w14:paraId="629817D6">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lang w:val="en-US" w:eastAsia="zh-CN"/>
        </w:rPr>
        <w:t>6</w:t>
      </w:r>
      <w:r>
        <w:rPr>
          <w:rFonts w:hint="eastAsia" w:hAnsi="宋体" w:cs="宋体"/>
          <w:color w:val="auto"/>
          <w:sz w:val="24"/>
          <w:szCs w:val="24"/>
        </w:rPr>
        <w:t>.1.5拟签订的合同文本；</w:t>
      </w:r>
    </w:p>
    <w:p w14:paraId="7481C5AE">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lang w:val="en-US" w:eastAsia="zh-CN"/>
        </w:rPr>
        <w:t>6</w:t>
      </w:r>
      <w:r>
        <w:rPr>
          <w:rFonts w:hint="eastAsia" w:hAnsi="宋体" w:cs="宋体"/>
          <w:color w:val="auto"/>
          <w:sz w:val="24"/>
        </w:rPr>
        <w:t>.1.6</w:t>
      </w:r>
      <w:r>
        <w:rPr>
          <w:rFonts w:hint="eastAsia" w:hAnsi="宋体" w:cs="宋体"/>
          <w:color w:val="auto"/>
          <w:sz w:val="24"/>
          <w:szCs w:val="24"/>
        </w:rPr>
        <w:t>应提交的有关格式范例。</w:t>
      </w:r>
    </w:p>
    <w:p w14:paraId="70FDF911">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5865F840">
      <w:pPr>
        <w:pStyle w:val="33"/>
        <w:spacing w:line="360" w:lineRule="auto"/>
        <w:rPr>
          <w:rFonts w:hAnsi="宋体" w:cs="宋体"/>
          <w:b/>
          <w:color w:val="auto"/>
          <w:sz w:val="24"/>
          <w:szCs w:val="24"/>
        </w:rPr>
      </w:pPr>
      <w:r>
        <w:rPr>
          <w:rFonts w:hint="eastAsia" w:hAnsi="宋体" w:cs="宋体"/>
          <w:b/>
          <w:color w:val="auto"/>
          <w:sz w:val="24"/>
          <w:szCs w:val="24"/>
          <w:lang w:val="en-US" w:eastAsia="zh-CN"/>
        </w:rPr>
        <w:t>7</w:t>
      </w:r>
      <w:r>
        <w:rPr>
          <w:rFonts w:hint="eastAsia" w:hAnsi="宋体" w:cs="宋体"/>
          <w:b/>
          <w:color w:val="auto"/>
          <w:sz w:val="24"/>
          <w:szCs w:val="24"/>
        </w:rPr>
        <w:t>. 招标文件的澄清、修改</w:t>
      </w:r>
    </w:p>
    <w:p w14:paraId="1F3350AD">
      <w:pPr>
        <w:pStyle w:val="133"/>
        <w:snapToGrid w:val="0"/>
        <w:spacing w:before="0"/>
        <w:ind w:firstLine="480"/>
        <w:rPr>
          <w:rFonts w:ascii="宋体" w:hAnsi="宋体" w:cs="宋体"/>
          <w:color w:val="auto"/>
        </w:rPr>
      </w:pPr>
      <w:r>
        <w:rPr>
          <w:rFonts w:hint="eastAsia" w:ascii="宋体" w:hAnsi="宋体" w:cs="宋体"/>
          <w:color w:val="auto"/>
          <w:lang w:val="en-US" w:eastAsia="zh-CN"/>
        </w:rPr>
        <w:t>7</w:t>
      </w:r>
      <w:r>
        <w:rPr>
          <w:rFonts w:hint="eastAsia" w:ascii="宋体" w:hAnsi="宋体" w:cs="宋体"/>
          <w:color w:val="auto"/>
        </w:rPr>
        <w:t>.1已获取招标文件的潜在投标人，若有问题需要澄清，应于投标截止时间前，以书面形式向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51BC9153">
      <w:pPr>
        <w:pStyle w:val="133"/>
        <w:snapToGrid w:val="0"/>
        <w:spacing w:before="0"/>
        <w:ind w:firstLine="480"/>
        <w:rPr>
          <w:rFonts w:ascii="宋体" w:hAnsi="宋体" w:cs="宋体"/>
          <w:color w:val="auto"/>
        </w:rPr>
      </w:pPr>
      <w:r>
        <w:rPr>
          <w:rFonts w:hint="eastAsia" w:ascii="宋体" w:hAnsi="宋体" w:cs="宋体"/>
          <w:color w:val="auto"/>
          <w:lang w:val="en-US" w:eastAsia="zh-CN"/>
        </w:rPr>
        <w:t>7</w:t>
      </w:r>
      <w:r>
        <w:rPr>
          <w:rFonts w:hint="eastAsia" w:ascii="宋体" w:hAnsi="宋体" w:cs="宋体"/>
          <w:color w:val="auto"/>
        </w:rPr>
        <w:t xml:space="preserve">.2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82ABFBA">
      <w:pPr>
        <w:pStyle w:val="23"/>
        <w:rPr>
          <w:rFonts w:hAnsi="宋体" w:cs="宋体"/>
          <w:color w:val="auto"/>
          <w:sz w:val="18"/>
          <w:szCs w:val="18"/>
          <w:lang w:val="en-US"/>
        </w:rPr>
      </w:pPr>
      <w:r>
        <w:rPr>
          <w:rFonts w:hint="eastAsia" w:hAnsi="宋体" w:cs="宋体"/>
          <w:color w:val="auto"/>
          <w:szCs w:val="24"/>
          <w:lang w:val="en-US"/>
        </w:rPr>
        <w:t xml:space="preserve">    </w:t>
      </w:r>
    </w:p>
    <w:p w14:paraId="247ACD4D">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5AC87079">
      <w:pPr>
        <w:pStyle w:val="33"/>
        <w:spacing w:line="360" w:lineRule="auto"/>
        <w:rPr>
          <w:rFonts w:hAnsi="宋体" w:cs="宋体"/>
          <w:b/>
          <w:color w:val="auto"/>
          <w:sz w:val="24"/>
          <w:szCs w:val="24"/>
        </w:rPr>
      </w:pPr>
      <w:r>
        <w:rPr>
          <w:rFonts w:hint="eastAsia" w:hAnsi="宋体" w:cs="宋体"/>
          <w:b/>
          <w:color w:val="auto"/>
          <w:sz w:val="24"/>
          <w:szCs w:val="24"/>
          <w:lang w:val="en-US" w:eastAsia="zh-CN"/>
        </w:rPr>
        <w:t>8</w:t>
      </w:r>
      <w:r>
        <w:rPr>
          <w:rFonts w:hint="eastAsia" w:hAnsi="宋体" w:cs="宋体"/>
          <w:b/>
          <w:color w:val="auto"/>
          <w:sz w:val="24"/>
          <w:szCs w:val="24"/>
        </w:rPr>
        <w:t>. 招标文件的获取</w:t>
      </w:r>
    </w:p>
    <w:p w14:paraId="308866D0">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050DA69B">
      <w:pPr>
        <w:pStyle w:val="33"/>
        <w:spacing w:line="360" w:lineRule="auto"/>
        <w:rPr>
          <w:rFonts w:hAnsi="宋体" w:cs="宋体"/>
          <w:b/>
          <w:color w:val="auto"/>
          <w:sz w:val="24"/>
          <w:szCs w:val="24"/>
        </w:rPr>
      </w:pPr>
      <w:r>
        <w:rPr>
          <w:rFonts w:hint="eastAsia" w:hAnsi="宋体" w:cs="宋体"/>
          <w:b/>
          <w:color w:val="auto"/>
          <w:sz w:val="24"/>
          <w:szCs w:val="24"/>
          <w:lang w:val="en-US" w:eastAsia="zh-CN"/>
        </w:rPr>
        <w:t>9</w:t>
      </w:r>
      <w:r>
        <w:rPr>
          <w:rFonts w:hint="eastAsia" w:hAnsi="宋体" w:cs="宋体"/>
          <w:b/>
          <w:color w:val="auto"/>
          <w:sz w:val="24"/>
          <w:szCs w:val="24"/>
        </w:rPr>
        <w:t>.开标前答疑会或现场考察</w:t>
      </w:r>
    </w:p>
    <w:p w14:paraId="41CB3244">
      <w:pPr>
        <w:pStyle w:val="33"/>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7D387BEA">
      <w:pPr>
        <w:pStyle w:val="33"/>
        <w:spacing w:line="360" w:lineRule="auto"/>
        <w:rPr>
          <w:rFonts w:hAnsi="宋体" w:cs="宋体"/>
          <w:b/>
          <w:color w:val="auto"/>
          <w:szCs w:val="24"/>
        </w:rPr>
      </w:pPr>
      <w:r>
        <w:rPr>
          <w:rFonts w:hint="eastAsia" w:hAnsi="宋体" w:cs="宋体"/>
          <w:b/>
          <w:color w:val="auto"/>
          <w:kern w:val="28"/>
          <w:sz w:val="24"/>
          <w:szCs w:val="24"/>
          <w:lang w:val="en-US" w:eastAsia="zh-CN"/>
        </w:rPr>
        <w:t>10</w:t>
      </w:r>
      <w:r>
        <w:rPr>
          <w:rFonts w:hint="eastAsia" w:hAnsi="宋体" w:cs="宋体"/>
          <w:b/>
          <w:color w:val="auto"/>
          <w:kern w:val="28"/>
          <w:sz w:val="24"/>
          <w:szCs w:val="24"/>
        </w:rPr>
        <w:t>.投标保证金</w:t>
      </w:r>
    </w:p>
    <w:p w14:paraId="36FBA278">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DBF7A35">
      <w:pPr>
        <w:pStyle w:val="33"/>
        <w:spacing w:line="360" w:lineRule="auto"/>
        <w:rPr>
          <w:rFonts w:hAnsi="宋体" w:cs="宋体"/>
          <w:b/>
          <w:color w:val="auto"/>
          <w:sz w:val="24"/>
          <w:szCs w:val="24"/>
        </w:rPr>
      </w:pPr>
      <w:r>
        <w:rPr>
          <w:rFonts w:hint="eastAsia" w:hAnsi="宋体" w:cs="宋体"/>
          <w:b/>
          <w:color w:val="auto"/>
          <w:sz w:val="24"/>
          <w:szCs w:val="24"/>
        </w:rPr>
        <w:t>1</w:t>
      </w:r>
      <w:r>
        <w:rPr>
          <w:rFonts w:hint="eastAsia" w:hAnsi="宋体" w:cs="宋体"/>
          <w:b/>
          <w:color w:val="auto"/>
          <w:sz w:val="24"/>
          <w:szCs w:val="24"/>
          <w:lang w:val="en-US" w:eastAsia="zh-CN"/>
        </w:rPr>
        <w:t>1</w:t>
      </w:r>
      <w:r>
        <w:rPr>
          <w:rFonts w:hint="eastAsia" w:hAnsi="宋体" w:cs="宋体"/>
          <w:b/>
          <w:color w:val="auto"/>
          <w:sz w:val="24"/>
          <w:szCs w:val="24"/>
        </w:rPr>
        <w:t>. 投标文件的语言</w:t>
      </w:r>
    </w:p>
    <w:p w14:paraId="1B9E461E">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1598CF8E">
      <w:pPr>
        <w:pStyle w:val="33"/>
        <w:spacing w:line="360" w:lineRule="auto"/>
        <w:rPr>
          <w:rFonts w:hAnsi="宋体" w:cs="宋体"/>
          <w:b/>
          <w:color w:val="auto"/>
          <w:sz w:val="24"/>
          <w:szCs w:val="24"/>
        </w:rPr>
      </w:pPr>
      <w:r>
        <w:rPr>
          <w:rFonts w:hint="eastAsia" w:hAnsi="宋体" w:cs="宋体"/>
          <w:b/>
          <w:color w:val="auto"/>
          <w:sz w:val="24"/>
          <w:szCs w:val="24"/>
        </w:rPr>
        <w:t>1</w:t>
      </w:r>
      <w:r>
        <w:rPr>
          <w:rFonts w:hint="eastAsia" w:hAnsi="宋体" w:cs="宋体"/>
          <w:b/>
          <w:color w:val="auto"/>
          <w:sz w:val="24"/>
          <w:szCs w:val="24"/>
          <w:lang w:val="en-US" w:eastAsia="zh-CN"/>
        </w:rPr>
        <w:t>2</w:t>
      </w:r>
      <w:r>
        <w:rPr>
          <w:rFonts w:hint="eastAsia" w:hAnsi="宋体" w:cs="宋体"/>
          <w:b/>
          <w:color w:val="auto"/>
          <w:sz w:val="24"/>
          <w:szCs w:val="24"/>
        </w:rPr>
        <w:t>. 投标文件的组成</w:t>
      </w:r>
    </w:p>
    <w:p w14:paraId="7B09DB5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.1</w:t>
      </w:r>
      <w:r>
        <w:rPr>
          <w:rFonts w:hint="eastAsia" w:ascii="宋体" w:hAnsi="宋体" w:cs="宋体"/>
          <w:b/>
          <w:color w:val="auto"/>
          <w:sz w:val="24"/>
        </w:rPr>
        <w:t>资格文件</w:t>
      </w:r>
      <w:r>
        <w:rPr>
          <w:rFonts w:hint="eastAsia" w:ascii="宋体" w:hAnsi="宋体" w:cs="宋体"/>
          <w:color w:val="auto"/>
          <w:sz w:val="24"/>
        </w:rPr>
        <w:t>：</w:t>
      </w:r>
    </w:p>
    <w:p w14:paraId="4A5BE758">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.1.1符合参加政府采购活动应当具备的一般条件的承诺函；</w:t>
      </w:r>
    </w:p>
    <w:p w14:paraId="1F051318">
      <w:pPr>
        <w:snapToGrid w:val="0"/>
        <w:spacing w:line="360" w:lineRule="auto"/>
        <w:ind w:firstLine="960" w:firstLineChars="400"/>
        <w:rPr>
          <w:rFonts w:hint="eastAsia" w:ascii="宋体" w:hAnsi="宋体" w:eastAsia="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eastAsia="宋体" w:cs="宋体"/>
          <w:color w:val="auto"/>
          <w:sz w:val="24"/>
        </w:rPr>
        <w:t>有效的企业法人营业执照（或事业法人登记证）、其他组织（个体工商户）的营业执照或者民办非企业单位登记证书复印件；</w:t>
      </w:r>
    </w:p>
    <w:p w14:paraId="7BE30D32">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lang w:val="en-US" w:eastAsia="zh-CN"/>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490DE57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.2.1投标函；</w:t>
      </w:r>
      <w:r>
        <w:rPr>
          <w:rFonts w:hint="eastAsia" w:ascii="宋体" w:hAnsi="宋体" w:cs="宋体"/>
          <w:color w:val="auto"/>
          <w:sz w:val="24"/>
          <w:lang w:val="zh-CN"/>
        </w:rPr>
        <w:t xml:space="preserve"> </w:t>
      </w:r>
    </w:p>
    <w:p w14:paraId="6ACD8AC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.2.2授权委托书或法定代表人（单位负责人、自然人本人）身份证明；</w:t>
      </w:r>
    </w:p>
    <w:p w14:paraId="26FFD0C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.2.</w:t>
      </w:r>
      <w:r>
        <w:rPr>
          <w:rFonts w:hint="eastAsia" w:ascii="宋体" w:hAnsi="宋体" w:cs="宋体"/>
          <w:color w:val="auto"/>
          <w:sz w:val="24"/>
          <w:lang w:val="en-US" w:eastAsia="zh-CN"/>
        </w:rPr>
        <w:t>3</w:t>
      </w:r>
      <w:r>
        <w:rPr>
          <w:rFonts w:hint="eastAsia" w:ascii="宋体" w:hAnsi="宋体" w:cs="宋体"/>
          <w:color w:val="auto"/>
          <w:sz w:val="24"/>
        </w:rPr>
        <w:t>符合性审查资料；</w:t>
      </w:r>
    </w:p>
    <w:p w14:paraId="45A3296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.2.</w:t>
      </w:r>
      <w:r>
        <w:rPr>
          <w:rFonts w:hint="eastAsia" w:ascii="宋体" w:hAnsi="宋体" w:cs="宋体"/>
          <w:color w:val="auto"/>
          <w:sz w:val="24"/>
          <w:lang w:val="en-US" w:eastAsia="zh-CN"/>
        </w:rPr>
        <w:t>4</w:t>
      </w:r>
      <w:r>
        <w:rPr>
          <w:rFonts w:hint="eastAsia" w:ascii="宋体" w:hAnsi="宋体" w:cs="宋体"/>
          <w:color w:val="auto"/>
          <w:sz w:val="24"/>
        </w:rPr>
        <w:t>评标标准相应的商务技术资料；</w:t>
      </w:r>
    </w:p>
    <w:p w14:paraId="3CDC05E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.2.</w:t>
      </w:r>
      <w:r>
        <w:rPr>
          <w:rFonts w:hint="eastAsia" w:ascii="宋体" w:hAnsi="宋体" w:cs="宋体"/>
          <w:color w:val="auto"/>
          <w:sz w:val="24"/>
          <w:lang w:val="en-US" w:eastAsia="zh-CN"/>
        </w:rPr>
        <w:t>5</w:t>
      </w:r>
      <w:r>
        <w:rPr>
          <w:rFonts w:hint="eastAsia" w:ascii="宋体" w:hAnsi="宋体" w:cs="宋体"/>
          <w:color w:val="auto"/>
          <w:sz w:val="24"/>
        </w:rPr>
        <w:t>商务技术偏离表；</w:t>
      </w:r>
    </w:p>
    <w:p w14:paraId="3DE4ABFF">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lang w:val="en-US" w:eastAsia="zh-CN"/>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6</w:t>
      </w:r>
      <w:r>
        <w:rPr>
          <w:rFonts w:hint="eastAsia" w:ascii="宋体" w:hAnsi="宋体" w:cs="宋体"/>
          <w:color w:val="auto"/>
          <w:sz w:val="24"/>
          <w:lang w:val="zh-CN"/>
        </w:rPr>
        <w:t>政府采购投标人廉洁自律承诺书；</w:t>
      </w:r>
    </w:p>
    <w:p w14:paraId="047E3B42">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w:t>
      </w:r>
      <w:r>
        <w:rPr>
          <w:rFonts w:hint="eastAsia" w:ascii="宋体" w:hAnsi="宋体" w:cs="宋体"/>
          <w:color w:val="auto"/>
          <w:kern w:val="0"/>
          <w:sz w:val="24"/>
          <w:lang w:val="en-US" w:eastAsia="zh-CN"/>
        </w:rPr>
        <w:t>2</w:t>
      </w:r>
      <w:r>
        <w:rPr>
          <w:rFonts w:hint="eastAsia" w:ascii="宋体" w:hAnsi="宋体" w:cs="宋体"/>
          <w:color w:val="auto"/>
          <w:kern w:val="0"/>
          <w:sz w:val="24"/>
          <w:lang w:val="zh-CN"/>
        </w:rPr>
        <w:t>.</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602E71AA">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.3.1开标一览表（报价表）；</w:t>
      </w:r>
    </w:p>
    <w:p w14:paraId="0D3E144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.3.</w:t>
      </w:r>
      <w:r>
        <w:rPr>
          <w:rFonts w:hint="eastAsia" w:ascii="宋体" w:hAnsi="宋体" w:cs="宋体"/>
          <w:color w:val="auto"/>
          <w:sz w:val="24"/>
          <w:lang w:val="en-US" w:eastAsia="zh-CN"/>
        </w:rPr>
        <w:t>2</w:t>
      </w:r>
      <w:r>
        <w:rPr>
          <w:rFonts w:hint="eastAsia" w:ascii="宋体" w:hAnsi="宋体" w:cs="宋体"/>
          <w:color w:val="auto"/>
          <w:sz w:val="24"/>
        </w:rPr>
        <w:t>中小企业声明函。</w:t>
      </w:r>
    </w:p>
    <w:p w14:paraId="751DF1A6">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2231825D">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1849DAF5">
      <w:pPr>
        <w:spacing w:line="360" w:lineRule="auto"/>
        <w:ind w:firstLine="720" w:firstLineChars="300"/>
        <w:rPr>
          <w:color w:val="auto"/>
        </w:rPr>
      </w:pPr>
      <w:r>
        <w:rPr>
          <w:rFonts w:hint="eastAsia"/>
          <w:color w:val="auto"/>
          <w:sz w:val="24"/>
          <w:szCs w:val="24"/>
          <w:shd w:val="clear" w:color="auto" w:fill="FFFFFF"/>
          <w:lang w:val="en-US" w:eastAsia="zh-CN"/>
        </w:rPr>
        <w:t>投标人应对投标文件中材料的真实性、合法性负责。</w:t>
      </w:r>
    </w:p>
    <w:p w14:paraId="0050A106">
      <w:pPr>
        <w:pStyle w:val="133"/>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w:t>
      </w:r>
      <w:r>
        <w:rPr>
          <w:rFonts w:hint="eastAsia" w:ascii="宋体" w:hAnsi="宋体" w:cs="宋体"/>
          <w:b/>
          <w:color w:val="auto"/>
          <w:szCs w:val="24"/>
          <w:lang w:val="en-US" w:eastAsia="zh-CN"/>
        </w:rPr>
        <w:t>3</w:t>
      </w:r>
      <w:r>
        <w:rPr>
          <w:rFonts w:hint="eastAsia" w:ascii="宋体" w:hAnsi="宋体" w:cs="宋体"/>
          <w:b/>
          <w:color w:val="auto"/>
          <w:kern w:val="0"/>
          <w:szCs w:val="24"/>
          <w:lang w:val="en-US" w:eastAsia="zh-CN"/>
        </w:rPr>
        <w:t>.</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3AC9BD0A">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w:t>
      </w:r>
      <w:r>
        <w:rPr>
          <w:rFonts w:hint="eastAsia" w:ascii="宋体" w:hAnsi="宋体" w:cs="宋体"/>
          <w:color w:val="auto"/>
          <w:kern w:val="0"/>
          <w:sz w:val="24"/>
          <w:lang w:val="en-US" w:eastAsia="zh-CN"/>
        </w:rPr>
        <w:t>3</w:t>
      </w:r>
      <w:r>
        <w:rPr>
          <w:rFonts w:hint="eastAsia" w:ascii="宋体" w:hAnsi="宋体" w:cs="宋体"/>
          <w:color w:val="auto"/>
          <w:kern w:val="0"/>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8ECB9E4">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lang w:val="en-US" w:eastAsia="zh-CN"/>
        </w:rPr>
        <w:t>3</w:t>
      </w:r>
      <w:r>
        <w:rPr>
          <w:rFonts w:hint="eastAsia" w:ascii="宋体" w:hAnsi="宋体" w:cs="宋体"/>
          <w:color w:val="auto"/>
          <w:kern w:val="0"/>
          <w:sz w:val="24"/>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6351FB11">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lang w:val="en-US" w:eastAsia="zh-CN"/>
        </w:rPr>
        <w:t>3</w:t>
      </w:r>
      <w:r>
        <w:rPr>
          <w:rFonts w:hint="eastAsia" w:ascii="宋体" w:hAnsi="宋体" w:cs="宋体"/>
          <w:color w:val="auto"/>
          <w:kern w:val="0"/>
          <w:sz w:val="24"/>
          <w:lang w:val="zh-CN"/>
        </w:rPr>
        <w:t>.3使用“政采云电子交易客户端”需要提前申领CA数字证书，申领流程请自行前往“浙江政府采购网-下载专区-电子交易客户端-CA驱动和申领流程”进行查阅。</w:t>
      </w:r>
    </w:p>
    <w:p w14:paraId="0CBE6AB3">
      <w:pPr>
        <w:snapToGrid w:val="0"/>
        <w:spacing w:line="360" w:lineRule="auto"/>
        <w:rPr>
          <w:rFonts w:ascii="宋体" w:hAnsi="宋体" w:cs="宋体"/>
          <w:b/>
          <w:color w:val="auto"/>
          <w:sz w:val="24"/>
        </w:rPr>
      </w:pPr>
      <w:r>
        <w:rPr>
          <w:rFonts w:hint="eastAsia" w:ascii="宋体" w:hAnsi="宋体" w:cs="宋体"/>
          <w:b/>
          <w:color w:val="auto"/>
          <w:sz w:val="24"/>
        </w:rPr>
        <w:t>1</w:t>
      </w:r>
      <w:r>
        <w:rPr>
          <w:rFonts w:hint="eastAsia" w:ascii="宋体" w:hAnsi="宋体" w:cs="宋体"/>
          <w:b/>
          <w:color w:val="auto"/>
          <w:sz w:val="24"/>
          <w:lang w:val="en-US" w:eastAsia="zh-CN"/>
        </w:rPr>
        <w:t>4</w:t>
      </w:r>
      <w:r>
        <w:rPr>
          <w:rFonts w:hint="eastAsia" w:ascii="宋体" w:hAnsi="宋体" w:cs="宋体"/>
          <w:b/>
          <w:color w:val="auto"/>
          <w:sz w:val="24"/>
        </w:rPr>
        <w:t>.投标文件的签署、盖章</w:t>
      </w:r>
    </w:p>
    <w:p w14:paraId="4C2933FB">
      <w:pPr>
        <w:pStyle w:val="133"/>
        <w:snapToGrid w:val="0"/>
        <w:spacing w:before="0"/>
        <w:ind w:firstLine="480"/>
        <w:rPr>
          <w:rFonts w:ascii="宋体" w:hAnsi="宋体" w:cs="宋体"/>
          <w:b/>
          <w:color w:val="auto"/>
        </w:rPr>
      </w:pPr>
      <w:r>
        <w:rPr>
          <w:rFonts w:hint="eastAsia" w:ascii="宋体" w:hAnsi="宋体" w:cs="宋体"/>
          <w:color w:val="auto"/>
          <w:szCs w:val="24"/>
        </w:rPr>
        <w:t>1</w:t>
      </w:r>
      <w:r>
        <w:rPr>
          <w:rFonts w:hint="eastAsia" w:ascii="宋体" w:hAnsi="宋体" w:cs="宋体"/>
          <w:color w:val="auto"/>
          <w:szCs w:val="24"/>
          <w:lang w:val="en-US" w:eastAsia="zh-CN"/>
        </w:rPr>
        <w:t>4</w:t>
      </w:r>
      <w:r>
        <w:rPr>
          <w:rFonts w:hint="eastAsia" w:ascii="宋体" w:hAnsi="宋体" w:cs="宋体"/>
          <w:color w:val="auto"/>
          <w:szCs w:val="24"/>
        </w:rPr>
        <w:t>.1投标文件按照招标文件第六部分格式要</w:t>
      </w:r>
      <w:r>
        <w:rPr>
          <w:rFonts w:hint="eastAsia" w:ascii="宋体" w:hAnsi="宋体" w:cs="宋体"/>
          <w:color w:val="auto"/>
        </w:rPr>
        <w:t>求进行签署、盖章。</w:t>
      </w:r>
      <w:r>
        <w:rPr>
          <w:rFonts w:hint="eastAsia" w:ascii="宋体" w:hAnsi="宋体" w:cs="宋体"/>
          <w:b/>
          <w:color w:val="auto"/>
          <w:lang w:eastAsia="zh-CN"/>
        </w:rPr>
        <w:t>★</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56762021">
      <w:pPr>
        <w:pStyle w:val="133"/>
        <w:snapToGrid w:val="0"/>
        <w:spacing w:before="0"/>
        <w:ind w:firstLine="480"/>
        <w:rPr>
          <w:rFonts w:ascii="宋体" w:hAnsi="宋体" w:cs="宋体"/>
          <w:color w:val="auto"/>
        </w:rPr>
      </w:pPr>
      <w:r>
        <w:rPr>
          <w:rFonts w:hint="eastAsia" w:ascii="宋体" w:hAnsi="宋体" w:cs="宋体"/>
          <w:color w:val="auto"/>
        </w:rPr>
        <w:t>1</w:t>
      </w:r>
      <w:r>
        <w:rPr>
          <w:rFonts w:hint="eastAsia" w:ascii="宋体" w:hAnsi="宋体" w:cs="宋体"/>
          <w:color w:val="auto"/>
          <w:lang w:val="en-US" w:eastAsia="zh-CN"/>
        </w:rPr>
        <w:t>4</w:t>
      </w:r>
      <w:r>
        <w:rPr>
          <w:rFonts w:hint="eastAsia" w:ascii="宋体" w:hAnsi="宋体" w:cs="宋体"/>
          <w:color w:val="auto"/>
        </w:rPr>
        <w:t>.2为确保网上操作合法、有效和安全，投标人应当在投标截止时间前完成在“政府采购云平台”的身份认证，确保在电子投标过程中能够对相关数据电文进行加密和使用电子签名。</w:t>
      </w:r>
    </w:p>
    <w:p w14:paraId="25C902F4">
      <w:pPr>
        <w:pStyle w:val="133"/>
        <w:snapToGrid w:val="0"/>
        <w:spacing w:before="0"/>
        <w:ind w:firstLine="480"/>
        <w:rPr>
          <w:rFonts w:ascii="宋体" w:hAnsi="宋体" w:cs="宋体"/>
          <w:color w:val="auto"/>
          <w:szCs w:val="24"/>
        </w:rPr>
      </w:pPr>
      <w:r>
        <w:rPr>
          <w:rFonts w:hint="eastAsia" w:ascii="宋体" w:hAnsi="宋体" w:cs="宋体"/>
          <w:color w:val="auto"/>
        </w:rPr>
        <w:t>1</w:t>
      </w:r>
      <w:r>
        <w:rPr>
          <w:rFonts w:hint="eastAsia" w:ascii="宋体" w:hAnsi="宋体" w:cs="宋体"/>
          <w:color w:val="auto"/>
          <w:lang w:val="en-US" w:eastAsia="zh-CN"/>
        </w:rPr>
        <w:t>4</w:t>
      </w:r>
      <w:r>
        <w:rPr>
          <w:rFonts w:hint="eastAsia" w:ascii="宋体" w:hAnsi="宋体" w:cs="宋体"/>
          <w:color w:val="auto"/>
        </w:rPr>
        <w:t>.3招标文件对投标文件签署、盖章的要求适用于电子签名。</w:t>
      </w:r>
    </w:p>
    <w:p w14:paraId="49D3F453">
      <w:pPr>
        <w:pStyle w:val="133"/>
        <w:spacing w:before="0"/>
        <w:ind w:firstLine="0" w:firstLineChars="0"/>
        <w:rPr>
          <w:rFonts w:ascii="宋体" w:hAnsi="宋体" w:cs="宋体"/>
          <w:b/>
          <w:color w:val="auto"/>
          <w:szCs w:val="24"/>
        </w:rPr>
      </w:pPr>
      <w:r>
        <w:rPr>
          <w:rFonts w:hint="eastAsia" w:ascii="宋体" w:hAnsi="宋体" w:cs="宋体"/>
          <w:b/>
          <w:color w:val="auto"/>
          <w:szCs w:val="24"/>
        </w:rPr>
        <w:t>1</w:t>
      </w:r>
      <w:r>
        <w:rPr>
          <w:rFonts w:hint="eastAsia" w:ascii="宋体" w:hAnsi="宋体" w:cs="宋体"/>
          <w:b/>
          <w:color w:val="auto"/>
          <w:szCs w:val="24"/>
          <w:lang w:val="en-US" w:eastAsia="zh-CN"/>
        </w:rPr>
        <w:t>5</w:t>
      </w:r>
      <w:r>
        <w:rPr>
          <w:rFonts w:hint="eastAsia" w:ascii="宋体" w:hAnsi="宋体" w:cs="宋体"/>
          <w:b/>
          <w:color w:val="auto"/>
          <w:szCs w:val="24"/>
        </w:rPr>
        <w:t>. 投标文件的提交、补充、修改、撤回</w:t>
      </w:r>
    </w:p>
    <w:p w14:paraId="17C7796B">
      <w:pPr>
        <w:pStyle w:val="133"/>
        <w:ind w:firstLine="480"/>
        <w:rPr>
          <w:rFonts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val="en-US" w:eastAsia="zh-CN"/>
        </w:rPr>
        <w:t>5</w:t>
      </w:r>
      <w:r>
        <w:rPr>
          <w:rFonts w:hint="eastAsia" w:ascii="宋体" w:hAnsi="宋体" w:cs="宋体"/>
          <w:color w:val="auto"/>
          <w:szCs w:val="24"/>
        </w:rPr>
        <w:t xml:space="preserve">.1 </w:t>
      </w:r>
      <w:r>
        <w:rPr>
          <w:rFonts w:hint="eastAsia" w:ascii="宋体" w:hAnsi="宋体" w:cs="宋体"/>
          <w:color w:val="auto"/>
          <w:szCs w:val="24"/>
          <w:lang w:eastAsia="zh-CN"/>
        </w:rPr>
        <w:t>投标人</w:t>
      </w:r>
      <w:r>
        <w:rPr>
          <w:rFonts w:hint="eastAsia" w:ascii="宋体" w:hAnsi="宋体" w:cs="宋体"/>
          <w:color w:val="auto"/>
          <w:szCs w:val="24"/>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D245D87">
      <w:pPr>
        <w:pStyle w:val="133"/>
        <w:spacing w:before="0"/>
        <w:ind w:firstLine="480"/>
        <w:rPr>
          <w:rFonts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val="en-US" w:eastAsia="zh-CN"/>
        </w:rPr>
        <w:t>5</w:t>
      </w:r>
      <w:r>
        <w:rPr>
          <w:rFonts w:hint="eastAsia" w:ascii="宋体" w:hAnsi="宋体" w:cs="宋体"/>
          <w:color w:val="auto"/>
          <w:szCs w:val="24"/>
        </w:rPr>
        <w:t>.2电子交易平台收到投标文件，将妥善保存并即时向</w:t>
      </w:r>
      <w:r>
        <w:rPr>
          <w:rFonts w:hint="eastAsia" w:ascii="宋体" w:hAnsi="宋体" w:cs="宋体"/>
          <w:color w:val="auto"/>
          <w:szCs w:val="24"/>
          <w:lang w:eastAsia="zh-CN"/>
        </w:rPr>
        <w:t>投标人</w:t>
      </w:r>
      <w:r>
        <w:rPr>
          <w:rFonts w:hint="eastAsia" w:ascii="宋体" w:hAnsi="宋体" w:cs="宋体"/>
          <w:color w:val="auto"/>
          <w:szCs w:val="24"/>
        </w:rPr>
        <w:t>发出确认回执通知。在投标截止时间前，除</w:t>
      </w:r>
      <w:r>
        <w:rPr>
          <w:rFonts w:hint="eastAsia" w:ascii="宋体" w:hAnsi="宋体" w:cs="宋体"/>
          <w:color w:val="auto"/>
          <w:szCs w:val="24"/>
          <w:lang w:eastAsia="zh-CN"/>
        </w:rPr>
        <w:t>投标人</w:t>
      </w:r>
      <w:r>
        <w:rPr>
          <w:rFonts w:hint="eastAsia" w:ascii="宋体" w:hAnsi="宋体" w:cs="宋体"/>
          <w:color w:val="auto"/>
          <w:szCs w:val="24"/>
        </w:rPr>
        <w:t>补充、修改或者撤回投标文件外，任何单位和个人不得解密或提取投标文件。</w:t>
      </w:r>
    </w:p>
    <w:p w14:paraId="68CDE965">
      <w:pPr>
        <w:pStyle w:val="133"/>
        <w:spacing w:before="0"/>
        <w:ind w:firstLine="480"/>
        <w:rPr>
          <w:rFonts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val="en-US" w:eastAsia="zh-CN"/>
        </w:rPr>
        <w:t>5</w:t>
      </w:r>
      <w:r>
        <w:rPr>
          <w:rFonts w:hint="eastAsia" w:ascii="宋体" w:hAnsi="宋体" w:cs="宋体"/>
          <w:color w:val="auto"/>
          <w:szCs w:val="24"/>
        </w:rPr>
        <w:t>.3采购人、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4BDC895B">
      <w:pPr>
        <w:pStyle w:val="33"/>
        <w:spacing w:line="360" w:lineRule="auto"/>
        <w:rPr>
          <w:rFonts w:hAnsi="宋体" w:cs="宋体"/>
          <w:b/>
          <w:color w:val="auto"/>
          <w:sz w:val="24"/>
          <w:szCs w:val="24"/>
        </w:rPr>
      </w:pPr>
      <w:r>
        <w:rPr>
          <w:rFonts w:hint="eastAsia" w:hAnsi="宋体" w:cs="宋体"/>
          <w:b/>
          <w:color w:val="auto"/>
          <w:sz w:val="24"/>
          <w:szCs w:val="24"/>
        </w:rPr>
        <w:t>1</w:t>
      </w:r>
      <w:r>
        <w:rPr>
          <w:rFonts w:hint="eastAsia" w:hAnsi="宋体" w:cs="宋体"/>
          <w:b/>
          <w:color w:val="auto"/>
          <w:sz w:val="24"/>
          <w:szCs w:val="24"/>
          <w:lang w:val="en-US" w:eastAsia="zh-CN"/>
        </w:rPr>
        <w:t>6</w:t>
      </w:r>
      <w:r>
        <w:rPr>
          <w:rFonts w:hint="eastAsia" w:hAnsi="宋体" w:cs="宋体"/>
          <w:b/>
          <w:color w:val="auto"/>
          <w:sz w:val="24"/>
          <w:szCs w:val="24"/>
        </w:rPr>
        <w:t>.备份投标文件</w:t>
      </w:r>
    </w:p>
    <w:p w14:paraId="0531626C">
      <w:pPr>
        <w:pStyle w:val="33"/>
        <w:spacing w:line="360" w:lineRule="auto"/>
        <w:ind w:firstLine="360" w:firstLineChars="150"/>
        <w:rPr>
          <w:rFonts w:hAnsi="宋体" w:cs="宋体"/>
          <w:b/>
          <w:color w:val="auto"/>
          <w:sz w:val="24"/>
          <w:szCs w:val="24"/>
        </w:rPr>
      </w:pPr>
      <w:r>
        <w:rPr>
          <w:rFonts w:hint="eastAsia" w:hAnsi="宋体" w:cs="宋体"/>
          <w:color w:val="auto"/>
          <w:sz w:val="24"/>
          <w:szCs w:val="24"/>
        </w:rPr>
        <w:t xml:space="preserve"> 1</w:t>
      </w:r>
      <w:r>
        <w:rPr>
          <w:rFonts w:hint="eastAsia" w:hAnsi="宋体" w:cs="宋体"/>
          <w:color w:val="auto"/>
          <w:sz w:val="24"/>
          <w:szCs w:val="24"/>
          <w:lang w:val="en-US" w:eastAsia="zh-CN"/>
        </w:rPr>
        <w:t>6</w:t>
      </w:r>
      <w:r>
        <w:rPr>
          <w:rFonts w:hint="eastAsia" w:hAnsi="宋体" w:cs="宋体"/>
          <w:color w:val="auto"/>
          <w:sz w:val="24"/>
          <w:szCs w:val="24"/>
        </w:rPr>
        <w:t>.1投标人在电子交易平台传输递交投标文件后，还可以在投标截止时间前直接提交或者以邮政快递方式递交备份投标文件1份，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2E7910B4">
      <w:pPr>
        <w:pStyle w:val="33"/>
        <w:spacing w:line="360" w:lineRule="auto"/>
        <w:ind w:firstLine="480" w:firstLineChars="200"/>
        <w:rPr>
          <w:rFonts w:hAnsi="宋体" w:cs="宋体"/>
          <w:b/>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6</w:t>
      </w:r>
      <w:r>
        <w:rPr>
          <w:rFonts w:hint="eastAsia" w:hAnsi="宋体" w:cs="宋体"/>
          <w:color w:val="auto"/>
          <w:sz w:val="24"/>
          <w:szCs w:val="24"/>
        </w:rPr>
        <w:t>.2备份投标文件须在“政采云投标客户端”制作生成，并储存在</w:t>
      </w:r>
      <w:r>
        <w:rPr>
          <w:rFonts w:hint="eastAsia" w:hAnsi="宋体" w:cs="宋体"/>
          <w:color w:val="auto"/>
          <w:sz w:val="24"/>
          <w:lang w:val="en-US" w:eastAsia="zh-CN"/>
        </w:rPr>
        <w:t>U</w:t>
      </w:r>
      <w:r>
        <w:rPr>
          <w:rFonts w:hint="eastAsia" w:hAnsi="宋体" w:cs="宋体"/>
          <w:color w:val="auto"/>
          <w:sz w:val="24"/>
        </w:rPr>
        <w:t>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0C980489">
      <w:pPr>
        <w:pStyle w:val="33"/>
        <w:spacing w:line="360" w:lineRule="auto"/>
        <w:ind w:firstLine="480" w:firstLineChars="200"/>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6</w:t>
      </w:r>
      <w:r>
        <w:rPr>
          <w:rFonts w:hint="eastAsia" w:hAnsi="宋体" w:cs="宋体"/>
          <w:color w:val="auto"/>
          <w:sz w:val="24"/>
          <w:szCs w:val="24"/>
        </w:rPr>
        <w:t>.3直接提交备份投标文件的，投标人应于投标截止时间前在招标公告中载明的开标地点将备份投标文件提交给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1158B8D9">
      <w:pPr>
        <w:pStyle w:val="33"/>
        <w:spacing w:line="360" w:lineRule="auto"/>
        <w:ind w:firstLine="480" w:firstLineChars="200"/>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6</w:t>
      </w:r>
      <w:r>
        <w:rPr>
          <w:rFonts w:hint="eastAsia" w:hAnsi="宋体" w:cs="宋体"/>
          <w:color w:val="auto"/>
          <w:sz w:val="24"/>
          <w:szCs w:val="24"/>
        </w:rPr>
        <w:t>.4以邮政快递方式递交备份投标文件的，投标人应先将备份投标文件按要求密封和标记，再进行邮政快递包装后邮寄。备份投标文件须在投标截止时间之前送达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22542544">
      <w:pPr>
        <w:pStyle w:val="33"/>
        <w:spacing w:line="360" w:lineRule="auto"/>
        <w:ind w:firstLine="479" w:firstLineChars="199"/>
        <w:rPr>
          <w:rFonts w:hAnsi="宋体" w:cs="宋体"/>
          <w:b/>
          <w:color w:val="auto"/>
          <w:sz w:val="24"/>
          <w:szCs w:val="24"/>
        </w:rPr>
      </w:pPr>
      <w:r>
        <w:rPr>
          <w:rFonts w:hint="eastAsia" w:hAnsi="宋体" w:cs="宋体"/>
          <w:b/>
          <w:color w:val="auto"/>
          <w:sz w:val="24"/>
          <w:szCs w:val="24"/>
        </w:rPr>
        <w:t>1</w:t>
      </w:r>
      <w:r>
        <w:rPr>
          <w:rFonts w:hint="eastAsia" w:hAnsi="宋体" w:cs="宋体"/>
          <w:b/>
          <w:color w:val="auto"/>
          <w:sz w:val="24"/>
          <w:szCs w:val="24"/>
          <w:lang w:val="en-US" w:eastAsia="zh-CN"/>
        </w:rPr>
        <w:t>6</w:t>
      </w:r>
      <w:r>
        <w:rPr>
          <w:rFonts w:hint="eastAsia" w:hAnsi="宋体" w:cs="宋体"/>
          <w:b/>
          <w:color w:val="auto"/>
          <w:sz w:val="24"/>
          <w:szCs w:val="24"/>
        </w:rPr>
        <w:t>.5投标人仅提交备份投标文件，未在电子交易平台传输递交投标文件的，投标无效。</w:t>
      </w:r>
    </w:p>
    <w:p w14:paraId="7E6B9C90">
      <w:pPr>
        <w:pStyle w:val="133"/>
        <w:spacing w:before="0"/>
        <w:ind w:firstLine="0" w:firstLineChars="0"/>
        <w:rPr>
          <w:rFonts w:ascii="宋体" w:hAnsi="宋体" w:cs="宋体"/>
          <w:b/>
          <w:color w:val="auto"/>
          <w:szCs w:val="24"/>
        </w:rPr>
      </w:pPr>
      <w:r>
        <w:rPr>
          <w:rFonts w:hint="eastAsia" w:ascii="宋体" w:hAnsi="宋体" w:cs="宋体"/>
          <w:b/>
          <w:color w:val="auto"/>
          <w:szCs w:val="24"/>
        </w:rPr>
        <w:t>1</w:t>
      </w:r>
      <w:r>
        <w:rPr>
          <w:rFonts w:hint="eastAsia" w:ascii="宋体" w:hAnsi="宋体" w:cs="宋体"/>
          <w:b/>
          <w:color w:val="auto"/>
          <w:szCs w:val="24"/>
          <w:lang w:val="en-US" w:eastAsia="zh-CN"/>
        </w:rPr>
        <w:t>7</w:t>
      </w:r>
      <w:r>
        <w:rPr>
          <w:rFonts w:hint="eastAsia" w:ascii="宋体" w:hAnsi="宋体" w:cs="宋体"/>
          <w:b/>
          <w:color w:val="auto"/>
          <w:szCs w:val="24"/>
        </w:rPr>
        <w:t>.投标文件的无效处理</w:t>
      </w:r>
    </w:p>
    <w:p w14:paraId="3298730B">
      <w:pPr>
        <w:pStyle w:val="25"/>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14:paraId="1103DCEE">
      <w:pPr>
        <w:pStyle w:val="133"/>
        <w:spacing w:before="0"/>
        <w:ind w:firstLine="0" w:firstLineChars="0"/>
        <w:rPr>
          <w:rFonts w:ascii="宋体" w:hAnsi="宋体" w:cs="宋体"/>
          <w:b/>
          <w:color w:val="auto"/>
          <w:szCs w:val="24"/>
        </w:rPr>
      </w:pPr>
      <w:r>
        <w:rPr>
          <w:rFonts w:hint="eastAsia" w:ascii="宋体" w:hAnsi="宋体" w:cs="宋体"/>
          <w:b/>
          <w:color w:val="auto"/>
          <w:szCs w:val="24"/>
        </w:rPr>
        <w:t>1</w:t>
      </w:r>
      <w:r>
        <w:rPr>
          <w:rFonts w:hint="eastAsia" w:ascii="宋体" w:hAnsi="宋体" w:cs="宋体"/>
          <w:b/>
          <w:color w:val="auto"/>
          <w:szCs w:val="24"/>
          <w:lang w:val="en-US" w:eastAsia="zh-CN"/>
        </w:rPr>
        <w:t>8</w:t>
      </w:r>
      <w:r>
        <w:rPr>
          <w:rFonts w:hint="eastAsia" w:ascii="宋体" w:hAnsi="宋体" w:cs="宋体"/>
          <w:b/>
          <w:color w:val="auto"/>
          <w:szCs w:val="24"/>
        </w:rPr>
        <w:t>.投标有效期</w:t>
      </w:r>
    </w:p>
    <w:p w14:paraId="65DA5F00">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w:t>
      </w:r>
      <w:r>
        <w:rPr>
          <w:rFonts w:hint="eastAsia" w:ascii="宋体" w:hAnsi="宋体" w:cs="宋体"/>
          <w:color w:val="auto"/>
          <w:sz w:val="24"/>
          <w:szCs w:val="20"/>
          <w:lang w:val="en-US" w:eastAsia="zh-CN"/>
        </w:rPr>
        <w:t>8</w:t>
      </w:r>
      <w:r>
        <w:rPr>
          <w:rFonts w:hint="eastAsia" w:ascii="宋体" w:hAnsi="宋体" w:cs="宋体"/>
          <w:color w:val="auto"/>
          <w:sz w:val="24"/>
          <w:szCs w:val="20"/>
        </w:rPr>
        <w:t>.1投标有效期为从提交投标文件的截止之日起90天。</w:t>
      </w:r>
      <w:r>
        <w:rPr>
          <w:rFonts w:hint="eastAsia" w:ascii="宋体" w:hAnsi="宋体" w:cs="宋体"/>
          <w:color w:val="auto"/>
          <w:sz w:val="24"/>
          <w:szCs w:val="20"/>
          <w:lang w:eastAsia="zh-CN"/>
        </w:rPr>
        <w:t>★</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2D19EFFE">
      <w:pPr>
        <w:pStyle w:val="133"/>
        <w:spacing w:before="0"/>
        <w:ind w:firstLine="480"/>
        <w:rPr>
          <w:rFonts w:ascii="宋体" w:hAnsi="宋体" w:cs="宋体"/>
          <w:color w:val="auto"/>
        </w:rPr>
      </w:pPr>
      <w:r>
        <w:rPr>
          <w:rFonts w:hint="eastAsia" w:ascii="宋体" w:hAnsi="宋体" w:cs="宋体"/>
          <w:color w:val="auto"/>
        </w:rPr>
        <w:t>1</w:t>
      </w:r>
      <w:r>
        <w:rPr>
          <w:rFonts w:hint="eastAsia" w:ascii="宋体" w:hAnsi="宋体" w:cs="宋体"/>
          <w:color w:val="auto"/>
          <w:lang w:val="en-US" w:eastAsia="zh-CN"/>
        </w:rPr>
        <w:t>8</w:t>
      </w:r>
      <w:r>
        <w:rPr>
          <w:rFonts w:hint="eastAsia" w:ascii="宋体" w:hAnsi="宋体" w:cs="宋体"/>
          <w:color w:val="auto"/>
        </w:rPr>
        <w:t>.2投标文件合格投递后，自投标截止日期起，在投标有效期内有效。</w:t>
      </w:r>
    </w:p>
    <w:p w14:paraId="0832B207">
      <w:pPr>
        <w:pStyle w:val="133"/>
        <w:spacing w:before="0"/>
        <w:ind w:firstLine="480"/>
        <w:rPr>
          <w:rFonts w:hint="eastAsia" w:ascii="宋体" w:hAnsi="宋体" w:cs="宋体"/>
          <w:color w:val="auto"/>
        </w:rPr>
      </w:pPr>
      <w:r>
        <w:rPr>
          <w:rFonts w:hint="eastAsia" w:ascii="宋体" w:hAnsi="宋体" w:cs="宋体"/>
          <w:color w:val="auto"/>
        </w:rPr>
        <w:t>1</w:t>
      </w:r>
      <w:r>
        <w:rPr>
          <w:rFonts w:hint="eastAsia" w:ascii="宋体" w:hAnsi="宋体" w:cs="宋体"/>
          <w:color w:val="auto"/>
          <w:lang w:val="en-US" w:eastAsia="zh-CN"/>
        </w:rPr>
        <w:t>8</w:t>
      </w:r>
      <w:r>
        <w:rPr>
          <w:rFonts w:hint="eastAsia" w:ascii="宋体" w:hAnsi="宋体" w:cs="宋体"/>
          <w:color w:val="auto"/>
        </w:rPr>
        <w:t>.3在原定投标有效期满之前，如果出现特殊情况，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7B7060EF">
      <w:pPr>
        <w:pStyle w:val="133"/>
        <w:spacing w:before="0"/>
        <w:ind w:firstLine="480"/>
        <w:rPr>
          <w:rFonts w:hint="eastAsia" w:ascii="宋体" w:hAnsi="宋体" w:cs="宋体"/>
          <w:color w:val="auto"/>
        </w:rPr>
      </w:pPr>
    </w:p>
    <w:p w14:paraId="56B912BC">
      <w:pPr>
        <w:pStyle w:val="133"/>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076B223E">
      <w:pPr>
        <w:pStyle w:val="558"/>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w:t>
      </w:r>
      <w:r>
        <w:rPr>
          <w:rFonts w:hint="eastAsia" w:ascii="宋体" w:hAnsi="宋体" w:cs="宋体"/>
          <w:b/>
          <w:color w:val="auto"/>
          <w:sz w:val="24"/>
          <w:szCs w:val="24"/>
          <w:lang w:val="en-US" w:eastAsia="zh-CN"/>
        </w:rPr>
        <w:t>9</w:t>
      </w:r>
      <w:r>
        <w:rPr>
          <w:rFonts w:hint="eastAsia" w:ascii="宋体" w:hAnsi="宋体" w:cs="宋体"/>
          <w:b/>
          <w:color w:val="auto"/>
          <w:sz w:val="24"/>
          <w:szCs w:val="24"/>
        </w:rPr>
        <w:t>.开标</w:t>
      </w:r>
      <w:r>
        <w:rPr>
          <w:rFonts w:hint="eastAsia" w:ascii="宋体" w:hAnsi="宋体" w:cs="宋体"/>
          <w:color w:val="auto"/>
          <w:sz w:val="24"/>
        </w:rPr>
        <w:t xml:space="preserve"> </w:t>
      </w:r>
    </w:p>
    <w:p w14:paraId="5910AB84">
      <w:pPr>
        <w:pStyle w:val="558"/>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9</w:t>
      </w:r>
      <w:r>
        <w:rPr>
          <w:rFonts w:hint="eastAsia" w:ascii="宋体" w:hAnsi="宋体" w:cs="宋体"/>
          <w:color w:val="auto"/>
          <w:sz w:val="24"/>
        </w:rPr>
        <w:t>.1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34189E3D">
      <w:pPr>
        <w:pStyle w:val="558"/>
        <w:spacing w:before="0" w:line="360" w:lineRule="auto"/>
        <w:ind w:left="0" w:firstLine="240" w:firstLineChars="100"/>
        <w:contextualSpacing/>
        <w:rPr>
          <w:rFonts w:hint="eastAsia" w:ascii="宋体" w:hAnsi="宋体" w:cs="宋体"/>
          <w:color w:val="auto"/>
          <w:sz w:val="24"/>
        </w:rPr>
      </w:pPr>
      <w:r>
        <w:rPr>
          <w:rFonts w:hint="eastAsia" w:ascii="宋体" w:hAnsi="宋体" w:cs="宋体"/>
          <w:color w:val="auto"/>
          <w:sz w:val="24"/>
        </w:rPr>
        <w:t>　1</w:t>
      </w:r>
      <w:r>
        <w:rPr>
          <w:rFonts w:hint="eastAsia" w:ascii="宋体" w:hAnsi="宋体" w:cs="宋体"/>
          <w:color w:val="auto"/>
          <w:sz w:val="24"/>
          <w:lang w:val="en-US" w:eastAsia="zh-CN"/>
        </w:rPr>
        <w:t>9</w:t>
      </w:r>
      <w:r>
        <w:rPr>
          <w:rFonts w:hint="eastAsia" w:ascii="宋体" w:hAnsi="宋体" w:cs="宋体"/>
          <w:color w:val="auto"/>
          <w:sz w:val="24"/>
        </w:rPr>
        <w:t>.2开标时，电子交易平台按开标时间自动提取所有投标文件。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488B48D2">
      <w:pPr>
        <w:pStyle w:val="558"/>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19.2.1具体开标程序：</w:t>
      </w:r>
    </w:p>
    <w:p w14:paraId="61C9BFBF">
      <w:pPr>
        <w:pStyle w:val="558"/>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第一阶段：</w:t>
      </w:r>
    </w:p>
    <w:p w14:paraId="070DF47E">
      <w:pPr>
        <w:pStyle w:val="558"/>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投标截止时间后，投标人登录政府采购云平台，用“项目采购－开标评标”功能对电子投标文件进行在线解密，在线解密电子投标文件时间为开标时间后30分钟内。</w:t>
      </w:r>
    </w:p>
    <w:p w14:paraId="1C83FD74">
      <w:pPr>
        <w:pStyle w:val="558"/>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在政府采购云平台开启已解密投标人的“资格文件、商务技术文件”，并做开标记录；</w:t>
      </w:r>
    </w:p>
    <w:p w14:paraId="6AF265BB">
      <w:pPr>
        <w:pStyle w:val="558"/>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第二阶段：</w:t>
      </w:r>
    </w:p>
    <w:p w14:paraId="40617421">
      <w:pPr>
        <w:pStyle w:val="558"/>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（1）在政府采购云平台宣告第一阶段评审无效投标人名单及理由；</w:t>
      </w:r>
    </w:p>
    <w:p w14:paraId="32A72DCF">
      <w:pPr>
        <w:pStyle w:val="558"/>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（2）公布经第一阶段评审符合招标文件要求的投标人的商务技术得分情况；</w:t>
      </w:r>
    </w:p>
    <w:p w14:paraId="632A477F">
      <w:pPr>
        <w:pStyle w:val="558"/>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（3）在政府采购云平台开启除第一阶段无效标外的投标人的“报价文件”，并做开标记录；</w:t>
      </w:r>
    </w:p>
    <w:p w14:paraId="697EA0A6">
      <w:pPr>
        <w:pStyle w:val="558"/>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（4）在政府采购云平台公布评审结果。</w:t>
      </w:r>
    </w:p>
    <w:p w14:paraId="310E5C88">
      <w:pPr>
        <w:pStyle w:val="558"/>
        <w:spacing w:before="0" w:line="360" w:lineRule="auto"/>
        <w:ind w:left="0" w:firstLine="240" w:firstLineChars="100"/>
        <w:contextualSpacing/>
        <w:rPr>
          <w:rFonts w:hint="default" w:ascii="宋体" w:hAnsi="宋体" w:eastAsia="宋体" w:cs="宋体"/>
          <w:color w:val="auto"/>
          <w:sz w:val="24"/>
          <w:lang w:val="en-US" w:eastAsia="zh-CN"/>
        </w:rPr>
      </w:pPr>
      <w:r>
        <w:rPr>
          <w:rFonts w:hint="eastAsia" w:ascii="宋体" w:hAnsi="宋体" w:cs="宋体"/>
          <w:color w:val="auto"/>
          <w:sz w:val="24"/>
          <w:highlight w:val="none"/>
          <w:lang w:val="en-US" w:eastAsia="zh-CN"/>
        </w:rPr>
        <w:t>　（5）开标会议结束。</w:t>
      </w:r>
    </w:p>
    <w:p w14:paraId="04152804">
      <w:pPr>
        <w:pStyle w:val="558"/>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w:t>
      </w:r>
      <w:r>
        <w:rPr>
          <w:rFonts w:hint="eastAsia" w:ascii="宋体" w:hAnsi="宋体" w:cs="宋体"/>
          <w:color w:val="auto"/>
          <w:sz w:val="24"/>
          <w:lang w:val="en-US" w:eastAsia="zh-CN"/>
        </w:rPr>
        <w:t>9</w:t>
      </w:r>
      <w:r>
        <w:rPr>
          <w:rFonts w:hint="eastAsia" w:ascii="宋体" w:hAnsi="宋体" w:cs="宋体"/>
          <w:color w:val="auto"/>
          <w:sz w:val="24"/>
        </w:rPr>
        <w:t>.3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4A2343F4">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w:t>
      </w:r>
      <w:r>
        <w:rPr>
          <w:rFonts w:hint="eastAsia" w:ascii="宋体" w:hAnsi="宋体" w:cs="宋体"/>
          <w:b/>
          <w:color w:val="auto"/>
          <w:sz w:val="24"/>
          <w:szCs w:val="20"/>
          <w:lang w:val="en-US" w:eastAsia="zh-CN"/>
        </w:rPr>
        <w:t>20</w:t>
      </w:r>
      <w:r>
        <w:rPr>
          <w:rFonts w:hint="eastAsia" w:ascii="宋体" w:hAnsi="宋体" w:cs="宋体"/>
          <w:b/>
          <w:color w:val="auto"/>
          <w:sz w:val="24"/>
          <w:szCs w:val="20"/>
        </w:rPr>
        <w:t>、资格审查</w:t>
      </w:r>
    </w:p>
    <w:p w14:paraId="47C25F75">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lang w:val="en-US" w:eastAsia="zh-CN"/>
        </w:rPr>
        <w:t>20</w:t>
      </w:r>
      <w:r>
        <w:rPr>
          <w:rFonts w:hint="eastAsia" w:ascii="宋体" w:hAnsi="宋体" w:cs="宋体"/>
          <w:color w:val="auto"/>
          <w:kern w:val="0"/>
          <w:sz w:val="24"/>
        </w:rPr>
        <w:t>.</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0C760D6B">
      <w:pPr>
        <w:pStyle w:val="133"/>
        <w:spacing w:before="0"/>
        <w:ind w:firstLine="480"/>
        <w:rPr>
          <w:rFonts w:ascii="宋体" w:hAnsi="宋体" w:cs="宋体"/>
          <w:color w:val="auto"/>
        </w:rPr>
      </w:pPr>
      <w:r>
        <w:rPr>
          <w:rFonts w:hint="eastAsia" w:ascii="宋体" w:hAnsi="宋体" w:cs="宋体"/>
          <w:color w:val="auto"/>
          <w:kern w:val="0"/>
          <w:szCs w:val="24"/>
          <w:lang w:val="en-US" w:eastAsia="zh-CN"/>
        </w:rPr>
        <w:t>20</w:t>
      </w:r>
      <w:r>
        <w:rPr>
          <w:rFonts w:hint="eastAsia" w:ascii="宋体" w:hAnsi="宋体" w:cs="宋体"/>
          <w:color w:val="auto"/>
          <w:kern w:val="0"/>
          <w:szCs w:val="24"/>
        </w:rPr>
        <w:t>.</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0DE91E11">
      <w:pPr>
        <w:pStyle w:val="133"/>
        <w:spacing w:before="0"/>
        <w:ind w:firstLine="480"/>
        <w:rPr>
          <w:rFonts w:ascii="宋体" w:hAnsi="宋体" w:cs="宋体"/>
          <w:color w:val="auto"/>
        </w:rPr>
      </w:pPr>
      <w:r>
        <w:rPr>
          <w:rFonts w:hint="eastAsia" w:ascii="宋体" w:hAnsi="宋体" w:cs="宋体"/>
          <w:color w:val="auto"/>
          <w:kern w:val="0"/>
          <w:szCs w:val="24"/>
          <w:lang w:val="en-US" w:eastAsia="zh-CN"/>
        </w:rPr>
        <w:t>20</w:t>
      </w:r>
      <w:r>
        <w:rPr>
          <w:rFonts w:hint="eastAsia" w:ascii="宋体" w:hAnsi="宋体" w:cs="宋体"/>
          <w:color w:val="auto"/>
          <w:kern w:val="0"/>
          <w:szCs w:val="24"/>
        </w:rPr>
        <w:t>.</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1188D00F">
      <w:pPr>
        <w:pStyle w:val="133"/>
        <w:spacing w:before="0"/>
        <w:ind w:firstLine="480"/>
        <w:rPr>
          <w:rFonts w:hint="eastAsia" w:ascii="宋体" w:hAnsi="宋体" w:cs="宋体"/>
          <w:color w:val="auto"/>
        </w:rPr>
      </w:pPr>
      <w:r>
        <w:rPr>
          <w:rFonts w:hint="eastAsia" w:ascii="宋体" w:hAnsi="宋体" w:cs="宋体"/>
          <w:color w:val="auto"/>
          <w:kern w:val="0"/>
          <w:szCs w:val="24"/>
          <w:lang w:val="en-US" w:eastAsia="zh-CN"/>
        </w:rPr>
        <w:t>20</w:t>
      </w:r>
      <w:r>
        <w:rPr>
          <w:rFonts w:hint="eastAsia" w:ascii="宋体" w:hAnsi="宋体" w:cs="宋体"/>
          <w:color w:val="auto"/>
          <w:kern w:val="0"/>
          <w:szCs w:val="24"/>
        </w:rPr>
        <w:t>.</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6A0C3C68">
      <w:pPr>
        <w:pStyle w:val="133"/>
        <w:snapToGrid w:val="0"/>
        <w:spacing w:before="0"/>
        <w:ind w:firstLine="480"/>
        <w:rPr>
          <w:rFonts w:hint="eastAsia" w:ascii="宋体" w:hAnsi="宋体" w:cs="宋体"/>
          <w:color w:val="auto"/>
        </w:rPr>
      </w:pPr>
      <w:r>
        <w:rPr>
          <w:rFonts w:hint="eastAsia" w:ascii="宋体" w:hAnsi="宋体" w:cs="宋体"/>
          <w:color w:val="auto"/>
          <w:kern w:val="0"/>
          <w:szCs w:val="24"/>
          <w:lang w:val="en-US" w:eastAsia="zh-CN"/>
        </w:rPr>
        <w:t>20</w:t>
      </w:r>
      <w:r>
        <w:rPr>
          <w:rFonts w:hint="eastAsia" w:ascii="宋体" w:hAnsi="宋体" w:cs="宋体"/>
          <w:color w:val="auto"/>
          <w:kern w:val="0"/>
          <w:szCs w:val="24"/>
        </w:rPr>
        <w:t>.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20887C8">
      <w:pPr>
        <w:pStyle w:val="133"/>
        <w:spacing w:before="0"/>
        <w:ind w:firstLine="0" w:firstLineChars="0"/>
        <w:rPr>
          <w:rFonts w:ascii="宋体" w:hAnsi="宋体" w:cs="宋体"/>
          <w:b/>
          <w:color w:val="auto"/>
          <w:szCs w:val="24"/>
        </w:rPr>
      </w:pPr>
      <w:r>
        <w:rPr>
          <w:rFonts w:hint="eastAsia" w:ascii="宋体" w:hAnsi="宋体" w:cs="宋体"/>
          <w:b/>
          <w:color w:val="auto"/>
          <w:szCs w:val="24"/>
        </w:rPr>
        <w:t>2</w:t>
      </w:r>
      <w:r>
        <w:rPr>
          <w:rFonts w:hint="eastAsia" w:ascii="宋体" w:hAnsi="宋体" w:cs="宋体"/>
          <w:b/>
          <w:color w:val="auto"/>
          <w:szCs w:val="24"/>
          <w:lang w:val="en-US" w:eastAsia="zh-CN"/>
        </w:rPr>
        <w:t>1</w:t>
      </w:r>
      <w:r>
        <w:rPr>
          <w:rFonts w:hint="eastAsia" w:ascii="宋体" w:hAnsi="宋体" w:cs="宋体"/>
          <w:b/>
          <w:color w:val="auto"/>
          <w:szCs w:val="24"/>
        </w:rPr>
        <w:t>、信用信息查询</w:t>
      </w:r>
    </w:p>
    <w:p w14:paraId="0693CF7B">
      <w:pPr>
        <w:pStyle w:val="133"/>
        <w:spacing w:before="0"/>
        <w:ind w:firstLine="495" w:firstLineChars="0"/>
        <w:rPr>
          <w:rFonts w:ascii="宋体" w:hAnsi="宋体" w:cs="宋体"/>
          <w:color w:val="auto"/>
          <w:kern w:val="0"/>
          <w:szCs w:val="24"/>
        </w:rPr>
      </w:pPr>
      <w:r>
        <w:rPr>
          <w:rFonts w:hint="eastAsia" w:ascii="宋体" w:hAnsi="宋体" w:cs="宋体"/>
          <w:color w:val="auto"/>
          <w:kern w:val="0"/>
          <w:szCs w:val="24"/>
        </w:rPr>
        <w:t>2</w:t>
      </w:r>
      <w:r>
        <w:rPr>
          <w:rFonts w:hint="eastAsia" w:ascii="宋体" w:hAnsi="宋体" w:cs="宋体"/>
          <w:color w:val="auto"/>
          <w:kern w:val="0"/>
          <w:szCs w:val="24"/>
          <w:lang w:val="en-US" w:eastAsia="zh-CN"/>
        </w:rPr>
        <w:t>1</w:t>
      </w:r>
      <w:r>
        <w:rPr>
          <w:rFonts w:hint="eastAsia" w:ascii="宋体" w:hAnsi="宋体" w:cs="宋体"/>
          <w:color w:val="auto"/>
          <w:kern w:val="0"/>
          <w:szCs w:val="24"/>
        </w:rPr>
        <w:t>.1信用信息查询渠道及截止时间：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将在资格审查时通过“信用中国”网站(www.creditchina.gov.cn)、中国政府采购网(www.ccgp.gov.cn)渠道查询投标人接受资格时的信用记录。</w:t>
      </w:r>
    </w:p>
    <w:p w14:paraId="760F87FD">
      <w:pPr>
        <w:pStyle w:val="133"/>
        <w:spacing w:before="0"/>
        <w:ind w:firstLine="495" w:firstLineChars="0"/>
        <w:rPr>
          <w:rFonts w:ascii="宋体" w:hAnsi="宋体" w:cs="宋体"/>
          <w:color w:val="auto"/>
          <w:kern w:val="0"/>
          <w:szCs w:val="24"/>
        </w:rPr>
      </w:pPr>
      <w:r>
        <w:rPr>
          <w:rFonts w:hint="eastAsia" w:ascii="宋体" w:hAnsi="宋体" w:cs="宋体"/>
          <w:color w:val="auto"/>
          <w:kern w:val="0"/>
          <w:szCs w:val="24"/>
        </w:rPr>
        <w:t>2</w:t>
      </w:r>
      <w:r>
        <w:rPr>
          <w:rFonts w:hint="eastAsia" w:ascii="宋体" w:hAnsi="宋体" w:cs="宋体"/>
          <w:color w:val="auto"/>
          <w:kern w:val="0"/>
          <w:szCs w:val="24"/>
          <w:lang w:val="en-US" w:eastAsia="zh-CN"/>
        </w:rPr>
        <w:t>1</w:t>
      </w:r>
      <w:r>
        <w:rPr>
          <w:rFonts w:hint="eastAsia" w:ascii="宋体" w:hAnsi="宋体" w:cs="宋体"/>
          <w:color w:val="auto"/>
          <w:kern w:val="0"/>
          <w:szCs w:val="24"/>
        </w:rPr>
        <w:t>.2信用信息查询记录和证据留存的具体方式：现场查询的投标人的信用记录、查询结果经确认后将与采购文件一起存档。</w:t>
      </w:r>
    </w:p>
    <w:p w14:paraId="1705B00A">
      <w:pPr>
        <w:pStyle w:val="133"/>
        <w:spacing w:before="0"/>
        <w:ind w:firstLine="495" w:firstLineChars="0"/>
        <w:rPr>
          <w:rFonts w:ascii="宋体" w:hAnsi="宋体" w:cs="宋体"/>
          <w:color w:val="auto"/>
          <w:kern w:val="0"/>
          <w:szCs w:val="24"/>
        </w:rPr>
      </w:pPr>
      <w:r>
        <w:rPr>
          <w:rFonts w:hint="eastAsia" w:ascii="宋体" w:hAnsi="宋体" w:cs="宋体"/>
          <w:color w:val="auto"/>
          <w:kern w:val="0"/>
          <w:szCs w:val="24"/>
        </w:rPr>
        <w:t>2</w:t>
      </w:r>
      <w:r>
        <w:rPr>
          <w:rFonts w:hint="eastAsia" w:ascii="宋体" w:hAnsi="宋体" w:cs="宋体"/>
          <w:color w:val="auto"/>
          <w:kern w:val="0"/>
          <w:szCs w:val="24"/>
          <w:lang w:val="en-US" w:eastAsia="zh-CN"/>
        </w:rPr>
        <w:t>1</w:t>
      </w:r>
      <w:r>
        <w:rPr>
          <w:rFonts w:hint="eastAsia" w:ascii="宋体" w:hAnsi="宋体" w:cs="宋体"/>
          <w:color w:val="auto"/>
          <w:kern w:val="0"/>
          <w:szCs w:val="24"/>
        </w:rPr>
        <w:t>.3信用信息的使用规则：经查询列入失信被执行人名单、重大税收违法案件当事人名单、政府采购严重违法失信行为记录名单的投标人将被拒绝参与政府采购活动。</w:t>
      </w:r>
    </w:p>
    <w:p w14:paraId="10394495">
      <w:pPr>
        <w:pStyle w:val="133"/>
        <w:spacing w:before="0"/>
        <w:ind w:firstLine="480"/>
        <w:rPr>
          <w:rFonts w:ascii="宋体" w:hAnsi="宋体" w:cs="宋体"/>
          <w:color w:val="auto"/>
        </w:rPr>
      </w:pPr>
      <w:r>
        <w:rPr>
          <w:rFonts w:hint="eastAsia" w:ascii="宋体" w:hAnsi="宋体" w:cs="宋体"/>
          <w:color w:val="auto"/>
          <w:kern w:val="0"/>
          <w:szCs w:val="24"/>
        </w:rPr>
        <w:t>2</w:t>
      </w:r>
      <w:r>
        <w:rPr>
          <w:rFonts w:hint="eastAsia" w:ascii="宋体" w:hAnsi="宋体" w:cs="宋体"/>
          <w:color w:val="auto"/>
          <w:kern w:val="0"/>
          <w:szCs w:val="24"/>
          <w:lang w:val="en-US" w:eastAsia="zh-CN"/>
        </w:rPr>
        <w:t>1</w:t>
      </w:r>
      <w:r>
        <w:rPr>
          <w:rFonts w:hint="eastAsia" w:ascii="宋体" w:hAnsi="宋体" w:cs="宋体"/>
          <w:color w:val="auto"/>
          <w:kern w:val="0"/>
          <w:szCs w:val="24"/>
        </w:rPr>
        <w:t>.4联合体信用信息查询：两个以上的自然人、法人或者其他组织组成一个联合体，以一个</w:t>
      </w:r>
      <w:r>
        <w:rPr>
          <w:rFonts w:hint="eastAsia" w:ascii="宋体" w:hAnsi="宋体" w:cs="宋体"/>
          <w:color w:val="auto"/>
          <w:kern w:val="0"/>
          <w:szCs w:val="24"/>
          <w:lang w:eastAsia="zh-CN"/>
        </w:rPr>
        <w:t>投标人</w:t>
      </w:r>
      <w:r>
        <w:rPr>
          <w:rFonts w:hint="eastAsia" w:ascii="宋体" w:hAnsi="宋体" w:cs="宋体"/>
          <w:color w:val="auto"/>
          <w:kern w:val="0"/>
          <w:szCs w:val="24"/>
        </w:rPr>
        <w:t>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04EE90E2">
      <w:pPr>
        <w:pStyle w:val="133"/>
        <w:spacing w:before="0"/>
        <w:ind w:firstLine="0" w:firstLineChars="0"/>
        <w:rPr>
          <w:rFonts w:ascii="宋体" w:hAnsi="宋体" w:cs="宋体"/>
          <w:color w:val="auto"/>
          <w:kern w:val="0"/>
          <w:szCs w:val="24"/>
        </w:rPr>
      </w:pPr>
    </w:p>
    <w:p w14:paraId="52CCC566">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17CFD611">
      <w:pPr>
        <w:spacing w:line="360" w:lineRule="auto"/>
        <w:rPr>
          <w:rFonts w:ascii="宋体" w:hAnsi="宋体" w:cs="宋体"/>
          <w:b/>
          <w:color w:val="auto"/>
          <w:sz w:val="24"/>
        </w:rPr>
      </w:pPr>
      <w:bookmarkStart w:id="18" w:name="_Toc91899903"/>
      <w:r>
        <w:rPr>
          <w:rFonts w:hint="eastAsia" w:ascii="宋体" w:hAnsi="宋体" w:cs="宋体"/>
          <w:b/>
          <w:color w:val="auto"/>
          <w:sz w:val="24"/>
        </w:rPr>
        <w:t>2</w:t>
      </w:r>
      <w:r>
        <w:rPr>
          <w:rFonts w:hint="eastAsia" w:ascii="宋体" w:hAnsi="宋体" w:cs="宋体"/>
          <w:b/>
          <w:color w:val="auto"/>
          <w:sz w:val="24"/>
          <w:lang w:val="en-US" w:eastAsia="zh-CN"/>
        </w:rPr>
        <w:t>2</w:t>
      </w:r>
      <w:r>
        <w:rPr>
          <w:rFonts w:hint="eastAsia" w:ascii="宋体" w:hAnsi="宋体" w:cs="宋体"/>
          <w:b/>
          <w:color w:val="auto"/>
          <w:sz w:val="24"/>
        </w:rPr>
        <w:t>.</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039818FB">
      <w:pPr>
        <w:spacing w:line="360" w:lineRule="auto"/>
        <w:rPr>
          <w:rFonts w:ascii="宋体" w:hAnsi="宋体" w:cs="宋体"/>
          <w:b/>
          <w:color w:val="auto"/>
          <w:sz w:val="24"/>
        </w:rPr>
      </w:pPr>
    </w:p>
    <w:p w14:paraId="46A46CA8">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29F84F6E">
      <w:pPr>
        <w:pStyle w:val="25"/>
        <w:spacing w:line="360" w:lineRule="auto"/>
        <w:ind w:left="479" w:hanging="479" w:hangingChars="199"/>
        <w:rPr>
          <w:rFonts w:hint="eastAsia" w:eastAsia="宋体" w:cs="宋体"/>
          <w:b/>
          <w:color w:val="auto"/>
          <w:lang w:eastAsia="zh-CN"/>
        </w:rPr>
      </w:pPr>
      <w:r>
        <w:rPr>
          <w:rFonts w:hint="eastAsia" w:cs="宋体"/>
          <w:b/>
          <w:color w:val="auto"/>
        </w:rPr>
        <w:t>2</w:t>
      </w:r>
      <w:r>
        <w:rPr>
          <w:rFonts w:hint="eastAsia" w:cs="宋体"/>
          <w:b/>
          <w:color w:val="auto"/>
          <w:lang w:val="en-US" w:eastAsia="zh-CN"/>
        </w:rPr>
        <w:t>3</w:t>
      </w:r>
      <w:r>
        <w:rPr>
          <w:rFonts w:hint="eastAsia" w:cs="宋体"/>
          <w:b/>
          <w:color w:val="auto"/>
        </w:rPr>
        <w:t>. 确定中标</w:t>
      </w:r>
      <w:r>
        <w:rPr>
          <w:rFonts w:hint="eastAsia" w:cs="宋体"/>
          <w:b/>
          <w:color w:val="auto"/>
          <w:lang w:eastAsia="zh-CN"/>
        </w:rPr>
        <w:t>投标人</w:t>
      </w:r>
    </w:p>
    <w:p w14:paraId="750D109A">
      <w:pPr>
        <w:pStyle w:val="133"/>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auto"/>
          <w:szCs w:val="24"/>
          <w:lang w:val="en-US" w:eastAsia="zh-CN"/>
        </w:rPr>
        <w:t>5</w:t>
      </w:r>
      <w:r>
        <w:rPr>
          <w:rFonts w:hint="eastAsia" w:ascii="宋体" w:hAnsi="宋体" w:cs="宋体"/>
          <w:color w:val="auto"/>
          <w:szCs w:val="24"/>
        </w:rPr>
        <w:t>个工作日内在线确定中标或者成交</w:t>
      </w:r>
      <w:r>
        <w:rPr>
          <w:rFonts w:hint="eastAsia" w:ascii="宋体" w:hAnsi="宋体" w:cs="宋体"/>
          <w:color w:val="auto"/>
          <w:szCs w:val="24"/>
          <w:lang w:eastAsia="zh-CN"/>
        </w:rPr>
        <w:t>投标人</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w:t>
      </w:r>
      <w:r>
        <w:rPr>
          <w:rFonts w:hint="eastAsia" w:ascii="宋体" w:hAnsi="宋体" w:cs="宋体"/>
          <w:color w:val="auto"/>
          <w:szCs w:val="24"/>
          <w:lang w:eastAsia="zh-CN"/>
        </w:rPr>
        <w:t>投标人</w:t>
      </w:r>
      <w:r>
        <w:rPr>
          <w:rFonts w:hint="eastAsia" w:ascii="宋体" w:hAnsi="宋体" w:cs="宋体"/>
          <w:color w:val="auto"/>
          <w:szCs w:val="24"/>
        </w:rPr>
        <w:t>。中标、成交通知书和中标、成交结果公告应当在规定时间内同时发出。</w:t>
      </w:r>
    </w:p>
    <w:p w14:paraId="00FFE2CE">
      <w:pPr>
        <w:pStyle w:val="133"/>
        <w:snapToGrid w:val="0"/>
        <w:spacing w:before="0"/>
        <w:ind w:firstLine="0" w:firstLineChars="0"/>
        <w:rPr>
          <w:rFonts w:ascii="宋体" w:hAnsi="宋体" w:cs="宋体"/>
          <w:b/>
          <w:color w:val="auto"/>
          <w:szCs w:val="24"/>
        </w:rPr>
      </w:pPr>
      <w:r>
        <w:rPr>
          <w:rFonts w:hint="eastAsia" w:ascii="宋体" w:hAnsi="宋体" w:cs="宋体"/>
          <w:b/>
          <w:color w:val="auto"/>
          <w:szCs w:val="24"/>
        </w:rPr>
        <w:t>2</w:t>
      </w:r>
      <w:r>
        <w:rPr>
          <w:rFonts w:hint="eastAsia" w:ascii="宋体" w:hAnsi="宋体" w:cs="宋体"/>
          <w:b/>
          <w:color w:val="auto"/>
          <w:szCs w:val="24"/>
          <w:lang w:val="en-US" w:eastAsia="zh-CN"/>
        </w:rPr>
        <w:t>4</w:t>
      </w:r>
      <w:r>
        <w:rPr>
          <w:rFonts w:hint="eastAsia" w:ascii="宋体" w:hAnsi="宋体" w:cs="宋体"/>
          <w:b/>
          <w:color w:val="auto"/>
          <w:szCs w:val="24"/>
        </w:rPr>
        <w:t>. 中标通知与中标结果公告</w:t>
      </w:r>
    </w:p>
    <w:p w14:paraId="35F3CAAC">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4</w:t>
      </w:r>
      <w:r>
        <w:rPr>
          <w:rFonts w:hint="eastAsia" w:ascii="宋体" w:hAnsi="宋体" w:cs="宋体"/>
          <w:color w:val="auto"/>
          <w:sz w:val="24"/>
        </w:rPr>
        <w:t>.1自中标人确定之日起2个工作日内，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1F07A6D3">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4</w:t>
      </w:r>
      <w:r>
        <w:rPr>
          <w:rFonts w:hint="eastAsia" w:ascii="宋体" w:hAnsi="宋体" w:cs="宋体"/>
          <w:color w:val="auto"/>
          <w:sz w:val="24"/>
        </w:rPr>
        <w:t>.2中标结果公告内容包括采购人及其委托的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9" w:name="_Hlk101184471"/>
      <w:r>
        <w:rPr>
          <w:rFonts w:hint="eastAsia" w:ascii="宋体" w:hAnsi="宋体" w:cs="宋体"/>
          <w:color w:val="auto"/>
          <w:sz w:val="24"/>
        </w:rPr>
        <w:t>资格审查情况、评审专家抽取规则、符合性审查情况、</w:t>
      </w:r>
      <w:bookmarkEnd w:id="19"/>
      <w:r>
        <w:rPr>
          <w:rFonts w:hint="eastAsia" w:ascii="宋体" w:hAnsi="宋体" w:cs="宋体"/>
          <w:color w:val="auto"/>
          <w:sz w:val="24"/>
        </w:rPr>
        <w:t>未中标情况说明、中标公告期限以及评审专家名单、评分汇总及明细。</w:t>
      </w:r>
    </w:p>
    <w:p w14:paraId="521982D9">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4</w:t>
      </w:r>
      <w:r>
        <w:rPr>
          <w:rFonts w:hint="eastAsia" w:ascii="宋体" w:hAnsi="宋体" w:cs="宋体"/>
          <w:color w:val="auto"/>
          <w:sz w:val="24"/>
        </w:rPr>
        <w:t>.3公告期限为1个工作日。</w:t>
      </w:r>
    </w:p>
    <w:p w14:paraId="3DE57BC6">
      <w:pPr>
        <w:pStyle w:val="133"/>
        <w:adjustRightInd w:val="0"/>
        <w:snapToGrid w:val="0"/>
        <w:spacing w:before="0"/>
        <w:ind w:firstLine="482" w:firstLineChars="200"/>
        <w:rPr>
          <w:rStyle w:val="78"/>
          <w:color w:val="auto"/>
        </w:rPr>
      </w:pPr>
      <w:r>
        <w:rPr>
          <w:rFonts w:hint="eastAsia" w:ascii="宋体" w:hAnsi="宋体" w:cs="宋体"/>
          <w:b/>
          <w:color w:val="auto"/>
          <w:szCs w:val="24"/>
          <w:lang w:val="en-US" w:eastAsia="zh-CN"/>
        </w:rPr>
        <w:t xml:space="preserve">24.4 </w:t>
      </w:r>
      <w:r>
        <w:rPr>
          <w:rFonts w:hint="eastAsia" w:ascii="宋体" w:hAnsi="宋体" w:cs="宋体"/>
          <w:b w:val="0"/>
          <w:bCs/>
          <w:color w:val="auto"/>
          <w:szCs w:val="24"/>
        </w:rPr>
        <w:t>由于</w:t>
      </w:r>
      <w:r>
        <w:rPr>
          <w:rFonts w:hint="eastAsia" w:ascii="宋体" w:hAnsi="宋体" w:cs="宋体"/>
          <w:bCs/>
          <w:color w:val="auto"/>
          <w:szCs w:val="24"/>
        </w:rPr>
        <w:t>中标、成交</w:t>
      </w:r>
      <w:r>
        <w:rPr>
          <w:rFonts w:hint="eastAsia" w:ascii="宋体" w:hAnsi="宋体" w:cs="宋体"/>
          <w:bCs/>
          <w:color w:val="auto"/>
          <w:szCs w:val="24"/>
          <w:lang w:eastAsia="zh-CN"/>
        </w:rPr>
        <w:t>投标人</w:t>
      </w:r>
      <w:r>
        <w:rPr>
          <w:rFonts w:hint="eastAsia" w:ascii="宋体" w:hAnsi="宋体" w:cs="宋体"/>
          <w:bCs/>
          <w:color w:val="auto"/>
          <w:szCs w:val="24"/>
        </w:rPr>
        <w:t>原因导致重新采购的，应当承担支付代理费和专家评审费等费用在内的赔偿责任。</w:t>
      </w:r>
    </w:p>
    <w:p w14:paraId="3F06C733">
      <w:pPr>
        <w:snapToGrid w:val="0"/>
        <w:spacing w:line="360" w:lineRule="auto"/>
        <w:jc w:val="both"/>
        <w:rPr>
          <w:rFonts w:ascii="宋体" w:hAnsi="宋体" w:cs="宋体"/>
          <w:b/>
          <w:color w:val="auto"/>
          <w:sz w:val="32"/>
        </w:rPr>
      </w:pPr>
    </w:p>
    <w:p w14:paraId="45F31A6D">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2484B4AE">
      <w:pPr>
        <w:pStyle w:val="25"/>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5</w:t>
      </w:r>
      <w:r>
        <w:rPr>
          <w:rFonts w:hint="eastAsia" w:cs="宋体"/>
          <w:b/>
          <w:color w:val="auto"/>
        </w:rPr>
        <w:t xml:space="preserve">. </w:t>
      </w:r>
      <w:r>
        <w:rPr>
          <w:rFonts w:hint="eastAsia" w:cs="宋体"/>
          <w:color w:val="auto"/>
        </w:rPr>
        <w:t>合同主要条款详见第五部分拟签订的合同文本。</w:t>
      </w:r>
    </w:p>
    <w:p w14:paraId="7DDCCD80">
      <w:pPr>
        <w:pStyle w:val="25"/>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6</w:t>
      </w:r>
      <w:r>
        <w:rPr>
          <w:rFonts w:hint="eastAsia" w:cs="宋体"/>
          <w:b/>
          <w:color w:val="auto"/>
        </w:rPr>
        <w:t>. 合同的签订</w:t>
      </w:r>
    </w:p>
    <w:p w14:paraId="3352C851">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w:t>
      </w:r>
      <w:r>
        <w:rPr>
          <w:rFonts w:hint="eastAsia" w:ascii="宋体" w:hAnsi="宋体" w:cs="宋体"/>
          <w:color w:val="auto"/>
          <w:sz w:val="24"/>
          <w:lang w:val="en-US" w:eastAsia="zh-CN"/>
        </w:rPr>
        <w:t>6</w:t>
      </w:r>
      <w:r>
        <w:rPr>
          <w:rFonts w:hint="eastAsia" w:ascii="宋体" w:hAnsi="宋体" w:cs="宋体"/>
          <w:color w:val="auto"/>
          <w:sz w:val="24"/>
        </w:rPr>
        <w:t>.1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w:t>
      </w:r>
      <w:r>
        <w:rPr>
          <w:rFonts w:hint="eastAsia" w:ascii="宋体" w:hAnsi="宋体" w:cs="宋体"/>
          <w:color w:val="auto"/>
          <w:kern w:val="0"/>
          <w:sz w:val="24"/>
          <w:lang w:eastAsia="zh-CN"/>
        </w:rPr>
        <w:t>投标人</w:t>
      </w:r>
      <w:r>
        <w:rPr>
          <w:rFonts w:hint="eastAsia" w:ascii="宋体" w:hAnsi="宋体" w:cs="宋体"/>
          <w:color w:val="auto"/>
          <w:kern w:val="0"/>
          <w:sz w:val="24"/>
        </w:rPr>
        <w:t>按照采购文件确定的事项签订政府采购合同。</w:t>
      </w:r>
    </w:p>
    <w:p w14:paraId="68346365">
      <w:pPr>
        <w:pStyle w:val="133"/>
        <w:snapToGrid w:val="0"/>
        <w:spacing w:before="0"/>
        <w:ind w:firstLine="480"/>
        <w:rPr>
          <w:rFonts w:ascii="宋体" w:hAnsi="宋体" w:cs="宋体"/>
          <w:color w:val="auto"/>
          <w:kern w:val="0"/>
        </w:rPr>
      </w:pPr>
      <w:r>
        <w:rPr>
          <w:rFonts w:hint="eastAsia" w:ascii="宋体" w:hAnsi="宋体" w:cs="宋体"/>
          <w:color w:val="auto"/>
          <w:kern w:val="0"/>
          <w:lang w:val="zh-CN"/>
        </w:rPr>
        <w:t>2</w:t>
      </w:r>
      <w:r>
        <w:rPr>
          <w:rFonts w:hint="eastAsia" w:ascii="宋体" w:hAnsi="宋体" w:cs="宋体"/>
          <w:color w:val="auto"/>
          <w:kern w:val="0"/>
          <w:lang w:val="en-US" w:eastAsia="zh-CN"/>
        </w:rPr>
        <w:t>6</w:t>
      </w:r>
      <w:r>
        <w:rPr>
          <w:rFonts w:hint="eastAsia" w:ascii="宋体" w:hAnsi="宋体" w:cs="宋体"/>
          <w:color w:val="auto"/>
          <w:kern w:val="0"/>
          <w:lang w:val="zh-CN"/>
        </w:rPr>
        <w:t>.2中标人按规定的日期、时间、地点，由法定代表人或其授权代表与采购人代表签订合同。如中标人为联合体的，由联合体成员各方法定代表人或其授权代表与采购人代表签订合同。</w:t>
      </w:r>
    </w:p>
    <w:p w14:paraId="70DEFD84">
      <w:pPr>
        <w:pStyle w:val="133"/>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.3如签订合同并生效后，</w:t>
      </w:r>
      <w:r>
        <w:rPr>
          <w:rFonts w:hint="eastAsia" w:ascii="宋体" w:hAnsi="宋体" w:cs="宋体"/>
          <w:color w:val="auto"/>
          <w:lang w:eastAsia="zh-CN"/>
        </w:rPr>
        <w:t>投标人</w:t>
      </w:r>
      <w:r>
        <w:rPr>
          <w:rFonts w:hint="eastAsia" w:ascii="宋体" w:hAnsi="宋体" w:cs="宋体"/>
          <w:color w:val="auto"/>
        </w:rPr>
        <w:t>无故拒绝或延期，除按照合同条款处理外，列入不良行为记录一次，并给予通报。</w:t>
      </w:r>
    </w:p>
    <w:p w14:paraId="62650A34">
      <w:pPr>
        <w:pStyle w:val="133"/>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.4中标</w:t>
      </w:r>
      <w:r>
        <w:rPr>
          <w:rFonts w:hint="eastAsia" w:ascii="宋体" w:hAnsi="宋体" w:cs="宋体"/>
          <w:color w:val="auto"/>
          <w:lang w:eastAsia="zh-CN"/>
        </w:rPr>
        <w:t>投标人</w:t>
      </w:r>
      <w:r>
        <w:rPr>
          <w:rFonts w:hint="eastAsia" w:ascii="宋体" w:hAnsi="宋体" w:cs="宋体"/>
          <w:color w:val="auto"/>
        </w:rPr>
        <w:t>拒绝与采购人签订合同的，采购人可以按照评审报告推荐的中标或者成交候选人名单排序，确定下一候选人为中标</w:t>
      </w:r>
      <w:r>
        <w:rPr>
          <w:rFonts w:hint="eastAsia" w:ascii="宋体" w:hAnsi="宋体" w:cs="宋体"/>
          <w:color w:val="auto"/>
          <w:lang w:eastAsia="zh-CN"/>
        </w:rPr>
        <w:t>投标人</w:t>
      </w:r>
      <w:r>
        <w:rPr>
          <w:rFonts w:hint="eastAsia" w:ascii="宋体" w:hAnsi="宋体" w:cs="宋体"/>
          <w:color w:val="auto"/>
        </w:rPr>
        <w:t>，也可以重新开展政府采购活动。</w:t>
      </w:r>
    </w:p>
    <w:p w14:paraId="1EF8CBD3">
      <w:pPr>
        <w:pStyle w:val="133"/>
        <w:snapToGrid w:val="0"/>
        <w:spacing w:before="0" w:after="12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.5采购合同由采购人与中标</w:t>
      </w:r>
      <w:r>
        <w:rPr>
          <w:rFonts w:hint="eastAsia" w:ascii="宋体" w:hAnsi="宋体" w:cs="宋体"/>
          <w:color w:val="auto"/>
          <w:lang w:eastAsia="zh-CN"/>
        </w:rPr>
        <w:t>投标人</w:t>
      </w:r>
      <w:r>
        <w:rPr>
          <w:rFonts w:hint="eastAsia" w:ascii="宋体" w:hAnsi="宋体" w:cs="宋体"/>
          <w:color w:val="auto"/>
        </w:rPr>
        <w:t>根据招标文件、投标文件等内容通过政府采购电子交易平台在线签订，自动备案。</w:t>
      </w:r>
    </w:p>
    <w:p w14:paraId="0ACB32AB">
      <w:pPr>
        <w:pStyle w:val="25"/>
        <w:numPr>
          <w:ilvl w:val="0"/>
          <w:numId w:val="1"/>
        </w:numPr>
        <w:spacing w:line="360" w:lineRule="auto"/>
        <w:ind w:left="479" w:hanging="479" w:hangingChars="199"/>
        <w:rPr>
          <w:rFonts w:hint="eastAsia" w:cs="宋体"/>
          <w:b/>
          <w:color w:val="auto"/>
        </w:rPr>
      </w:pPr>
      <w:r>
        <w:rPr>
          <w:rFonts w:hint="eastAsia" w:cs="宋体"/>
          <w:b/>
          <w:color w:val="auto"/>
        </w:rPr>
        <w:t>履约保证金</w:t>
      </w:r>
    </w:p>
    <w:p w14:paraId="0C0D86B3">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w:t>
      </w:r>
      <w:r>
        <w:rPr>
          <w:rFonts w:hint="eastAsia" w:ascii="宋体" w:hAnsi="宋体" w:cs="宋体"/>
          <w:color w:val="auto"/>
          <w:kern w:val="0"/>
          <w:sz w:val="24"/>
          <w:lang w:eastAsia="zh-CN"/>
        </w:rPr>
        <w:t>投标人</w:t>
      </w:r>
      <w:r>
        <w:rPr>
          <w:rFonts w:hint="eastAsia" w:ascii="宋体" w:hAnsi="宋体" w:cs="宋体"/>
          <w:color w:val="auto"/>
          <w:kern w:val="0"/>
          <w:sz w:val="24"/>
        </w:rPr>
        <w:t>提交履约保证金的，</w:t>
      </w:r>
      <w:r>
        <w:rPr>
          <w:rFonts w:hint="eastAsia" w:ascii="宋体" w:hAnsi="宋体" w:cs="宋体"/>
          <w:color w:val="auto"/>
          <w:kern w:val="0"/>
          <w:sz w:val="24"/>
          <w:lang w:eastAsia="zh-CN"/>
        </w:rPr>
        <w:t>投标人</w:t>
      </w:r>
      <w:r>
        <w:rPr>
          <w:rFonts w:hint="eastAsia" w:ascii="宋体" w:hAnsi="宋体" w:cs="宋体"/>
          <w:color w:val="auto"/>
          <w:kern w:val="0"/>
          <w:sz w:val="24"/>
        </w:rPr>
        <w:t>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诚信等因素免收履约保证金或降低缴纳比例</w:t>
      </w:r>
      <w:r>
        <w:rPr>
          <w:rFonts w:hint="eastAsia" w:ascii="宋体" w:hAnsi="宋体" w:cs="宋体"/>
          <w:color w:val="auto"/>
          <w:sz w:val="24"/>
        </w:rPr>
        <w:t>。鼓励和支持</w:t>
      </w:r>
      <w:r>
        <w:rPr>
          <w:rFonts w:hint="eastAsia" w:ascii="宋体" w:hAnsi="宋体" w:cs="宋体"/>
          <w:color w:val="auto"/>
          <w:sz w:val="24"/>
          <w:lang w:eastAsia="zh-CN"/>
        </w:rPr>
        <w:t>投标人</w:t>
      </w:r>
      <w:r>
        <w:rPr>
          <w:rFonts w:hint="eastAsia" w:ascii="宋体" w:hAnsi="宋体" w:cs="宋体"/>
          <w:color w:val="auto"/>
          <w:sz w:val="24"/>
        </w:rPr>
        <w:t>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7CF8A54F">
      <w:pPr>
        <w:pStyle w:val="3"/>
        <w:ind w:left="0" w:firstLine="480" w:firstLineChars="200"/>
        <w:rPr>
          <w:rFonts w:hint="default" w:ascii="宋体" w:hAnsi="宋体" w:eastAsia="宋体" w:cs="宋体"/>
          <w:color w:val="auto"/>
          <w:kern w:val="0"/>
          <w:sz w:val="24"/>
          <w:lang w:val="en-US" w:eastAsia="zh-CN"/>
        </w:rPr>
      </w:pPr>
      <w:r>
        <w:rPr>
          <w:rFonts w:hint="eastAsia" w:ascii="宋体" w:hAnsi="宋体" w:eastAsia="宋体" w:cs="宋体"/>
          <w:b w:val="0"/>
          <w:bCs w:val="0"/>
          <w:snapToGrid w:val="0"/>
          <w:color w:val="auto"/>
          <w:kern w:val="28"/>
          <w:sz w:val="24"/>
          <w:lang w:eastAsia="zh-CN"/>
        </w:rPr>
        <w:t>投标人</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w:t>
      </w:r>
      <w:r>
        <w:rPr>
          <w:rFonts w:hint="eastAsia" w:ascii="宋体" w:hAnsi="宋体" w:eastAsia="宋体" w:cs="宋体"/>
          <w:b w:val="0"/>
          <w:bCs w:val="0"/>
          <w:snapToGrid w:val="0"/>
          <w:color w:val="auto"/>
          <w:kern w:val="28"/>
          <w:sz w:val="24"/>
          <w:lang w:eastAsia="zh-CN"/>
        </w:rPr>
        <w:t>投标人</w:t>
      </w:r>
      <w:r>
        <w:rPr>
          <w:rFonts w:hint="eastAsia" w:ascii="宋体" w:hAnsi="宋体" w:eastAsia="宋体" w:cs="宋体"/>
          <w:b w:val="0"/>
          <w:bCs w:val="0"/>
          <w:snapToGrid w:val="0"/>
          <w:color w:val="auto"/>
          <w:kern w:val="28"/>
          <w:sz w:val="24"/>
        </w:rPr>
        <w:t>在合同列表选择需要投保的合同，点击[保函推荐]。2、在弹框里查看推荐的保函产品，</w:t>
      </w:r>
      <w:r>
        <w:rPr>
          <w:rFonts w:hint="eastAsia" w:ascii="宋体" w:hAnsi="宋体" w:eastAsia="宋体" w:cs="宋体"/>
          <w:b w:val="0"/>
          <w:bCs w:val="0"/>
          <w:snapToGrid w:val="0"/>
          <w:color w:val="auto"/>
          <w:kern w:val="28"/>
          <w:sz w:val="24"/>
          <w:lang w:eastAsia="zh-CN"/>
        </w:rPr>
        <w:t>投标人</w:t>
      </w:r>
      <w:r>
        <w:rPr>
          <w:rFonts w:hint="eastAsia" w:ascii="宋体" w:hAnsi="宋体" w:eastAsia="宋体" w:cs="宋体"/>
          <w:b w:val="0"/>
          <w:bCs w:val="0"/>
          <w:snapToGrid w:val="0"/>
          <w:color w:val="auto"/>
          <w:kern w:val="28"/>
          <w:sz w:val="24"/>
        </w:rPr>
        <w:t>自行选择保函产品，点击[立即申请]。3、在弹框里填写保函申请信息。具体步骤：选择产品—填写</w:t>
      </w:r>
      <w:r>
        <w:rPr>
          <w:rFonts w:hint="eastAsia" w:ascii="宋体" w:hAnsi="宋体" w:eastAsia="宋体" w:cs="宋体"/>
          <w:b w:val="0"/>
          <w:bCs w:val="0"/>
          <w:snapToGrid w:val="0"/>
          <w:color w:val="auto"/>
          <w:kern w:val="28"/>
          <w:sz w:val="24"/>
          <w:lang w:eastAsia="zh-CN"/>
        </w:rPr>
        <w:t>投标人</w:t>
      </w:r>
      <w:r>
        <w:rPr>
          <w:rFonts w:hint="eastAsia" w:ascii="宋体" w:hAnsi="宋体" w:eastAsia="宋体" w:cs="宋体"/>
          <w:b w:val="0"/>
          <w:bCs w:val="0"/>
          <w:snapToGrid w:val="0"/>
          <w:color w:val="auto"/>
          <w:kern w:val="28"/>
          <w:sz w:val="24"/>
        </w:rPr>
        <w:t>信息—选择中标项目—确认信息—等待保险/保函受理—确认保单—支付保费—成功出单。政采云金融专线400-903-9583。</w:t>
      </w:r>
    </w:p>
    <w:p w14:paraId="3B63C740">
      <w:pPr>
        <w:pStyle w:val="3"/>
        <w:rPr>
          <w:color w:val="auto"/>
          <w:highlight w:val="none"/>
        </w:rPr>
      </w:pPr>
      <w:r>
        <w:rPr>
          <w:rFonts w:ascii="宋体" w:hAnsi="宋体" w:eastAsia="宋体"/>
          <w:b/>
          <w:bCs/>
          <w:color w:val="auto"/>
          <w:sz w:val="24"/>
          <w:szCs w:val="32"/>
          <w:highlight w:val="none"/>
          <w:lang w:val="en-US"/>
        </w:rPr>
        <w:t>2</w:t>
      </w:r>
      <w:r>
        <w:rPr>
          <w:rFonts w:hint="eastAsia" w:ascii="宋体" w:hAnsi="宋体" w:eastAsia="宋体"/>
          <w:b/>
          <w:bCs/>
          <w:color w:val="auto"/>
          <w:sz w:val="24"/>
          <w:szCs w:val="32"/>
          <w:highlight w:val="none"/>
          <w:lang w:val="en-US" w:eastAsia="zh-CN"/>
        </w:rPr>
        <w:t>8</w:t>
      </w:r>
      <w:r>
        <w:rPr>
          <w:rFonts w:ascii="宋体" w:hAnsi="宋体" w:eastAsia="宋体"/>
          <w:b/>
          <w:bCs/>
          <w:color w:val="auto"/>
          <w:sz w:val="24"/>
          <w:szCs w:val="32"/>
          <w:highlight w:val="none"/>
          <w:lang w:val="en-US"/>
        </w:rPr>
        <w:t>.预付款</w:t>
      </w:r>
    </w:p>
    <w:p w14:paraId="468164F8">
      <w:pPr>
        <w:adjustRightInd/>
        <w:spacing w:line="360" w:lineRule="auto"/>
        <w:ind w:firstLine="480" w:firstLineChars="200"/>
        <w:rPr>
          <w:color w:val="auto"/>
          <w:highlight w:val="none"/>
        </w:rPr>
      </w:pPr>
      <w:r>
        <w:rPr>
          <w:rFonts w:hint="eastAsia" w:ascii="宋体" w:hAnsi="宋体"/>
          <w:color w:val="auto"/>
          <w:sz w:val="24"/>
          <w:highlight w:val="none"/>
          <w:lang w:val="en-US" w:eastAsia="zh-CN"/>
        </w:rPr>
        <w:t>根据合同相关条款支付。</w:t>
      </w:r>
    </w:p>
    <w:p w14:paraId="72D3AE6D">
      <w:pPr>
        <w:rPr>
          <w:color w:val="auto"/>
        </w:rPr>
      </w:pPr>
    </w:p>
    <w:p w14:paraId="6B5034B7">
      <w:pPr>
        <w:snapToGrid w:val="0"/>
        <w:spacing w:line="360" w:lineRule="auto"/>
        <w:ind w:firstLine="3357" w:firstLineChars="1045"/>
        <w:rPr>
          <w:rFonts w:ascii="宋体" w:hAnsi="宋体" w:cs="宋体"/>
          <w:b/>
          <w:color w:val="auto"/>
          <w:sz w:val="32"/>
        </w:rPr>
      </w:pPr>
    </w:p>
    <w:p w14:paraId="72AD7DBF">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790D2C98">
      <w:pPr>
        <w:pStyle w:val="133"/>
        <w:snapToGrid w:val="0"/>
        <w:spacing w:before="0"/>
        <w:ind w:firstLine="0" w:firstLineChars="0"/>
        <w:rPr>
          <w:rFonts w:ascii="宋体" w:hAnsi="宋体" w:cs="宋体"/>
          <w:color w:val="auto"/>
        </w:rPr>
      </w:pPr>
      <w:r>
        <w:rPr>
          <w:rFonts w:ascii="宋体" w:hAnsi="宋体" w:cs="宋体"/>
          <w:b/>
          <w:bCs/>
          <w:color w:val="auto"/>
          <w:sz w:val="24"/>
          <w:szCs w:val="20"/>
        </w:rPr>
        <w:t>2</w:t>
      </w:r>
      <w:r>
        <w:rPr>
          <w:rFonts w:hint="eastAsia" w:ascii="宋体" w:hAnsi="宋体" w:cs="宋体"/>
          <w:b/>
          <w:bCs/>
          <w:color w:val="auto"/>
          <w:sz w:val="24"/>
          <w:szCs w:val="24"/>
          <w:lang w:val="en-US" w:eastAsia="zh-CN"/>
        </w:rPr>
        <w:t>9</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0A48B00F">
      <w:pPr>
        <w:pStyle w:val="133"/>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3DCA806B">
      <w:pPr>
        <w:pStyle w:val="133"/>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1915CAE4">
      <w:pPr>
        <w:pStyle w:val="133"/>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1FB3F372">
      <w:pPr>
        <w:pStyle w:val="133"/>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3AC4BDE3">
      <w:pPr>
        <w:pStyle w:val="133"/>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1B0DF625">
      <w:pPr>
        <w:pStyle w:val="133"/>
        <w:snapToGrid w:val="0"/>
        <w:spacing w:before="0"/>
        <w:ind w:firstLine="0" w:firstLineChars="0"/>
        <w:rPr>
          <w:rFonts w:ascii="宋体" w:hAnsi="宋体" w:cs="宋体"/>
          <w:color w:val="auto"/>
        </w:rPr>
      </w:pPr>
      <w:r>
        <w:rPr>
          <w:rFonts w:hint="eastAsia" w:ascii="宋体" w:hAnsi="宋体" w:cs="宋体"/>
          <w:color w:val="auto"/>
        </w:rPr>
        <w:t xml:space="preserve"> </w:t>
      </w:r>
      <w:r>
        <w:rPr>
          <w:rFonts w:hint="eastAsia" w:ascii="宋体" w:hAnsi="宋体" w:cs="宋体"/>
          <w:color w:val="auto"/>
          <w:lang w:val="en-US" w:eastAsia="zh-CN"/>
        </w:rPr>
        <w:t>30</w:t>
      </w:r>
      <w:r>
        <w:rPr>
          <w:rFonts w:hint="eastAsia" w:ascii="宋体" w:hAnsi="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2ACEE6F3">
      <w:pPr>
        <w:tabs>
          <w:tab w:val="left" w:pos="0"/>
        </w:tabs>
        <w:spacing w:line="360" w:lineRule="auto"/>
        <w:ind w:firstLine="480"/>
        <w:rPr>
          <w:rFonts w:ascii="宋体" w:hAnsi="宋体" w:cs="宋体"/>
          <w:color w:val="auto"/>
          <w:sz w:val="24"/>
        </w:rPr>
      </w:pPr>
    </w:p>
    <w:p w14:paraId="194CE64A">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2A2C1EFE">
      <w:pPr>
        <w:pStyle w:val="25"/>
        <w:spacing w:line="360" w:lineRule="auto"/>
        <w:ind w:firstLine="0" w:firstLineChars="0"/>
        <w:rPr>
          <w:rFonts w:cs="宋体"/>
          <w:b/>
          <w:color w:val="auto"/>
        </w:rPr>
      </w:pPr>
      <w:r>
        <w:rPr>
          <w:rFonts w:hint="eastAsia" w:cs="宋体"/>
          <w:b/>
          <w:color w:val="auto"/>
        </w:rPr>
        <w:t>3</w:t>
      </w:r>
      <w:r>
        <w:rPr>
          <w:rFonts w:hint="eastAsia" w:cs="宋体"/>
          <w:b/>
          <w:color w:val="auto"/>
          <w:lang w:val="en-US" w:eastAsia="zh-CN"/>
        </w:rPr>
        <w:t>1</w:t>
      </w:r>
      <w:r>
        <w:rPr>
          <w:rFonts w:hint="eastAsia" w:cs="宋体"/>
          <w:b/>
          <w:color w:val="auto"/>
        </w:rPr>
        <w:t>.验收</w:t>
      </w:r>
    </w:p>
    <w:p w14:paraId="2D59E852">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cs="宋体"/>
          <w:color w:val="auto"/>
          <w:kern w:val="0"/>
          <w:sz w:val="24"/>
          <w:lang w:eastAsia="zh-CN"/>
        </w:rPr>
        <w:t>投标人</w:t>
      </w:r>
      <w:r>
        <w:rPr>
          <w:rFonts w:hint="eastAsia" w:ascii="宋体" w:hAnsi="宋体" w:cs="宋体"/>
          <w:color w:val="auto"/>
          <w:kern w:val="0"/>
          <w:sz w:val="24"/>
        </w:rPr>
        <w:t>须承担由此发生的一切损失和费用，并接受相应的处理。</w:t>
      </w:r>
    </w:p>
    <w:p w14:paraId="76B7F4D0">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.2采购人可以邀请参加本项目的其他投标人或者第三方机构参与验收。参与验收的投标人或者第三方机构的意见作为验收书的参考资料一并存档。</w:t>
      </w:r>
    </w:p>
    <w:p w14:paraId="5AC872F2">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.3严格按照采购合同开展履约验收。采购人成立验收小组，按照采购合同的约定对</w:t>
      </w:r>
      <w:r>
        <w:rPr>
          <w:rFonts w:hint="eastAsia" w:ascii="宋体" w:hAnsi="宋体" w:cs="宋体"/>
          <w:color w:val="auto"/>
          <w:kern w:val="0"/>
          <w:sz w:val="24"/>
          <w:lang w:eastAsia="zh-CN"/>
        </w:rPr>
        <w:t>投标人</w:t>
      </w:r>
      <w:r>
        <w:rPr>
          <w:rFonts w:hint="eastAsia" w:ascii="宋体" w:hAnsi="宋体" w:cs="宋体"/>
          <w:color w:val="auto"/>
          <w:kern w:val="0"/>
          <w:sz w:val="24"/>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C8F6A0A">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.4验收合格的项目，采购人将根据采购合同的约定及时向</w:t>
      </w:r>
      <w:r>
        <w:rPr>
          <w:rFonts w:hint="eastAsia" w:ascii="宋体" w:hAnsi="宋体" w:cs="宋体"/>
          <w:color w:val="auto"/>
          <w:kern w:val="0"/>
          <w:sz w:val="24"/>
          <w:lang w:eastAsia="zh-CN"/>
        </w:rPr>
        <w:t>投标人</w:t>
      </w:r>
      <w:r>
        <w:rPr>
          <w:rFonts w:hint="eastAsia" w:ascii="宋体" w:hAnsi="宋体" w:cs="宋体"/>
          <w:color w:val="auto"/>
          <w:kern w:val="0"/>
          <w:sz w:val="24"/>
        </w:rPr>
        <w:t>支付采购资金、退还履约保证金。验收不合格的项目，采购人将依法及时处理。采购合同的履行、违约责任和解决争议的方式等适用《中华人民共和国民法典》。</w:t>
      </w:r>
      <w:r>
        <w:rPr>
          <w:rFonts w:hint="eastAsia" w:ascii="宋体" w:hAnsi="宋体" w:cs="宋体"/>
          <w:color w:val="auto"/>
          <w:kern w:val="0"/>
          <w:sz w:val="24"/>
          <w:lang w:eastAsia="zh-CN"/>
        </w:rPr>
        <w:t>投标人</w:t>
      </w:r>
      <w:r>
        <w:rPr>
          <w:rFonts w:hint="eastAsia" w:ascii="宋体" w:hAnsi="宋体" w:cs="宋体"/>
          <w:color w:val="auto"/>
          <w:kern w:val="0"/>
          <w:sz w:val="24"/>
        </w:rPr>
        <w:t>在履约过程中有政府采购法律法规规定的违法违规情形的，采购人应当及时报告本级财政部门。</w:t>
      </w:r>
    </w:p>
    <w:p w14:paraId="005A4A72">
      <w:pPr>
        <w:pStyle w:val="3"/>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w:t>
      </w: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en-US"/>
        </w:rPr>
        <w:t>.5 对于满足合同约定的采购资金支付条件的，</w:t>
      </w:r>
      <w:r>
        <w:rPr>
          <w:rFonts w:hint="eastAsia" w:ascii="宋体" w:hAnsi="宋体" w:eastAsia="宋体" w:cs="宋体"/>
          <w:b w:val="0"/>
          <w:bCs w:val="0"/>
          <w:color w:val="auto"/>
          <w:kern w:val="0"/>
          <w:sz w:val="24"/>
          <w:szCs w:val="24"/>
          <w:lang w:val="en-US" w:eastAsia="zh-CN"/>
        </w:rPr>
        <w:t>投标人</w:t>
      </w:r>
      <w:r>
        <w:rPr>
          <w:rFonts w:hint="eastAsia" w:ascii="宋体" w:hAnsi="宋体" w:eastAsia="宋体" w:cs="宋体"/>
          <w:b w:val="0"/>
          <w:bCs w:val="0"/>
          <w:color w:val="auto"/>
          <w:kern w:val="0"/>
          <w:sz w:val="24"/>
          <w:szCs w:val="24"/>
          <w:lang w:val="en-US"/>
        </w:rPr>
        <w:t>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w:t>
      </w:r>
      <w:r>
        <w:rPr>
          <w:rFonts w:hint="eastAsia" w:ascii="宋体" w:hAnsi="宋体" w:eastAsia="宋体" w:cs="宋体"/>
          <w:b w:val="0"/>
          <w:bCs w:val="0"/>
          <w:color w:val="auto"/>
          <w:kern w:val="0"/>
          <w:sz w:val="24"/>
          <w:szCs w:val="24"/>
          <w:lang w:val="en-US" w:eastAsia="zh-CN"/>
        </w:rPr>
        <w:t>投标人</w:t>
      </w:r>
      <w:r>
        <w:rPr>
          <w:rFonts w:hint="eastAsia" w:ascii="宋体" w:hAnsi="宋体" w:eastAsia="宋体" w:cs="宋体"/>
          <w:b w:val="0"/>
          <w:bCs w:val="0"/>
          <w:color w:val="auto"/>
          <w:kern w:val="0"/>
          <w:sz w:val="24"/>
          <w:szCs w:val="24"/>
          <w:lang w:val="en-US"/>
        </w:rPr>
        <w:t>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750AE174">
      <w:pPr>
        <w:pStyle w:val="80"/>
        <w:rPr>
          <w:color w:val="auto"/>
        </w:rPr>
      </w:pPr>
    </w:p>
    <w:bookmarkEnd w:id="18"/>
    <w:p w14:paraId="7F894F66">
      <w:pPr>
        <w:tabs>
          <w:tab w:val="left" w:pos="0"/>
        </w:tabs>
        <w:spacing w:line="360" w:lineRule="auto"/>
        <w:ind w:firstLine="480"/>
        <w:rPr>
          <w:rFonts w:ascii="宋体" w:hAnsi="宋体" w:cs="宋体"/>
          <w:color w:val="auto"/>
          <w:kern w:val="0"/>
          <w:sz w:val="24"/>
        </w:rPr>
        <w:sectPr>
          <w:footerReference r:id="rId8" w:type="default"/>
          <w:pgSz w:w="11906" w:h="16838"/>
          <w:pgMar w:top="1474" w:right="1418" w:bottom="1417" w:left="1418" w:header="851" w:footer="992" w:gutter="0"/>
          <w:pgNumType w:fmt="decimal" w:start="1"/>
          <w:cols w:space="720" w:num="1"/>
          <w:docGrid w:linePitch="312" w:charSpace="0"/>
        </w:sectPr>
      </w:pPr>
      <w:bookmarkStart w:id="20" w:name="_Hlt68403820"/>
      <w:bookmarkEnd w:id="20"/>
      <w:bookmarkStart w:id="21" w:name="_Hlt75236290"/>
      <w:bookmarkEnd w:id="21"/>
      <w:bookmarkStart w:id="22" w:name="_Hlt74729768"/>
      <w:bookmarkEnd w:id="22"/>
      <w:bookmarkStart w:id="23" w:name="_Hlt68072990"/>
      <w:bookmarkEnd w:id="23"/>
      <w:bookmarkStart w:id="24" w:name="_Hlt68073093"/>
      <w:bookmarkEnd w:id="24"/>
      <w:bookmarkStart w:id="25" w:name="_Hlt74730295"/>
      <w:bookmarkEnd w:id="25"/>
      <w:bookmarkStart w:id="26" w:name="_Hlt68057669"/>
      <w:bookmarkEnd w:id="26"/>
      <w:bookmarkStart w:id="27" w:name="_Hlt75236011"/>
      <w:bookmarkEnd w:id="27"/>
      <w:bookmarkStart w:id="28" w:name="_Hlt74714665"/>
      <w:bookmarkEnd w:id="28"/>
      <w:bookmarkStart w:id="29" w:name="_Hlt68072998"/>
      <w:bookmarkEnd w:id="29"/>
      <w:bookmarkStart w:id="30" w:name="_Hlt74707468"/>
      <w:bookmarkEnd w:id="30"/>
      <w:bookmarkStart w:id="31" w:name="_Hlt75236101"/>
      <w:bookmarkEnd w:id="31"/>
    </w:p>
    <w:bookmarkEnd w:id="16"/>
    <w:bookmarkEnd w:id="17"/>
    <w:p w14:paraId="525DE4B2">
      <w:pPr>
        <w:spacing w:line="360" w:lineRule="auto"/>
        <w:jc w:val="center"/>
        <w:outlineLvl w:val="0"/>
        <w:rPr>
          <w:rFonts w:ascii="宋体" w:hAnsi="宋体" w:cs="宋体"/>
          <w:b/>
          <w:color w:val="auto"/>
          <w:sz w:val="36"/>
          <w:szCs w:val="36"/>
        </w:rPr>
      </w:pPr>
      <w:bookmarkStart w:id="32" w:name="第四部分"/>
      <w:r>
        <w:rPr>
          <w:rFonts w:hint="eastAsia" w:ascii="宋体" w:hAnsi="宋体" w:cs="宋体"/>
          <w:b/>
          <w:color w:val="auto"/>
          <w:sz w:val="36"/>
          <w:szCs w:val="36"/>
        </w:rPr>
        <w:t>第三部分   采购需求</w:t>
      </w:r>
    </w:p>
    <w:p w14:paraId="6B587FFF">
      <w:pPr>
        <w:spacing w:line="360" w:lineRule="auto"/>
        <w:ind w:firstLine="472" w:firstLineChars="196"/>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一、项目概况</w:t>
      </w:r>
    </w:p>
    <w:p w14:paraId="2227EDD6">
      <w:pPr>
        <w:tabs>
          <w:tab w:val="left" w:pos="574"/>
        </w:tabs>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宁海传媒集团（宁海县广播电视台）原有本地非编制作系统从2014年建成使用至今，由于使用时间较长，系统服务器，工作站及存储硬件设备逐步老化，整体系统也偶有故障，为保证非编制作的正常运行，确保电视节目的安全播出，需要对原有非编系统的核心设备进行一定的升级改造，整体网络架构也做一定的调整，满足宁海传媒集团现有节目制作要求。</w:t>
      </w:r>
    </w:p>
    <w:p w14:paraId="3A50BB66">
      <w:pPr>
        <w:tabs>
          <w:tab w:val="left" w:pos="574"/>
        </w:tabs>
        <w:spacing w:line="360" w:lineRule="auto"/>
        <w:ind w:firstLine="482" w:firstLineChars="200"/>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（一）总则</w:t>
      </w:r>
    </w:p>
    <w:p w14:paraId="5C8CD169">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本部分内容包含此次招标的系统升级改造包含的产品的设计、制造、采购、系统集成、调试和运输及服务等方面的要求。在满足招标人所提出的系统要求和对各项功能需求的前提下，投标人应根据自身的技术实力和设计施工经验，提出科学合理、安全可靠、功能齐全、经济性好、使用方便的优化设计和系统布局、设备安装等技术方案（含设计说明、图纸、设备详细清单等）。整体方案需要满足招标文件所列有关技术标准和规范，同时符合</w:t>
      </w:r>
      <w:r>
        <w:rPr>
          <w:rFonts w:hint="eastAsia" w:ascii="宋体" w:hAnsi="宋体" w:eastAsia="宋体" w:cs="宋体"/>
          <w:bCs/>
          <w:color w:val="auto"/>
          <w:sz w:val="24"/>
          <w:szCs w:val="24"/>
        </w:rPr>
        <w:t>宁海传媒集团</w:t>
      </w:r>
      <w:r>
        <w:rPr>
          <w:rFonts w:hint="eastAsia" w:ascii="宋体" w:hAnsi="宋体" w:eastAsia="宋体" w:cs="宋体"/>
          <w:color w:val="auto"/>
          <w:sz w:val="24"/>
          <w:szCs w:val="24"/>
        </w:rPr>
        <w:t>实际的技术操作习惯，使改造后的系统能充分满足当前及今后一段时间的工作需要，同时给将来的系统扩充留有余地。</w:t>
      </w:r>
    </w:p>
    <w:p w14:paraId="55FB4AC0">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2、投标人在设计方案时，应充分考虑系统、设备的先进性、实用性和可扩展性，充分考虑与现有系统、设备的兼容性，不得发生矛盾和冲突。</w:t>
      </w:r>
    </w:p>
    <w:p w14:paraId="7700CDF7">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3、投标人必须对本项目的所有内容完整投标，否则其投标将被认定为投标无效。</w:t>
      </w:r>
    </w:p>
    <w:p w14:paraId="69E549EF">
      <w:pPr>
        <w:tabs>
          <w:tab w:val="left" w:pos="574"/>
        </w:tabs>
        <w:spacing w:line="360" w:lineRule="auto"/>
        <w:ind w:firstLine="482" w:firstLineChars="200"/>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（二）遵循标准</w:t>
      </w:r>
    </w:p>
    <w:p w14:paraId="4851C4F1">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整个系统设计主要依据国家广播电影电视总局有关高清系统建设标准，技术指标应符合国家广播电影电视总局颁布的行业标准。</w:t>
      </w:r>
    </w:p>
    <w:p w14:paraId="569270C2">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本系统所涉及的设计、产品、工程和验收的标准和规范，应符合国家有关标准及规范，这些标准和规范包括：</w:t>
      </w:r>
    </w:p>
    <w:p w14:paraId="4D76E3CF">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CCIR（ITU-R601）601、CCIR（ITU-R656）656</w:t>
      </w:r>
    </w:p>
    <w:p w14:paraId="38A59A86">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GB/T14857-1993《演播室数字电视编码参数规范》</w:t>
      </w:r>
    </w:p>
    <w:p w14:paraId="60533A12">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GB/T17953-2000《4：2：2数字分量图像信号的接口》</w:t>
      </w:r>
    </w:p>
    <w:p w14:paraId="27B54412">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GY/T107-92  《电视中心播控系统维护规程》</w:t>
      </w:r>
    </w:p>
    <w:p w14:paraId="73A3765A">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GY/T152-2000《电视中心制作系统运行维护规程》</w:t>
      </w:r>
    </w:p>
    <w:p w14:paraId="400CDFF2">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GY/T158-2000《演播室数字音频信号接口》</w:t>
      </w:r>
    </w:p>
    <w:p w14:paraId="42B8814B">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GY/T160-2000《数字分量演播室接口中的附属数据信号格式》</w:t>
      </w:r>
    </w:p>
    <w:p w14:paraId="40AB8F3C">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GY/T161-2000《数字电视附属数据空间内数字音频和辅助数据的传输规范》</w:t>
      </w:r>
    </w:p>
    <w:p w14:paraId="2FACD34B">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GY/T164-2000《演播室串行数字光纤传输系统》</w:t>
      </w:r>
    </w:p>
    <w:p w14:paraId="6B63CF0D">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GY/T165-2000《电视中心播控系统数字播出通路技术指标和测量方法》</w:t>
      </w:r>
    </w:p>
    <w:p w14:paraId="692B6128">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GY/T167-2000《数字分量演播室的同步基准信号》</w:t>
      </w:r>
    </w:p>
    <w:p w14:paraId="3D3336E0">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GBT 20011-2005信息安全技术路由器安全评估准则</w:t>
      </w:r>
    </w:p>
    <w:p w14:paraId="7B575973">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GBT 20008-2005信息安全技术操作系统安全评估准则</w:t>
      </w:r>
    </w:p>
    <w:p w14:paraId="1987927D">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GBT 20270-2006信息安全技术网络基础安全技术要求</w:t>
      </w:r>
    </w:p>
    <w:p w14:paraId="625B6387">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GBT 21028-2007信息安全技术服务器安全技术要求</w:t>
      </w:r>
    </w:p>
    <w:p w14:paraId="0CF36A41">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GBT 21050-2007信息安全技术网络交换机安全技术要求</w:t>
      </w:r>
    </w:p>
    <w:p w14:paraId="5B4D345F">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GBT 21052-2007信息安全技术信息系统物理安全技术要求</w:t>
      </w:r>
    </w:p>
    <w:p w14:paraId="124B17C4">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GBT 22080-2008信息技术安全技术信息安全管理体系要求</w:t>
      </w:r>
    </w:p>
    <w:p w14:paraId="7E3CFBD0">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GBT 22081-2008信息技术安全技术信息安全管理实用规则</w:t>
      </w:r>
    </w:p>
    <w:p w14:paraId="5CC301FE">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GAT 711-2007应用软件系统安全等级保护通用技术指南</w:t>
      </w:r>
    </w:p>
    <w:p w14:paraId="309DA5ED">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GB 50174-2008电子信息系统机房设计规范</w:t>
      </w:r>
    </w:p>
    <w:p w14:paraId="17EA3529">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GB/T 22239-2008信息安全技术信息系统安全等级保护基本要求</w:t>
      </w:r>
    </w:p>
    <w:p w14:paraId="0DDE495F">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GB/T 15843-2008信息技术安全技术实体鉴别</w:t>
      </w:r>
    </w:p>
    <w:p w14:paraId="5B9E8CE0">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GB/T 17903-2008信息技术安全技术抗抵赖</w:t>
      </w:r>
    </w:p>
    <w:p w14:paraId="3AE0717C">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GD/J 037—2011广播电视相关信息系统安全等级保护定级指南</w:t>
      </w:r>
    </w:p>
    <w:p w14:paraId="2BC936F5">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GD/J 038—2011广播电视相关信息系统安全等级保护基本要求</w:t>
      </w:r>
    </w:p>
    <w:p w14:paraId="2B4D9DC2">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（广电总局62号令）广播电视安全播出管理规定实施细则</w:t>
      </w:r>
    </w:p>
    <w:p w14:paraId="57CDF32B">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上述技术标准和规范如果已经有新标准和规范替代时，投标人应使系统设计、施工以及选用的设备和材料符合最新版本的国家标准和规范。</w:t>
      </w:r>
    </w:p>
    <w:p w14:paraId="35864B66">
      <w:pPr>
        <w:tabs>
          <w:tab w:val="left" w:pos="574"/>
        </w:tabs>
        <w:spacing w:line="360" w:lineRule="auto"/>
        <w:ind w:firstLine="482" w:firstLineChars="200"/>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（三）总体技术原则</w:t>
      </w:r>
    </w:p>
    <w:p w14:paraId="248501D7">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标人提供的产品应具有技术先进、性能完备、安全可靠、使用操作方便、维修简便的特点，同时设备的各项指标应符合国家通用标准和要求，满足安全播出需要。建立完善的冗余备份和安全防范体系，保障系统高可靠和端到端的安全，具有多重安全防护，无单一崩溃点，应急手段灵活丰富。</w:t>
      </w:r>
    </w:p>
    <w:p w14:paraId="44D79F98">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2、投标人提供的系统设备应配套齐全、功能完善。招标文件中的设备清单只列出了系统所需的主要设备明细，投标人应根据本项目系统技术方案的要求配置完整详细的设备。</w:t>
      </w:r>
    </w:p>
    <w:p w14:paraId="2D9C4F5F">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3、所有设备必须是正规生产厂家（公司）的原装合格产品，且全新未使用。符合有关标准并具有出厂检验及产品合格证明及保修证明。</w:t>
      </w:r>
    </w:p>
    <w:p w14:paraId="08355966">
      <w:pPr>
        <w:spacing w:line="360" w:lineRule="auto"/>
        <w:ind w:firstLine="472" w:firstLineChars="196"/>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二、总体设计和建设目标</w:t>
      </w:r>
    </w:p>
    <w:p w14:paraId="1C41F88D">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宁海传媒集团</w:t>
      </w:r>
      <w:r>
        <w:rPr>
          <w:rFonts w:hint="eastAsia" w:ascii="宋体" w:hAnsi="宋体" w:eastAsia="宋体" w:cs="宋体"/>
          <w:color w:val="auto"/>
          <w:sz w:val="24"/>
          <w:szCs w:val="24"/>
        </w:rPr>
        <w:t>原有非编网络系统改造项目，项目建设完成后能达到：</w:t>
      </w:r>
    </w:p>
    <w:p w14:paraId="7778C59F">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1、搭建原有非编系统的后台基础平台，包括核心存储，业务系统所需的交换网络和服务器平台，以及对原有非编工作站升级改造，实现非编网络的整体集成建设。</w:t>
      </w:r>
    </w:p>
    <w:p w14:paraId="4DB50DAA">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none"/>
        </w:rPr>
        <w:t>2、采用分布式存储，配置3个节点的分布式存储为制作核心存储，每节点36盘位，采用</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T的SATA盘；支持2</w:t>
      </w:r>
      <w:r>
        <w:rPr>
          <w:rFonts w:hint="eastAsia" w:ascii="宋体" w:hAnsi="宋体" w:eastAsia="宋体" w:cs="宋体"/>
          <w:color w:val="auto"/>
          <w:sz w:val="24"/>
          <w:szCs w:val="24"/>
        </w:rPr>
        <w:t>块硬盘故障或者任意一个存储节点故障而不影响数据。</w:t>
      </w:r>
    </w:p>
    <w:p w14:paraId="2D7B1CFC">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4、采用“万兆+千兆”以太交换网络，非编系统万兆到桌面，为整个全媒体新闻制、播、存、发系统提供数据链路交换的物理通路。</w:t>
      </w:r>
    </w:p>
    <w:p w14:paraId="66DC7567">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5、实现</w:t>
      </w:r>
      <w:r>
        <w:rPr>
          <w:rFonts w:hint="eastAsia" w:ascii="宋体" w:hAnsi="宋体" w:eastAsia="宋体" w:cs="宋体"/>
          <w:color w:val="auto"/>
          <w:sz w:val="24"/>
          <w:szCs w:val="24"/>
          <w:lang w:eastAsia="zh-CN"/>
        </w:rPr>
        <w:t>宁海传媒集团</w:t>
      </w:r>
      <w:r>
        <w:rPr>
          <w:rFonts w:hint="eastAsia" w:ascii="宋体" w:hAnsi="宋体" w:eastAsia="宋体" w:cs="宋体"/>
          <w:color w:val="auto"/>
          <w:sz w:val="24"/>
          <w:szCs w:val="24"/>
        </w:rPr>
        <w:t>高清非编网系统、媒体资产管理系统、电视播出系统、</w:t>
      </w:r>
      <w:r>
        <w:rPr>
          <w:rFonts w:hint="eastAsia" w:ascii="宋体" w:hAnsi="宋体" w:eastAsia="宋体" w:cs="宋体"/>
          <w:color w:val="auto"/>
          <w:sz w:val="24"/>
          <w:szCs w:val="24"/>
          <w:lang w:val="en-US" w:eastAsia="zh-CN"/>
        </w:rPr>
        <w:t>融媒</w:t>
      </w:r>
      <w:r>
        <w:rPr>
          <w:rFonts w:hint="eastAsia" w:ascii="宋体" w:hAnsi="宋体" w:eastAsia="宋体" w:cs="宋体"/>
          <w:color w:val="auto"/>
          <w:sz w:val="24"/>
          <w:szCs w:val="24"/>
        </w:rPr>
        <w:t>系统及各业务系统的无缝对接。</w:t>
      </w:r>
    </w:p>
    <w:p w14:paraId="1E2CB1A0">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6、原有FC光纤主备存储的全部数据迁移到新的分布式存储，同时确保每天节目的正常制作和技术保障。</w:t>
      </w:r>
    </w:p>
    <w:p w14:paraId="1B1F3480">
      <w:pPr>
        <w:spacing w:line="360" w:lineRule="auto"/>
        <w:ind w:firstLine="472" w:firstLineChars="196"/>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三、招标要求</w:t>
      </w:r>
    </w:p>
    <w:p w14:paraId="28A42A77">
      <w:pPr>
        <w:spacing w:line="360" w:lineRule="auto"/>
        <w:ind w:firstLine="472" w:firstLineChars="196"/>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（一）总体要求</w:t>
      </w:r>
    </w:p>
    <w:p w14:paraId="44BA99A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本次招标内容包含</w:t>
      </w:r>
      <w:r>
        <w:rPr>
          <w:rFonts w:hint="eastAsia" w:ascii="宋体" w:hAnsi="宋体" w:eastAsia="宋体" w:cs="宋体"/>
          <w:color w:val="auto"/>
          <w:sz w:val="24"/>
          <w:szCs w:val="24"/>
          <w:lang w:eastAsia="zh-CN"/>
        </w:rPr>
        <w:t>宁海传媒集团</w:t>
      </w:r>
      <w:r>
        <w:rPr>
          <w:rFonts w:hint="eastAsia" w:ascii="宋体" w:hAnsi="宋体" w:eastAsia="宋体" w:cs="宋体"/>
          <w:color w:val="auto"/>
          <w:sz w:val="24"/>
          <w:szCs w:val="24"/>
        </w:rPr>
        <w:t>原有非编网络系统改造及配套设施集成、调试、培训工作等。</w:t>
      </w:r>
    </w:p>
    <w:p w14:paraId="2850FA1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标人根据招标文件所提供的系统设计技术要求进行深化设计，确保整个方案的完整性、科学性和实用性。投标文件内提供设计方案、系统图纸、设备布置图、详细设备配置清单。方案满足招标人提出的技术要求，所使用的主要设备的性能指标、稳定性及可靠性不低于招标文件的指标及性能，设备应当采用在市级以上电视台使用的知名品牌产品，并保证技术先进、科学合理、安全可靠、功能齐全、经济性好、方便使用，使建成后的系统能充分满足非编制作的需要。</w:t>
      </w:r>
    </w:p>
    <w:p w14:paraId="466B772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项目作为交钥匙工程，在招标文件所提供的系统设计技术要求中如未明确说明，但可以推断为整个系统安装和运行时不可缺少或必需的配套设备、材料和工作，投标人应当在投标文件中列出并计入投标报价。如果投标人所列出的所有设备在项目实施过程中发现有任何遗漏（包括招标文件中未列出，而系统又必须的软件和硬件），则由中标人负责提供并承担该部分费用，且不得因此延误工期。</w:t>
      </w:r>
    </w:p>
    <w:p w14:paraId="41D9088D">
      <w:pPr>
        <w:spacing w:line="360" w:lineRule="auto"/>
        <w:ind w:firstLine="480" w:firstLineChars="200"/>
        <w:rPr>
          <w:rFonts w:hint="eastAsia" w:ascii="宋体" w:hAnsi="宋体" w:cs="宋体"/>
          <w:color w:val="auto"/>
          <w:sz w:val="24"/>
          <w:szCs w:val="24"/>
          <w:lang w:val="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系统互通和</w:t>
      </w:r>
      <w:r>
        <w:rPr>
          <w:rFonts w:hint="eastAsia" w:ascii="宋体" w:hAnsi="宋体" w:eastAsia="宋体" w:cs="宋体"/>
          <w:color w:val="auto"/>
          <w:sz w:val="24"/>
          <w:szCs w:val="24"/>
          <w:lang w:val="en-US" w:eastAsia="zh-CN"/>
        </w:rPr>
        <w:t>数据继承</w:t>
      </w:r>
      <w:r>
        <w:rPr>
          <w:rFonts w:hint="eastAsia" w:ascii="宋体" w:hAnsi="宋体" w:cs="宋体"/>
          <w:color w:val="auto"/>
          <w:sz w:val="24"/>
          <w:szCs w:val="24"/>
          <w:lang w:val="en-US" w:eastAsia="zh-CN"/>
        </w:rPr>
        <w:t>：</w:t>
      </w:r>
      <w:r>
        <w:rPr>
          <w:rFonts w:hint="eastAsia" w:ascii="宋体" w:hAnsi="宋体" w:cs="宋体"/>
          <w:color w:val="auto"/>
          <w:sz w:val="24"/>
          <w:szCs w:val="24"/>
          <w:lang w:val="zh-CN"/>
        </w:rPr>
        <w:t>新建系统需和原有系统实现无缝对接，原有系统服务器，工作站及编辑系统需全部集成到本次系统当中；</w:t>
      </w:r>
      <w:r>
        <w:rPr>
          <w:rFonts w:hint="eastAsia" w:ascii="宋体" w:hAnsi="宋体" w:eastAsia="宋体" w:cs="宋体"/>
          <w:color w:val="auto"/>
          <w:sz w:val="24"/>
          <w:szCs w:val="24"/>
          <w:lang w:val="zh-CN"/>
        </w:rPr>
        <w:t>新建系统需</w:t>
      </w:r>
      <w:r>
        <w:rPr>
          <w:rFonts w:hint="eastAsia" w:ascii="宋体" w:hAnsi="宋体" w:cs="宋体"/>
          <w:color w:val="auto"/>
          <w:sz w:val="24"/>
          <w:szCs w:val="24"/>
          <w:lang w:val="en-US" w:eastAsia="zh-CN"/>
        </w:rPr>
        <w:t>必须</w:t>
      </w:r>
      <w:r>
        <w:rPr>
          <w:rFonts w:hint="eastAsia" w:ascii="宋体" w:hAnsi="宋体" w:eastAsia="宋体" w:cs="宋体"/>
          <w:color w:val="auto"/>
          <w:sz w:val="24"/>
          <w:szCs w:val="24"/>
          <w:lang w:val="zh-CN"/>
        </w:rPr>
        <w:t>无缝继承现有非编系统中的元数据信息和素材文件</w:t>
      </w:r>
      <w:r>
        <w:rPr>
          <w:rFonts w:hint="eastAsia" w:ascii="宋体" w:hAnsi="宋体" w:cs="宋体"/>
          <w:color w:val="auto"/>
          <w:sz w:val="24"/>
          <w:szCs w:val="24"/>
          <w:lang w:val="zh-CN"/>
        </w:rPr>
        <w:t>。</w:t>
      </w:r>
    </w:p>
    <w:p w14:paraId="32721BF9">
      <w:pPr>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、所有设备必须满足国家有关设备的安全、电磁学、质量等方面的规范或标准。</w:t>
      </w:r>
    </w:p>
    <w:p w14:paraId="265A5D18">
      <w:pPr>
        <w:tabs>
          <w:tab w:val="left" w:pos="574"/>
        </w:tabs>
        <w:spacing w:line="360" w:lineRule="auto"/>
        <w:ind w:firstLine="482" w:firstLineChars="200"/>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（二）设计原则</w:t>
      </w:r>
    </w:p>
    <w:p w14:paraId="0DEB1CE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宁海传媒集团</w:t>
      </w:r>
      <w:r>
        <w:rPr>
          <w:rFonts w:hint="eastAsia" w:ascii="宋体" w:hAnsi="宋体" w:eastAsia="宋体" w:cs="宋体"/>
          <w:color w:val="auto"/>
          <w:sz w:val="24"/>
          <w:szCs w:val="24"/>
        </w:rPr>
        <w:t>原有非编网络系统改造项目建设应遵循本项目服务范围及相关的广播电视技术质量标准，以“高安全、高质量、高效率”为原则，充分体现“科学发展”和“以人为本”思想，注重系统的科学性、设备的先进性、流程的合理性、功能的实用性、使用的可靠性、维护的方便性、接口的开放性、系统的再利用性等：</w:t>
      </w:r>
    </w:p>
    <w:p w14:paraId="0DF4B6E3">
      <w:pPr>
        <w:spacing w:line="360" w:lineRule="auto"/>
        <w:ind w:firstLine="482" w:firstLineChars="200"/>
        <w:rPr>
          <w:rFonts w:hint="eastAsia" w:ascii="宋体" w:hAnsi="宋体" w:eastAsia="宋体" w:cs="宋体"/>
          <w:color w:val="auto"/>
          <w:sz w:val="24"/>
          <w:szCs w:val="24"/>
        </w:rPr>
      </w:pPr>
      <w:bookmarkStart w:id="33" w:name="_Toc243096239"/>
      <w:r>
        <w:rPr>
          <w:rFonts w:hint="eastAsia" w:ascii="宋体" w:hAnsi="宋体" w:eastAsia="宋体" w:cs="宋体"/>
          <w:b/>
          <w:bCs/>
          <w:color w:val="auto"/>
          <w:sz w:val="24"/>
          <w:szCs w:val="24"/>
        </w:rPr>
        <w:t>（1）安全性</w:t>
      </w:r>
      <w:bookmarkEnd w:id="33"/>
      <w:r>
        <w:rPr>
          <w:rFonts w:hint="eastAsia" w:ascii="宋体" w:hAnsi="宋体" w:eastAsia="宋体" w:cs="宋体"/>
          <w:b/>
          <w:bCs/>
          <w:color w:val="auto"/>
          <w:sz w:val="24"/>
          <w:szCs w:val="24"/>
        </w:rPr>
        <w:t>原则：</w:t>
      </w:r>
      <w:r>
        <w:rPr>
          <w:rFonts w:hint="eastAsia" w:ascii="宋体" w:hAnsi="宋体" w:eastAsia="宋体" w:cs="宋体"/>
          <w:color w:val="auto"/>
          <w:sz w:val="24"/>
          <w:szCs w:val="24"/>
        </w:rPr>
        <w:t>采用安全、稳定的网络结构是本次高清非编系统升级改造项目建设中的关键。系统应具有极高的运行可靠性，具有检错、纠错能力，并具备完善的应急方案，且应急操作安全、快捷。同时，系统运行过程中的各关键因素要有严格的监控和管理手段。</w:t>
      </w:r>
    </w:p>
    <w:p w14:paraId="3FA2142B">
      <w:pPr>
        <w:spacing w:line="360" w:lineRule="auto"/>
        <w:ind w:firstLine="482" w:firstLineChars="200"/>
        <w:rPr>
          <w:rFonts w:hint="eastAsia" w:ascii="宋体" w:hAnsi="宋体" w:eastAsia="宋体" w:cs="宋体"/>
          <w:color w:val="auto"/>
          <w:sz w:val="24"/>
          <w:szCs w:val="24"/>
        </w:rPr>
      </w:pPr>
      <w:bookmarkStart w:id="34" w:name="_Toc243096240"/>
      <w:r>
        <w:rPr>
          <w:rFonts w:hint="eastAsia" w:ascii="宋体" w:hAnsi="宋体" w:eastAsia="宋体" w:cs="宋体"/>
          <w:b/>
          <w:bCs/>
          <w:color w:val="auto"/>
          <w:sz w:val="24"/>
          <w:szCs w:val="24"/>
        </w:rPr>
        <w:t>(2)高效性</w:t>
      </w:r>
      <w:bookmarkEnd w:id="34"/>
      <w:r>
        <w:rPr>
          <w:rFonts w:hint="eastAsia" w:ascii="宋体" w:hAnsi="宋体" w:eastAsia="宋体" w:cs="宋体"/>
          <w:b/>
          <w:bCs/>
          <w:color w:val="auto"/>
          <w:sz w:val="24"/>
          <w:szCs w:val="24"/>
        </w:rPr>
        <w:t>原则：</w:t>
      </w:r>
      <w:r>
        <w:rPr>
          <w:rFonts w:hint="eastAsia" w:ascii="宋体" w:hAnsi="宋体" w:eastAsia="宋体" w:cs="宋体"/>
          <w:color w:val="auto"/>
          <w:sz w:val="24"/>
          <w:szCs w:val="24"/>
        </w:rPr>
        <w:t>非编网络系统改造项目的流程应当注重优化处理，设计合适的网络结构和互连互通技术方案，提高工作效率，缩短整体流程的处理时间。所有流程都能够达到高效运转，所有业务所需资源都可以被高效提供，从而加速信息流动，实现信息增值，最终实现全局高效体系，增强竞争力。</w:t>
      </w:r>
    </w:p>
    <w:p w14:paraId="105C3C94">
      <w:pPr>
        <w:spacing w:line="360" w:lineRule="auto"/>
        <w:ind w:firstLine="482" w:firstLineChars="200"/>
        <w:rPr>
          <w:rFonts w:hint="eastAsia" w:ascii="宋体" w:hAnsi="宋体" w:eastAsia="宋体" w:cs="宋体"/>
          <w:color w:val="auto"/>
          <w:sz w:val="24"/>
          <w:szCs w:val="24"/>
        </w:rPr>
      </w:pPr>
      <w:bookmarkStart w:id="35" w:name="_Toc243096242"/>
      <w:r>
        <w:rPr>
          <w:rFonts w:hint="eastAsia" w:ascii="宋体" w:hAnsi="宋体" w:eastAsia="宋体" w:cs="宋体"/>
          <w:b/>
          <w:bCs/>
          <w:color w:val="auto"/>
          <w:sz w:val="24"/>
          <w:szCs w:val="24"/>
        </w:rPr>
        <w:t>(3)先进性</w:t>
      </w:r>
      <w:bookmarkEnd w:id="35"/>
      <w:r>
        <w:rPr>
          <w:rFonts w:hint="eastAsia" w:ascii="宋体" w:hAnsi="宋体" w:eastAsia="宋体" w:cs="宋体"/>
          <w:b/>
          <w:bCs/>
          <w:color w:val="auto"/>
          <w:sz w:val="24"/>
          <w:szCs w:val="24"/>
        </w:rPr>
        <w:t>原则：</w:t>
      </w:r>
      <w:r>
        <w:rPr>
          <w:rFonts w:hint="eastAsia" w:ascii="宋体" w:hAnsi="宋体" w:eastAsia="宋体" w:cs="宋体"/>
          <w:color w:val="auto"/>
          <w:sz w:val="24"/>
          <w:szCs w:val="24"/>
        </w:rPr>
        <w:t>系统设计应该充分考虑目前先进的AV技术、IT技术、以及网络技术，采用先进的技术构建全台制播业务网络以及相应管理网络。要兼顾未来技术动向，支持P2、蓝光盘及新型摄录介质以及多格式高、标清混编等技术。</w:t>
      </w:r>
      <w:bookmarkStart w:id="36" w:name="_Toc241681721"/>
      <w:bookmarkStart w:id="37" w:name="_Toc178065233"/>
      <w:bookmarkStart w:id="38" w:name="_Toc243096243"/>
    </w:p>
    <w:p w14:paraId="1DBE6E60">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(4)开放性</w:t>
      </w:r>
      <w:bookmarkEnd w:id="36"/>
      <w:bookmarkEnd w:id="37"/>
      <w:bookmarkEnd w:id="38"/>
      <w:r>
        <w:rPr>
          <w:rFonts w:hint="eastAsia" w:ascii="宋体" w:hAnsi="宋体" w:eastAsia="宋体" w:cs="宋体"/>
          <w:b/>
          <w:bCs/>
          <w:color w:val="auto"/>
          <w:sz w:val="24"/>
          <w:szCs w:val="24"/>
        </w:rPr>
        <w:t>原则：</w:t>
      </w:r>
      <w:r>
        <w:rPr>
          <w:rFonts w:hint="eastAsia" w:ascii="宋体" w:hAnsi="宋体" w:eastAsia="宋体" w:cs="宋体"/>
          <w:color w:val="auto"/>
          <w:sz w:val="24"/>
          <w:szCs w:val="24"/>
        </w:rPr>
        <w:t>开放性是指平台采用开放的标准，具备开放的体系和开放的接口，可以顺畅吸纳外部集成的多种媒体资源，可以对接外部系统，可以建立依托外部市场环境的运行体系，适应业务所提出的多种外部需求，符合广电总局《电视台数字化网络化建设白皮书》接口标准规范。</w:t>
      </w:r>
    </w:p>
    <w:p w14:paraId="52E4FAE3">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(5)可持续发展原则：</w:t>
      </w:r>
      <w:r>
        <w:rPr>
          <w:rFonts w:hint="eastAsia" w:ascii="宋体" w:hAnsi="宋体" w:eastAsia="宋体" w:cs="宋体"/>
          <w:color w:val="auto"/>
          <w:sz w:val="24"/>
          <w:szCs w:val="24"/>
        </w:rPr>
        <w:t>选取高可控性和具备良好升级能力的系统和建设方法，保证平台及流程的持续改进能力，顺应新媒体战略规律，保护投资，以适应瞬息万变的市场。系统硬件能够方便地扩展通道数量和硬盘存储容量，采用开放式和模块化结构，易于升级，扩展不影响现有系统的正常使用。</w:t>
      </w:r>
    </w:p>
    <w:p w14:paraId="43D7A6C0">
      <w:pPr>
        <w:rPr>
          <w:rFonts w:hint="eastAsia" w:ascii="宋体" w:hAnsi="宋体" w:eastAsia="宋体" w:cs="宋体"/>
          <w:b/>
          <w:color w:val="auto"/>
          <w:spacing w:val="6"/>
          <w:sz w:val="24"/>
          <w:szCs w:val="24"/>
        </w:rPr>
      </w:pPr>
      <w:r>
        <w:rPr>
          <w:rFonts w:hint="eastAsia" w:ascii="宋体" w:hAnsi="宋体" w:eastAsia="宋体" w:cs="宋体"/>
          <w:b/>
          <w:color w:val="auto"/>
          <w:spacing w:val="6"/>
          <w:sz w:val="24"/>
          <w:szCs w:val="24"/>
        </w:rPr>
        <w:br w:type="page"/>
      </w:r>
    </w:p>
    <w:p w14:paraId="16FDF699">
      <w:pPr>
        <w:tabs>
          <w:tab w:val="left" w:pos="574"/>
        </w:tabs>
        <w:spacing w:line="360" w:lineRule="auto"/>
        <w:ind w:firstLine="506" w:firstLineChars="200"/>
        <w:outlineLvl w:val="1"/>
        <w:rPr>
          <w:rFonts w:hint="eastAsia" w:ascii="宋体" w:hAnsi="宋体" w:eastAsia="宋体" w:cs="宋体"/>
          <w:b/>
          <w:color w:val="auto"/>
          <w:spacing w:val="6"/>
          <w:sz w:val="24"/>
          <w:szCs w:val="24"/>
        </w:rPr>
      </w:pPr>
      <w:r>
        <w:rPr>
          <w:rFonts w:hint="eastAsia" w:ascii="宋体" w:hAnsi="宋体" w:eastAsia="宋体" w:cs="宋体"/>
          <w:b/>
          <w:color w:val="auto"/>
          <w:spacing w:val="6"/>
          <w:sz w:val="24"/>
          <w:szCs w:val="24"/>
        </w:rPr>
        <w:t>（三）系统配置要求</w:t>
      </w:r>
    </w:p>
    <w:tbl>
      <w:tblPr>
        <w:tblStyle w:val="62"/>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6521"/>
        <w:gridCol w:w="992"/>
        <w:gridCol w:w="992"/>
      </w:tblGrid>
      <w:tr w14:paraId="0757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326933BF">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0"/>
                <w:sz w:val="24"/>
                <w:szCs w:val="24"/>
                <w:lang w:val="en-US" w:eastAsia="zh-CN" w:bidi="ar-SA"/>
              </w:rPr>
              <w:t>序号</w:t>
            </w:r>
          </w:p>
        </w:tc>
        <w:tc>
          <w:tcPr>
            <w:tcW w:w="6521" w:type="dxa"/>
            <w:noWrap w:val="0"/>
            <w:vAlign w:val="center"/>
          </w:tcPr>
          <w:p w14:paraId="4D037E01">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0"/>
                <w:sz w:val="24"/>
                <w:szCs w:val="24"/>
                <w:lang w:val="en-US" w:eastAsia="zh-CN" w:bidi="ar-SA"/>
              </w:rPr>
              <w:t>设备名称</w:t>
            </w:r>
          </w:p>
        </w:tc>
        <w:tc>
          <w:tcPr>
            <w:tcW w:w="992" w:type="dxa"/>
            <w:noWrap w:val="0"/>
            <w:vAlign w:val="center"/>
          </w:tcPr>
          <w:p w14:paraId="5006270A">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0"/>
                <w:sz w:val="24"/>
                <w:szCs w:val="24"/>
                <w:lang w:val="en-US" w:eastAsia="zh-CN" w:bidi="ar-SA"/>
              </w:rPr>
              <w:t>数量</w:t>
            </w:r>
          </w:p>
        </w:tc>
        <w:tc>
          <w:tcPr>
            <w:tcW w:w="992" w:type="dxa"/>
            <w:noWrap w:val="0"/>
            <w:vAlign w:val="center"/>
          </w:tcPr>
          <w:p w14:paraId="5B160348">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0"/>
                <w:sz w:val="24"/>
                <w:szCs w:val="24"/>
                <w:lang w:val="en-US" w:eastAsia="zh-CN" w:bidi="ar-SA"/>
              </w:rPr>
              <w:t>单位</w:t>
            </w:r>
          </w:p>
        </w:tc>
      </w:tr>
      <w:tr w14:paraId="3C905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noWrap w:val="0"/>
            <w:vAlign w:val="center"/>
          </w:tcPr>
          <w:p w14:paraId="10F3D683">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6521" w:type="dxa"/>
            <w:noWrap w:val="0"/>
            <w:vAlign w:val="center"/>
          </w:tcPr>
          <w:p w14:paraId="24903C81">
            <w:pPr>
              <w:widowControl w:val="0"/>
              <w:spacing w:after="0"/>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SA"/>
              </w:rPr>
              <w:t>分布式核心存储系统</w:t>
            </w:r>
          </w:p>
        </w:tc>
        <w:tc>
          <w:tcPr>
            <w:tcW w:w="992" w:type="dxa"/>
            <w:noWrap w:val="0"/>
            <w:vAlign w:val="center"/>
          </w:tcPr>
          <w:p w14:paraId="64DC6CB6">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SA"/>
              </w:rPr>
              <w:t>1</w:t>
            </w:r>
          </w:p>
        </w:tc>
        <w:tc>
          <w:tcPr>
            <w:tcW w:w="992" w:type="dxa"/>
            <w:noWrap w:val="0"/>
            <w:vAlign w:val="center"/>
          </w:tcPr>
          <w:p w14:paraId="76276F17">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套</w:t>
            </w:r>
          </w:p>
        </w:tc>
      </w:tr>
      <w:tr w14:paraId="3D57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0"/>
            <w:vAlign w:val="center"/>
          </w:tcPr>
          <w:p w14:paraId="5E1BB91F">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p>
        </w:tc>
        <w:tc>
          <w:tcPr>
            <w:tcW w:w="6521" w:type="dxa"/>
            <w:noWrap w:val="0"/>
            <w:vAlign w:val="center"/>
          </w:tcPr>
          <w:p w14:paraId="5FE6830C">
            <w:pPr>
              <w:widowControl w:val="0"/>
              <w:spacing w:after="0"/>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SA"/>
              </w:rPr>
              <w:t>数据中心交换机</w:t>
            </w:r>
          </w:p>
        </w:tc>
        <w:tc>
          <w:tcPr>
            <w:tcW w:w="992" w:type="dxa"/>
            <w:noWrap w:val="0"/>
            <w:vAlign w:val="center"/>
          </w:tcPr>
          <w:p w14:paraId="76A102DD">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SA"/>
              </w:rPr>
              <w:t>2</w:t>
            </w:r>
          </w:p>
        </w:tc>
        <w:tc>
          <w:tcPr>
            <w:tcW w:w="992" w:type="dxa"/>
            <w:noWrap w:val="0"/>
            <w:vAlign w:val="center"/>
          </w:tcPr>
          <w:p w14:paraId="3BA230D1">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SA"/>
              </w:rPr>
              <w:t>台</w:t>
            </w:r>
          </w:p>
        </w:tc>
      </w:tr>
      <w:tr w14:paraId="4D712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0"/>
            <w:vAlign w:val="center"/>
          </w:tcPr>
          <w:p w14:paraId="4AE8E15F">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p>
        </w:tc>
        <w:tc>
          <w:tcPr>
            <w:tcW w:w="6521" w:type="dxa"/>
            <w:noWrap w:val="0"/>
            <w:vAlign w:val="center"/>
          </w:tcPr>
          <w:p w14:paraId="691A94DB">
            <w:pPr>
              <w:widowControl w:val="0"/>
              <w:spacing w:after="0"/>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SA"/>
              </w:rPr>
              <w:t>存储接入交换机</w:t>
            </w:r>
          </w:p>
        </w:tc>
        <w:tc>
          <w:tcPr>
            <w:tcW w:w="992" w:type="dxa"/>
            <w:noWrap w:val="0"/>
            <w:vAlign w:val="center"/>
          </w:tcPr>
          <w:p w14:paraId="31F64E6A">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SA"/>
              </w:rPr>
              <w:t>1</w:t>
            </w:r>
          </w:p>
        </w:tc>
        <w:tc>
          <w:tcPr>
            <w:tcW w:w="992" w:type="dxa"/>
            <w:noWrap w:val="0"/>
            <w:vAlign w:val="center"/>
          </w:tcPr>
          <w:p w14:paraId="26631211">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SA"/>
              </w:rPr>
              <w:t>台</w:t>
            </w:r>
          </w:p>
        </w:tc>
      </w:tr>
      <w:tr w14:paraId="227FA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1CA97995">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p>
        </w:tc>
        <w:tc>
          <w:tcPr>
            <w:tcW w:w="6521" w:type="dxa"/>
            <w:noWrap w:val="0"/>
            <w:vAlign w:val="center"/>
          </w:tcPr>
          <w:p w14:paraId="78F4D251">
            <w:pPr>
              <w:widowControl w:val="0"/>
              <w:spacing w:after="0"/>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SA"/>
              </w:rPr>
              <w:t>核心万兆以太网交换机</w:t>
            </w:r>
          </w:p>
        </w:tc>
        <w:tc>
          <w:tcPr>
            <w:tcW w:w="992" w:type="dxa"/>
            <w:noWrap w:val="0"/>
            <w:vAlign w:val="center"/>
          </w:tcPr>
          <w:p w14:paraId="2194FF00">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SA"/>
              </w:rPr>
              <w:t>1</w:t>
            </w:r>
          </w:p>
        </w:tc>
        <w:tc>
          <w:tcPr>
            <w:tcW w:w="992" w:type="dxa"/>
            <w:noWrap w:val="0"/>
            <w:vAlign w:val="center"/>
          </w:tcPr>
          <w:p w14:paraId="33E798F9">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SA"/>
              </w:rPr>
              <w:t>台</w:t>
            </w:r>
          </w:p>
        </w:tc>
      </w:tr>
      <w:tr w14:paraId="16FF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5F33D91B">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p>
        </w:tc>
        <w:tc>
          <w:tcPr>
            <w:tcW w:w="6521" w:type="dxa"/>
            <w:noWrap w:val="0"/>
            <w:vAlign w:val="center"/>
          </w:tcPr>
          <w:p w14:paraId="272E8868">
            <w:pPr>
              <w:widowControl w:val="0"/>
              <w:spacing w:after="0"/>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SA"/>
              </w:rPr>
              <w:t>万兆光纤单口网卡（含模块）</w:t>
            </w:r>
          </w:p>
        </w:tc>
        <w:tc>
          <w:tcPr>
            <w:tcW w:w="992" w:type="dxa"/>
            <w:noWrap w:val="0"/>
            <w:vAlign w:val="center"/>
          </w:tcPr>
          <w:p w14:paraId="488F28A0">
            <w:pPr>
              <w:widowControl w:val="0"/>
              <w:spacing w:after="0"/>
              <w:ind w:left="0" w:leftChars="0" w:firstLine="0" w:firstLineChars="0"/>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0"/>
                <w:sz w:val="24"/>
                <w:szCs w:val="24"/>
                <w:lang w:val="en-US" w:eastAsia="zh-CN" w:bidi="ar-SA"/>
              </w:rPr>
              <w:t>20</w:t>
            </w:r>
          </w:p>
        </w:tc>
        <w:tc>
          <w:tcPr>
            <w:tcW w:w="992" w:type="dxa"/>
            <w:noWrap w:val="0"/>
            <w:vAlign w:val="center"/>
          </w:tcPr>
          <w:p w14:paraId="7F148EBD">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SA"/>
              </w:rPr>
              <w:t>块</w:t>
            </w:r>
          </w:p>
        </w:tc>
      </w:tr>
      <w:tr w14:paraId="2F49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73B11023">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w:t>
            </w:r>
          </w:p>
        </w:tc>
        <w:tc>
          <w:tcPr>
            <w:tcW w:w="6521" w:type="dxa"/>
            <w:noWrap w:val="0"/>
            <w:vAlign w:val="center"/>
          </w:tcPr>
          <w:p w14:paraId="53354AEA">
            <w:pPr>
              <w:widowControl w:val="0"/>
              <w:spacing w:after="0"/>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SA"/>
              </w:rPr>
              <w:t>数据移迁服务</w:t>
            </w:r>
          </w:p>
        </w:tc>
        <w:tc>
          <w:tcPr>
            <w:tcW w:w="992" w:type="dxa"/>
            <w:noWrap w:val="0"/>
            <w:vAlign w:val="center"/>
          </w:tcPr>
          <w:p w14:paraId="72DFB512">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SA"/>
              </w:rPr>
              <w:t>1</w:t>
            </w:r>
          </w:p>
        </w:tc>
        <w:tc>
          <w:tcPr>
            <w:tcW w:w="992" w:type="dxa"/>
            <w:noWrap w:val="0"/>
            <w:vAlign w:val="center"/>
          </w:tcPr>
          <w:p w14:paraId="0DBCCA44">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SA"/>
              </w:rPr>
              <w:t>项</w:t>
            </w:r>
          </w:p>
        </w:tc>
      </w:tr>
      <w:tr w14:paraId="1B44B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6B5B1463">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w:t>
            </w:r>
          </w:p>
        </w:tc>
        <w:tc>
          <w:tcPr>
            <w:tcW w:w="6521" w:type="dxa"/>
            <w:noWrap w:val="0"/>
            <w:vAlign w:val="center"/>
          </w:tcPr>
          <w:p w14:paraId="4404840F">
            <w:pPr>
              <w:widowControl w:val="0"/>
              <w:spacing w:after="0"/>
              <w:ind w:left="0" w:leftChars="0" w:firstLine="0" w:firstLineChars="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原有非编网络管理软件存储接入管理模块，软件授权</w:t>
            </w:r>
          </w:p>
        </w:tc>
        <w:tc>
          <w:tcPr>
            <w:tcW w:w="992" w:type="dxa"/>
            <w:noWrap w:val="0"/>
            <w:vAlign w:val="center"/>
          </w:tcPr>
          <w:p w14:paraId="427D68EB">
            <w:pPr>
              <w:widowControl w:val="0"/>
              <w:spacing w:after="0"/>
              <w:ind w:left="0" w:leftChars="0"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w:t>
            </w:r>
          </w:p>
        </w:tc>
        <w:tc>
          <w:tcPr>
            <w:tcW w:w="992" w:type="dxa"/>
            <w:noWrap w:val="0"/>
            <w:vAlign w:val="center"/>
          </w:tcPr>
          <w:p w14:paraId="79147635">
            <w:pPr>
              <w:widowControl w:val="0"/>
              <w:spacing w:after="0"/>
              <w:ind w:left="0" w:leftChars="0"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w:t>
            </w:r>
          </w:p>
        </w:tc>
      </w:tr>
      <w:tr w14:paraId="1DA7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16CCBDD7">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p>
        </w:tc>
        <w:tc>
          <w:tcPr>
            <w:tcW w:w="6521" w:type="dxa"/>
            <w:noWrap w:val="0"/>
            <w:vAlign w:val="center"/>
          </w:tcPr>
          <w:p w14:paraId="030BB477">
            <w:pPr>
              <w:widowControl w:val="0"/>
              <w:spacing w:after="0"/>
              <w:ind w:left="0" w:leftChars="0" w:firstLine="0" w:firstLineChars="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网络工程集成</w:t>
            </w:r>
            <w:r>
              <w:rPr>
                <w:rFonts w:hint="eastAsia" w:ascii="宋体" w:hAnsi="宋体" w:eastAsia="宋体" w:cs="宋体"/>
                <w:color w:val="auto"/>
                <w:kern w:val="0"/>
                <w:sz w:val="24"/>
                <w:szCs w:val="24"/>
                <w:u w:val="single"/>
                <w:lang w:val="en-US" w:eastAsia="zh-CN" w:bidi="ar-SA"/>
              </w:rPr>
              <w:t>(含线缆等辅件)及机柜接电改造，</w:t>
            </w:r>
            <w:r>
              <w:rPr>
                <w:rFonts w:hint="eastAsia" w:ascii="宋体" w:hAnsi="宋体" w:eastAsia="宋体" w:cs="宋体"/>
                <w:color w:val="auto"/>
                <w:kern w:val="0"/>
                <w:sz w:val="24"/>
                <w:szCs w:val="24"/>
                <w:lang w:val="en-US" w:eastAsia="zh-CN" w:bidi="ar-SA"/>
              </w:rPr>
              <w:t>技术服务</w:t>
            </w:r>
          </w:p>
        </w:tc>
        <w:tc>
          <w:tcPr>
            <w:tcW w:w="992" w:type="dxa"/>
            <w:noWrap w:val="0"/>
            <w:vAlign w:val="center"/>
          </w:tcPr>
          <w:p w14:paraId="6B7EA1A0">
            <w:pPr>
              <w:widowControl w:val="0"/>
              <w:spacing w:after="0"/>
              <w:ind w:left="0" w:leftChars="0"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w:t>
            </w:r>
          </w:p>
        </w:tc>
        <w:tc>
          <w:tcPr>
            <w:tcW w:w="992" w:type="dxa"/>
            <w:noWrap w:val="0"/>
            <w:vAlign w:val="center"/>
          </w:tcPr>
          <w:p w14:paraId="3B769119">
            <w:pPr>
              <w:widowControl w:val="0"/>
              <w:spacing w:after="0"/>
              <w:ind w:left="0" w:leftChars="0"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w:t>
            </w:r>
          </w:p>
        </w:tc>
      </w:tr>
      <w:tr w14:paraId="2B39A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439C948F">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w:t>
            </w:r>
          </w:p>
        </w:tc>
        <w:tc>
          <w:tcPr>
            <w:tcW w:w="6521" w:type="dxa"/>
            <w:noWrap w:val="0"/>
            <w:vAlign w:val="center"/>
          </w:tcPr>
          <w:p w14:paraId="72BC5689">
            <w:pPr>
              <w:widowControl w:val="0"/>
              <w:spacing w:after="0"/>
              <w:ind w:left="0" w:leftChars="0" w:firstLine="0" w:firstLineChars="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42U标准机柜，含承重及附件</w:t>
            </w:r>
          </w:p>
        </w:tc>
        <w:tc>
          <w:tcPr>
            <w:tcW w:w="992" w:type="dxa"/>
            <w:noWrap w:val="0"/>
            <w:vAlign w:val="center"/>
          </w:tcPr>
          <w:p w14:paraId="76541DD7">
            <w:pPr>
              <w:widowControl w:val="0"/>
              <w:spacing w:after="0"/>
              <w:ind w:left="0" w:leftChars="0"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w:t>
            </w:r>
          </w:p>
        </w:tc>
        <w:tc>
          <w:tcPr>
            <w:tcW w:w="992" w:type="dxa"/>
            <w:noWrap w:val="0"/>
            <w:vAlign w:val="center"/>
          </w:tcPr>
          <w:p w14:paraId="7C97AF45">
            <w:pPr>
              <w:widowControl w:val="0"/>
              <w:spacing w:after="0"/>
              <w:ind w:left="0" w:leftChars="0"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w:t>
            </w:r>
          </w:p>
        </w:tc>
      </w:tr>
    </w:tbl>
    <w:p w14:paraId="233973B6">
      <w:pPr>
        <w:spacing w:line="360" w:lineRule="auto"/>
        <w:ind w:firstLine="472" w:firstLineChars="196"/>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（四）详细技术要求</w:t>
      </w:r>
    </w:p>
    <w:p w14:paraId="783DC0E2">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left"/>
        <w:textAlignment w:val="auto"/>
        <w:outlineLvl w:val="9"/>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分布式存储要求</w:t>
      </w:r>
    </w:p>
    <w:tbl>
      <w:tblPr>
        <w:tblStyle w:val="6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475"/>
        <w:gridCol w:w="6780"/>
      </w:tblGrid>
      <w:tr w14:paraId="1D80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49" w:type="pct"/>
            <w:gridSpan w:val="2"/>
            <w:shd w:val="clear" w:color="000000" w:fill="auto"/>
            <w:vAlign w:val="center"/>
          </w:tcPr>
          <w:p w14:paraId="754DFFE5">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指标项</w:t>
            </w:r>
          </w:p>
        </w:tc>
        <w:tc>
          <w:tcPr>
            <w:tcW w:w="3650" w:type="pct"/>
            <w:shd w:val="clear" w:color="000000" w:fill="auto"/>
            <w:vAlign w:val="center"/>
          </w:tcPr>
          <w:p w14:paraId="715FB597">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技术规格及配置要求</w:t>
            </w:r>
          </w:p>
        </w:tc>
      </w:tr>
      <w:tr w14:paraId="33AE5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349" w:type="pct"/>
            <w:gridSpan w:val="2"/>
            <w:vMerge w:val="restart"/>
            <w:shd w:val="clear" w:color="auto" w:fill="auto"/>
            <w:vAlign w:val="center"/>
          </w:tcPr>
          <w:p w14:paraId="3AA1E8E0">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产品要求和资质</w:t>
            </w:r>
          </w:p>
        </w:tc>
        <w:tc>
          <w:tcPr>
            <w:tcW w:w="3650" w:type="pct"/>
            <w:shd w:val="clear" w:color="auto" w:fill="auto"/>
            <w:vAlign w:val="center"/>
          </w:tcPr>
          <w:p w14:paraId="75F2F091">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知名品牌，所投产品拥有完全的自主知识产权。提供软件著作权登记证（</w:t>
            </w:r>
            <w:r>
              <w:rPr>
                <w:rFonts w:hint="eastAsia" w:ascii="宋体" w:hAnsi="宋体" w:eastAsia="宋体" w:cs="宋体"/>
                <w:color w:val="auto"/>
                <w:sz w:val="24"/>
                <w:szCs w:val="24"/>
              </w:rPr>
              <w:t>权利取得方式为“原始取得”，权利范围为“全部权利”。提供软件著作权登记证</w:t>
            </w:r>
            <w:r>
              <w:rPr>
                <w:rFonts w:hint="eastAsia" w:ascii="宋体" w:hAnsi="宋体" w:eastAsia="宋体" w:cs="宋体"/>
                <w:color w:val="auto"/>
                <w:kern w:val="0"/>
                <w:sz w:val="24"/>
                <w:szCs w:val="24"/>
              </w:rPr>
              <w:t>）</w:t>
            </w:r>
          </w:p>
        </w:tc>
      </w:tr>
      <w:tr w14:paraId="6B9B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349" w:type="pct"/>
            <w:gridSpan w:val="2"/>
            <w:vMerge w:val="continue"/>
            <w:shd w:val="clear" w:color="auto" w:fill="auto"/>
            <w:vAlign w:val="center"/>
          </w:tcPr>
          <w:p w14:paraId="4172A21E">
            <w:pPr>
              <w:widowControl/>
              <w:jc w:val="center"/>
              <w:rPr>
                <w:rFonts w:hint="eastAsia" w:ascii="宋体" w:hAnsi="宋体" w:eastAsia="宋体" w:cs="宋体"/>
                <w:color w:val="auto"/>
                <w:kern w:val="0"/>
                <w:sz w:val="24"/>
                <w:szCs w:val="24"/>
              </w:rPr>
            </w:pPr>
          </w:p>
        </w:tc>
        <w:tc>
          <w:tcPr>
            <w:tcW w:w="3650" w:type="pct"/>
            <w:shd w:val="clear" w:color="auto" w:fill="auto"/>
            <w:vAlign w:val="center"/>
          </w:tcPr>
          <w:p w14:paraId="0D1C6AEB">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知名存储品牌，分布式文件和对象存储进入Gartner魔力四象限，提供Gartner关键竞争力排名证明</w:t>
            </w:r>
          </w:p>
        </w:tc>
      </w:tr>
      <w:tr w14:paraId="18651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restart"/>
            <w:shd w:val="clear" w:color="auto" w:fill="auto"/>
            <w:vAlign w:val="center"/>
          </w:tcPr>
          <w:p w14:paraId="41280B34">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系统架构</w:t>
            </w:r>
          </w:p>
        </w:tc>
        <w:tc>
          <w:tcPr>
            <w:tcW w:w="793" w:type="pct"/>
            <w:shd w:val="clear" w:color="000000" w:fill="FFFFFF"/>
            <w:vAlign w:val="center"/>
          </w:tcPr>
          <w:p w14:paraId="7C482307">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分布式架构</w:t>
            </w:r>
          </w:p>
        </w:tc>
        <w:tc>
          <w:tcPr>
            <w:tcW w:w="3650" w:type="pct"/>
            <w:shd w:val="clear" w:color="auto" w:fill="auto"/>
            <w:vAlign w:val="center"/>
          </w:tcPr>
          <w:p w14:paraId="4AA56280">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全对称分布式架构，无独立元数据节点，性能、容量随节点数增加而线性增加。扩容过程中对业务无影响</w:t>
            </w:r>
          </w:p>
        </w:tc>
      </w:tr>
      <w:tr w14:paraId="1B251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continue"/>
            <w:vAlign w:val="center"/>
          </w:tcPr>
          <w:p w14:paraId="6FCAFEF4">
            <w:pPr>
              <w:widowControl/>
              <w:jc w:val="left"/>
              <w:rPr>
                <w:rFonts w:hint="eastAsia" w:ascii="宋体" w:hAnsi="宋体" w:eastAsia="宋体" w:cs="宋体"/>
                <w:color w:val="auto"/>
                <w:kern w:val="0"/>
                <w:sz w:val="24"/>
                <w:szCs w:val="24"/>
              </w:rPr>
            </w:pPr>
          </w:p>
        </w:tc>
        <w:tc>
          <w:tcPr>
            <w:tcW w:w="793" w:type="pct"/>
            <w:shd w:val="clear" w:color="000000" w:fill="FFFFFF"/>
            <w:vAlign w:val="center"/>
          </w:tcPr>
          <w:p w14:paraId="10B99013">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多命名空间</w:t>
            </w:r>
          </w:p>
        </w:tc>
        <w:tc>
          <w:tcPr>
            <w:tcW w:w="3650" w:type="pct"/>
            <w:shd w:val="clear" w:color="auto" w:fill="auto"/>
            <w:vAlign w:val="center"/>
          </w:tcPr>
          <w:p w14:paraId="188C6DE7">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单个集群支持配置多个独立的命名空间（文件系统/桶），每个命名空间支持1000亿以上文件/对象</w:t>
            </w:r>
          </w:p>
        </w:tc>
      </w:tr>
      <w:tr w14:paraId="0604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5" w:type="pct"/>
            <w:vMerge w:val="continue"/>
            <w:vAlign w:val="center"/>
          </w:tcPr>
          <w:p w14:paraId="2E8DDE44">
            <w:pPr>
              <w:widowControl/>
              <w:jc w:val="left"/>
              <w:rPr>
                <w:rFonts w:hint="eastAsia" w:ascii="宋体" w:hAnsi="宋体" w:eastAsia="宋体" w:cs="宋体"/>
                <w:color w:val="auto"/>
                <w:kern w:val="0"/>
                <w:sz w:val="24"/>
                <w:szCs w:val="24"/>
              </w:rPr>
            </w:pPr>
          </w:p>
        </w:tc>
        <w:tc>
          <w:tcPr>
            <w:tcW w:w="793" w:type="pct"/>
            <w:shd w:val="clear" w:color="000000" w:fill="FFFFFF"/>
            <w:vAlign w:val="center"/>
          </w:tcPr>
          <w:p w14:paraId="52976B30">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系统扩展性</w:t>
            </w:r>
          </w:p>
        </w:tc>
        <w:tc>
          <w:tcPr>
            <w:tcW w:w="3650" w:type="pct"/>
            <w:shd w:val="clear" w:color="auto" w:fill="auto"/>
            <w:vAlign w:val="center"/>
          </w:tcPr>
          <w:p w14:paraId="47C59D37">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具备大规模横向扩展能力，单集群规模最大可扩展至≥4096节点</w:t>
            </w:r>
          </w:p>
        </w:tc>
      </w:tr>
      <w:tr w14:paraId="6D34F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555" w:type="pct"/>
            <w:vMerge w:val="continue"/>
            <w:vAlign w:val="center"/>
          </w:tcPr>
          <w:p w14:paraId="7ECB2E8C">
            <w:pPr>
              <w:widowControl/>
              <w:jc w:val="left"/>
              <w:rPr>
                <w:rFonts w:hint="eastAsia" w:ascii="宋体" w:hAnsi="宋体" w:eastAsia="宋体" w:cs="宋体"/>
                <w:color w:val="auto"/>
                <w:kern w:val="0"/>
                <w:sz w:val="24"/>
                <w:szCs w:val="24"/>
              </w:rPr>
            </w:pPr>
          </w:p>
        </w:tc>
        <w:tc>
          <w:tcPr>
            <w:tcW w:w="793" w:type="pct"/>
            <w:shd w:val="clear" w:color="000000" w:fill="FFFFFF"/>
            <w:vAlign w:val="center"/>
          </w:tcPr>
          <w:p w14:paraId="13107D52">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▲数据冗余保护</w:t>
            </w:r>
          </w:p>
        </w:tc>
        <w:tc>
          <w:tcPr>
            <w:tcW w:w="3650" w:type="pct"/>
            <w:shd w:val="clear" w:color="auto" w:fill="auto"/>
            <w:vAlign w:val="center"/>
          </w:tcPr>
          <w:p w14:paraId="58DFD102">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支持数据高冗余模式，最多可容忍任意4个节点同时失效而不丢失数据。支持动态EC，当节点故障时，自动调整EC配比，确保新数据可靠性不降级</w:t>
            </w:r>
          </w:p>
          <w:p w14:paraId="2A1FD629">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提供第三方检测报告证明材料</w:t>
            </w:r>
          </w:p>
        </w:tc>
      </w:tr>
      <w:tr w14:paraId="6E4C3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555" w:type="pct"/>
            <w:vMerge w:val="continue"/>
            <w:vAlign w:val="center"/>
          </w:tcPr>
          <w:p w14:paraId="22AB36DD">
            <w:pPr>
              <w:widowControl/>
              <w:jc w:val="left"/>
              <w:rPr>
                <w:rFonts w:hint="eastAsia" w:ascii="宋体" w:hAnsi="宋体" w:eastAsia="宋体" w:cs="宋体"/>
                <w:color w:val="auto"/>
                <w:kern w:val="0"/>
                <w:sz w:val="24"/>
                <w:szCs w:val="24"/>
              </w:rPr>
            </w:pPr>
          </w:p>
        </w:tc>
        <w:tc>
          <w:tcPr>
            <w:tcW w:w="793" w:type="pct"/>
            <w:shd w:val="clear" w:color="000000" w:fill="FFFFFF"/>
            <w:vAlign w:val="center"/>
          </w:tcPr>
          <w:p w14:paraId="3BDCBB60">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▲空间利用率</w:t>
            </w:r>
          </w:p>
        </w:tc>
        <w:tc>
          <w:tcPr>
            <w:tcW w:w="3650" w:type="pct"/>
            <w:shd w:val="clear" w:color="auto" w:fill="auto"/>
            <w:vAlign w:val="center"/>
          </w:tcPr>
          <w:p w14:paraId="28B87744">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1、支持EC（纠删码）数据保护模式，且支持+2/+3/+4灵活EC配比</w:t>
            </w:r>
          </w:p>
          <w:p w14:paraId="1B5C15CB">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2、支持大比例EC，支持22+2 EC配比，利用率高于90%</w:t>
            </w:r>
          </w:p>
          <w:p w14:paraId="5B6BF005">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提供第三方检测报告证明材料。</w:t>
            </w:r>
          </w:p>
        </w:tc>
      </w:tr>
      <w:tr w14:paraId="49A2B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continue"/>
            <w:vAlign w:val="center"/>
          </w:tcPr>
          <w:p w14:paraId="52B5F057">
            <w:pPr>
              <w:widowControl/>
              <w:jc w:val="left"/>
              <w:rPr>
                <w:rFonts w:hint="eastAsia" w:ascii="宋体" w:hAnsi="宋体" w:eastAsia="宋体" w:cs="宋体"/>
                <w:color w:val="auto"/>
                <w:kern w:val="0"/>
                <w:sz w:val="24"/>
                <w:szCs w:val="24"/>
              </w:rPr>
            </w:pPr>
          </w:p>
        </w:tc>
        <w:tc>
          <w:tcPr>
            <w:tcW w:w="793" w:type="pct"/>
            <w:shd w:val="clear" w:color="000000" w:fill="FFFFFF"/>
            <w:vAlign w:val="center"/>
          </w:tcPr>
          <w:p w14:paraId="4CBF0D1C">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数据重构</w:t>
            </w:r>
          </w:p>
        </w:tc>
        <w:tc>
          <w:tcPr>
            <w:tcW w:w="3650" w:type="pct"/>
            <w:shd w:val="clear" w:color="auto" w:fill="auto"/>
            <w:vAlign w:val="center"/>
          </w:tcPr>
          <w:p w14:paraId="463F9A1B">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支持数据快速重构，当磁盘或存储节点故障时，系统能自动进行数据重建，在无人工干预条件下，数据重建速度能满足：每TB≤30分钟</w:t>
            </w:r>
          </w:p>
        </w:tc>
      </w:tr>
      <w:tr w14:paraId="77CF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3" w:hRule="atLeast"/>
        </w:trPr>
        <w:tc>
          <w:tcPr>
            <w:tcW w:w="555" w:type="pct"/>
            <w:vMerge w:val="continue"/>
            <w:vAlign w:val="center"/>
          </w:tcPr>
          <w:p w14:paraId="6AC84552">
            <w:pPr>
              <w:widowControl/>
              <w:jc w:val="left"/>
              <w:rPr>
                <w:rFonts w:hint="eastAsia" w:ascii="宋体" w:hAnsi="宋体" w:eastAsia="宋体" w:cs="宋体"/>
                <w:color w:val="auto"/>
                <w:kern w:val="0"/>
                <w:sz w:val="24"/>
                <w:szCs w:val="24"/>
              </w:rPr>
            </w:pPr>
          </w:p>
        </w:tc>
        <w:tc>
          <w:tcPr>
            <w:tcW w:w="793" w:type="pct"/>
            <w:shd w:val="clear" w:color="000000" w:fill="FFFFFF"/>
            <w:vAlign w:val="center"/>
          </w:tcPr>
          <w:p w14:paraId="13DBE494">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多协议互通</w:t>
            </w:r>
          </w:p>
        </w:tc>
        <w:tc>
          <w:tcPr>
            <w:tcW w:w="3650" w:type="pct"/>
            <w:shd w:val="clear" w:color="auto" w:fill="auto"/>
            <w:vAlign w:val="center"/>
          </w:tcPr>
          <w:p w14:paraId="0BB338A4">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支持在相同存储池内相同命名空间上同时开启文件/大数据/对象服务，并支持以下功能</w:t>
            </w:r>
          </w:p>
          <w:p w14:paraId="3678EA8F">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 NFS支持mount、mkdir、rm、mv、cp，NFS lock, truncate,软链接，硬链接，rename 文件，rename 文件夹等常用接口</w:t>
            </w:r>
          </w:p>
          <w:p w14:paraId="2BD1DFB8">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 CIFS支持创建目录、删除目录、创建文件、删除文件、拷贝文件、查看文件、修改文件等常用接口</w:t>
            </w:r>
          </w:p>
          <w:p w14:paraId="2A925CE9">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3、 DPC支持标准POSIX接口：mkdir、rm、mv、cp，NFS lock, truncate,软链接，硬链接，rename 文件，rename 文件夹，对文件修改写，追加写</w:t>
            </w:r>
          </w:p>
          <w:p w14:paraId="76AB051A">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4、 DPC支持并行客户端，支持MPI-IO，兼容OpenMPI， MPICH2</w:t>
            </w:r>
          </w:p>
          <w:p w14:paraId="31F5F441">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5、 提供S3（要求支持S3 V2 REST API以及S3 V4 REST API）标准接口，支持put、get、listobject，对象ACL,桶的生命周期管理，对象的多版本，对象的自定义元数据、对象的多段上传接口</w:t>
            </w:r>
          </w:p>
          <w:p w14:paraId="48F78838">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6、 提供原生HDFS访问接口，支持append、truncate、rename、move、concat等接口，支持纳管现网Hadoop文件系统并提供统一命名空间</w:t>
            </w:r>
          </w:p>
          <w:p w14:paraId="2301A995">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7、支持NFS/CIFS/POSIX/MPI-IO/HDFS/S3多种访问协议访问同一存储池内的同一文件，避免因访问协议不同造成的数据拷贝，无明显语义损失，支持文件修改写、对象字典序、对象多段上传、对象多版本等常用语义，无需配置独立的网关节点</w:t>
            </w:r>
          </w:p>
          <w:p w14:paraId="572EEA31">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提供第三方检测报告证明材料</w:t>
            </w:r>
          </w:p>
        </w:tc>
      </w:tr>
      <w:tr w14:paraId="0A160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555" w:type="pct"/>
            <w:vMerge w:val="restart"/>
            <w:shd w:val="clear" w:color="auto" w:fill="auto"/>
            <w:vAlign w:val="center"/>
          </w:tcPr>
          <w:p w14:paraId="0B8555F8">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增值特性</w:t>
            </w:r>
          </w:p>
        </w:tc>
        <w:tc>
          <w:tcPr>
            <w:tcW w:w="793" w:type="pct"/>
            <w:shd w:val="clear" w:color="000000" w:fill="FFFFFF"/>
            <w:vAlign w:val="center"/>
          </w:tcPr>
          <w:p w14:paraId="5DCD0209">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配额</w:t>
            </w:r>
          </w:p>
        </w:tc>
        <w:tc>
          <w:tcPr>
            <w:tcW w:w="3650" w:type="pct"/>
            <w:shd w:val="clear" w:color="auto" w:fill="auto"/>
            <w:vAlign w:val="center"/>
          </w:tcPr>
          <w:p w14:paraId="3C719615">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非结构化数据统一配置、实施配额</w:t>
            </w:r>
          </w:p>
          <w:p w14:paraId="5A414F84">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1、支持命名空间（文件系统/桶）级和子命名空间级配额。</w:t>
            </w:r>
          </w:p>
          <w:p w14:paraId="5C5180DE">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2、支持容量和文件数配额</w:t>
            </w:r>
          </w:p>
          <w:p w14:paraId="2893A517">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3、可基于用户和用户组设置配额</w:t>
            </w:r>
          </w:p>
          <w:p w14:paraId="510B9524">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4、支持默认配额</w:t>
            </w:r>
          </w:p>
        </w:tc>
      </w:tr>
      <w:tr w14:paraId="53BB9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5" w:type="pct"/>
            <w:vMerge w:val="continue"/>
            <w:vAlign w:val="center"/>
          </w:tcPr>
          <w:p w14:paraId="6E50C564">
            <w:pPr>
              <w:widowControl/>
              <w:jc w:val="left"/>
              <w:rPr>
                <w:rFonts w:hint="eastAsia" w:ascii="宋体" w:hAnsi="宋体" w:eastAsia="宋体" w:cs="宋体"/>
                <w:color w:val="auto"/>
                <w:kern w:val="0"/>
                <w:sz w:val="24"/>
                <w:szCs w:val="24"/>
              </w:rPr>
            </w:pPr>
          </w:p>
        </w:tc>
        <w:tc>
          <w:tcPr>
            <w:tcW w:w="793" w:type="pct"/>
            <w:shd w:val="clear" w:color="000000" w:fill="FFFFFF"/>
            <w:vAlign w:val="center"/>
          </w:tcPr>
          <w:p w14:paraId="0DC38791">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负载均衡</w:t>
            </w:r>
          </w:p>
        </w:tc>
        <w:tc>
          <w:tcPr>
            <w:tcW w:w="3650" w:type="pct"/>
            <w:shd w:val="clear" w:color="auto" w:fill="auto"/>
            <w:vAlign w:val="center"/>
          </w:tcPr>
          <w:p w14:paraId="1329BFD1">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支持业务在节点、硬盘、网口间的负载均衡</w:t>
            </w:r>
          </w:p>
        </w:tc>
      </w:tr>
      <w:tr w14:paraId="2159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continue"/>
            <w:vAlign w:val="center"/>
          </w:tcPr>
          <w:p w14:paraId="08FE15F5">
            <w:pPr>
              <w:widowControl/>
              <w:jc w:val="left"/>
              <w:rPr>
                <w:rFonts w:hint="eastAsia" w:ascii="宋体" w:hAnsi="宋体" w:eastAsia="宋体" w:cs="宋体"/>
                <w:color w:val="auto"/>
                <w:kern w:val="0"/>
                <w:sz w:val="24"/>
                <w:szCs w:val="24"/>
              </w:rPr>
            </w:pPr>
          </w:p>
        </w:tc>
        <w:tc>
          <w:tcPr>
            <w:tcW w:w="793" w:type="pct"/>
            <w:shd w:val="clear" w:color="000000" w:fill="FFFFFF"/>
            <w:vAlign w:val="center"/>
          </w:tcPr>
          <w:p w14:paraId="405554CF">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快照</w:t>
            </w:r>
          </w:p>
        </w:tc>
        <w:tc>
          <w:tcPr>
            <w:tcW w:w="3650" w:type="pct"/>
            <w:shd w:val="clear" w:color="auto" w:fill="auto"/>
            <w:vAlign w:val="center"/>
          </w:tcPr>
          <w:p w14:paraId="72F15EAC">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1、支持基于命名空间和子命名空间粒度的快照</w:t>
            </w:r>
          </w:p>
          <w:p w14:paraId="729E7F75">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2、快照占用的空间可在配额中统计</w:t>
            </w:r>
          </w:p>
        </w:tc>
      </w:tr>
      <w:tr w14:paraId="2F8B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555" w:type="pct"/>
            <w:vMerge w:val="continue"/>
            <w:vAlign w:val="center"/>
          </w:tcPr>
          <w:p w14:paraId="45B80E70">
            <w:pPr>
              <w:widowControl/>
              <w:jc w:val="left"/>
              <w:rPr>
                <w:rFonts w:hint="eastAsia" w:ascii="宋体" w:hAnsi="宋体" w:eastAsia="宋体" w:cs="宋体"/>
                <w:color w:val="auto"/>
                <w:kern w:val="0"/>
                <w:sz w:val="24"/>
                <w:szCs w:val="24"/>
              </w:rPr>
            </w:pPr>
          </w:p>
        </w:tc>
        <w:tc>
          <w:tcPr>
            <w:tcW w:w="793" w:type="pct"/>
            <w:shd w:val="clear" w:color="000000" w:fill="FFFFFF"/>
            <w:vAlign w:val="center"/>
          </w:tcPr>
          <w:p w14:paraId="7801A865">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▲Qos</w:t>
            </w:r>
          </w:p>
        </w:tc>
        <w:tc>
          <w:tcPr>
            <w:tcW w:w="3650" w:type="pct"/>
            <w:shd w:val="clear" w:color="000000" w:fill="FFFFFF"/>
            <w:vAlign w:val="center"/>
          </w:tcPr>
          <w:p w14:paraId="348A0A78">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1、支持Qos功能，多服务共享一份Qos资源</w:t>
            </w:r>
          </w:p>
          <w:p w14:paraId="09321C25">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2、可基于租户、命名空间（文件系统/桶）或客户端进行配置</w:t>
            </w:r>
          </w:p>
          <w:p w14:paraId="7C23F10D">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3、可限定带宽和IOPS上限</w:t>
            </w:r>
          </w:p>
          <w:p w14:paraId="386AAC8D">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4、可控制最大链接数、最大打开文件数、最大锁数量</w:t>
            </w:r>
          </w:p>
          <w:p w14:paraId="344096CA">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提供第三方检测报告证明材料</w:t>
            </w:r>
          </w:p>
        </w:tc>
      </w:tr>
      <w:tr w14:paraId="0E14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555" w:type="pct"/>
            <w:vMerge w:val="continue"/>
            <w:vAlign w:val="center"/>
          </w:tcPr>
          <w:p w14:paraId="5B0C4AAA">
            <w:pPr>
              <w:widowControl/>
              <w:jc w:val="left"/>
              <w:rPr>
                <w:rFonts w:hint="eastAsia" w:ascii="宋体" w:hAnsi="宋体" w:eastAsia="宋体" w:cs="宋体"/>
                <w:color w:val="auto"/>
                <w:kern w:val="0"/>
                <w:sz w:val="24"/>
                <w:szCs w:val="24"/>
              </w:rPr>
            </w:pPr>
          </w:p>
        </w:tc>
        <w:tc>
          <w:tcPr>
            <w:tcW w:w="793" w:type="pct"/>
            <w:shd w:val="clear" w:color="000000" w:fill="FFFFFF"/>
            <w:vAlign w:val="center"/>
          </w:tcPr>
          <w:p w14:paraId="08F815BD">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▲多租户</w:t>
            </w:r>
          </w:p>
        </w:tc>
        <w:tc>
          <w:tcPr>
            <w:tcW w:w="3650" w:type="pct"/>
            <w:shd w:val="clear" w:color="auto" w:fill="auto"/>
            <w:vAlign w:val="center"/>
          </w:tcPr>
          <w:p w14:paraId="6CC1B650">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支持多租户能力，可基于租户设置域控、协议类型、Qos，以租户为粒度进行元数据检索和审计日志查询</w:t>
            </w:r>
          </w:p>
          <w:p w14:paraId="1D51CB34">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提供第三方检测报告证明材料</w:t>
            </w:r>
          </w:p>
        </w:tc>
      </w:tr>
      <w:tr w14:paraId="2474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555" w:type="pct"/>
            <w:vMerge w:val="continue"/>
            <w:vAlign w:val="center"/>
          </w:tcPr>
          <w:p w14:paraId="6DFC0023">
            <w:pPr>
              <w:widowControl/>
              <w:jc w:val="left"/>
              <w:rPr>
                <w:rFonts w:hint="eastAsia" w:ascii="宋体" w:hAnsi="宋体" w:eastAsia="宋体" w:cs="宋体"/>
                <w:color w:val="auto"/>
                <w:kern w:val="0"/>
                <w:sz w:val="24"/>
                <w:szCs w:val="24"/>
              </w:rPr>
            </w:pPr>
          </w:p>
        </w:tc>
        <w:tc>
          <w:tcPr>
            <w:tcW w:w="793" w:type="pct"/>
            <w:shd w:val="clear" w:color="000000" w:fill="FFFFFF"/>
            <w:vAlign w:val="center"/>
          </w:tcPr>
          <w:p w14:paraId="0B49D66B">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元数据检索</w:t>
            </w:r>
          </w:p>
        </w:tc>
        <w:tc>
          <w:tcPr>
            <w:tcW w:w="3650" w:type="pct"/>
            <w:shd w:val="clear" w:color="auto" w:fill="auto"/>
            <w:vAlign w:val="center"/>
          </w:tcPr>
          <w:p w14:paraId="44E1CAA3">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1、文件/大数据/对象服务均支持元数据检索功能</w:t>
            </w:r>
          </w:p>
          <w:p w14:paraId="20DC371B">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2、可针对文件名、文件大小、创建时间、所属用户、扩展属性等元数据项查询，且不区分不同服务写入的文件</w:t>
            </w:r>
          </w:p>
          <w:p w14:paraId="433B9B08">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3、可通过管理界面或REST接口查询</w:t>
            </w:r>
          </w:p>
          <w:p w14:paraId="24DA0DD7">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4、无需独立的服务节点</w:t>
            </w:r>
          </w:p>
        </w:tc>
      </w:tr>
      <w:tr w14:paraId="40DB7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continue"/>
            <w:vAlign w:val="center"/>
          </w:tcPr>
          <w:p w14:paraId="4084D181">
            <w:pPr>
              <w:widowControl/>
              <w:jc w:val="left"/>
              <w:rPr>
                <w:rFonts w:hint="eastAsia" w:ascii="宋体" w:hAnsi="宋体" w:eastAsia="宋体" w:cs="宋体"/>
                <w:color w:val="auto"/>
                <w:kern w:val="0"/>
                <w:sz w:val="24"/>
                <w:szCs w:val="24"/>
              </w:rPr>
            </w:pPr>
          </w:p>
        </w:tc>
        <w:tc>
          <w:tcPr>
            <w:tcW w:w="793" w:type="pct"/>
            <w:shd w:val="clear" w:color="000000" w:fill="FFFFFF"/>
            <w:vAlign w:val="center"/>
          </w:tcPr>
          <w:p w14:paraId="1C2A7FB5">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回收站</w:t>
            </w:r>
          </w:p>
        </w:tc>
        <w:tc>
          <w:tcPr>
            <w:tcW w:w="3650" w:type="pct"/>
            <w:shd w:val="clear" w:color="auto" w:fill="auto"/>
            <w:vAlign w:val="center"/>
          </w:tcPr>
          <w:p w14:paraId="3328927C">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1、支持回收站功能</w:t>
            </w:r>
          </w:p>
          <w:p w14:paraId="3459EBA1">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2、回收站内文件的保留时长和扫描周期可配置</w:t>
            </w:r>
          </w:p>
        </w:tc>
      </w:tr>
      <w:tr w14:paraId="406B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555" w:type="pct"/>
            <w:vMerge w:val="continue"/>
            <w:vAlign w:val="center"/>
          </w:tcPr>
          <w:p w14:paraId="29E53E94">
            <w:pPr>
              <w:widowControl/>
              <w:jc w:val="left"/>
              <w:rPr>
                <w:rFonts w:hint="eastAsia" w:ascii="宋体" w:hAnsi="宋体" w:eastAsia="宋体" w:cs="宋体"/>
                <w:color w:val="auto"/>
                <w:kern w:val="0"/>
                <w:sz w:val="24"/>
                <w:szCs w:val="24"/>
              </w:rPr>
            </w:pPr>
          </w:p>
        </w:tc>
        <w:tc>
          <w:tcPr>
            <w:tcW w:w="793" w:type="pct"/>
            <w:shd w:val="clear" w:color="000000" w:fill="FFFFFF"/>
            <w:vAlign w:val="center"/>
          </w:tcPr>
          <w:p w14:paraId="1A363465">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在线扩容、升级</w:t>
            </w:r>
          </w:p>
        </w:tc>
        <w:tc>
          <w:tcPr>
            <w:tcW w:w="3650" w:type="pct"/>
            <w:shd w:val="clear" w:color="auto" w:fill="auto"/>
            <w:vAlign w:val="center"/>
          </w:tcPr>
          <w:p w14:paraId="1F57972A">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支持在线添加节点，添加节点后，集群容量和性能近线性增长。扩容过程中对业务无影响；</w:t>
            </w:r>
          </w:p>
          <w:p w14:paraId="421ED37F">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支持存储软件在线升级，扩容和升级操作均不影响前端业务的连续性</w:t>
            </w:r>
          </w:p>
        </w:tc>
      </w:tr>
      <w:tr w14:paraId="4E43C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restart"/>
            <w:shd w:val="clear" w:color="auto" w:fill="auto"/>
            <w:vAlign w:val="center"/>
          </w:tcPr>
          <w:p w14:paraId="1AB5BE98">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硬件配置</w:t>
            </w:r>
          </w:p>
        </w:tc>
        <w:tc>
          <w:tcPr>
            <w:tcW w:w="793" w:type="pct"/>
            <w:shd w:val="clear" w:color="000000" w:fill="FFFFFF"/>
            <w:vAlign w:val="center"/>
          </w:tcPr>
          <w:p w14:paraId="75A114CE">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CPU核数</w:t>
            </w:r>
          </w:p>
        </w:tc>
        <w:tc>
          <w:tcPr>
            <w:tcW w:w="3650" w:type="pct"/>
            <w:shd w:val="clear" w:color="000000" w:fill="FFFFFF"/>
            <w:vAlign w:val="center"/>
          </w:tcPr>
          <w:p w14:paraId="3292E9A2">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单节点配置国产化 ARM CPU≥2颗，单颗核心数≥48核，主频≥2.6GHz</w:t>
            </w:r>
          </w:p>
        </w:tc>
      </w:tr>
      <w:tr w14:paraId="48EE2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5" w:type="pct"/>
            <w:vMerge w:val="continue"/>
            <w:vAlign w:val="center"/>
          </w:tcPr>
          <w:p w14:paraId="0BA521E7">
            <w:pPr>
              <w:widowControl/>
              <w:jc w:val="left"/>
              <w:rPr>
                <w:rFonts w:hint="eastAsia" w:ascii="宋体" w:hAnsi="宋体" w:eastAsia="宋体" w:cs="宋体"/>
                <w:color w:val="auto"/>
                <w:kern w:val="0"/>
                <w:sz w:val="24"/>
                <w:szCs w:val="24"/>
              </w:rPr>
            </w:pPr>
          </w:p>
        </w:tc>
        <w:tc>
          <w:tcPr>
            <w:tcW w:w="793" w:type="pct"/>
            <w:shd w:val="clear" w:color="000000" w:fill="FFFFFF"/>
            <w:vAlign w:val="center"/>
          </w:tcPr>
          <w:p w14:paraId="7658ECFB">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内存</w:t>
            </w:r>
          </w:p>
        </w:tc>
        <w:tc>
          <w:tcPr>
            <w:tcW w:w="3650" w:type="pct"/>
            <w:shd w:val="clear" w:color="000000" w:fill="FFFFFF"/>
            <w:vAlign w:val="center"/>
          </w:tcPr>
          <w:p w14:paraId="108BC672">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单存储节点内存≥16*16GB DDR4 </w:t>
            </w:r>
          </w:p>
        </w:tc>
      </w:tr>
      <w:tr w14:paraId="55D62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555" w:type="pct"/>
            <w:vMerge w:val="continue"/>
            <w:vAlign w:val="center"/>
          </w:tcPr>
          <w:p w14:paraId="7F4BDF27">
            <w:pPr>
              <w:widowControl/>
              <w:jc w:val="left"/>
              <w:rPr>
                <w:rFonts w:hint="eastAsia" w:ascii="宋体" w:hAnsi="宋体" w:eastAsia="宋体" w:cs="宋体"/>
                <w:color w:val="auto"/>
                <w:kern w:val="0"/>
                <w:sz w:val="24"/>
                <w:szCs w:val="24"/>
              </w:rPr>
            </w:pPr>
          </w:p>
        </w:tc>
        <w:tc>
          <w:tcPr>
            <w:tcW w:w="793" w:type="pct"/>
            <w:shd w:val="clear" w:color="000000" w:fill="FFFFFF"/>
            <w:vAlign w:val="center"/>
          </w:tcPr>
          <w:p w14:paraId="7A8B7B16">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硬盘</w:t>
            </w:r>
          </w:p>
        </w:tc>
        <w:tc>
          <w:tcPr>
            <w:tcW w:w="3650" w:type="pct"/>
            <w:shd w:val="clear" w:color="000000" w:fill="FFFFFF"/>
            <w:vAlign w:val="center"/>
          </w:tcPr>
          <w:p w14:paraId="65FF6E73">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单节点配置如下：配置≥2块容量480GB SSD硬盘； 配置≥2 块3.2TB NVMe SSD 硬盘； 配置≥36 块8TB 7.2K 机械硬盘，存储冗余保护策略采用三副本或EC，本次配置≥3节点存储，整体分布式存储集群可得容量≥497TB；单节点配置冗余电源；</w:t>
            </w:r>
          </w:p>
        </w:tc>
      </w:tr>
      <w:tr w14:paraId="4E412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55" w:type="pct"/>
            <w:vMerge w:val="continue"/>
            <w:vAlign w:val="center"/>
          </w:tcPr>
          <w:p w14:paraId="665B89AE">
            <w:pPr>
              <w:widowControl/>
              <w:jc w:val="left"/>
              <w:rPr>
                <w:rFonts w:hint="eastAsia" w:ascii="宋体" w:hAnsi="宋体" w:eastAsia="宋体" w:cs="宋体"/>
                <w:color w:val="auto"/>
                <w:kern w:val="0"/>
                <w:sz w:val="24"/>
                <w:szCs w:val="24"/>
              </w:rPr>
            </w:pPr>
          </w:p>
        </w:tc>
        <w:tc>
          <w:tcPr>
            <w:tcW w:w="793" w:type="pct"/>
            <w:shd w:val="clear" w:color="000000" w:fill="FFFFFF"/>
            <w:vAlign w:val="center"/>
          </w:tcPr>
          <w:p w14:paraId="2F90EA1F">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网络</w:t>
            </w:r>
          </w:p>
        </w:tc>
        <w:tc>
          <w:tcPr>
            <w:tcW w:w="3650" w:type="pct"/>
            <w:shd w:val="clear" w:color="000000" w:fill="FFFFFF"/>
            <w:vAlign w:val="center"/>
          </w:tcPr>
          <w:p w14:paraId="0CDEB08B">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提供10GE业务组网，每节点配置≥2*10GE网口(含万兆光模块)，≥2*25GE网口(含25GE光模块)</w:t>
            </w:r>
          </w:p>
        </w:tc>
      </w:tr>
      <w:tr w14:paraId="250F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5" w:type="pct"/>
            <w:vMerge w:val="continue"/>
            <w:vAlign w:val="center"/>
          </w:tcPr>
          <w:p w14:paraId="540F6AD5">
            <w:pPr>
              <w:widowControl/>
              <w:jc w:val="left"/>
              <w:rPr>
                <w:rFonts w:hint="eastAsia" w:ascii="宋体" w:hAnsi="宋体" w:eastAsia="宋体" w:cs="宋体"/>
                <w:color w:val="auto"/>
                <w:kern w:val="0"/>
                <w:sz w:val="24"/>
                <w:szCs w:val="24"/>
              </w:rPr>
            </w:pPr>
          </w:p>
        </w:tc>
        <w:tc>
          <w:tcPr>
            <w:tcW w:w="793" w:type="pct"/>
            <w:shd w:val="clear" w:color="000000" w:fill="FFFFFF"/>
            <w:vAlign w:val="center"/>
          </w:tcPr>
          <w:p w14:paraId="40B70949">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掉电保护</w:t>
            </w:r>
          </w:p>
        </w:tc>
        <w:tc>
          <w:tcPr>
            <w:tcW w:w="3650" w:type="pct"/>
            <w:shd w:val="clear" w:color="auto" w:fill="auto"/>
            <w:vAlign w:val="center"/>
          </w:tcPr>
          <w:p w14:paraId="11879DF3">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支持并配置掉电保护，保障节点故障情况下缓存中的数据不丢失</w:t>
            </w:r>
          </w:p>
        </w:tc>
      </w:tr>
      <w:tr w14:paraId="7039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restart"/>
            <w:shd w:val="clear" w:color="auto" w:fill="auto"/>
            <w:vAlign w:val="center"/>
          </w:tcPr>
          <w:p w14:paraId="2F70538E">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管理特性</w:t>
            </w:r>
          </w:p>
        </w:tc>
        <w:tc>
          <w:tcPr>
            <w:tcW w:w="793" w:type="pct"/>
            <w:shd w:val="clear" w:color="auto" w:fill="auto"/>
            <w:vAlign w:val="center"/>
          </w:tcPr>
          <w:p w14:paraId="30BB21F7">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管理界面</w:t>
            </w:r>
          </w:p>
        </w:tc>
        <w:tc>
          <w:tcPr>
            <w:tcW w:w="3650" w:type="pct"/>
            <w:shd w:val="clear" w:color="auto" w:fill="auto"/>
            <w:vAlign w:val="center"/>
          </w:tcPr>
          <w:p w14:paraId="5F4C8134">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分布式存储系统通过GUI图形界面提供独立的OM操作维护图形界面来对存储资源池进行管理。</w:t>
            </w:r>
          </w:p>
        </w:tc>
      </w:tr>
      <w:tr w14:paraId="24E1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555" w:type="pct"/>
            <w:vMerge w:val="continue"/>
            <w:vAlign w:val="center"/>
          </w:tcPr>
          <w:p w14:paraId="194CB2C8">
            <w:pPr>
              <w:widowControl/>
              <w:jc w:val="left"/>
              <w:rPr>
                <w:rFonts w:hint="eastAsia" w:ascii="宋体" w:hAnsi="宋体" w:eastAsia="宋体" w:cs="宋体"/>
                <w:color w:val="auto"/>
                <w:kern w:val="0"/>
                <w:sz w:val="24"/>
                <w:szCs w:val="24"/>
              </w:rPr>
            </w:pPr>
          </w:p>
        </w:tc>
        <w:tc>
          <w:tcPr>
            <w:tcW w:w="793" w:type="pct"/>
            <w:vMerge w:val="restart"/>
            <w:shd w:val="clear" w:color="auto" w:fill="auto"/>
            <w:vAlign w:val="center"/>
          </w:tcPr>
          <w:p w14:paraId="7FE53D8F">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亚健康检测</w:t>
            </w:r>
          </w:p>
        </w:tc>
        <w:tc>
          <w:tcPr>
            <w:tcW w:w="3650" w:type="pct"/>
            <w:shd w:val="clear" w:color="auto" w:fill="auto"/>
            <w:vAlign w:val="center"/>
          </w:tcPr>
          <w:p w14:paraId="3A4673B4">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支持检测磁盘SMART信息，支持慢盘检测，并在磁盘损坏前进行隔离并告警</w:t>
            </w:r>
          </w:p>
          <w:p w14:paraId="7446FE85">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如果存储节点性能异常，分布式存储软件可以自动检测对应的节点，触发告警并提供处理方案</w:t>
            </w:r>
          </w:p>
        </w:tc>
      </w:tr>
      <w:tr w14:paraId="6325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continue"/>
            <w:vAlign w:val="center"/>
          </w:tcPr>
          <w:p w14:paraId="33EF71D5">
            <w:pPr>
              <w:widowControl/>
              <w:jc w:val="left"/>
              <w:rPr>
                <w:rFonts w:hint="eastAsia" w:ascii="宋体" w:hAnsi="宋体" w:eastAsia="宋体" w:cs="宋体"/>
                <w:color w:val="auto"/>
                <w:kern w:val="0"/>
                <w:sz w:val="24"/>
                <w:szCs w:val="24"/>
              </w:rPr>
            </w:pPr>
          </w:p>
        </w:tc>
        <w:tc>
          <w:tcPr>
            <w:tcW w:w="793" w:type="pct"/>
            <w:vMerge w:val="continue"/>
            <w:vAlign w:val="center"/>
          </w:tcPr>
          <w:p w14:paraId="6E350584">
            <w:pPr>
              <w:widowControl/>
              <w:jc w:val="left"/>
              <w:rPr>
                <w:rFonts w:hint="eastAsia" w:ascii="宋体" w:hAnsi="宋体" w:eastAsia="宋体" w:cs="宋体"/>
                <w:color w:val="auto"/>
                <w:kern w:val="0"/>
                <w:sz w:val="24"/>
                <w:szCs w:val="24"/>
              </w:rPr>
            </w:pPr>
          </w:p>
        </w:tc>
        <w:tc>
          <w:tcPr>
            <w:tcW w:w="3650" w:type="pct"/>
            <w:shd w:val="clear" w:color="auto" w:fill="auto"/>
            <w:vAlign w:val="center"/>
          </w:tcPr>
          <w:p w14:paraId="5C822D8E">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支持针对存储节点的网络出现丢包、错包、网络时延大、网口协商降速、网口故障故障现象可提供故障告警并隔离</w:t>
            </w:r>
          </w:p>
        </w:tc>
      </w:tr>
      <w:tr w14:paraId="137F6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continue"/>
            <w:vAlign w:val="center"/>
          </w:tcPr>
          <w:p w14:paraId="10041F94">
            <w:pPr>
              <w:widowControl/>
              <w:jc w:val="left"/>
              <w:rPr>
                <w:rFonts w:hint="eastAsia" w:ascii="宋体" w:hAnsi="宋体" w:eastAsia="宋体" w:cs="宋体"/>
                <w:color w:val="auto"/>
                <w:kern w:val="0"/>
                <w:sz w:val="24"/>
                <w:szCs w:val="24"/>
              </w:rPr>
            </w:pPr>
          </w:p>
        </w:tc>
        <w:tc>
          <w:tcPr>
            <w:tcW w:w="793" w:type="pct"/>
            <w:vMerge w:val="continue"/>
            <w:vAlign w:val="center"/>
          </w:tcPr>
          <w:p w14:paraId="0DB80612">
            <w:pPr>
              <w:widowControl/>
              <w:jc w:val="left"/>
              <w:rPr>
                <w:rFonts w:hint="eastAsia" w:ascii="宋体" w:hAnsi="宋体" w:eastAsia="宋体" w:cs="宋体"/>
                <w:color w:val="auto"/>
                <w:kern w:val="0"/>
                <w:sz w:val="24"/>
                <w:szCs w:val="24"/>
              </w:rPr>
            </w:pPr>
          </w:p>
        </w:tc>
        <w:tc>
          <w:tcPr>
            <w:tcW w:w="3650" w:type="pct"/>
            <w:shd w:val="clear" w:color="auto" w:fill="auto"/>
            <w:vAlign w:val="center"/>
          </w:tcPr>
          <w:p w14:paraId="4B12CCDF">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如果存储节点性能异常，分布式存储软件可以自动检测对应的节点，触发告警并提供处理方案</w:t>
            </w:r>
          </w:p>
        </w:tc>
      </w:tr>
    </w:tbl>
    <w:p w14:paraId="4A0A333D">
      <w:pPr>
        <w:widowControl w:val="0"/>
        <w:spacing w:after="120"/>
        <w:ind w:left="420" w:leftChars="200" w:firstLine="480" w:firstLineChars="200"/>
        <w:jc w:val="both"/>
        <w:rPr>
          <w:rFonts w:hint="eastAsia" w:ascii="宋体" w:hAnsi="宋体" w:eastAsia="宋体" w:cs="宋体"/>
          <w:color w:val="auto"/>
          <w:kern w:val="2"/>
          <w:sz w:val="24"/>
          <w:szCs w:val="24"/>
          <w:lang w:val="en-US" w:eastAsia="zh-CN" w:bidi="ar-SA"/>
        </w:rPr>
      </w:pPr>
    </w:p>
    <w:p w14:paraId="4F64CDF1">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left"/>
        <w:textAlignment w:val="auto"/>
        <w:outlineLvl w:val="9"/>
        <w:rPr>
          <w:rFonts w:hint="eastAsia" w:ascii="宋体" w:hAnsi="宋体" w:eastAsia="宋体" w:cs="宋体"/>
          <w:b/>
          <w:bCs w:val="0"/>
          <w:color w:val="auto"/>
          <w:sz w:val="24"/>
          <w:szCs w:val="24"/>
          <w:highlight w:val="none"/>
          <w:lang w:val="en-US" w:eastAsia="zh-CN"/>
        </w:rPr>
        <w:sectPr>
          <w:pgSz w:w="11906" w:h="16838"/>
          <w:pgMar w:top="1474" w:right="1417" w:bottom="1247" w:left="1417" w:header="851" w:footer="992" w:gutter="0"/>
          <w:cols w:space="425" w:num="1"/>
          <w:docGrid w:type="lines" w:linePitch="312" w:charSpace="0"/>
        </w:sectPr>
      </w:pPr>
    </w:p>
    <w:p w14:paraId="6C5969DB">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left"/>
        <w:textAlignment w:val="auto"/>
        <w:outlineLvl w:val="9"/>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存储后端交换机要求：</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7426"/>
      </w:tblGrid>
      <w:tr w14:paraId="1C088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43" w:type="pct"/>
            <w:noWrap/>
            <w:vAlign w:val="center"/>
          </w:tcPr>
          <w:p w14:paraId="7AB4FBB7">
            <w:pPr>
              <w:widowControl/>
              <w:spacing w:before="46" w:beforeLines="15" w:after="46" w:afterLines="15" w:line="360" w:lineRule="auto"/>
              <w:jc w:val="center"/>
              <w:textAlignment w:val="baseline"/>
              <w:rPr>
                <w:rFonts w:hint="eastAsia" w:ascii="宋体" w:hAnsi="宋体" w:eastAsia="宋体" w:cs="宋体"/>
                <w:b/>
                <w:color w:val="auto"/>
                <w:sz w:val="24"/>
                <w:szCs w:val="24"/>
              </w:rPr>
            </w:pPr>
            <w:r>
              <w:rPr>
                <w:rFonts w:hint="eastAsia" w:ascii="宋体" w:hAnsi="宋体" w:eastAsia="宋体" w:cs="宋体"/>
                <w:b/>
                <w:color w:val="auto"/>
                <w:kern w:val="0"/>
                <w:sz w:val="24"/>
                <w:szCs w:val="24"/>
              </w:rPr>
              <w:t>指标项</w:t>
            </w:r>
          </w:p>
        </w:tc>
        <w:tc>
          <w:tcPr>
            <w:tcW w:w="4356" w:type="pct"/>
            <w:noWrap/>
            <w:vAlign w:val="center"/>
          </w:tcPr>
          <w:p w14:paraId="2E99CB98">
            <w:pPr>
              <w:widowControl/>
              <w:spacing w:before="46" w:beforeLines="15" w:after="46" w:afterLines="15" w:line="360" w:lineRule="auto"/>
              <w:jc w:val="center"/>
              <w:textAlignment w:val="baseline"/>
              <w:rPr>
                <w:rFonts w:hint="eastAsia" w:ascii="宋体" w:hAnsi="宋体" w:eastAsia="宋体" w:cs="宋体"/>
                <w:b/>
                <w:color w:val="auto"/>
                <w:sz w:val="24"/>
                <w:szCs w:val="24"/>
              </w:rPr>
            </w:pPr>
            <w:r>
              <w:rPr>
                <w:rFonts w:hint="eastAsia" w:ascii="宋体" w:hAnsi="宋体" w:eastAsia="宋体" w:cs="宋体"/>
                <w:b/>
                <w:color w:val="auto"/>
                <w:kern w:val="0"/>
                <w:sz w:val="24"/>
                <w:szCs w:val="24"/>
              </w:rPr>
              <w:t>技术规格及配置要求</w:t>
            </w:r>
          </w:p>
        </w:tc>
      </w:tr>
      <w:tr w14:paraId="2CE67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3" w:type="pct"/>
            <w:vMerge w:val="restart"/>
            <w:noWrap/>
            <w:vAlign w:val="center"/>
          </w:tcPr>
          <w:p w14:paraId="48CB5707">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交换规格</w:t>
            </w:r>
          </w:p>
        </w:tc>
        <w:tc>
          <w:tcPr>
            <w:tcW w:w="4356" w:type="pct"/>
            <w:noWrap/>
            <w:vAlign w:val="center"/>
          </w:tcPr>
          <w:p w14:paraId="74BD7A32">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交换容量4.8Tbps （若官网有两个参数则以小的为准）</w:t>
            </w:r>
          </w:p>
        </w:tc>
      </w:tr>
      <w:tr w14:paraId="7A420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3" w:type="pct"/>
            <w:vMerge w:val="continue"/>
            <w:noWrap/>
            <w:vAlign w:val="center"/>
          </w:tcPr>
          <w:p w14:paraId="008A956B">
            <w:pPr>
              <w:widowControl/>
              <w:spacing w:before="46" w:beforeLines="15" w:after="46" w:afterLines="15" w:line="360" w:lineRule="auto"/>
              <w:textAlignment w:val="baseline"/>
              <w:rPr>
                <w:rFonts w:hint="eastAsia" w:ascii="宋体" w:hAnsi="宋体" w:eastAsia="宋体" w:cs="宋体"/>
                <w:color w:val="auto"/>
                <w:sz w:val="24"/>
                <w:szCs w:val="24"/>
              </w:rPr>
            </w:pPr>
          </w:p>
        </w:tc>
        <w:tc>
          <w:tcPr>
            <w:tcW w:w="4356" w:type="pct"/>
            <w:noWrap/>
            <w:vAlign w:val="center"/>
          </w:tcPr>
          <w:p w14:paraId="465F6255">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包转发率2000 Mpps （若官网有两个参数则以小的为准）</w:t>
            </w:r>
          </w:p>
        </w:tc>
      </w:tr>
      <w:tr w14:paraId="50451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43" w:type="pct"/>
            <w:vMerge w:val="continue"/>
            <w:noWrap/>
            <w:vAlign w:val="center"/>
          </w:tcPr>
          <w:p w14:paraId="4A5E18D8">
            <w:pPr>
              <w:widowControl/>
              <w:spacing w:before="46" w:beforeLines="15" w:after="46" w:afterLines="15" w:line="360" w:lineRule="auto"/>
              <w:textAlignment w:val="baseline"/>
              <w:rPr>
                <w:rFonts w:hint="eastAsia" w:ascii="宋体" w:hAnsi="宋体" w:eastAsia="宋体" w:cs="宋体"/>
                <w:color w:val="auto"/>
                <w:sz w:val="24"/>
                <w:szCs w:val="24"/>
              </w:rPr>
            </w:pPr>
          </w:p>
        </w:tc>
        <w:tc>
          <w:tcPr>
            <w:tcW w:w="4356" w:type="pct"/>
            <w:noWrap/>
            <w:vAlign w:val="center"/>
          </w:tcPr>
          <w:p w14:paraId="4177B208">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单台实际配置：48个10GE SFP＋接口,6个40G/100GE QSFP28接口,配置可热插拔双电源，配置8块SFP+万兆多模光模块，配置1根不少于3M不低于40G堆叠线缆</w:t>
            </w:r>
          </w:p>
        </w:tc>
      </w:tr>
      <w:tr w14:paraId="72BE5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43" w:type="pct"/>
            <w:vMerge w:val="continue"/>
            <w:noWrap/>
            <w:vAlign w:val="center"/>
          </w:tcPr>
          <w:p w14:paraId="55AF876F">
            <w:pPr>
              <w:widowControl/>
              <w:spacing w:before="46" w:beforeLines="15" w:after="46" w:afterLines="15" w:line="360" w:lineRule="auto"/>
              <w:textAlignment w:val="baseline"/>
              <w:rPr>
                <w:rFonts w:hint="eastAsia" w:ascii="宋体" w:hAnsi="宋体" w:eastAsia="宋体" w:cs="宋体"/>
                <w:color w:val="auto"/>
                <w:sz w:val="24"/>
                <w:szCs w:val="24"/>
              </w:rPr>
            </w:pPr>
          </w:p>
        </w:tc>
        <w:tc>
          <w:tcPr>
            <w:tcW w:w="4356" w:type="pct"/>
            <w:noWrap/>
            <w:vAlign w:val="center"/>
          </w:tcPr>
          <w:p w14:paraId="45BAA9D9">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sz w:val="24"/>
                <w:szCs w:val="24"/>
              </w:rPr>
              <w:t>灵活支持前后和后前风道（提供官网链接或产品截图彩页证明）</w:t>
            </w:r>
          </w:p>
          <w:p w14:paraId="0B24D3CD">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支持电源和风扇冗余配置，保障业务无间断运行，创新的节能技术；</w:t>
            </w:r>
          </w:p>
        </w:tc>
      </w:tr>
      <w:tr w14:paraId="347D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43" w:type="pct"/>
            <w:noWrap/>
            <w:vAlign w:val="center"/>
          </w:tcPr>
          <w:p w14:paraId="76C47977">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数据中心互联</w:t>
            </w:r>
          </w:p>
        </w:tc>
        <w:tc>
          <w:tcPr>
            <w:tcW w:w="4356" w:type="pct"/>
            <w:vAlign w:val="center"/>
          </w:tcPr>
          <w:p w14:paraId="7340665D">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支持VxLAN Mapping，实现多DC二层互通</w:t>
            </w:r>
          </w:p>
        </w:tc>
      </w:tr>
      <w:tr w14:paraId="29F36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43" w:type="pct"/>
            <w:noWrap/>
            <w:vAlign w:val="center"/>
          </w:tcPr>
          <w:p w14:paraId="2C975D8D">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用户管理</w:t>
            </w:r>
          </w:p>
        </w:tc>
        <w:tc>
          <w:tcPr>
            <w:tcW w:w="4356" w:type="pct"/>
            <w:vAlign w:val="center"/>
          </w:tcPr>
          <w:p w14:paraId="063B35E9">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支持统一用户管理功能，屏蔽接入侧差异，支持802.1X/MAC/Portal等多种认证方式，支持对用户进行分组/分域/分时的管理，用户、业务可视可控</w:t>
            </w:r>
          </w:p>
        </w:tc>
      </w:tr>
      <w:tr w14:paraId="184BB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43" w:type="pct"/>
            <w:noWrap/>
            <w:vAlign w:val="center"/>
          </w:tcPr>
          <w:p w14:paraId="2C708414">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VxLAN</w:t>
            </w:r>
          </w:p>
        </w:tc>
        <w:tc>
          <w:tcPr>
            <w:tcW w:w="4356" w:type="pct"/>
            <w:vAlign w:val="center"/>
          </w:tcPr>
          <w:p w14:paraId="52B378FB">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sz w:val="24"/>
                <w:szCs w:val="24"/>
              </w:rPr>
              <w:t>支持BGP-EVPN作为VxLAN的控制平面，简化DC内、DC间的VxLAN的配置（提供官网链接或产品截图彩页证明）</w:t>
            </w:r>
          </w:p>
          <w:p w14:paraId="6ABF142C">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采用VxLAN等协议组建无阻塞大二层网络，保证虚拟机的大范围迁移以及用户业务的灵活部署</w:t>
            </w:r>
          </w:p>
        </w:tc>
      </w:tr>
      <w:tr w14:paraId="74B6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43" w:type="pct"/>
            <w:vMerge w:val="restart"/>
            <w:vAlign w:val="center"/>
          </w:tcPr>
          <w:p w14:paraId="65C6B336">
            <w:pPr>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虚拟化</w:t>
            </w:r>
          </w:p>
        </w:tc>
        <w:tc>
          <w:tcPr>
            <w:tcW w:w="4356" w:type="pct"/>
            <w:noWrap/>
            <w:vAlign w:val="center"/>
          </w:tcPr>
          <w:p w14:paraId="2A22E410">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支持iStack 堆叠、支持M-LAG</w:t>
            </w:r>
          </w:p>
        </w:tc>
      </w:tr>
      <w:tr w14:paraId="05D0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43" w:type="pct"/>
            <w:vMerge w:val="continue"/>
            <w:vAlign w:val="center"/>
          </w:tcPr>
          <w:p w14:paraId="0EFD5DD8">
            <w:pPr>
              <w:widowControl/>
              <w:spacing w:line="360" w:lineRule="auto"/>
              <w:textAlignment w:val="baseline"/>
              <w:rPr>
                <w:rFonts w:hint="eastAsia" w:ascii="宋体" w:hAnsi="宋体" w:eastAsia="宋体" w:cs="宋体"/>
                <w:color w:val="auto"/>
                <w:sz w:val="24"/>
                <w:szCs w:val="24"/>
              </w:rPr>
            </w:pPr>
          </w:p>
        </w:tc>
        <w:tc>
          <w:tcPr>
            <w:tcW w:w="4356" w:type="pct"/>
            <w:noWrap/>
            <w:vAlign w:val="center"/>
          </w:tcPr>
          <w:p w14:paraId="196D7D98">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sz w:val="24"/>
                <w:szCs w:val="24"/>
              </w:rPr>
              <w:t>支持VxLAN routing 和VxLAN bridging</w:t>
            </w:r>
            <w:r>
              <w:rPr>
                <w:rFonts w:hint="eastAsia" w:ascii="宋体" w:hAnsi="宋体" w:eastAsia="宋体" w:cs="宋体"/>
                <w:color w:val="auto"/>
                <w:sz w:val="24"/>
                <w:szCs w:val="24"/>
                <w:highlight w:val="none"/>
              </w:rPr>
              <w:t>（提供官网链接或产品截图彩页证明）</w:t>
            </w:r>
          </w:p>
        </w:tc>
      </w:tr>
      <w:tr w14:paraId="6B82E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43" w:type="pct"/>
            <w:vAlign w:val="center"/>
          </w:tcPr>
          <w:p w14:paraId="7E48C9B5">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SDN控制器</w:t>
            </w:r>
          </w:p>
        </w:tc>
        <w:tc>
          <w:tcPr>
            <w:tcW w:w="4356" w:type="pct"/>
            <w:noWrap/>
            <w:vAlign w:val="center"/>
          </w:tcPr>
          <w:p w14:paraId="18FBA889">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支持iMaster NCE-Fabric</w:t>
            </w:r>
          </w:p>
          <w:p w14:paraId="02041ECE">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支持VMware NSX</w:t>
            </w:r>
          </w:p>
        </w:tc>
      </w:tr>
      <w:tr w14:paraId="2DD95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43" w:type="pct"/>
            <w:vAlign w:val="center"/>
          </w:tcPr>
          <w:p w14:paraId="5D78E3AB">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QOS</w:t>
            </w:r>
          </w:p>
        </w:tc>
        <w:tc>
          <w:tcPr>
            <w:tcW w:w="4356" w:type="pct"/>
            <w:noWrap/>
            <w:vAlign w:val="center"/>
          </w:tcPr>
          <w:p w14:paraId="273B73FD">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支持基于Layer2协议头、Layer3协议、Layer4 协议优先级等的组合流分类支持报文的802.1p和DSCP优先级重新标记；</w:t>
            </w:r>
          </w:p>
          <w:p w14:paraId="01B9EE5C">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支持ACL、CAR、Remark、Schedule 等动作</w:t>
            </w:r>
          </w:p>
          <w:p w14:paraId="4CAF05DF">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支持PQ、WRR、DRR、PQ＋WRR、PQ＋DRR等队列调度方式</w:t>
            </w:r>
          </w:p>
          <w:p w14:paraId="278081F2">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支持WRED、尾丢弃等拥塞避免机制</w:t>
            </w:r>
          </w:p>
          <w:p w14:paraId="4A257357">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支持流量整形</w:t>
            </w:r>
          </w:p>
        </w:tc>
      </w:tr>
      <w:tr w14:paraId="33DB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43" w:type="pct"/>
            <w:vAlign w:val="center"/>
          </w:tcPr>
          <w:p w14:paraId="035C3B50">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流量分析</w:t>
            </w:r>
          </w:p>
        </w:tc>
        <w:tc>
          <w:tcPr>
            <w:tcW w:w="4356" w:type="pct"/>
            <w:noWrap/>
            <w:vAlign w:val="center"/>
          </w:tcPr>
          <w:p w14:paraId="6514B9FE">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支持Netstream 功能</w:t>
            </w:r>
          </w:p>
          <w:p w14:paraId="0640D6E9">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支持sFlow 功能</w:t>
            </w:r>
          </w:p>
        </w:tc>
      </w:tr>
      <w:tr w14:paraId="0D2D0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43" w:type="pct"/>
            <w:vAlign w:val="center"/>
          </w:tcPr>
          <w:p w14:paraId="473D8FFE">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VLAN</w:t>
            </w:r>
          </w:p>
        </w:tc>
        <w:tc>
          <w:tcPr>
            <w:tcW w:w="4356" w:type="pct"/>
            <w:noWrap/>
            <w:vAlign w:val="center"/>
          </w:tcPr>
          <w:p w14:paraId="4C35C095">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支持Access、Trunk、Hybrid方式</w:t>
            </w:r>
          </w:p>
          <w:p w14:paraId="030C0CD6">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 default VLAN</w:t>
            </w:r>
          </w:p>
          <w:p w14:paraId="09668661">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支持QinQ</w:t>
            </w:r>
          </w:p>
          <w:p w14:paraId="5BF5AC2B">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支持MUX VLAN</w:t>
            </w:r>
          </w:p>
          <w:p w14:paraId="17980BD3">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支持GVRP</w:t>
            </w:r>
          </w:p>
        </w:tc>
      </w:tr>
      <w:tr w14:paraId="22EE0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43" w:type="pct"/>
            <w:vAlign w:val="center"/>
          </w:tcPr>
          <w:p w14:paraId="04A817AB">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IPV6</w:t>
            </w:r>
          </w:p>
        </w:tc>
        <w:tc>
          <w:tcPr>
            <w:tcW w:w="4356" w:type="pct"/>
            <w:noWrap/>
            <w:vAlign w:val="center"/>
          </w:tcPr>
          <w:p w14:paraId="6A15A132">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支持IPv6 ND（Neighbor Discovery）</w:t>
            </w:r>
          </w:p>
          <w:p w14:paraId="3941D4FD">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支持IPv6 VxLAN over IPv4</w:t>
            </w:r>
          </w:p>
          <w:p w14:paraId="31CECB17">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支持IPv6的TCP、Ping、Tracert、Socket、UDP、RawlP</w:t>
            </w:r>
          </w:p>
        </w:tc>
      </w:tr>
      <w:tr w14:paraId="770E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43" w:type="pct"/>
            <w:vAlign w:val="center"/>
          </w:tcPr>
          <w:p w14:paraId="23FD4DDF">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MAC地址表</w:t>
            </w:r>
          </w:p>
        </w:tc>
        <w:tc>
          <w:tcPr>
            <w:tcW w:w="4356" w:type="pct"/>
            <w:noWrap/>
            <w:vAlign w:val="center"/>
          </w:tcPr>
          <w:p w14:paraId="3F94A4E4">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支持MAC地址自动学习和老化</w:t>
            </w:r>
          </w:p>
          <w:p w14:paraId="59112DD9">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支持静态、动态、黑洞MAC表项</w:t>
            </w:r>
          </w:p>
          <w:p w14:paraId="2010F3E2">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支持源MAC地址过滤</w:t>
            </w:r>
          </w:p>
          <w:p w14:paraId="58E8C452">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支持基于端口和VLAN的MAC地址学习限制</w:t>
            </w:r>
          </w:p>
        </w:tc>
      </w:tr>
      <w:tr w14:paraId="00439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43" w:type="pct"/>
            <w:vMerge w:val="restart"/>
            <w:vAlign w:val="center"/>
          </w:tcPr>
          <w:p w14:paraId="4A98B74F">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管理维护</w:t>
            </w:r>
          </w:p>
        </w:tc>
        <w:tc>
          <w:tcPr>
            <w:tcW w:w="4356" w:type="pct"/>
            <w:noWrap/>
            <w:vAlign w:val="center"/>
          </w:tcPr>
          <w:p w14:paraId="7DB770BC">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支持全网路径探测</w:t>
            </w:r>
          </w:p>
          <w:p w14:paraId="53A36294">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支持Telemetry</w:t>
            </w:r>
          </w:p>
          <w:p w14:paraId="21B5768E">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支持缓存的微突发状态统计</w:t>
            </w:r>
          </w:p>
          <w:p w14:paraId="0BEBF1C0">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支持VxLAN OAM：VxLAN ping，VxLAN tracert</w:t>
            </w:r>
          </w:p>
        </w:tc>
      </w:tr>
      <w:tr w14:paraId="0576B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43" w:type="pct"/>
            <w:vMerge w:val="continue"/>
            <w:vAlign w:val="center"/>
          </w:tcPr>
          <w:p w14:paraId="014625D8">
            <w:pPr>
              <w:widowControl/>
              <w:spacing w:line="360" w:lineRule="auto"/>
              <w:textAlignment w:val="baseline"/>
              <w:rPr>
                <w:rFonts w:hint="eastAsia" w:ascii="宋体" w:hAnsi="宋体" w:eastAsia="宋体" w:cs="宋体"/>
                <w:color w:val="auto"/>
                <w:sz w:val="24"/>
                <w:szCs w:val="24"/>
              </w:rPr>
            </w:pPr>
          </w:p>
        </w:tc>
        <w:tc>
          <w:tcPr>
            <w:tcW w:w="4356" w:type="pct"/>
            <w:noWrap/>
            <w:vAlign w:val="center"/>
          </w:tcPr>
          <w:p w14:paraId="71B2B4DF">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支持Console、Telnet、SSH等终端服务；支持SNMPv1／v2c／v3等网络管理协议；支持通过FTP、TFTP方式上载、下载文件；支持BootROM升级和远程在线升级；支持热补丁</w:t>
            </w:r>
          </w:p>
        </w:tc>
      </w:tr>
      <w:tr w14:paraId="69FD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3" w:type="pct"/>
            <w:vMerge w:val="restart"/>
            <w:vAlign w:val="center"/>
          </w:tcPr>
          <w:p w14:paraId="0AF279A8">
            <w:pPr>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安全</w:t>
            </w:r>
          </w:p>
        </w:tc>
        <w:tc>
          <w:tcPr>
            <w:tcW w:w="4356" w:type="pct"/>
            <w:noWrap/>
            <w:vAlign w:val="center"/>
          </w:tcPr>
          <w:p w14:paraId="1FA646F8">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支持802.1x认证</w:t>
            </w:r>
          </w:p>
          <w:p w14:paraId="3A291E8E">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支持端口隔离、端口安全、Sticky MAC</w:t>
            </w:r>
          </w:p>
          <w:p w14:paraId="2FCACA92">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支持IP、MAC、端口、VLAN的组合绑定</w:t>
            </w:r>
          </w:p>
          <w:p w14:paraId="40F9C8D4">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支持AAA、Radius、HWTACACS等多种认证方式</w:t>
            </w:r>
          </w:p>
        </w:tc>
      </w:tr>
      <w:tr w14:paraId="4B8AB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43" w:type="pct"/>
            <w:vMerge w:val="continue"/>
            <w:vAlign w:val="center"/>
          </w:tcPr>
          <w:p w14:paraId="447F67E9">
            <w:pPr>
              <w:widowControl/>
              <w:spacing w:before="46" w:beforeLines="15" w:after="46" w:afterLines="15" w:line="360" w:lineRule="auto"/>
              <w:textAlignment w:val="baseline"/>
              <w:rPr>
                <w:rFonts w:hint="eastAsia" w:ascii="宋体" w:hAnsi="宋体" w:eastAsia="宋体" w:cs="宋体"/>
                <w:color w:val="auto"/>
                <w:sz w:val="24"/>
                <w:szCs w:val="24"/>
              </w:rPr>
            </w:pPr>
          </w:p>
        </w:tc>
        <w:tc>
          <w:tcPr>
            <w:tcW w:w="4356" w:type="pct"/>
            <w:noWrap/>
            <w:vAlign w:val="center"/>
          </w:tcPr>
          <w:p w14:paraId="177C13F1">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支持防止DOS、ARP攻击功能、ICMP防攻击</w:t>
            </w:r>
          </w:p>
        </w:tc>
      </w:tr>
      <w:tr w14:paraId="5CE03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643" w:type="pct"/>
            <w:vAlign w:val="center"/>
          </w:tcPr>
          <w:p w14:paraId="0AB04810">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可靠性</w:t>
            </w:r>
          </w:p>
        </w:tc>
        <w:tc>
          <w:tcPr>
            <w:tcW w:w="4356" w:type="pct"/>
            <w:noWrap/>
            <w:vAlign w:val="center"/>
          </w:tcPr>
          <w:p w14:paraId="466BF07A">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sz w:val="24"/>
                <w:szCs w:val="24"/>
              </w:rPr>
              <w:t>精细化微分段安全隔离（提供官网链接或产品截图彩页证明）</w:t>
            </w:r>
          </w:p>
          <w:p w14:paraId="31C2E226">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支持LACP</w:t>
            </w:r>
          </w:p>
          <w:p w14:paraId="104FC7F2">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支持STP、RSTP和MSTP</w:t>
            </w:r>
          </w:p>
          <w:p w14:paraId="172E7403">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支持BPDU保护、Root保护、环路保护</w:t>
            </w:r>
          </w:p>
          <w:p w14:paraId="2A0AD3E9">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支持SmartLink 及多实例</w:t>
            </w:r>
          </w:p>
          <w:p w14:paraId="69EB8A40">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支持DLDP</w:t>
            </w:r>
          </w:p>
          <w:p w14:paraId="7292C954">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支持ERPS以太环保护协议（G．8032）</w:t>
            </w:r>
          </w:p>
          <w:p w14:paraId="7B75F8D3">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支持VRRP、VRRP负载分担、BFD for VRRP</w:t>
            </w:r>
          </w:p>
          <w:p w14:paraId="5D348874">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 BFD for BGP／IS-IS／OSPF／静态路由</w:t>
            </w:r>
          </w:p>
          <w:p w14:paraId="25D5B08B">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支持BFD for VxLAN</w:t>
            </w:r>
          </w:p>
        </w:tc>
      </w:tr>
      <w:tr w14:paraId="7D97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43" w:type="pct"/>
            <w:vMerge w:val="restart"/>
            <w:vAlign w:val="center"/>
          </w:tcPr>
          <w:p w14:paraId="11D142A8">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产品资质</w:t>
            </w:r>
          </w:p>
        </w:tc>
        <w:tc>
          <w:tcPr>
            <w:tcW w:w="4356" w:type="pct"/>
            <w:noWrap/>
            <w:vAlign w:val="center"/>
          </w:tcPr>
          <w:p w14:paraId="53E0FBF1">
            <w:pPr>
              <w:widowControl/>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产品具有IPV6 Ready 证书</w:t>
            </w:r>
          </w:p>
        </w:tc>
      </w:tr>
      <w:tr w14:paraId="5FD0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43" w:type="pct"/>
            <w:vMerge w:val="continue"/>
            <w:vAlign w:val="center"/>
          </w:tcPr>
          <w:p w14:paraId="32124D10">
            <w:pPr>
              <w:widowControl/>
              <w:spacing w:before="46" w:beforeLines="15" w:after="46" w:afterLines="15" w:line="360" w:lineRule="auto"/>
              <w:textAlignment w:val="baseline"/>
              <w:rPr>
                <w:rFonts w:hint="eastAsia" w:ascii="宋体" w:hAnsi="宋体" w:eastAsia="宋体" w:cs="宋体"/>
                <w:color w:val="auto"/>
                <w:sz w:val="24"/>
                <w:szCs w:val="24"/>
              </w:rPr>
            </w:pPr>
          </w:p>
        </w:tc>
        <w:tc>
          <w:tcPr>
            <w:tcW w:w="4356" w:type="pct"/>
            <w:noWrap/>
            <w:vAlign w:val="center"/>
          </w:tcPr>
          <w:p w14:paraId="1DA7A4CC">
            <w:pPr>
              <w:widowControl/>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产品具有CC证书</w:t>
            </w:r>
          </w:p>
        </w:tc>
      </w:tr>
    </w:tbl>
    <w:p w14:paraId="2BB66755">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outlineLvl w:val="9"/>
        <w:rPr>
          <w:rFonts w:hint="eastAsia" w:ascii="宋体" w:hAnsi="宋体" w:eastAsia="宋体" w:cs="宋体"/>
          <w:b/>
          <w:bCs w:val="0"/>
          <w:color w:val="auto"/>
          <w:sz w:val="24"/>
          <w:szCs w:val="24"/>
          <w:highlight w:val="none"/>
          <w:lang w:val="en-US" w:eastAsia="zh-CN"/>
        </w:rPr>
      </w:pPr>
    </w:p>
    <w:p w14:paraId="1B31C46E">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存储管理交换机要求：</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7331"/>
      </w:tblGrid>
      <w:tr w14:paraId="54562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trPr>
        <w:tc>
          <w:tcPr>
            <w:tcW w:w="699" w:type="pct"/>
            <w:shd w:val="clear" w:color="auto" w:fill="auto"/>
            <w:noWrap/>
            <w:vAlign w:val="center"/>
          </w:tcPr>
          <w:p w14:paraId="6872E869">
            <w:pPr>
              <w:widowControl/>
              <w:spacing w:before="46" w:beforeLines="15" w:after="46" w:afterLines="15"/>
              <w:jc w:val="center"/>
              <w:textAlignment w:val="baseline"/>
              <w:rPr>
                <w:rFonts w:hint="eastAsia" w:ascii="宋体" w:hAnsi="宋体" w:eastAsia="宋体" w:cs="宋体"/>
                <w:b/>
                <w:color w:val="auto"/>
                <w:sz w:val="24"/>
                <w:szCs w:val="24"/>
              </w:rPr>
            </w:pPr>
            <w:r>
              <w:rPr>
                <w:rFonts w:hint="eastAsia" w:ascii="宋体" w:hAnsi="宋体" w:eastAsia="宋体" w:cs="宋体"/>
                <w:b/>
                <w:color w:val="auto"/>
                <w:kern w:val="0"/>
                <w:sz w:val="24"/>
                <w:szCs w:val="24"/>
              </w:rPr>
              <w:t>指标项</w:t>
            </w:r>
          </w:p>
        </w:tc>
        <w:tc>
          <w:tcPr>
            <w:tcW w:w="4300" w:type="pct"/>
            <w:shd w:val="clear" w:color="auto" w:fill="auto"/>
            <w:noWrap/>
            <w:vAlign w:val="center"/>
          </w:tcPr>
          <w:p w14:paraId="39DE8E7A">
            <w:pPr>
              <w:widowControl/>
              <w:spacing w:before="46" w:beforeLines="15" w:after="46" w:afterLines="15"/>
              <w:jc w:val="center"/>
              <w:textAlignment w:val="baseline"/>
              <w:rPr>
                <w:rFonts w:hint="eastAsia" w:ascii="宋体" w:hAnsi="宋体" w:eastAsia="宋体" w:cs="宋体"/>
                <w:b/>
                <w:color w:val="auto"/>
                <w:sz w:val="24"/>
                <w:szCs w:val="24"/>
              </w:rPr>
            </w:pPr>
            <w:r>
              <w:rPr>
                <w:rFonts w:hint="eastAsia" w:ascii="宋体" w:hAnsi="宋体" w:eastAsia="宋体" w:cs="宋体"/>
                <w:b/>
                <w:color w:val="auto"/>
                <w:kern w:val="0"/>
                <w:sz w:val="24"/>
                <w:szCs w:val="24"/>
              </w:rPr>
              <w:t>技术规格及配置要求</w:t>
            </w:r>
          </w:p>
        </w:tc>
      </w:tr>
      <w:tr w14:paraId="61715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99" w:type="pct"/>
            <w:vMerge w:val="restart"/>
            <w:noWrap/>
            <w:vAlign w:val="center"/>
          </w:tcPr>
          <w:p w14:paraId="5DED245A">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交换机规格</w:t>
            </w:r>
          </w:p>
        </w:tc>
        <w:tc>
          <w:tcPr>
            <w:tcW w:w="4300" w:type="pct"/>
            <w:noWrap/>
            <w:vAlign w:val="center"/>
          </w:tcPr>
          <w:p w14:paraId="21107431">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交换容量≥1.28Tbps（若官网有两个参数则以小的为准）</w:t>
            </w:r>
          </w:p>
        </w:tc>
      </w:tr>
      <w:tr w14:paraId="354F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99" w:type="pct"/>
            <w:vMerge w:val="continue"/>
            <w:noWrap/>
            <w:vAlign w:val="center"/>
          </w:tcPr>
          <w:p w14:paraId="2602C69B">
            <w:pPr>
              <w:widowControl/>
              <w:rPr>
                <w:rFonts w:hint="eastAsia" w:ascii="宋体" w:hAnsi="宋体" w:eastAsia="宋体" w:cs="宋体"/>
                <w:color w:val="auto"/>
                <w:sz w:val="24"/>
                <w:szCs w:val="24"/>
              </w:rPr>
            </w:pPr>
          </w:p>
        </w:tc>
        <w:tc>
          <w:tcPr>
            <w:tcW w:w="4300" w:type="pct"/>
            <w:noWrap/>
            <w:vAlign w:val="center"/>
          </w:tcPr>
          <w:p w14:paraId="3480D797">
            <w:pPr>
              <w:widowControl/>
              <w:rPr>
                <w:rFonts w:hint="eastAsia" w:ascii="宋体" w:hAnsi="宋体" w:eastAsia="宋体" w:cs="宋体"/>
                <w:color w:val="auto"/>
                <w:sz w:val="24"/>
                <w:szCs w:val="24"/>
              </w:rPr>
            </w:pPr>
            <w:r>
              <w:rPr>
                <w:rFonts w:hint="eastAsia" w:ascii="宋体" w:hAnsi="宋体" w:eastAsia="宋体" w:cs="宋体"/>
                <w:color w:val="auto"/>
                <w:sz w:val="24"/>
                <w:szCs w:val="24"/>
              </w:rPr>
              <w:t>包转发率≥426Mpps（若官网有两个参数则以小的为准）</w:t>
            </w:r>
          </w:p>
        </w:tc>
      </w:tr>
      <w:tr w14:paraId="34803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99" w:type="pct"/>
            <w:vMerge w:val="continue"/>
            <w:noWrap/>
            <w:vAlign w:val="center"/>
          </w:tcPr>
          <w:p w14:paraId="36C09EE3">
            <w:pPr>
              <w:widowControl/>
              <w:spacing w:before="46" w:beforeLines="15" w:after="46" w:afterLines="15"/>
              <w:textAlignment w:val="baseline"/>
              <w:rPr>
                <w:rFonts w:hint="eastAsia" w:ascii="宋体" w:hAnsi="宋体" w:eastAsia="宋体" w:cs="宋体"/>
                <w:color w:val="auto"/>
                <w:sz w:val="24"/>
                <w:szCs w:val="24"/>
              </w:rPr>
            </w:pPr>
          </w:p>
        </w:tc>
        <w:tc>
          <w:tcPr>
            <w:tcW w:w="4300" w:type="pct"/>
            <w:noWrap/>
            <w:vAlign w:val="center"/>
          </w:tcPr>
          <w:p w14:paraId="1D69C876">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本次配置模块化可插拔双电源</w:t>
            </w:r>
          </w:p>
        </w:tc>
      </w:tr>
      <w:tr w14:paraId="0CB8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99" w:type="pct"/>
            <w:vMerge w:val="restart"/>
            <w:noWrap/>
            <w:vAlign w:val="center"/>
          </w:tcPr>
          <w:p w14:paraId="1B927705">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实际配置要求</w:t>
            </w:r>
          </w:p>
        </w:tc>
        <w:tc>
          <w:tcPr>
            <w:tcW w:w="4300" w:type="pct"/>
            <w:noWrap/>
            <w:vAlign w:val="center"/>
          </w:tcPr>
          <w:p w14:paraId="63769C71">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配置24个10/100/1000Base-T以太网端口，4个万兆SFP+（单套配置4块SFP+万兆多模光模块）</w:t>
            </w:r>
          </w:p>
        </w:tc>
      </w:tr>
      <w:tr w14:paraId="45E31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99" w:type="pct"/>
            <w:vMerge w:val="continue"/>
            <w:vAlign w:val="center"/>
          </w:tcPr>
          <w:p w14:paraId="68111CA2">
            <w:pPr>
              <w:widowControl/>
              <w:jc w:val="left"/>
              <w:rPr>
                <w:rFonts w:hint="eastAsia" w:ascii="宋体" w:hAnsi="宋体" w:eastAsia="宋体" w:cs="宋体"/>
                <w:color w:val="auto"/>
                <w:sz w:val="24"/>
                <w:szCs w:val="24"/>
              </w:rPr>
            </w:pPr>
          </w:p>
        </w:tc>
        <w:tc>
          <w:tcPr>
            <w:tcW w:w="4300" w:type="pct"/>
            <w:noWrap/>
            <w:vAlign w:val="center"/>
          </w:tcPr>
          <w:p w14:paraId="049047D5">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▲支持业务扩展插槽数≥1，扩展业务卡支持2*40GE、8*10GE电口、8*10GE或2*25GE光口子卡 （提供官网链接或产品截图彩页证明）</w:t>
            </w:r>
          </w:p>
        </w:tc>
      </w:tr>
      <w:tr w14:paraId="072F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699" w:type="pct"/>
            <w:noWrap/>
            <w:vAlign w:val="center"/>
          </w:tcPr>
          <w:p w14:paraId="42849D20">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无线管理</w:t>
            </w:r>
          </w:p>
        </w:tc>
        <w:tc>
          <w:tcPr>
            <w:tcW w:w="4300" w:type="pct"/>
            <w:noWrap/>
            <w:vAlign w:val="center"/>
          </w:tcPr>
          <w:p w14:paraId="485DD4A6">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sz w:val="24"/>
                <w:szCs w:val="24"/>
              </w:rPr>
              <w:t>支持融合AC管理功能，整机可管理1K AP，提供权威第三方测试报告（提供官网链接或产品截图彩页证明）</w:t>
            </w:r>
          </w:p>
        </w:tc>
      </w:tr>
      <w:tr w14:paraId="567D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699" w:type="pct"/>
            <w:noWrap/>
            <w:vAlign w:val="center"/>
          </w:tcPr>
          <w:p w14:paraId="73FC6544">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用户管理</w:t>
            </w:r>
          </w:p>
        </w:tc>
        <w:tc>
          <w:tcPr>
            <w:tcW w:w="4300" w:type="pct"/>
            <w:noWrap/>
            <w:vAlign w:val="center"/>
          </w:tcPr>
          <w:p w14:paraId="2F22B600">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支持统一用户管理功能，屏蔽接入侧差异，支持802.1X/MAC/Portal等多种认证方式，支持对用户进行分组/分域/分时的管理，用户、业务可视可控</w:t>
            </w:r>
          </w:p>
        </w:tc>
      </w:tr>
      <w:tr w14:paraId="6AFA4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99" w:type="pct"/>
            <w:vMerge w:val="restart"/>
            <w:noWrap/>
            <w:vAlign w:val="center"/>
          </w:tcPr>
          <w:p w14:paraId="6DB2FBE6">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二层</w:t>
            </w:r>
          </w:p>
        </w:tc>
        <w:tc>
          <w:tcPr>
            <w:tcW w:w="4300" w:type="pct"/>
            <w:vAlign w:val="center"/>
          </w:tcPr>
          <w:p w14:paraId="5E258DD0">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支持MAC地址≥256K </w:t>
            </w:r>
          </w:p>
        </w:tc>
      </w:tr>
      <w:tr w14:paraId="7E02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99" w:type="pct"/>
            <w:vMerge w:val="continue"/>
            <w:vAlign w:val="center"/>
          </w:tcPr>
          <w:p w14:paraId="410F94C4">
            <w:pPr>
              <w:widowControl/>
              <w:jc w:val="left"/>
              <w:rPr>
                <w:rFonts w:hint="eastAsia" w:ascii="宋体" w:hAnsi="宋体" w:eastAsia="宋体" w:cs="宋体"/>
                <w:color w:val="auto"/>
                <w:sz w:val="24"/>
                <w:szCs w:val="24"/>
              </w:rPr>
            </w:pPr>
          </w:p>
        </w:tc>
        <w:tc>
          <w:tcPr>
            <w:tcW w:w="4300" w:type="pct"/>
            <w:vAlign w:val="center"/>
          </w:tcPr>
          <w:p w14:paraId="1BE09F3B">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支持ARP表项≥64K</w:t>
            </w:r>
          </w:p>
        </w:tc>
      </w:tr>
      <w:tr w14:paraId="439B3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699" w:type="pct"/>
            <w:vMerge w:val="continue"/>
            <w:vAlign w:val="center"/>
          </w:tcPr>
          <w:p w14:paraId="5E4F7E59">
            <w:pPr>
              <w:widowControl/>
              <w:jc w:val="left"/>
              <w:rPr>
                <w:rFonts w:hint="eastAsia" w:ascii="宋体" w:hAnsi="宋体" w:eastAsia="宋体" w:cs="宋体"/>
                <w:color w:val="auto"/>
                <w:sz w:val="24"/>
                <w:szCs w:val="24"/>
              </w:rPr>
            </w:pPr>
          </w:p>
        </w:tc>
        <w:tc>
          <w:tcPr>
            <w:tcW w:w="4300" w:type="pct"/>
            <w:vAlign w:val="center"/>
          </w:tcPr>
          <w:p w14:paraId="55259671">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支持4K VLAN，支持QinQ，灵活QinQ、支持端口VLAN、协议VLAN、IP子网VLAN</w:t>
            </w:r>
          </w:p>
          <w:p w14:paraId="7C37C2E2">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支持Super VLAN、支持Voice VLAN、支持组播VLAN</w:t>
            </w:r>
          </w:p>
          <w:p w14:paraId="4557C435">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支持IEEE 802.1d(STP), 802.w(RSTP), 802.1s(MSTP)</w:t>
            </w:r>
          </w:p>
        </w:tc>
      </w:tr>
      <w:tr w14:paraId="698C8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99" w:type="pct"/>
            <w:vMerge w:val="continue"/>
            <w:vAlign w:val="center"/>
          </w:tcPr>
          <w:p w14:paraId="4B7703F3">
            <w:pPr>
              <w:widowControl/>
              <w:jc w:val="left"/>
              <w:rPr>
                <w:rFonts w:hint="eastAsia" w:ascii="宋体" w:hAnsi="宋体" w:eastAsia="宋体" w:cs="宋体"/>
                <w:color w:val="auto"/>
                <w:sz w:val="24"/>
                <w:szCs w:val="24"/>
              </w:rPr>
            </w:pPr>
          </w:p>
        </w:tc>
        <w:tc>
          <w:tcPr>
            <w:tcW w:w="4300" w:type="pct"/>
            <w:vAlign w:val="center"/>
          </w:tcPr>
          <w:p w14:paraId="217E7431">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支持策略VLAN</w:t>
            </w:r>
          </w:p>
        </w:tc>
      </w:tr>
      <w:tr w14:paraId="5869A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99" w:type="pct"/>
            <w:vMerge w:val="continue"/>
            <w:vAlign w:val="center"/>
          </w:tcPr>
          <w:p w14:paraId="40DE7A6F">
            <w:pPr>
              <w:widowControl/>
              <w:jc w:val="left"/>
              <w:rPr>
                <w:rFonts w:hint="eastAsia" w:ascii="宋体" w:hAnsi="宋体" w:eastAsia="宋体" w:cs="宋体"/>
                <w:color w:val="auto"/>
                <w:sz w:val="24"/>
                <w:szCs w:val="24"/>
              </w:rPr>
            </w:pPr>
          </w:p>
        </w:tc>
        <w:tc>
          <w:tcPr>
            <w:tcW w:w="4300" w:type="pct"/>
            <w:vAlign w:val="center"/>
          </w:tcPr>
          <w:p w14:paraId="35AB9FD9">
            <w:pPr>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支持IGMP v1/v2/v3、PIM-SM、PIM-DM、PIM-SSM</w:t>
            </w:r>
          </w:p>
        </w:tc>
      </w:tr>
      <w:tr w14:paraId="732F6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99" w:type="pct"/>
            <w:vMerge w:val="restart"/>
            <w:noWrap/>
            <w:vAlign w:val="center"/>
          </w:tcPr>
          <w:p w14:paraId="3E56F18F">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三层</w:t>
            </w:r>
          </w:p>
        </w:tc>
        <w:tc>
          <w:tcPr>
            <w:tcW w:w="4300" w:type="pct"/>
          </w:tcPr>
          <w:p w14:paraId="7D7A1F30">
            <w:pPr>
              <w:rPr>
                <w:rFonts w:hint="eastAsia" w:ascii="宋体" w:hAnsi="宋体" w:eastAsia="宋体" w:cs="宋体"/>
                <w:color w:val="auto"/>
                <w:sz w:val="24"/>
                <w:szCs w:val="24"/>
              </w:rPr>
            </w:pPr>
            <w:r>
              <w:rPr>
                <w:rFonts w:hint="eastAsia" w:ascii="宋体" w:hAnsi="宋体" w:eastAsia="宋体" w:cs="宋体"/>
                <w:color w:val="auto"/>
                <w:sz w:val="24"/>
                <w:szCs w:val="24"/>
              </w:rPr>
              <w:t>支持静态路由、RIP v1/v2、OSPF、BGP、ISIS、RIPng、OSPFv3、ISISv6、BGP4+</w:t>
            </w:r>
          </w:p>
        </w:tc>
      </w:tr>
      <w:tr w14:paraId="0E150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99" w:type="pct"/>
            <w:vMerge w:val="continue"/>
            <w:vAlign w:val="center"/>
          </w:tcPr>
          <w:p w14:paraId="6C8F8812">
            <w:pPr>
              <w:widowControl/>
              <w:jc w:val="left"/>
              <w:rPr>
                <w:rFonts w:hint="eastAsia" w:ascii="宋体" w:hAnsi="宋体" w:eastAsia="宋体" w:cs="宋体"/>
                <w:color w:val="auto"/>
                <w:sz w:val="24"/>
                <w:szCs w:val="24"/>
              </w:rPr>
            </w:pPr>
          </w:p>
        </w:tc>
        <w:tc>
          <w:tcPr>
            <w:tcW w:w="4300" w:type="pct"/>
          </w:tcPr>
          <w:p w14:paraId="69C301BC">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支持IPv4 路由表≥256K </w:t>
            </w:r>
          </w:p>
        </w:tc>
      </w:tr>
      <w:tr w14:paraId="74CE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99" w:type="pct"/>
            <w:vMerge w:val="continue"/>
            <w:vAlign w:val="center"/>
          </w:tcPr>
          <w:p w14:paraId="04EAA52A">
            <w:pPr>
              <w:widowControl/>
              <w:jc w:val="left"/>
              <w:rPr>
                <w:rFonts w:hint="eastAsia" w:ascii="宋体" w:hAnsi="宋体" w:eastAsia="宋体" w:cs="宋体"/>
                <w:color w:val="auto"/>
                <w:sz w:val="24"/>
                <w:szCs w:val="24"/>
              </w:rPr>
            </w:pPr>
          </w:p>
        </w:tc>
        <w:tc>
          <w:tcPr>
            <w:tcW w:w="4300" w:type="pct"/>
          </w:tcPr>
          <w:p w14:paraId="6F2AF247">
            <w:pPr>
              <w:rPr>
                <w:rFonts w:hint="eastAsia" w:ascii="宋体" w:hAnsi="宋体" w:eastAsia="宋体" w:cs="宋体"/>
                <w:color w:val="auto"/>
                <w:sz w:val="24"/>
                <w:szCs w:val="24"/>
              </w:rPr>
            </w:pPr>
            <w:r>
              <w:rPr>
                <w:rFonts w:hint="eastAsia" w:ascii="宋体" w:hAnsi="宋体" w:eastAsia="宋体" w:cs="宋体"/>
                <w:color w:val="auto"/>
                <w:sz w:val="24"/>
                <w:szCs w:val="24"/>
              </w:rPr>
              <w:t>支持IPv6 路由表≥32K</w:t>
            </w:r>
          </w:p>
        </w:tc>
      </w:tr>
      <w:tr w14:paraId="78B1A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99" w:type="pct"/>
            <w:vMerge w:val="continue"/>
            <w:vAlign w:val="center"/>
          </w:tcPr>
          <w:p w14:paraId="03E67772">
            <w:pPr>
              <w:widowControl/>
              <w:jc w:val="left"/>
              <w:rPr>
                <w:rFonts w:hint="eastAsia" w:ascii="宋体" w:hAnsi="宋体" w:eastAsia="宋体" w:cs="宋体"/>
                <w:color w:val="auto"/>
                <w:sz w:val="24"/>
                <w:szCs w:val="24"/>
              </w:rPr>
            </w:pPr>
          </w:p>
        </w:tc>
        <w:tc>
          <w:tcPr>
            <w:tcW w:w="4300" w:type="pct"/>
            <w:vAlign w:val="center"/>
          </w:tcPr>
          <w:p w14:paraId="16876210">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支持策略路由、路由策略、VRRP、BFD for OSPF、BGP、IS-IS、Static Route</w:t>
            </w:r>
          </w:p>
          <w:p w14:paraId="26EF5FDC">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支持IPv6、支持IPv4/IPv6双栈、IPv6 over IPv4隧道、IPv4 over IPv6隧道</w:t>
            </w:r>
          </w:p>
        </w:tc>
      </w:tr>
      <w:tr w14:paraId="2162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99" w:type="pct"/>
            <w:noWrap/>
            <w:vAlign w:val="center"/>
          </w:tcPr>
          <w:p w14:paraId="00B0AF41">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VxLAN</w:t>
            </w:r>
          </w:p>
        </w:tc>
        <w:tc>
          <w:tcPr>
            <w:tcW w:w="4300" w:type="pct"/>
            <w:vAlign w:val="center"/>
          </w:tcPr>
          <w:p w14:paraId="6ABCDA17">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支持VxLAN功能，支持集中式和分布式部署方式</w:t>
            </w:r>
          </w:p>
        </w:tc>
      </w:tr>
      <w:tr w14:paraId="1E706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99" w:type="pct"/>
            <w:noWrap/>
            <w:vAlign w:val="center"/>
          </w:tcPr>
          <w:p w14:paraId="143E1EE6">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MPLS</w:t>
            </w:r>
          </w:p>
        </w:tc>
        <w:tc>
          <w:tcPr>
            <w:tcW w:w="4300" w:type="pct"/>
            <w:vAlign w:val="center"/>
          </w:tcPr>
          <w:p w14:paraId="33D229D6">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支持MPLS L3VPN、MPLS L2VPN(VPLS/VLL)、MPLS-TE、MPLS QoS</w:t>
            </w:r>
          </w:p>
        </w:tc>
      </w:tr>
      <w:tr w14:paraId="4E8D4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699" w:type="pct"/>
            <w:noWrap/>
            <w:vAlign w:val="center"/>
          </w:tcPr>
          <w:p w14:paraId="7C161414">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QoS</w:t>
            </w:r>
          </w:p>
        </w:tc>
        <w:tc>
          <w:tcPr>
            <w:tcW w:w="4300" w:type="pct"/>
            <w:vAlign w:val="center"/>
          </w:tcPr>
          <w:p w14:paraId="34F3C6E6">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支持SP、DWRR、SP+DWRR等调度方式</w:t>
            </w:r>
          </w:p>
          <w:p w14:paraId="2F25F082">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提供广播风暴抑制功能、双向流限速</w:t>
            </w:r>
          </w:p>
        </w:tc>
      </w:tr>
      <w:tr w14:paraId="3B1BB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99" w:type="pct"/>
            <w:vMerge w:val="restart"/>
            <w:noWrap/>
            <w:vAlign w:val="center"/>
          </w:tcPr>
          <w:p w14:paraId="4A882F87">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安全</w:t>
            </w:r>
          </w:p>
        </w:tc>
        <w:tc>
          <w:tcPr>
            <w:tcW w:w="4300" w:type="pct"/>
            <w:vAlign w:val="center"/>
          </w:tcPr>
          <w:p w14:paraId="79BF1FC2">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支持DHCPv6 Snooping，IP Source Guard，SAVI等安全特性，提供权威第三方测试报告</w:t>
            </w:r>
          </w:p>
        </w:tc>
      </w:tr>
      <w:tr w14:paraId="3030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99" w:type="pct"/>
            <w:vMerge w:val="continue"/>
            <w:vAlign w:val="center"/>
          </w:tcPr>
          <w:p w14:paraId="4B5A0B75">
            <w:pPr>
              <w:widowControl/>
              <w:jc w:val="left"/>
              <w:rPr>
                <w:rFonts w:hint="eastAsia" w:ascii="宋体" w:hAnsi="宋体" w:eastAsia="宋体" w:cs="宋体"/>
                <w:color w:val="auto"/>
                <w:sz w:val="24"/>
                <w:szCs w:val="24"/>
              </w:rPr>
            </w:pPr>
          </w:p>
        </w:tc>
        <w:tc>
          <w:tcPr>
            <w:tcW w:w="4300" w:type="pct"/>
            <w:vAlign w:val="center"/>
          </w:tcPr>
          <w:p w14:paraId="04B54D01">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支持防ARP攻击、DOS攻击、ICMP防攻击、CPU防攻击</w:t>
            </w:r>
          </w:p>
        </w:tc>
      </w:tr>
      <w:tr w14:paraId="7E3F4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99" w:type="pct"/>
            <w:noWrap/>
            <w:vAlign w:val="center"/>
          </w:tcPr>
          <w:p w14:paraId="12CEEA17">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加密通信分析</w:t>
            </w:r>
          </w:p>
        </w:tc>
        <w:tc>
          <w:tcPr>
            <w:tcW w:w="4300" w:type="pct"/>
            <w:vAlign w:val="center"/>
          </w:tcPr>
          <w:p w14:paraId="634257CC">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交换机支持报告攻击事件给网络安全智能系统，与网络安全智能系统和SDN控制器联动，以实现全网安全协防，提供权威第三方测试报告</w:t>
            </w:r>
          </w:p>
        </w:tc>
      </w:tr>
      <w:tr w14:paraId="22B3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99" w:type="pct"/>
            <w:vMerge w:val="restart"/>
            <w:noWrap/>
            <w:vAlign w:val="center"/>
          </w:tcPr>
          <w:p w14:paraId="351EFF91">
            <w:pPr>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可靠性</w:t>
            </w:r>
          </w:p>
        </w:tc>
        <w:tc>
          <w:tcPr>
            <w:tcW w:w="4300" w:type="pct"/>
            <w:vAlign w:val="center"/>
          </w:tcPr>
          <w:p w14:paraId="6533D918">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sz w:val="24"/>
                <w:szCs w:val="24"/>
              </w:rPr>
              <w:t>支持G.8032（ERPS）标准以太环网协（提供官网链接或产品截图彩页证明）</w:t>
            </w:r>
          </w:p>
        </w:tc>
      </w:tr>
      <w:tr w14:paraId="5D882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99" w:type="pct"/>
            <w:vMerge w:val="continue"/>
            <w:vAlign w:val="center"/>
          </w:tcPr>
          <w:p w14:paraId="3F517005">
            <w:pPr>
              <w:widowControl/>
              <w:jc w:val="left"/>
              <w:rPr>
                <w:rFonts w:hint="eastAsia" w:ascii="宋体" w:hAnsi="宋体" w:eastAsia="宋体" w:cs="宋体"/>
                <w:color w:val="auto"/>
                <w:sz w:val="24"/>
                <w:szCs w:val="24"/>
              </w:rPr>
            </w:pPr>
          </w:p>
        </w:tc>
        <w:tc>
          <w:tcPr>
            <w:tcW w:w="4300" w:type="pct"/>
            <w:vAlign w:val="center"/>
          </w:tcPr>
          <w:p w14:paraId="0AB41844">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支持ETH OAM、802.1ag、802.3ah、Y.1731、BFD</w:t>
            </w:r>
          </w:p>
        </w:tc>
      </w:tr>
      <w:tr w14:paraId="6AAF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99" w:type="pct"/>
            <w:noWrap/>
            <w:vAlign w:val="center"/>
          </w:tcPr>
          <w:p w14:paraId="50C5793B">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堆叠</w:t>
            </w:r>
          </w:p>
        </w:tc>
        <w:tc>
          <w:tcPr>
            <w:tcW w:w="4300" w:type="pct"/>
            <w:noWrap/>
            <w:vAlign w:val="center"/>
          </w:tcPr>
          <w:p w14:paraId="3DA8BA80">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支持堆叠 </w:t>
            </w:r>
          </w:p>
        </w:tc>
      </w:tr>
      <w:tr w14:paraId="380F5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99" w:type="pct"/>
            <w:noWrap/>
            <w:vAlign w:val="center"/>
          </w:tcPr>
          <w:p w14:paraId="7924C7F0">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纵向虚拟化</w:t>
            </w:r>
          </w:p>
        </w:tc>
        <w:tc>
          <w:tcPr>
            <w:tcW w:w="4300" w:type="pct"/>
            <w:noWrap/>
            <w:vAlign w:val="center"/>
          </w:tcPr>
          <w:p w14:paraId="08E8E318">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支持纵向虚拟化功能，作为父节点将下联的交换机和无线AP虚拟为一台设备管理</w:t>
            </w:r>
          </w:p>
        </w:tc>
      </w:tr>
      <w:tr w14:paraId="1494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99" w:type="pct"/>
            <w:vAlign w:val="center"/>
          </w:tcPr>
          <w:p w14:paraId="6FD9D5C3">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管理维护</w:t>
            </w:r>
          </w:p>
        </w:tc>
        <w:tc>
          <w:tcPr>
            <w:tcW w:w="4300" w:type="pct"/>
            <w:noWrap/>
            <w:vAlign w:val="center"/>
          </w:tcPr>
          <w:p w14:paraId="50E9D907">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支持SNMP v1/v2/v3、Telnet、RMON、SSH</w:t>
            </w:r>
          </w:p>
          <w:p w14:paraId="47063168">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支持通过命令行、Web、中文图形化配置软件等方式进行配置和管理</w:t>
            </w:r>
          </w:p>
          <w:p w14:paraId="33F124CA">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支持自动配置、批量升级</w:t>
            </w:r>
          </w:p>
        </w:tc>
      </w:tr>
      <w:tr w14:paraId="463CC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99" w:type="pct"/>
            <w:vAlign w:val="center"/>
          </w:tcPr>
          <w:p w14:paraId="087290DD">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产品资质</w:t>
            </w:r>
          </w:p>
        </w:tc>
        <w:tc>
          <w:tcPr>
            <w:tcW w:w="4300" w:type="pct"/>
            <w:noWrap/>
            <w:vAlign w:val="center"/>
          </w:tcPr>
          <w:p w14:paraId="200CDA2B">
            <w:pPr>
              <w:widowControl/>
              <w:rPr>
                <w:rFonts w:hint="eastAsia" w:ascii="宋体" w:hAnsi="宋体" w:eastAsia="宋体" w:cs="宋体"/>
                <w:color w:val="auto"/>
                <w:sz w:val="24"/>
                <w:szCs w:val="24"/>
              </w:rPr>
            </w:pPr>
            <w:r>
              <w:rPr>
                <w:rFonts w:hint="eastAsia" w:ascii="宋体" w:hAnsi="宋体" w:eastAsia="宋体" w:cs="宋体"/>
                <w:color w:val="auto"/>
                <w:sz w:val="24"/>
                <w:szCs w:val="24"/>
              </w:rPr>
              <w:t>提供工信部入网证</w:t>
            </w:r>
          </w:p>
        </w:tc>
      </w:tr>
    </w:tbl>
    <w:p w14:paraId="66A9C5B3">
      <w:pPr>
        <w:rPr>
          <w:rFonts w:hint="eastAsia" w:ascii="宋体" w:hAnsi="宋体" w:eastAsia="宋体" w:cs="宋体"/>
          <w:color w:val="auto"/>
          <w:sz w:val="24"/>
          <w:szCs w:val="24"/>
          <w:lang w:val="en-US" w:eastAsia="zh-CN"/>
        </w:rPr>
      </w:pPr>
    </w:p>
    <w:p w14:paraId="5DB7FECD">
      <w:pPr>
        <w:numPr>
          <w:ilvl w:val="0"/>
          <w:numId w:val="3"/>
        </w:numPr>
        <w:spacing w:before="156" w:beforeLines="50" w:after="156" w:afterLines="50"/>
        <w:ind w:firstLine="482" w:firstLineChars="200"/>
        <w:rPr>
          <w:rFonts w:hint="eastAsia" w:ascii="宋体" w:hAnsi="宋体" w:eastAsia="宋体" w:cs="宋体"/>
          <w:b/>
          <w:color w:val="auto"/>
          <w:sz w:val="24"/>
          <w:szCs w:val="24"/>
        </w:rPr>
      </w:pPr>
      <w:bookmarkStart w:id="39" w:name="_Toc27456"/>
      <w:bookmarkStart w:id="40" w:name="_Toc4879"/>
      <w:bookmarkStart w:id="41" w:name="_Toc4230"/>
      <w:bookmarkStart w:id="42" w:name="_Toc17126"/>
      <w:bookmarkStart w:id="43" w:name="_Toc14412"/>
      <w:bookmarkStart w:id="44" w:name="_Toc7591"/>
      <w:r>
        <w:rPr>
          <w:rFonts w:hint="eastAsia" w:ascii="宋体" w:hAnsi="宋体" w:eastAsia="宋体" w:cs="宋体"/>
          <w:b/>
          <w:color w:val="auto"/>
          <w:sz w:val="24"/>
          <w:szCs w:val="24"/>
        </w:rPr>
        <w:t>核心交换机设备</w:t>
      </w:r>
      <w:bookmarkEnd w:id="39"/>
      <w:bookmarkEnd w:id="40"/>
      <w:bookmarkEnd w:id="41"/>
      <w:bookmarkEnd w:id="42"/>
      <w:bookmarkEnd w:id="43"/>
      <w:bookmarkEnd w:id="44"/>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7191"/>
      </w:tblGrid>
      <w:tr w14:paraId="4C1B3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trPr>
        <w:tc>
          <w:tcPr>
            <w:tcW w:w="781" w:type="pct"/>
            <w:shd w:val="clear" w:color="auto" w:fill="auto"/>
            <w:noWrap/>
            <w:vAlign w:val="center"/>
          </w:tcPr>
          <w:p w14:paraId="1776CA91">
            <w:pPr>
              <w:widowControl/>
              <w:spacing w:before="46" w:beforeLines="15" w:after="46" w:afterLines="15"/>
              <w:jc w:val="center"/>
              <w:textAlignment w:val="baseline"/>
              <w:rPr>
                <w:rFonts w:hint="eastAsia" w:ascii="宋体" w:hAnsi="宋体" w:eastAsia="宋体" w:cs="宋体"/>
                <w:b/>
                <w:color w:val="auto"/>
                <w:sz w:val="24"/>
                <w:szCs w:val="24"/>
              </w:rPr>
            </w:pPr>
            <w:r>
              <w:rPr>
                <w:rFonts w:hint="eastAsia" w:ascii="宋体" w:hAnsi="宋体" w:eastAsia="宋体" w:cs="宋体"/>
                <w:b/>
                <w:color w:val="auto"/>
                <w:kern w:val="0"/>
                <w:sz w:val="24"/>
                <w:szCs w:val="24"/>
              </w:rPr>
              <w:t>指标项</w:t>
            </w:r>
          </w:p>
        </w:tc>
        <w:tc>
          <w:tcPr>
            <w:tcW w:w="4218" w:type="pct"/>
            <w:shd w:val="clear" w:color="auto" w:fill="auto"/>
            <w:noWrap/>
            <w:vAlign w:val="center"/>
          </w:tcPr>
          <w:p w14:paraId="0E9F701A">
            <w:pPr>
              <w:widowControl/>
              <w:spacing w:before="46" w:beforeLines="15" w:after="46" w:afterLines="15"/>
              <w:jc w:val="center"/>
              <w:textAlignment w:val="baseline"/>
              <w:rPr>
                <w:rFonts w:hint="eastAsia" w:ascii="宋体" w:hAnsi="宋体" w:eastAsia="宋体" w:cs="宋体"/>
                <w:b/>
                <w:color w:val="auto"/>
                <w:sz w:val="24"/>
                <w:szCs w:val="24"/>
              </w:rPr>
            </w:pPr>
            <w:r>
              <w:rPr>
                <w:rFonts w:hint="eastAsia" w:ascii="宋体" w:hAnsi="宋体" w:eastAsia="宋体" w:cs="宋体"/>
                <w:b/>
                <w:color w:val="auto"/>
                <w:kern w:val="0"/>
                <w:sz w:val="24"/>
                <w:szCs w:val="24"/>
              </w:rPr>
              <w:t>技术规格及配置要求</w:t>
            </w:r>
          </w:p>
        </w:tc>
      </w:tr>
      <w:tr w14:paraId="679A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81" w:type="pct"/>
            <w:vMerge w:val="restart"/>
            <w:noWrap/>
            <w:vAlign w:val="center"/>
          </w:tcPr>
          <w:p w14:paraId="6FBE2011">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交换机规格</w:t>
            </w:r>
          </w:p>
        </w:tc>
        <w:tc>
          <w:tcPr>
            <w:tcW w:w="4218" w:type="pct"/>
            <w:noWrap/>
            <w:vAlign w:val="center"/>
          </w:tcPr>
          <w:p w14:paraId="33751A9A">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交换容量≥2.56Tbps（若官网有两个参数则以小的为准）</w:t>
            </w:r>
          </w:p>
        </w:tc>
      </w:tr>
      <w:tr w14:paraId="38C79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81" w:type="pct"/>
            <w:vMerge w:val="continue"/>
            <w:noWrap/>
            <w:vAlign w:val="center"/>
          </w:tcPr>
          <w:p w14:paraId="18F7EC76">
            <w:pPr>
              <w:widowControl/>
              <w:rPr>
                <w:rFonts w:hint="eastAsia" w:ascii="宋体" w:hAnsi="宋体" w:eastAsia="宋体" w:cs="宋体"/>
                <w:color w:val="auto"/>
                <w:sz w:val="24"/>
                <w:szCs w:val="24"/>
              </w:rPr>
            </w:pPr>
          </w:p>
        </w:tc>
        <w:tc>
          <w:tcPr>
            <w:tcW w:w="4218" w:type="pct"/>
            <w:noWrap/>
            <w:vAlign w:val="center"/>
          </w:tcPr>
          <w:p w14:paraId="024B0B7B">
            <w:pPr>
              <w:widowControl/>
              <w:rPr>
                <w:rFonts w:hint="eastAsia" w:ascii="宋体" w:hAnsi="宋体" w:eastAsia="宋体" w:cs="宋体"/>
                <w:color w:val="auto"/>
                <w:sz w:val="24"/>
                <w:szCs w:val="24"/>
              </w:rPr>
            </w:pPr>
            <w:r>
              <w:rPr>
                <w:rFonts w:hint="eastAsia" w:ascii="宋体" w:hAnsi="宋体" w:eastAsia="宋体" w:cs="宋体"/>
                <w:color w:val="auto"/>
                <w:sz w:val="24"/>
                <w:szCs w:val="24"/>
              </w:rPr>
              <w:t>包转发率≥1620Mpps（若官网有两个参数则以小的为准）</w:t>
            </w:r>
          </w:p>
        </w:tc>
      </w:tr>
      <w:tr w14:paraId="02B5C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81" w:type="pct"/>
            <w:vMerge w:val="continue"/>
            <w:noWrap/>
            <w:vAlign w:val="center"/>
          </w:tcPr>
          <w:p w14:paraId="24C5F7A0">
            <w:pPr>
              <w:widowControl/>
              <w:spacing w:before="46" w:beforeLines="15" w:after="46" w:afterLines="15"/>
              <w:textAlignment w:val="baseline"/>
              <w:rPr>
                <w:rFonts w:hint="eastAsia" w:ascii="宋体" w:hAnsi="宋体" w:eastAsia="宋体" w:cs="宋体"/>
                <w:color w:val="auto"/>
                <w:sz w:val="24"/>
                <w:szCs w:val="24"/>
              </w:rPr>
            </w:pPr>
          </w:p>
        </w:tc>
        <w:tc>
          <w:tcPr>
            <w:tcW w:w="4218" w:type="pct"/>
            <w:noWrap/>
            <w:vAlign w:val="center"/>
          </w:tcPr>
          <w:p w14:paraId="1996FAD2">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本次配置模块化可插拔双电源</w:t>
            </w:r>
          </w:p>
        </w:tc>
      </w:tr>
      <w:tr w14:paraId="4E58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81" w:type="pct"/>
            <w:vMerge w:val="restart"/>
            <w:noWrap/>
            <w:vAlign w:val="center"/>
          </w:tcPr>
          <w:p w14:paraId="3DE0122D">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实际配置要求</w:t>
            </w:r>
          </w:p>
        </w:tc>
        <w:tc>
          <w:tcPr>
            <w:tcW w:w="4218" w:type="pct"/>
            <w:noWrap/>
            <w:vAlign w:val="center"/>
          </w:tcPr>
          <w:p w14:paraId="59465B14">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配置48个万兆SFP+，6个40G/100G QSFP28（配置48块SFP+万兆多模光模块），上行端口缺省为40GE，可通过License升级到 100GE，100G接口支持40GE和100GE光模块自适应</w:t>
            </w:r>
          </w:p>
        </w:tc>
      </w:tr>
      <w:tr w14:paraId="132C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81" w:type="pct"/>
            <w:vMerge w:val="continue"/>
            <w:vAlign w:val="center"/>
          </w:tcPr>
          <w:p w14:paraId="5798D6B0">
            <w:pPr>
              <w:widowControl/>
              <w:jc w:val="left"/>
              <w:rPr>
                <w:rFonts w:hint="eastAsia" w:ascii="宋体" w:hAnsi="宋体" w:eastAsia="宋体" w:cs="宋体"/>
                <w:color w:val="auto"/>
                <w:sz w:val="24"/>
                <w:szCs w:val="24"/>
              </w:rPr>
            </w:pPr>
          </w:p>
        </w:tc>
        <w:tc>
          <w:tcPr>
            <w:tcW w:w="4218" w:type="pct"/>
            <w:noWrap/>
            <w:vAlign w:val="center"/>
          </w:tcPr>
          <w:p w14:paraId="0FA76721">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▲支持可插拔风扇框，独立风扇框个数≥4 （提供官网链接或产品截图彩页证明）</w:t>
            </w:r>
          </w:p>
        </w:tc>
      </w:tr>
      <w:tr w14:paraId="00D9E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781" w:type="pct"/>
            <w:vMerge w:val="restart"/>
            <w:noWrap/>
            <w:vAlign w:val="center"/>
          </w:tcPr>
          <w:p w14:paraId="36C59DA7">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安全管理</w:t>
            </w:r>
            <w:r>
              <w:rPr>
                <w:rFonts w:hint="eastAsia" w:ascii="宋体" w:hAnsi="宋体" w:eastAsia="宋体" w:cs="宋体"/>
                <w:color w:val="auto"/>
                <w:kern w:val="0"/>
                <w:sz w:val="24"/>
                <w:szCs w:val="24"/>
              </w:rPr>
              <w:t>▲</w:t>
            </w:r>
          </w:p>
        </w:tc>
        <w:tc>
          <w:tcPr>
            <w:tcW w:w="4218" w:type="pct"/>
            <w:noWrap/>
            <w:vAlign w:val="center"/>
          </w:tcPr>
          <w:p w14:paraId="16F554BC">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支持报告攻击事件给网络安全智能系统，与网络安全智能系统和SDN控制器联动，以实现全网安全协防，提供权威第三方测试报告</w:t>
            </w:r>
          </w:p>
        </w:tc>
      </w:tr>
      <w:tr w14:paraId="3C37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781" w:type="pct"/>
            <w:vMerge w:val="continue"/>
            <w:noWrap/>
            <w:vAlign w:val="center"/>
          </w:tcPr>
          <w:p w14:paraId="55522A60">
            <w:pPr>
              <w:widowControl/>
              <w:spacing w:before="46" w:beforeLines="15" w:after="46" w:afterLines="15"/>
              <w:textAlignment w:val="baseline"/>
              <w:rPr>
                <w:rFonts w:hint="eastAsia" w:ascii="宋体" w:hAnsi="宋体" w:eastAsia="宋体" w:cs="宋体"/>
                <w:color w:val="auto"/>
                <w:sz w:val="24"/>
                <w:szCs w:val="24"/>
              </w:rPr>
            </w:pPr>
          </w:p>
        </w:tc>
        <w:tc>
          <w:tcPr>
            <w:tcW w:w="4218" w:type="pct"/>
            <w:noWrap/>
            <w:vAlign w:val="center"/>
          </w:tcPr>
          <w:p w14:paraId="481D91EB">
            <w:pPr>
              <w:widowControl/>
              <w:spacing w:before="46" w:beforeLines="15" w:after="46" w:afterLines="15"/>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支持将IP和端口扫描流量重定向给网络安全智能系统进行诱捕，与网络安全智能系统和SDN控制器联动实施反制措施，以实现网络安全协防，提供权威第三方测试报告</w:t>
            </w:r>
          </w:p>
        </w:tc>
      </w:tr>
      <w:tr w14:paraId="0E159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81" w:type="pct"/>
            <w:noWrap/>
            <w:vAlign w:val="center"/>
          </w:tcPr>
          <w:p w14:paraId="08719773">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无线管理</w:t>
            </w:r>
          </w:p>
        </w:tc>
        <w:tc>
          <w:tcPr>
            <w:tcW w:w="4218" w:type="pct"/>
            <w:noWrap/>
            <w:vAlign w:val="center"/>
          </w:tcPr>
          <w:p w14:paraId="5886E9EE">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支持融合AC管理功能，整机可管理1K AP，提供权威第三方测试报告；</w:t>
            </w:r>
          </w:p>
        </w:tc>
      </w:tr>
      <w:tr w14:paraId="6252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81" w:type="pct"/>
            <w:vMerge w:val="restart"/>
            <w:noWrap/>
            <w:vAlign w:val="center"/>
          </w:tcPr>
          <w:p w14:paraId="521D9985">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二层</w:t>
            </w:r>
          </w:p>
        </w:tc>
        <w:tc>
          <w:tcPr>
            <w:tcW w:w="4218" w:type="pct"/>
            <w:vAlign w:val="center"/>
          </w:tcPr>
          <w:p w14:paraId="64F334E5">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支持MAC地址≥128K </w:t>
            </w:r>
          </w:p>
        </w:tc>
      </w:tr>
      <w:tr w14:paraId="78918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81" w:type="pct"/>
            <w:vMerge w:val="continue"/>
            <w:vAlign w:val="center"/>
          </w:tcPr>
          <w:p w14:paraId="4B5EFD3C">
            <w:pPr>
              <w:widowControl/>
              <w:jc w:val="left"/>
              <w:rPr>
                <w:rFonts w:hint="eastAsia" w:ascii="宋体" w:hAnsi="宋体" w:eastAsia="宋体" w:cs="宋体"/>
                <w:color w:val="auto"/>
                <w:sz w:val="24"/>
                <w:szCs w:val="24"/>
              </w:rPr>
            </w:pPr>
          </w:p>
        </w:tc>
        <w:tc>
          <w:tcPr>
            <w:tcW w:w="4218" w:type="pct"/>
            <w:vAlign w:val="center"/>
          </w:tcPr>
          <w:p w14:paraId="638641F1">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支持ARP表项≥140K</w:t>
            </w:r>
          </w:p>
        </w:tc>
      </w:tr>
      <w:tr w14:paraId="119C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781" w:type="pct"/>
            <w:vMerge w:val="continue"/>
            <w:vAlign w:val="center"/>
          </w:tcPr>
          <w:p w14:paraId="10DD3DEB">
            <w:pPr>
              <w:widowControl/>
              <w:jc w:val="left"/>
              <w:rPr>
                <w:rFonts w:hint="eastAsia" w:ascii="宋体" w:hAnsi="宋体" w:eastAsia="宋体" w:cs="宋体"/>
                <w:color w:val="auto"/>
                <w:sz w:val="24"/>
                <w:szCs w:val="24"/>
              </w:rPr>
            </w:pPr>
          </w:p>
        </w:tc>
        <w:tc>
          <w:tcPr>
            <w:tcW w:w="4218" w:type="pct"/>
            <w:vAlign w:val="center"/>
          </w:tcPr>
          <w:p w14:paraId="7905D0C4">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支持4K VLAN，支持QinQ，灵活QinQ、支持端口VLAN、协议VLAN、IP子网VLAN</w:t>
            </w:r>
          </w:p>
          <w:p w14:paraId="69A56193">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支持Super VLAN、支持Voice VLAN、支持组播VLAN</w:t>
            </w:r>
          </w:p>
          <w:p w14:paraId="27EF0DCE">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支持IEEE 802.1d(STP), 802.w(RSTP), 802.1s(MSTP)</w:t>
            </w:r>
          </w:p>
        </w:tc>
      </w:tr>
      <w:tr w14:paraId="64DF9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81" w:type="pct"/>
            <w:vMerge w:val="continue"/>
            <w:vAlign w:val="center"/>
          </w:tcPr>
          <w:p w14:paraId="34E11C8C">
            <w:pPr>
              <w:widowControl/>
              <w:jc w:val="left"/>
              <w:rPr>
                <w:rFonts w:hint="eastAsia" w:ascii="宋体" w:hAnsi="宋体" w:eastAsia="宋体" w:cs="宋体"/>
                <w:color w:val="auto"/>
                <w:sz w:val="24"/>
                <w:szCs w:val="24"/>
              </w:rPr>
            </w:pPr>
          </w:p>
        </w:tc>
        <w:tc>
          <w:tcPr>
            <w:tcW w:w="4218" w:type="pct"/>
            <w:vAlign w:val="center"/>
          </w:tcPr>
          <w:p w14:paraId="492B094C">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支持策略VLAN</w:t>
            </w:r>
          </w:p>
        </w:tc>
      </w:tr>
      <w:tr w14:paraId="0206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81" w:type="pct"/>
            <w:vMerge w:val="continue"/>
            <w:vAlign w:val="center"/>
          </w:tcPr>
          <w:p w14:paraId="41D1EF75">
            <w:pPr>
              <w:widowControl/>
              <w:jc w:val="left"/>
              <w:rPr>
                <w:rFonts w:hint="eastAsia" w:ascii="宋体" w:hAnsi="宋体" w:eastAsia="宋体" w:cs="宋体"/>
                <w:color w:val="auto"/>
                <w:sz w:val="24"/>
                <w:szCs w:val="24"/>
              </w:rPr>
            </w:pPr>
          </w:p>
        </w:tc>
        <w:tc>
          <w:tcPr>
            <w:tcW w:w="4218" w:type="pct"/>
            <w:vAlign w:val="center"/>
          </w:tcPr>
          <w:p w14:paraId="1A22404E">
            <w:pPr>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支持IGMP v1/v2/v3、PIM-SM、PIM-DM、PIM-SSM</w:t>
            </w:r>
          </w:p>
        </w:tc>
      </w:tr>
      <w:tr w14:paraId="46EE3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81" w:type="pct"/>
            <w:vMerge w:val="restart"/>
            <w:noWrap/>
            <w:vAlign w:val="center"/>
          </w:tcPr>
          <w:p w14:paraId="6D353F27">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三层</w:t>
            </w:r>
          </w:p>
        </w:tc>
        <w:tc>
          <w:tcPr>
            <w:tcW w:w="4218" w:type="pct"/>
          </w:tcPr>
          <w:p w14:paraId="1550377D">
            <w:pPr>
              <w:rPr>
                <w:rFonts w:hint="eastAsia" w:ascii="宋体" w:hAnsi="宋体" w:eastAsia="宋体" w:cs="宋体"/>
                <w:color w:val="auto"/>
                <w:sz w:val="24"/>
                <w:szCs w:val="24"/>
              </w:rPr>
            </w:pPr>
            <w:r>
              <w:rPr>
                <w:rFonts w:hint="eastAsia" w:ascii="宋体" w:hAnsi="宋体" w:eastAsia="宋体" w:cs="宋体"/>
                <w:color w:val="auto"/>
                <w:sz w:val="24"/>
                <w:szCs w:val="24"/>
              </w:rPr>
              <w:t>支持静态路由、RIP V1/2、RIPng、OSPF、OSPFv3、IS-IS、IS-ISv6、BGP、BGP4+、ECMP、路由策略</w:t>
            </w:r>
          </w:p>
        </w:tc>
      </w:tr>
      <w:tr w14:paraId="37475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81" w:type="pct"/>
            <w:vMerge w:val="continue"/>
            <w:vAlign w:val="center"/>
          </w:tcPr>
          <w:p w14:paraId="7CC9B968">
            <w:pPr>
              <w:widowControl/>
              <w:jc w:val="left"/>
              <w:rPr>
                <w:rFonts w:hint="eastAsia" w:ascii="宋体" w:hAnsi="宋体" w:eastAsia="宋体" w:cs="宋体"/>
                <w:color w:val="auto"/>
                <w:sz w:val="24"/>
                <w:szCs w:val="24"/>
              </w:rPr>
            </w:pPr>
          </w:p>
        </w:tc>
        <w:tc>
          <w:tcPr>
            <w:tcW w:w="4218" w:type="pct"/>
          </w:tcPr>
          <w:p w14:paraId="1BBBA799">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支持IPv4 路由表≥192K </w:t>
            </w:r>
          </w:p>
        </w:tc>
      </w:tr>
      <w:tr w14:paraId="234F6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81" w:type="pct"/>
            <w:vMerge w:val="continue"/>
            <w:vAlign w:val="center"/>
          </w:tcPr>
          <w:p w14:paraId="0C20DD43">
            <w:pPr>
              <w:widowControl/>
              <w:jc w:val="left"/>
              <w:rPr>
                <w:rFonts w:hint="eastAsia" w:ascii="宋体" w:hAnsi="宋体" w:eastAsia="宋体" w:cs="宋体"/>
                <w:color w:val="auto"/>
                <w:sz w:val="24"/>
                <w:szCs w:val="24"/>
              </w:rPr>
            </w:pPr>
          </w:p>
        </w:tc>
        <w:tc>
          <w:tcPr>
            <w:tcW w:w="4218" w:type="pct"/>
          </w:tcPr>
          <w:p w14:paraId="7E023054">
            <w:pPr>
              <w:rPr>
                <w:rFonts w:hint="eastAsia" w:ascii="宋体" w:hAnsi="宋体" w:eastAsia="宋体" w:cs="宋体"/>
                <w:color w:val="auto"/>
                <w:sz w:val="24"/>
                <w:szCs w:val="24"/>
              </w:rPr>
            </w:pPr>
            <w:r>
              <w:rPr>
                <w:rFonts w:hint="eastAsia" w:ascii="宋体" w:hAnsi="宋体" w:eastAsia="宋体" w:cs="宋体"/>
                <w:color w:val="auto"/>
                <w:sz w:val="24"/>
                <w:szCs w:val="24"/>
              </w:rPr>
              <w:t>支持IPv6 路由表≥80K</w:t>
            </w:r>
          </w:p>
        </w:tc>
      </w:tr>
      <w:tr w14:paraId="06F18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1" w:type="pct"/>
            <w:noWrap/>
            <w:vAlign w:val="center"/>
          </w:tcPr>
          <w:p w14:paraId="2C157A79">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VxLAN</w:t>
            </w:r>
          </w:p>
        </w:tc>
        <w:tc>
          <w:tcPr>
            <w:tcW w:w="4218" w:type="pct"/>
            <w:vAlign w:val="center"/>
          </w:tcPr>
          <w:p w14:paraId="1030B4F1">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支持VxLAN功能，支持 VXLAN 二层网关、三层网关,支持BGP EVPN，支持VxLAN的自动化部署，支持通过 Netconf/YANG 进行配置</w:t>
            </w:r>
          </w:p>
        </w:tc>
      </w:tr>
      <w:tr w14:paraId="7040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81" w:type="pct"/>
            <w:noWrap/>
            <w:vAlign w:val="center"/>
          </w:tcPr>
          <w:p w14:paraId="2BD8C6C9">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MPLS</w:t>
            </w:r>
          </w:p>
        </w:tc>
        <w:tc>
          <w:tcPr>
            <w:tcW w:w="4218" w:type="pct"/>
            <w:vAlign w:val="center"/>
          </w:tcPr>
          <w:p w14:paraId="73536CAA">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支持MPLS L3VPN、MPLS L2VPN(VPLS/VLL)、MPLS-TE、MPLS QoS</w:t>
            </w:r>
          </w:p>
        </w:tc>
      </w:tr>
      <w:tr w14:paraId="6D15C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781" w:type="pct"/>
            <w:noWrap/>
            <w:vAlign w:val="center"/>
          </w:tcPr>
          <w:p w14:paraId="05712D99">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QoS</w:t>
            </w:r>
          </w:p>
        </w:tc>
        <w:tc>
          <w:tcPr>
            <w:tcW w:w="4218" w:type="pct"/>
            <w:vAlign w:val="center"/>
          </w:tcPr>
          <w:p w14:paraId="022CA9F9">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支持SP、DWRR、SP+DWRR等调度方式</w:t>
            </w:r>
          </w:p>
          <w:p w14:paraId="47FA4F7E">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提供广播风暴抑制功能、双向流限速</w:t>
            </w:r>
          </w:p>
        </w:tc>
      </w:tr>
      <w:tr w14:paraId="7A40B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81" w:type="pct"/>
            <w:noWrap/>
            <w:vAlign w:val="center"/>
          </w:tcPr>
          <w:p w14:paraId="3C30173B">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安全</w:t>
            </w:r>
          </w:p>
        </w:tc>
        <w:tc>
          <w:tcPr>
            <w:tcW w:w="4218" w:type="pct"/>
            <w:vAlign w:val="center"/>
          </w:tcPr>
          <w:p w14:paraId="68C40BBF">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支持DHCPv6 Snooping，IP Source Guard，SAVI等安全特性，支持防ARP攻击、DOS攻击、ICMP防攻击、CPU防攻击；</w:t>
            </w:r>
          </w:p>
        </w:tc>
      </w:tr>
      <w:tr w14:paraId="02258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81" w:type="pct"/>
            <w:noWrap/>
            <w:vAlign w:val="center"/>
          </w:tcPr>
          <w:p w14:paraId="34898597">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检测功能</w:t>
            </w:r>
          </w:p>
        </w:tc>
        <w:tc>
          <w:tcPr>
            <w:tcW w:w="4218" w:type="pct"/>
            <w:vAlign w:val="center"/>
          </w:tcPr>
          <w:p w14:paraId="15D3C16D">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支持真实业务流实时检测技术，支持网络级和设备级丢包数量和丢包率统计，提供官网截图证明</w:t>
            </w:r>
          </w:p>
        </w:tc>
      </w:tr>
      <w:tr w14:paraId="1969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81" w:type="pct"/>
            <w:vMerge w:val="restart"/>
            <w:noWrap/>
            <w:vAlign w:val="center"/>
          </w:tcPr>
          <w:p w14:paraId="465399E4">
            <w:pPr>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可靠性</w:t>
            </w:r>
          </w:p>
        </w:tc>
        <w:tc>
          <w:tcPr>
            <w:tcW w:w="4218" w:type="pct"/>
            <w:vAlign w:val="center"/>
          </w:tcPr>
          <w:p w14:paraId="7E60A648">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kern w:val="0"/>
                <w:sz w:val="24"/>
                <w:szCs w:val="24"/>
              </w:rPr>
              <w:t>支持智能以太保护 SEP 协议，支持 ERPS 以太环保护协议（G.8032），支持 BFD For OSPF/ISIS/VRRP/PIM 协议</w:t>
            </w:r>
          </w:p>
        </w:tc>
      </w:tr>
      <w:tr w14:paraId="57DD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81" w:type="pct"/>
            <w:vMerge w:val="continue"/>
            <w:vAlign w:val="center"/>
          </w:tcPr>
          <w:p w14:paraId="6CC95BA4">
            <w:pPr>
              <w:widowControl/>
              <w:jc w:val="left"/>
              <w:rPr>
                <w:rFonts w:hint="eastAsia" w:ascii="宋体" w:hAnsi="宋体" w:eastAsia="宋体" w:cs="宋体"/>
                <w:color w:val="auto"/>
                <w:sz w:val="24"/>
                <w:szCs w:val="24"/>
              </w:rPr>
            </w:pPr>
          </w:p>
        </w:tc>
        <w:tc>
          <w:tcPr>
            <w:tcW w:w="4218" w:type="pct"/>
            <w:vAlign w:val="center"/>
          </w:tcPr>
          <w:p w14:paraId="7721EB08">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支持Telemetry技术，实时采集设备数据，配合网络分析器及时发现影响用户体验的网络问题，精准保障用户体验，提供官网截图证明</w:t>
            </w:r>
          </w:p>
        </w:tc>
      </w:tr>
      <w:tr w14:paraId="1C9E3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81" w:type="pct"/>
            <w:noWrap/>
            <w:vAlign w:val="center"/>
          </w:tcPr>
          <w:p w14:paraId="05E82753">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堆叠</w:t>
            </w:r>
          </w:p>
        </w:tc>
        <w:tc>
          <w:tcPr>
            <w:tcW w:w="4218" w:type="pct"/>
            <w:noWrap/>
            <w:vAlign w:val="center"/>
          </w:tcPr>
          <w:p w14:paraId="099C1FC0">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支持堆叠 </w:t>
            </w:r>
          </w:p>
        </w:tc>
      </w:tr>
      <w:tr w14:paraId="1A613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81" w:type="pct"/>
            <w:noWrap/>
            <w:vAlign w:val="center"/>
          </w:tcPr>
          <w:p w14:paraId="50BDA534">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纵向虚拟化</w:t>
            </w:r>
          </w:p>
        </w:tc>
        <w:tc>
          <w:tcPr>
            <w:tcW w:w="4218" w:type="pct"/>
            <w:noWrap/>
            <w:vAlign w:val="center"/>
          </w:tcPr>
          <w:p w14:paraId="0B4C3F98">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支持纵向虚拟化，作为父节点将下联交换机、AP纵向虚拟为一台设备管理,支持 2 层 Client 架构</w:t>
            </w:r>
          </w:p>
        </w:tc>
      </w:tr>
      <w:tr w14:paraId="6DDAB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81" w:type="pct"/>
            <w:vAlign w:val="center"/>
          </w:tcPr>
          <w:p w14:paraId="00B78066">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产品资质</w:t>
            </w:r>
          </w:p>
        </w:tc>
        <w:tc>
          <w:tcPr>
            <w:tcW w:w="4218" w:type="pct"/>
            <w:noWrap/>
            <w:vAlign w:val="center"/>
          </w:tcPr>
          <w:p w14:paraId="147A4C77">
            <w:pPr>
              <w:widowControl/>
              <w:rPr>
                <w:rFonts w:hint="eastAsia" w:ascii="宋体" w:hAnsi="宋体" w:eastAsia="宋体" w:cs="宋体"/>
                <w:color w:val="auto"/>
                <w:sz w:val="24"/>
                <w:szCs w:val="24"/>
              </w:rPr>
            </w:pPr>
            <w:r>
              <w:rPr>
                <w:rFonts w:hint="eastAsia" w:ascii="宋体" w:hAnsi="宋体" w:eastAsia="宋体" w:cs="宋体"/>
                <w:color w:val="auto"/>
                <w:sz w:val="24"/>
                <w:szCs w:val="24"/>
              </w:rPr>
              <w:t>提供工信部入网证</w:t>
            </w:r>
          </w:p>
        </w:tc>
      </w:tr>
    </w:tbl>
    <w:p w14:paraId="0F5EA30D">
      <w:pPr>
        <w:numPr>
          <w:ilvl w:val="0"/>
          <w:numId w:val="0"/>
        </w:numPr>
        <w:spacing w:before="156" w:beforeLines="50" w:after="156" w:afterLines="50"/>
        <w:rPr>
          <w:rFonts w:hint="eastAsia" w:ascii="宋体" w:hAnsi="宋体" w:eastAsia="宋体" w:cs="宋体"/>
          <w:b/>
          <w:color w:val="auto"/>
          <w:sz w:val="24"/>
          <w:szCs w:val="24"/>
        </w:rPr>
      </w:pPr>
    </w:p>
    <w:p w14:paraId="7C4A8CFA">
      <w:pPr>
        <w:numPr>
          <w:ilvl w:val="0"/>
          <w:numId w:val="3"/>
        </w:numPr>
        <w:spacing w:before="156" w:beforeLines="50" w:after="156" w:afterLines="50"/>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万兆光纤单口网卡（含模块）要求</w:t>
      </w:r>
    </w:p>
    <w:tbl>
      <w:tblPr>
        <w:tblStyle w:val="62"/>
        <w:tblW w:w="4884" w:type="pct"/>
        <w:tblInd w:w="108" w:type="dxa"/>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06"/>
        <w:gridCol w:w="6238"/>
      </w:tblGrid>
      <w:tr w14:paraId="46E9BACC">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468" w:type="pct"/>
            <w:noWrap w:val="0"/>
            <w:vAlign w:val="center"/>
          </w:tcPr>
          <w:p w14:paraId="0901D15D">
            <w:pPr>
              <w:widowControl/>
              <w:spacing w:before="46" w:beforeLines="15" w:after="46" w:afterLines="15"/>
              <w:jc w:val="center"/>
              <w:textAlignment w:val="baseline"/>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序号</w:t>
            </w:r>
          </w:p>
        </w:tc>
        <w:tc>
          <w:tcPr>
            <w:tcW w:w="784" w:type="pct"/>
            <w:noWrap/>
            <w:vAlign w:val="center"/>
          </w:tcPr>
          <w:p w14:paraId="2C56412D">
            <w:pPr>
              <w:widowControl/>
              <w:spacing w:before="46" w:beforeLines="15" w:after="46" w:afterLines="15"/>
              <w:jc w:val="center"/>
              <w:textAlignment w:val="baseline"/>
              <w:rPr>
                <w:rFonts w:hint="eastAsia" w:ascii="宋体" w:hAnsi="宋体" w:eastAsia="宋体" w:cs="宋体"/>
                <w:b/>
                <w:color w:val="auto"/>
                <w:sz w:val="24"/>
                <w:szCs w:val="24"/>
              </w:rPr>
            </w:pPr>
            <w:r>
              <w:rPr>
                <w:rFonts w:hint="eastAsia" w:ascii="宋体" w:hAnsi="宋体" w:eastAsia="宋体" w:cs="宋体"/>
                <w:b/>
                <w:color w:val="auto"/>
                <w:kern w:val="0"/>
                <w:sz w:val="24"/>
                <w:szCs w:val="24"/>
              </w:rPr>
              <w:t>指标项</w:t>
            </w:r>
          </w:p>
        </w:tc>
        <w:tc>
          <w:tcPr>
            <w:tcW w:w="3746" w:type="pct"/>
            <w:noWrap/>
            <w:vAlign w:val="center"/>
          </w:tcPr>
          <w:p w14:paraId="261CC549">
            <w:pPr>
              <w:widowControl/>
              <w:spacing w:before="46" w:beforeLines="15" w:after="46" w:afterLines="15"/>
              <w:jc w:val="center"/>
              <w:textAlignment w:val="baseline"/>
              <w:rPr>
                <w:rFonts w:hint="eastAsia" w:ascii="宋体" w:hAnsi="宋体" w:eastAsia="宋体" w:cs="宋体"/>
                <w:b/>
                <w:color w:val="auto"/>
                <w:sz w:val="24"/>
                <w:szCs w:val="24"/>
              </w:rPr>
            </w:pPr>
            <w:r>
              <w:rPr>
                <w:rFonts w:hint="eastAsia" w:ascii="宋体" w:hAnsi="宋体" w:eastAsia="宋体" w:cs="宋体"/>
                <w:b/>
                <w:color w:val="auto"/>
                <w:kern w:val="0"/>
                <w:sz w:val="24"/>
                <w:szCs w:val="24"/>
              </w:rPr>
              <w:t>技术规格及配置要求</w:t>
            </w:r>
          </w:p>
        </w:tc>
      </w:tr>
      <w:tr w14:paraId="75B89DF3">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noWrap w:val="0"/>
            <w:vAlign w:val="center"/>
          </w:tcPr>
          <w:p w14:paraId="16458634">
            <w:pPr>
              <w:widowControl/>
              <w:spacing w:before="46" w:beforeLines="15" w:after="46" w:afterLines="15"/>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84" w:type="pct"/>
            <w:noWrap/>
            <w:vAlign w:val="center"/>
          </w:tcPr>
          <w:p w14:paraId="3D5A434A">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网卡速率</w:t>
            </w:r>
          </w:p>
        </w:tc>
        <w:tc>
          <w:tcPr>
            <w:tcW w:w="3746" w:type="pct"/>
            <w:noWrap/>
            <w:vAlign w:val="center"/>
          </w:tcPr>
          <w:p w14:paraId="71D80730">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1900M及以上</w:t>
            </w:r>
          </w:p>
        </w:tc>
      </w:tr>
      <w:tr w14:paraId="74E2A4B4">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noWrap w:val="0"/>
            <w:vAlign w:val="center"/>
          </w:tcPr>
          <w:p w14:paraId="2F490D5F">
            <w:pPr>
              <w:widowControl/>
              <w:spacing w:before="46" w:beforeLines="15" w:after="46" w:afterLines="15"/>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784" w:type="pct"/>
            <w:noWrap w:val="0"/>
            <w:vAlign w:val="center"/>
          </w:tcPr>
          <w:p w14:paraId="181AE63B">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总线标准</w:t>
            </w:r>
          </w:p>
        </w:tc>
        <w:tc>
          <w:tcPr>
            <w:tcW w:w="3746" w:type="pct"/>
            <w:noWrap/>
            <w:vAlign w:val="center"/>
          </w:tcPr>
          <w:p w14:paraId="33627C02">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PCI-Express x8</w:t>
            </w:r>
          </w:p>
        </w:tc>
      </w:tr>
      <w:tr w14:paraId="646D3151">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noWrap w:val="0"/>
            <w:vAlign w:val="center"/>
          </w:tcPr>
          <w:p w14:paraId="413A3D96">
            <w:pPr>
              <w:widowControl/>
              <w:spacing w:before="46" w:beforeLines="15" w:after="46" w:afterLines="15"/>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84" w:type="pct"/>
            <w:noWrap w:val="0"/>
            <w:vAlign w:val="center"/>
          </w:tcPr>
          <w:p w14:paraId="383A1D36">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传输介质</w:t>
            </w:r>
          </w:p>
        </w:tc>
        <w:tc>
          <w:tcPr>
            <w:tcW w:w="3746" w:type="pct"/>
            <w:noWrap/>
            <w:vAlign w:val="center"/>
          </w:tcPr>
          <w:p w14:paraId="349C1EF0">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10G多模光纤</w:t>
            </w:r>
          </w:p>
        </w:tc>
      </w:tr>
      <w:tr w14:paraId="5A769345">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noWrap w:val="0"/>
            <w:vAlign w:val="center"/>
          </w:tcPr>
          <w:p w14:paraId="197BB3DB">
            <w:pPr>
              <w:widowControl/>
              <w:spacing w:before="46" w:beforeLines="15" w:after="46" w:afterLines="15"/>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784" w:type="pct"/>
            <w:noWrap w:val="0"/>
            <w:vAlign w:val="center"/>
          </w:tcPr>
          <w:p w14:paraId="4C5C27ED">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接口类型</w:t>
            </w:r>
          </w:p>
        </w:tc>
        <w:tc>
          <w:tcPr>
            <w:tcW w:w="3746" w:type="pct"/>
            <w:noWrap/>
            <w:vAlign w:val="center"/>
          </w:tcPr>
          <w:p w14:paraId="502A4ABB">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LC,SFP+</w:t>
            </w:r>
          </w:p>
        </w:tc>
      </w:tr>
    </w:tbl>
    <w:p w14:paraId="55C187D4">
      <w:pPr>
        <w:spacing w:line="360" w:lineRule="auto"/>
        <w:ind w:firstLine="482" w:firstLineChars="200"/>
        <w:rPr>
          <w:rFonts w:hint="eastAsia" w:ascii="宋体" w:hAnsi="宋体" w:eastAsia="宋体" w:cs="宋体"/>
          <w:b/>
          <w:color w:val="auto"/>
          <w:sz w:val="24"/>
          <w:szCs w:val="24"/>
        </w:rPr>
      </w:pPr>
    </w:p>
    <w:p w14:paraId="39D2799B">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3.历史数据继承</w:t>
      </w:r>
    </w:p>
    <w:p w14:paraId="584F7BA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本次构建的非编改造扩容系统必须完全继承招标人原有系统的历史数据，包括工程故事板数据，高低码码流，字幕文件，模板，本次系统需要考虑和老的</w:t>
      </w:r>
      <w:r>
        <w:rPr>
          <w:rFonts w:hint="eastAsia" w:ascii="宋体" w:hAnsi="宋体" w:eastAsia="宋体" w:cs="宋体"/>
          <w:color w:val="auto"/>
          <w:sz w:val="24"/>
          <w:szCs w:val="24"/>
          <w:lang w:val="en-US" w:eastAsia="zh-CN"/>
        </w:rPr>
        <w:t>非编和融媒</w:t>
      </w:r>
      <w:r>
        <w:rPr>
          <w:rFonts w:hint="eastAsia" w:ascii="宋体" w:hAnsi="宋体" w:eastAsia="宋体" w:cs="宋体"/>
          <w:color w:val="auto"/>
          <w:sz w:val="24"/>
          <w:szCs w:val="24"/>
        </w:rPr>
        <w:t>系统的对接及接口开发，实现系统原有数据的继承。主要包含新系统的搭建，新旧系统的并时运行，数据的迁移，后台工程数据需互联互通、定制策略，同时新老系统均可正常运行。</w:t>
      </w:r>
    </w:p>
    <w:p w14:paraId="2192C3B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本次新购的万兆网络交换设备需要和原有主备千兆交换机实现互联互通以及系统调优，同时需要和原有数据据库服务器，后台应用服务器及整个业务平台无缝衔接，</w:t>
      </w:r>
      <w:r>
        <w:rPr>
          <w:rFonts w:hint="eastAsia" w:ascii="宋体" w:hAnsi="宋体" w:cs="宋体"/>
          <w:color w:val="auto"/>
          <w:sz w:val="24"/>
          <w:szCs w:val="24"/>
          <w:lang w:eastAsia="zh-CN"/>
        </w:rPr>
        <w:t>投标人</w:t>
      </w:r>
      <w:r>
        <w:rPr>
          <w:rFonts w:hint="eastAsia" w:ascii="宋体" w:hAnsi="宋体" w:eastAsia="宋体" w:cs="宋体"/>
          <w:color w:val="auto"/>
          <w:sz w:val="24"/>
          <w:szCs w:val="24"/>
        </w:rPr>
        <w:t>在项目实施过程中必须保障原有业务系统正常不间断运行，确保每天的节目正常制作和安全播出，系统对接产生的其它费用，包含在此次投标报价中。</w:t>
      </w:r>
    </w:p>
    <w:p w14:paraId="53DC1455">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4.后台网络架构调整系统改造</w:t>
      </w:r>
    </w:p>
    <w:p w14:paraId="4023A5E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非编网络原先采用的FC-SAN的网络架构，本次改造后将采用分布式单网架构，因此会涉及到非编网络系统整体改造和后台配置，</w:t>
      </w:r>
      <w:r>
        <w:rPr>
          <w:rFonts w:hint="eastAsia" w:ascii="宋体" w:hAnsi="宋体" w:cs="宋体"/>
          <w:color w:val="auto"/>
          <w:sz w:val="24"/>
          <w:szCs w:val="24"/>
          <w:lang w:eastAsia="zh-CN"/>
        </w:rPr>
        <w:t>投标人</w:t>
      </w:r>
      <w:r>
        <w:rPr>
          <w:rFonts w:hint="eastAsia" w:ascii="宋体" w:hAnsi="宋体" w:eastAsia="宋体" w:cs="宋体"/>
          <w:color w:val="auto"/>
          <w:sz w:val="24"/>
          <w:szCs w:val="24"/>
        </w:rPr>
        <w:t>需要提供升级改造方案及过渡方案，提供相应的网络拓扑，原有非编工作站，配音工作站的整体对接方案，非编网所需的调优措施，集成所涉及到相关对接费用包含在投标报价中。</w:t>
      </w:r>
    </w:p>
    <w:p w14:paraId="71DC155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所有硬件设备必须具备制造商的铭牌、标志，所有设备均需得到制造商认证，符合制造商公布的质量标准，所有硬件设备必须通过合法渠道获得。出于集成设计等原因，致使设备配置不合理，不能满足规定标准的技术要求时，投标人必须无条件免费增配或更换。</w:t>
      </w:r>
    </w:p>
    <w:p w14:paraId="6617573C">
      <w:pPr>
        <w:spacing w:line="360" w:lineRule="auto"/>
        <w:ind w:firstLine="236" w:firstLineChars="98"/>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rPr>
        <w:t>）系统集成要求</w:t>
      </w:r>
    </w:p>
    <w:p w14:paraId="468AB168">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1.总体要求</w:t>
      </w:r>
    </w:p>
    <w:p w14:paraId="56AFB4A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需要提供系统集成的实施方案，工程进度和工作流程。提供系统集成的设计图纸，包括：系统方案图、网络系统拓扑图等。对项目施工现场管理有序，指定现场技术负责人定期与招标人技术负责人沟通项目进度。</w:t>
      </w:r>
    </w:p>
    <w:p w14:paraId="55983A4D">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2.基础网络集成要求</w:t>
      </w:r>
    </w:p>
    <w:p w14:paraId="06EFEA5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根据相关规则对应用系统的设备进行相关命名，保证系统建成后能直接与台内现有系统实现无缝互联互通对接。</w:t>
      </w:r>
    </w:p>
    <w:p w14:paraId="522FA38B">
      <w:pPr>
        <w:spacing w:line="360" w:lineRule="auto"/>
        <w:ind w:firstLine="482" w:firstLineChars="200"/>
        <w:rPr>
          <w:rFonts w:hint="eastAsia" w:ascii="宋体" w:hAnsi="宋体" w:eastAsia="宋体" w:cs="宋体"/>
          <w:b/>
          <w:color w:val="auto"/>
          <w:sz w:val="24"/>
          <w:szCs w:val="24"/>
        </w:rPr>
      </w:pPr>
      <w:bookmarkStart w:id="45" w:name="_Toc346753017"/>
      <w:r>
        <w:rPr>
          <w:rFonts w:hint="eastAsia" w:ascii="宋体" w:hAnsi="宋体" w:eastAsia="宋体" w:cs="宋体"/>
          <w:b/>
          <w:color w:val="auto"/>
          <w:sz w:val="24"/>
          <w:szCs w:val="24"/>
        </w:rPr>
        <w:t>3.视音频集成要求</w:t>
      </w:r>
      <w:bookmarkEnd w:id="45"/>
    </w:p>
    <w:p w14:paraId="21F0C4C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选用合格的线材，网线要求为六类以上网络线材。对于不同信号类型的线缆采用不同颜色的信号线做区分。所有线材均要满足传输距离的要求，线缆技术指标符合国家广电总局相关标准。</w:t>
      </w:r>
    </w:p>
    <w:p w14:paraId="1CC45037">
      <w:pPr>
        <w:spacing w:line="360" w:lineRule="auto"/>
        <w:ind w:firstLine="236" w:firstLineChars="98"/>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六</w:t>
      </w:r>
      <w:r>
        <w:rPr>
          <w:rFonts w:hint="eastAsia" w:ascii="宋体" w:hAnsi="宋体" w:eastAsia="宋体" w:cs="宋体"/>
          <w:b/>
          <w:color w:val="auto"/>
          <w:sz w:val="24"/>
          <w:szCs w:val="24"/>
        </w:rPr>
        <w:t>）系统调试要求</w:t>
      </w:r>
    </w:p>
    <w:p w14:paraId="65BB91BF">
      <w:pPr>
        <w:adjustRightInd w:val="0"/>
        <w:snapToGrid w:val="0"/>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中标人负责本项目系统和设备的安装和调测工作，调测记录经整理后移交招标人，作为验收依据。</w:t>
      </w:r>
    </w:p>
    <w:p w14:paraId="47E7097C">
      <w:pPr>
        <w:spacing w:line="360" w:lineRule="auto"/>
        <w:ind w:firstLine="236" w:firstLineChars="98"/>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七</w:t>
      </w:r>
      <w:r>
        <w:rPr>
          <w:rFonts w:hint="eastAsia" w:ascii="宋体" w:hAnsi="宋体" w:eastAsia="宋体" w:cs="宋体"/>
          <w:b/>
          <w:color w:val="auto"/>
          <w:sz w:val="24"/>
          <w:szCs w:val="24"/>
        </w:rPr>
        <w:t>）</w:t>
      </w:r>
      <w:bookmarkStart w:id="46" w:name="_Toc520074141"/>
      <w:bookmarkStart w:id="47" w:name="_Toc390097220"/>
      <w:bookmarkStart w:id="48" w:name="_Toc390099608"/>
      <w:bookmarkStart w:id="49" w:name="_Toc431141359"/>
      <w:bookmarkStart w:id="50" w:name="_Toc387270604"/>
      <w:bookmarkStart w:id="51" w:name="_Toc387270555"/>
      <w:bookmarkStart w:id="52" w:name="_Toc520074142"/>
      <w:bookmarkStart w:id="53" w:name="_Toc387270556"/>
      <w:bookmarkStart w:id="54" w:name="_Toc390099609"/>
      <w:bookmarkStart w:id="55" w:name="_Toc431141360"/>
      <w:bookmarkStart w:id="56" w:name="_Toc387270605"/>
      <w:bookmarkStart w:id="57" w:name="_Toc390097221"/>
      <w:r>
        <w:rPr>
          <w:rFonts w:hint="eastAsia" w:ascii="宋体" w:hAnsi="宋体" w:eastAsia="宋体" w:cs="宋体"/>
          <w:b/>
          <w:color w:val="auto"/>
          <w:sz w:val="24"/>
          <w:szCs w:val="24"/>
        </w:rPr>
        <w:t>试运行</w:t>
      </w:r>
      <w:bookmarkEnd w:id="46"/>
      <w:bookmarkEnd w:id="47"/>
      <w:bookmarkEnd w:id="48"/>
      <w:bookmarkEnd w:id="49"/>
      <w:bookmarkEnd w:id="50"/>
      <w:bookmarkEnd w:id="51"/>
    </w:p>
    <w:p w14:paraId="171505DD">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系统改造完成后正式上线试运行20天。在试运行期内，如果发现由于投标人的责任造成任何设备、系统的功能和性能不符合合同约定的要求，或由于设备故障的发生导致设备停止运行，投标人应在1小时内作出响应，并及时给予修复，若须现场解决的，投标人的维修工程师应当在4小时内到达现场解决。所有相关费用由投标人承担，同时根据情况相应顺延试运行期。</w:t>
      </w:r>
    </w:p>
    <w:bookmarkEnd w:id="52"/>
    <w:bookmarkEnd w:id="53"/>
    <w:bookmarkEnd w:id="54"/>
    <w:bookmarkEnd w:id="55"/>
    <w:bookmarkEnd w:id="56"/>
    <w:bookmarkEnd w:id="57"/>
    <w:p w14:paraId="58CE6DF0">
      <w:pPr>
        <w:spacing w:line="360" w:lineRule="auto"/>
        <w:ind w:firstLine="236" w:firstLineChars="98"/>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八</w:t>
      </w:r>
      <w:r>
        <w:rPr>
          <w:rFonts w:hint="eastAsia" w:ascii="宋体" w:hAnsi="宋体" w:eastAsia="宋体" w:cs="宋体"/>
          <w:b/>
          <w:color w:val="auto"/>
          <w:sz w:val="24"/>
          <w:szCs w:val="24"/>
        </w:rPr>
        <w:t>）验收</w:t>
      </w:r>
    </w:p>
    <w:p w14:paraId="4D6CBFEF">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本项目按照</w:t>
      </w:r>
      <w:r>
        <w:rPr>
          <w:rFonts w:hint="eastAsia" w:ascii="宋体" w:hAnsi="宋体" w:eastAsia="宋体" w:cs="宋体"/>
          <w:color w:val="auto"/>
          <w:sz w:val="24"/>
          <w:szCs w:val="24"/>
          <w:lang w:val="en-US" w:eastAsia="zh-CN"/>
        </w:rPr>
        <w:t>宁海</w:t>
      </w:r>
      <w:r>
        <w:rPr>
          <w:rFonts w:hint="eastAsia" w:ascii="宋体" w:hAnsi="宋体" w:eastAsia="宋体" w:cs="宋体"/>
          <w:color w:val="auto"/>
          <w:sz w:val="24"/>
          <w:szCs w:val="24"/>
        </w:rPr>
        <w:t>区政府采购管理办法规定的验收方式验收。</w:t>
      </w:r>
    </w:p>
    <w:p w14:paraId="4215A507">
      <w:pPr>
        <w:spacing w:line="360" w:lineRule="auto"/>
        <w:ind w:firstLine="236" w:firstLineChars="98"/>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九</w:t>
      </w:r>
      <w:r>
        <w:rPr>
          <w:rFonts w:hint="eastAsia" w:ascii="宋体" w:hAnsi="宋体" w:eastAsia="宋体" w:cs="宋体"/>
          <w:b/>
          <w:color w:val="auto"/>
          <w:sz w:val="24"/>
          <w:szCs w:val="24"/>
        </w:rPr>
        <w:t>）技术培训要求</w:t>
      </w:r>
    </w:p>
    <w:p w14:paraId="47B6110D">
      <w:pPr>
        <w:adjustRightInd w:val="0"/>
        <w:snapToGrid w:val="0"/>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1.培训目标</w:t>
      </w:r>
    </w:p>
    <w:p w14:paraId="2A027459">
      <w:pPr>
        <w:adjustRightInd w:val="0"/>
        <w:snapToGrid w:val="0"/>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技术培训的目标是使制作系统的操作人员和维修人员对设备各部件的结构和功能有相应的了解，能够正确地使用设备，并完成日常的维护和保养。</w:t>
      </w:r>
    </w:p>
    <w:p w14:paraId="1B4BC2E2">
      <w:pPr>
        <w:adjustRightInd w:val="0"/>
        <w:snapToGrid w:val="0"/>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2.培训方法和时间</w:t>
      </w:r>
    </w:p>
    <w:p w14:paraId="42DBC783">
      <w:pPr>
        <w:adjustRightInd w:val="0"/>
        <w:snapToGrid w:val="0"/>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培训应以教室培训为基础，并与现场实物密切结合。系统工作原理培训应在设备安装前开始；控制操作培训和维修培训应在系统调试前开始，以便培训工作能够与安装、调试、及验收等工作密切结合。</w:t>
      </w:r>
    </w:p>
    <w:p w14:paraId="78B627B5">
      <w:pPr>
        <w:adjustRightInd w:val="0"/>
        <w:snapToGrid w:val="0"/>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3.培训计划和培训大纲</w:t>
      </w:r>
    </w:p>
    <w:p w14:paraId="0CC0A7BD">
      <w:pPr>
        <w:adjustRightInd w:val="0"/>
        <w:snapToGrid w:val="0"/>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投标人应在投标文件中提出详细的培训计划，包括培训大纲，培训时间、培训考核办法等。</w:t>
      </w:r>
    </w:p>
    <w:p w14:paraId="645AF043">
      <w:pPr>
        <w:adjustRightInd w:val="0"/>
        <w:snapToGrid w:val="0"/>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4.培训资料和教材</w:t>
      </w:r>
    </w:p>
    <w:p w14:paraId="5696D268">
      <w:pPr>
        <w:adjustRightInd w:val="0"/>
        <w:snapToGrid w:val="0"/>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投标人必须为所有被培训人员提供有关培训文字资料等相关用品。所有的资料，培训用教材应提供最新的，并和供给</w:t>
      </w:r>
      <w:r>
        <w:rPr>
          <w:rFonts w:hint="eastAsia" w:ascii="宋体" w:hAnsi="宋体" w:eastAsia="宋体" w:cs="宋体"/>
          <w:color w:val="auto"/>
          <w:sz w:val="24"/>
          <w:szCs w:val="24"/>
          <w:lang w:eastAsia="zh-CN"/>
        </w:rPr>
        <w:t>宁海传媒集团</w:t>
      </w:r>
      <w:r>
        <w:rPr>
          <w:rFonts w:hint="eastAsia" w:ascii="宋体" w:hAnsi="宋体" w:eastAsia="宋体" w:cs="宋体"/>
          <w:color w:val="auto"/>
          <w:sz w:val="24"/>
          <w:szCs w:val="24"/>
        </w:rPr>
        <w:t>的设备相一致。</w:t>
      </w:r>
    </w:p>
    <w:p w14:paraId="32137A70">
      <w:pPr>
        <w:adjustRightInd w:val="0"/>
        <w:snapToGrid w:val="0"/>
        <w:spacing w:line="360" w:lineRule="auto"/>
        <w:ind w:firstLine="420"/>
        <w:rPr>
          <w:rFonts w:hint="eastAsia" w:ascii="宋体" w:hAnsi="宋体" w:eastAsia="宋体" w:cs="宋体"/>
          <w:color w:val="auto"/>
          <w:sz w:val="24"/>
          <w:szCs w:val="24"/>
        </w:rPr>
        <w:sectPr>
          <w:pgSz w:w="11906" w:h="16838"/>
          <w:pgMar w:top="1440" w:right="1800" w:bottom="1440" w:left="1800" w:header="851" w:footer="992" w:gutter="0"/>
          <w:cols w:space="425" w:num="1"/>
          <w:docGrid w:type="lines" w:linePitch="312" w:charSpace="0"/>
        </w:sectPr>
      </w:pPr>
    </w:p>
    <w:p w14:paraId="3F8979B5">
      <w:pPr>
        <w:spacing w:line="360" w:lineRule="auto"/>
        <w:ind w:firstLine="472" w:firstLineChars="196"/>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四.详细配置要求</w:t>
      </w:r>
    </w:p>
    <w:tbl>
      <w:tblPr>
        <w:tblStyle w:val="6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1278"/>
        <w:gridCol w:w="5843"/>
        <w:gridCol w:w="457"/>
        <w:gridCol w:w="458"/>
      </w:tblGrid>
      <w:tr w14:paraId="7B8F2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7681E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8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BAB8A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项目名称</w:t>
            </w:r>
          </w:p>
        </w:tc>
        <w:tc>
          <w:tcPr>
            <w:tcW w:w="3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2FCA33">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技术规格及配置</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63E1F8">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708043">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r>
      <w:tr w14:paraId="48146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5" w:hRule="atLeast"/>
        </w:trPr>
        <w:tc>
          <w:tcPr>
            <w:tcW w:w="18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83A9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7194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分布式核心存储系统</w:t>
            </w:r>
          </w:p>
        </w:tc>
        <w:tc>
          <w:tcPr>
            <w:tcW w:w="3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95CBE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一共配置3个节点</w:t>
            </w:r>
          </w:p>
          <w:p w14:paraId="1790777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每个节点的配置如下：           </w:t>
            </w:r>
          </w:p>
          <w:p w14:paraId="37306BB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CPU：2*Kunpeng 920,48 Core@2.6GHz                                               </w:t>
            </w:r>
          </w:p>
          <w:p w14:paraId="1814081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内存：256GB                                       </w:t>
            </w:r>
          </w:p>
          <w:p w14:paraId="6EC4562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SAS硬盘：2*600GB SAS盘</w:t>
            </w:r>
          </w:p>
          <w:p w14:paraId="3980DC3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SSD盘：3.2TB SSD NVMe Palm硬盘单元</w:t>
            </w:r>
          </w:p>
          <w:p w14:paraId="5F7E021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SATA盘：36*8T 7.2K SATA盘                                                                           </w:t>
            </w:r>
          </w:p>
          <w:p w14:paraId="5198C9F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网络：4*10GE光口（含光模块）                                                      </w:t>
            </w:r>
          </w:p>
          <w:p w14:paraId="67E052A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电源：配置冗余电源                                                                                                         </w:t>
            </w:r>
          </w:p>
          <w:p w14:paraId="518CD79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数据冗余策略：纠删码+2冗余</w:t>
            </w:r>
          </w:p>
          <w:p w14:paraId="1CA90D6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支持的接口协议：NFS、CIFS、FTP、FTPS、HTTP等</w:t>
            </w:r>
          </w:p>
          <w:p w14:paraId="29D2DC0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配置 基本软件包(含CIFS,NFS,FTP,NDMP,负载均衡,性能加速和防病毒)、管理控制台软件、空间配额管理授权</w:t>
            </w:r>
          </w:p>
          <w:p w14:paraId="4C4A982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b/>
                <w:bCs/>
                <w:i w:val="0"/>
                <w:iCs w:val="0"/>
                <w:color w:val="auto"/>
                <w:kern w:val="0"/>
                <w:sz w:val="24"/>
                <w:szCs w:val="24"/>
                <w:u w:val="none"/>
                <w:lang w:val="en-US" w:eastAsia="zh-CN" w:bidi="ar"/>
              </w:rPr>
              <w:t>需承诺中标后提供</w:t>
            </w:r>
            <w:r>
              <w:rPr>
                <w:rFonts w:hint="eastAsia" w:ascii="宋体" w:hAnsi="宋体" w:eastAsia="宋体" w:cs="宋体"/>
                <w:b/>
                <w:bCs/>
                <w:i w:val="0"/>
                <w:iCs w:val="0"/>
                <w:color w:val="auto"/>
                <w:kern w:val="0"/>
                <w:sz w:val="24"/>
                <w:szCs w:val="24"/>
                <w:u w:val="none"/>
                <w:lang w:val="en-US" w:eastAsia="zh-CN" w:bidi="ar"/>
              </w:rPr>
              <w:t>三年原厂质保服务</w:t>
            </w:r>
            <w:r>
              <w:rPr>
                <w:rFonts w:hint="eastAsia" w:ascii="宋体" w:hAnsi="宋体" w:cs="宋体"/>
                <w:b/>
                <w:bCs/>
                <w:i w:val="0"/>
                <w:iCs w:val="0"/>
                <w:color w:val="auto"/>
                <w:kern w:val="0"/>
                <w:sz w:val="24"/>
                <w:szCs w:val="24"/>
                <w:u w:val="none"/>
                <w:lang w:val="en-US" w:eastAsia="zh-CN" w:bidi="ar"/>
              </w:rPr>
              <w:t>。</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AA22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436F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1BB1B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16C026">
            <w:pPr>
              <w:jc w:val="center"/>
              <w:rPr>
                <w:rFonts w:hint="eastAsia" w:ascii="宋体" w:hAnsi="宋体" w:eastAsia="宋体" w:cs="宋体"/>
                <w:i w:val="0"/>
                <w:iCs w:val="0"/>
                <w:color w:val="auto"/>
                <w:sz w:val="24"/>
                <w:szCs w:val="24"/>
                <w:u w:val="none"/>
              </w:rPr>
            </w:pPr>
          </w:p>
        </w:tc>
        <w:tc>
          <w:tcPr>
            <w:tcW w:w="85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E150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存储后端交换机</w:t>
            </w:r>
          </w:p>
        </w:tc>
        <w:tc>
          <w:tcPr>
            <w:tcW w:w="3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249A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1、端口配置：48个10GE SFP＋接口,6个40G/100GE QSFP28接口,</w:t>
            </w:r>
          </w:p>
        </w:tc>
        <w:tc>
          <w:tcPr>
            <w:tcW w:w="21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8F3A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1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5BCC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43932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1A729A">
            <w:pPr>
              <w:jc w:val="center"/>
              <w:rPr>
                <w:rFonts w:hint="eastAsia" w:ascii="宋体" w:hAnsi="宋体" w:eastAsia="宋体" w:cs="宋体"/>
                <w:i w:val="0"/>
                <w:iCs w:val="0"/>
                <w:color w:val="auto"/>
                <w:sz w:val="24"/>
                <w:szCs w:val="24"/>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34F22B">
            <w:pPr>
              <w:jc w:val="center"/>
              <w:rPr>
                <w:rFonts w:hint="eastAsia" w:ascii="宋体" w:hAnsi="宋体" w:eastAsia="宋体" w:cs="宋体"/>
                <w:i w:val="0"/>
                <w:iCs w:val="0"/>
                <w:color w:val="auto"/>
                <w:sz w:val="24"/>
                <w:szCs w:val="24"/>
                <w:u w:val="none"/>
              </w:rPr>
            </w:pPr>
          </w:p>
        </w:tc>
        <w:tc>
          <w:tcPr>
            <w:tcW w:w="3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FB121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2、配置可热插拔双电源</w:t>
            </w: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B94C1F">
            <w:pPr>
              <w:jc w:val="center"/>
              <w:rPr>
                <w:rFonts w:hint="eastAsia" w:ascii="宋体" w:hAnsi="宋体" w:eastAsia="宋体" w:cs="宋体"/>
                <w:i w:val="0"/>
                <w:iCs w:val="0"/>
                <w:color w:val="auto"/>
                <w:sz w:val="24"/>
                <w:szCs w:val="24"/>
                <w:u w:val="none"/>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645D2B">
            <w:pPr>
              <w:jc w:val="center"/>
              <w:rPr>
                <w:rFonts w:hint="eastAsia" w:ascii="宋体" w:hAnsi="宋体" w:eastAsia="宋体" w:cs="宋体"/>
                <w:i w:val="0"/>
                <w:iCs w:val="0"/>
                <w:color w:val="auto"/>
                <w:sz w:val="24"/>
                <w:szCs w:val="24"/>
                <w:u w:val="none"/>
              </w:rPr>
            </w:pPr>
          </w:p>
        </w:tc>
      </w:tr>
      <w:tr w14:paraId="7DDD6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670CCD">
            <w:pPr>
              <w:jc w:val="center"/>
              <w:rPr>
                <w:rFonts w:hint="eastAsia" w:ascii="宋体" w:hAnsi="宋体" w:eastAsia="宋体" w:cs="宋体"/>
                <w:i w:val="0"/>
                <w:iCs w:val="0"/>
                <w:color w:val="auto"/>
                <w:sz w:val="24"/>
                <w:szCs w:val="24"/>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54CFC2">
            <w:pPr>
              <w:jc w:val="center"/>
              <w:rPr>
                <w:rFonts w:hint="eastAsia" w:ascii="宋体" w:hAnsi="宋体" w:eastAsia="宋体" w:cs="宋体"/>
                <w:i w:val="0"/>
                <w:iCs w:val="0"/>
                <w:color w:val="auto"/>
                <w:sz w:val="24"/>
                <w:szCs w:val="24"/>
                <w:u w:val="none"/>
              </w:rPr>
            </w:pPr>
          </w:p>
        </w:tc>
        <w:tc>
          <w:tcPr>
            <w:tcW w:w="3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74B63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3、配置6块SFP+万兆多模光模块，配置1根不少于3M不低于40G堆叠线缆</w:t>
            </w: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268487">
            <w:pPr>
              <w:jc w:val="center"/>
              <w:rPr>
                <w:rFonts w:hint="eastAsia" w:ascii="宋体" w:hAnsi="宋体" w:eastAsia="宋体" w:cs="宋体"/>
                <w:i w:val="0"/>
                <w:iCs w:val="0"/>
                <w:color w:val="auto"/>
                <w:sz w:val="24"/>
                <w:szCs w:val="24"/>
                <w:u w:val="none"/>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2BE946">
            <w:pPr>
              <w:jc w:val="center"/>
              <w:rPr>
                <w:rFonts w:hint="eastAsia" w:ascii="宋体" w:hAnsi="宋体" w:eastAsia="宋体" w:cs="宋体"/>
                <w:i w:val="0"/>
                <w:iCs w:val="0"/>
                <w:color w:val="auto"/>
                <w:sz w:val="24"/>
                <w:szCs w:val="24"/>
                <w:u w:val="none"/>
              </w:rPr>
            </w:pPr>
          </w:p>
        </w:tc>
      </w:tr>
      <w:tr w14:paraId="5FE75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35D9C2">
            <w:pPr>
              <w:jc w:val="center"/>
              <w:rPr>
                <w:rFonts w:hint="eastAsia" w:ascii="宋体" w:hAnsi="宋体" w:eastAsia="宋体" w:cs="宋体"/>
                <w:i w:val="0"/>
                <w:iCs w:val="0"/>
                <w:color w:val="auto"/>
                <w:sz w:val="24"/>
                <w:szCs w:val="24"/>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C61B64">
            <w:pPr>
              <w:jc w:val="center"/>
              <w:rPr>
                <w:rFonts w:hint="eastAsia" w:ascii="宋体" w:hAnsi="宋体" w:eastAsia="宋体" w:cs="宋体"/>
                <w:i w:val="0"/>
                <w:iCs w:val="0"/>
                <w:color w:val="auto"/>
                <w:sz w:val="24"/>
                <w:szCs w:val="24"/>
                <w:u w:val="none"/>
              </w:rPr>
            </w:pPr>
          </w:p>
        </w:tc>
        <w:tc>
          <w:tcPr>
            <w:tcW w:w="3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96D4B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4、交换容量：4.8Tbps ；包转发率：2000 Mpps</w:t>
            </w: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918808">
            <w:pPr>
              <w:jc w:val="center"/>
              <w:rPr>
                <w:rFonts w:hint="eastAsia" w:ascii="宋体" w:hAnsi="宋体" w:eastAsia="宋体" w:cs="宋体"/>
                <w:i w:val="0"/>
                <w:iCs w:val="0"/>
                <w:color w:val="auto"/>
                <w:sz w:val="24"/>
                <w:szCs w:val="24"/>
                <w:u w:val="none"/>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810598">
            <w:pPr>
              <w:jc w:val="center"/>
              <w:rPr>
                <w:rFonts w:hint="eastAsia" w:ascii="宋体" w:hAnsi="宋体" w:eastAsia="宋体" w:cs="宋体"/>
                <w:i w:val="0"/>
                <w:iCs w:val="0"/>
                <w:color w:val="auto"/>
                <w:sz w:val="24"/>
                <w:szCs w:val="24"/>
                <w:u w:val="none"/>
              </w:rPr>
            </w:pPr>
          </w:p>
        </w:tc>
      </w:tr>
      <w:tr w14:paraId="13921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3EA144">
            <w:pPr>
              <w:jc w:val="center"/>
              <w:rPr>
                <w:rFonts w:hint="eastAsia" w:ascii="宋体" w:hAnsi="宋体" w:eastAsia="宋体" w:cs="宋体"/>
                <w:i w:val="0"/>
                <w:iCs w:val="0"/>
                <w:color w:val="auto"/>
                <w:sz w:val="24"/>
                <w:szCs w:val="24"/>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66B3A8">
            <w:pPr>
              <w:jc w:val="center"/>
              <w:rPr>
                <w:rFonts w:hint="eastAsia" w:ascii="宋体" w:hAnsi="宋体" w:eastAsia="宋体" w:cs="宋体"/>
                <w:i w:val="0"/>
                <w:iCs w:val="0"/>
                <w:color w:val="auto"/>
                <w:sz w:val="24"/>
                <w:szCs w:val="24"/>
                <w:u w:val="none"/>
              </w:rPr>
            </w:pPr>
          </w:p>
        </w:tc>
        <w:tc>
          <w:tcPr>
            <w:tcW w:w="3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9B521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5、灵活支持前后和后前风道，支持电源和风扇冗余配置，保障业务无间断运行，创新的节能技术</w:t>
            </w: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77123">
            <w:pPr>
              <w:jc w:val="center"/>
              <w:rPr>
                <w:rFonts w:hint="eastAsia" w:ascii="宋体" w:hAnsi="宋体" w:eastAsia="宋体" w:cs="宋体"/>
                <w:i w:val="0"/>
                <w:iCs w:val="0"/>
                <w:color w:val="auto"/>
                <w:sz w:val="24"/>
                <w:szCs w:val="24"/>
                <w:u w:val="none"/>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824CD5">
            <w:pPr>
              <w:jc w:val="center"/>
              <w:rPr>
                <w:rFonts w:hint="eastAsia" w:ascii="宋体" w:hAnsi="宋体" w:eastAsia="宋体" w:cs="宋体"/>
                <w:i w:val="0"/>
                <w:iCs w:val="0"/>
                <w:color w:val="auto"/>
                <w:sz w:val="24"/>
                <w:szCs w:val="24"/>
                <w:u w:val="none"/>
              </w:rPr>
            </w:pPr>
          </w:p>
        </w:tc>
      </w:tr>
      <w:tr w14:paraId="71C8E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8E7699">
            <w:pPr>
              <w:jc w:val="center"/>
              <w:rPr>
                <w:rFonts w:hint="eastAsia" w:ascii="宋体" w:hAnsi="宋体" w:eastAsia="宋体" w:cs="宋体"/>
                <w:i w:val="0"/>
                <w:iCs w:val="0"/>
                <w:color w:val="auto"/>
                <w:sz w:val="24"/>
                <w:szCs w:val="24"/>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504799">
            <w:pPr>
              <w:jc w:val="center"/>
              <w:rPr>
                <w:rFonts w:hint="eastAsia" w:ascii="宋体" w:hAnsi="宋体" w:eastAsia="宋体" w:cs="宋体"/>
                <w:i w:val="0"/>
                <w:iCs w:val="0"/>
                <w:color w:val="auto"/>
                <w:sz w:val="24"/>
                <w:szCs w:val="24"/>
                <w:u w:val="none"/>
              </w:rPr>
            </w:pPr>
          </w:p>
        </w:tc>
        <w:tc>
          <w:tcPr>
            <w:tcW w:w="3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468BA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6、支持BGP-EVPN作为VxLAN的控制平面，简化DC内、DC间的VxLAN的配置，采用VxLAN等协议组建无阻塞大二层网络，保证虚拟机的大范围迁移以及用户业务的灵活部署；支持VxLAN routing 和VxLAN bridging；支持精细化微分段安全隔离</w:t>
            </w: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2BC539">
            <w:pPr>
              <w:jc w:val="center"/>
              <w:rPr>
                <w:rFonts w:hint="eastAsia" w:ascii="宋体" w:hAnsi="宋体" w:eastAsia="宋体" w:cs="宋体"/>
                <w:i w:val="0"/>
                <w:iCs w:val="0"/>
                <w:color w:val="auto"/>
                <w:sz w:val="24"/>
                <w:szCs w:val="24"/>
                <w:u w:val="none"/>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12B681">
            <w:pPr>
              <w:jc w:val="center"/>
              <w:rPr>
                <w:rFonts w:hint="eastAsia" w:ascii="宋体" w:hAnsi="宋体" w:eastAsia="宋体" w:cs="宋体"/>
                <w:i w:val="0"/>
                <w:iCs w:val="0"/>
                <w:color w:val="auto"/>
                <w:sz w:val="24"/>
                <w:szCs w:val="24"/>
                <w:u w:val="none"/>
              </w:rPr>
            </w:pPr>
          </w:p>
        </w:tc>
      </w:tr>
      <w:tr w14:paraId="11068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2BB2E2">
            <w:pPr>
              <w:jc w:val="center"/>
              <w:rPr>
                <w:rFonts w:hint="eastAsia" w:ascii="宋体" w:hAnsi="宋体" w:eastAsia="宋体" w:cs="宋体"/>
                <w:i w:val="0"/>
                <w:iCs w:val="0"/>
                <w:color w:val="auto"/>
                <w:sz w:val="24"/>
                <w:szCs w:val="24"/>
                <w:u w:val="none"/>
              </w:rPr>
            </w:pPr>
          </w:p>
        </w:tc>
        <w:tc>
          <w:tcPr>
            <w:tcW w:w="85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65A5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存储管理交换机</w:t>
            </w:r>
          </w:p>
        </w:tc>
        <w:tc>
          <w:tcPr>
            <w:tcW w:w="3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DA0A0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1、端口配置：24个10/100/1000Base-T以太网端口,4个万兆SFP+（单套配置4块SFP+万兆多模光模块）</w:t>
            </w:r>
          </w:p>
        </w:tc>
        <w:tc>
          <w:tcPr>
            <w:tcW w:w="21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DA44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1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12AD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56E21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309A2D">
            <w:pPr>
              <w:jc w:val="center"/>
              <w:rPr>
                <w:rFonts w:hint="eastAsia" w:ascii="宋体" w:hAnsi="宋体" w:eastAsia="宋体" w:cs="宋体"/>
                <w:i w:val="0"/>
                <w:iCs w:val="0"/>
                <w:color w:val="auto"/>
                <w:sz w:val="24"/>
                <w:szCs w:val="24"/>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C075F6">
            <w:pPr>
              <w:jc w:val="center"/>
              <w:rPr>
                <w:rFonts w:hint="eastAsia" w:ascii="宋体" w:hAnsi="宋体" w:eastAsia="宋体" w:cs="宋体"/>
                <w:i w:val="0"/>
                <w:iCs w:val="0"/>
                <w:color w:val="auto"/>
                <w:sz w:val="24"/>
                <w:szCs w:val="24"/>
                <w:u w:val="none"/>
              </w:rPr>
            </w:pPr>
          </w:p>
        </w:tc>
        <w:tc>
          <w:tcPr>
            <w:tcW w:w="3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B6FA0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2、配置可热插拔双电源</w:t>
            </w: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2981AB">
            <w:pPr>
              <w:jc w:val="center"/>
              <w:rPr>
                <w:rFonts w:hint="eastAsia" w:ascii="宋体" w:hAnsi="宋体" w:eastAsia="宋体" w:cs="宋体"/>
                <w:i w:val="0"/>
                <w:iCs w:val="0"/>
                <w:color w:val="auto"/>
                <w:sz w:val="24"/>
                <w:szCs w:val="24"/>
                <w:u w:val="none"/>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0BC0F5">
            <w:pPr>
              <w:jc w:val="center"/>
              <w:rPr>
                <w:rFonts w:hint="eastAsia" w:ascii="宋体" w:hAnsi="宋体" w:eastAsia="宋体" w:cs="宋体"/>
                <w:i w:val="0"/>
                <w:iCs w:val="0"/>
                <w:color w:val="auto"/>
                <w:sz w:val="24"/>
                <w:szCs w:val="24"/>
                <w:u w:val="none"/>
              </w:rPr>
            </w:pPr>
          </w:p>
        </w:tc>
      </w:tr>
      <w:tr w14:paraId="41C2A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2221B0">
            <w:pPr>
              <w:jc w:val="center"/>
              <w:rPr>
                <w:rFonts w:hint="eastAsia" w:ascii="宋体" w:hAnsi="宋体" w:eastAsia="宋体" w:cs="宋体"/>
                <w:i w:val="0"/>
                <w:iCs w:val="0"/>
                <w:color w:val="auto"/>
                <w:sz w:val="24"/>
                <w:szCs w:val="24"/>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2FA5DD">
            <w:pPr>
              <w:jc w:val="center"/>
              <w:rPr>
                <w:rFonts w:hint="eastAsia" w:ascii="宋体" w:hAnsi="宋体" w:eastAsia="宋体" w:cs="宋体"/>
                <w:i w:val="0"/>
                <w:iCs w:val="0"/>
                <w:color w:val="auto"/>
                <w:sz w:val="24"/>
                <w:szCs w:val="24"/>
                <w:u w:val="none"/>
              </w:rPr>
            </w:pPr>
          </w:p>
        </w:tc>
        <w:tc>
          <w:tcPr>
            <w:tcW w:w="3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383A9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3、支持业务扩展插槽数1，扩展业务卡支持2*40GE、8*10GE电口、8*10GE或2*25GE光口子卡</w:t>
            </w: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4F98D5">
            <w:pPr>
              <w:jc w:val="center"/>
              <w:rPr>
                <w:rFonts w:hint="eastAsia" w:ascii="宋体" w:hAnsi="宋体" w:eastAsia="宋体" w:cs="宋体"/>
                <w:i w:val="0"/>
                <w:iCs w:val="0"/>
                <w:color w:val="auto"/>
                <w:sz w:val="24"/>
                <w:szCs w:val="24"/>
                <w:u w:val="none"/>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5674CC">
            <w:pPr>
              <w:jc w:val="center"/>
              <w:rPr>
                <w:rFonts w:hint="eastAsia" w:ascii="宋体" w:hAnsi="宋体" w:eastAsia="宋体" w:cs="宋体"/>
                <w:i w:val="0"/>
                <w:iCs w:val="0"/>
                <w:color w:val="auto"/>
                <w:sz w:val="24"/>
                <w:szCs w:val="24"/>
                <w:u w:val="none"/>
              </w:rPr>
            </w:pPr>
          </w:p>
        </w:tc>
      </w:tr>
      <w:tr w14:paraId="44D0C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44B191">
            <w:pPr>
              <w:jc w:val="center"/>
              <w:rPr>
                <w:rFonts w:hint="eastAsia" w:ascii="宋体" w:hAnsi="宋体" w:eastAsia="宋体" w:cs="宋体"/>
                <w:i w:val="0"/>
                <w:iCs w:val="0"/>
                <w:color w:val="auto"/>
                <w:sz w:val="24"/>
                <w:szCs w:val="24"/>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BC490E">
            <w:pPr>
              <w:jc w:val="center"/>
              <w:rPr>
                <w:rFonts w:hint="eastAsia" w:ascii="宋体" w:hAnsi="宋体" w:eastAsia="宋体" w:cs="宋体"/>
                <w:i w:val="0"/>
                <w:iCs w:val="0"/>
                <w:color w:val="auto"/>
                <w:sz w:val="24"/>
                <w:szCs w:val="24"/>
                <w:u w:val="none"/>
              </w:rPr>
            </w:pPr>
          </w:p>
        </w:tc>
        <w:tc>
          <w:tcPr>
            <w:tcW w:w="3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9B5C6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4、交换容量：1.28Tbps ；包转发率：426Mpps</w:t>
            </w: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46494F">
            <w:pPr>
              <w:jc w:val="center"/>
              <w:rPr>
                <w:rFonts w:hint="eastAsia" w:ascii="宋体" w:hAnsi="宋体" w:eastAsia="宋体" w:cs="宋体"/>
                <w:i w:val="0"/>
                <w:iCs w:val="0"/>
                <w:color w:val="auto"/>
                <w:sz w:val="24"/>
                <w:szCs w:val="24"/>
                <w:u w:val="none"/>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A88BE4">
            <w:pPr>
              <w:jc w:val="center"/>
              <w:rPr>
                <w:rFonts w:hint="eastAsia" w:ascii="宋体" w:hAnsi="宋体" w:eastAsia="宋体" w:cs="宋体"/>
                <w:i w:val="0"/>
                <w:iCs w:val="0"/>
                <w:color w:val="auto"/>
                <w:sz w:val="24"/>
                <w:szCs w:val="24"/>
                <w:u w:val="none"/>
              </w:rPr>
            </w:pPr>
          </w:p>
        </w:tc>
      </w:tr>
      <w:tr w14:paraId="3432B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0AD144">
            <w:pPr>
              <w:jc w:val="center"/>
              <w:rPr>
                <w:rFonts w:hint="eastAsia" w:ascii="宋体" w:hAnsi="宋体" w:eastAsia="宋体" w:cs="宋体"/>
                <w:i w:val="0"/>
                <w:iCs w:val="0"/>
                <w:color w:val="auto"/>
                <w:sz w:val="24"/>
                <w:szCs w:val="24"/>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7490F5">
            <w:pPr>
              <w:jc w:val="center"/>
              <w:rPr>
                <w:rFonts w:hint="eastAsia" w:ascii="宋体" w:hAnsi="宋体" w:eastAsia="宋体" w:cs="宋体"/>
                <w:i w:val="0"/>
                <w:iCs w:val="0"/>
                <w:color w:val="auto"/>
                <w:sz w:val="24"/>
                <w:szCs w:val="24"/>
                <w:u w:val="none"/>
              </w:rPr>
            </w:pPr>
          </w:p>
        </w:tc>
        <w:tc>
          <w:tcPr>
            <w:tcW w:w="3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B973D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5、支持融合AC管理功能，整机可管理1K AP</w:t>
            </w: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FC823E">
            <w:pPr>
              <w:jc w:val="center"/>
              <w:rPr>
                <w:rFonts w:hint="eastAsia" w:ascii="宋体" w:hAnsi="宋体" w:eastAsia="宋体" w:cs="宋体"/>
                <w:i w:val="0"/>
                <w:iCs w:val="0"/>
                <w:color w:val="auto"/>
                <w:sz w:val="24"/>
                <w:szCs w:val="24"/>
                <w:u w:val="none"/>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AEDE23">
            <w:pPr>
              <w:jc w:val="center"/>
              <w:rPr>
                <w:rFonts w:hint="eastAsia" w:ascii="宋体" w:hAnsi="宋体" w:eastAsia="宋体" w:cs="宋体"/>
                <w:i w:val="0"/>
                <w:iCs w:val="0"/>
                <w:color w:val="auto"/>
                <w:sz w:val="24"/>
                <w:szCs w:val="24"/>
                <w:u w:val="none"/>
              </w:rPr>
            </w:pPr>
          </w:p>
        </w:tc>
      </w:tr>
      <w:tr w14:paraId="779CE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85F147">
            <w:pPr>
              <w:jc w:val="center"/>
              <w:rPr>
                <w:rFonts w:hint="eastAsia" w:ascii="宋体" w:hAnsi="宋体" w:eastAsia="宋体" w:cs="宋体"/>
                <w:i w:val="0"/>
                <w:iCs w:val="0"/>
                <w:color w:val="auto"/>
                <w:sz w:val="24"/>
                <w:szCs w:val="24"/>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515F2E">
            <w:pPr>
              <w:jc w:val="center"/>
              <w:rPr>
                <w:rFonts w:hint="eastAsia" w:ascii="宋体" w:hAnsi="宋体" w:eastAsia="宋体" w:cs="宋体"/>
                <w:i w:val="0"/>
                <w:iCs w:val="0"/>
                <w:color w:val="auto"/>
                <w:sz w:val="24"/>
                <w:szCs w:val="24"/>
                <w:u w:val="none"/>
              </w:rPr>
            </w:pPr>
          </w:p>
        </w:tc>
        <w:tc>
          <w:tcPr>
            <w:tcW w:w="3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1AFD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6、支持统一用户管理功能，屏蔽接入侧差异，支持802.1X/MAC/Portal等多种认证方式，支持对用户进行分组/分域/分时的管理，用户、业务可视可控</w:t>
            </w: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673E31">
            <w:pPr>
              <w:jc w:val="center"/>
              <w:rPr>
                <w:rFonts w:hint="eastAsia" w:ascii="宋体" w:hAnsi="宋体" w:eastAsia="宋体" w:cs="宋体"/>
                <w:i w:val="0"/>
                <w:iCs w:val="0"/>
                <w:color w:val="auto"/>
                <w:sz w:val="24"/>
                <w:szCs w:val="24"/>
                <w:u w:val="none"/>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579E30">
            <w:pPr>
              <w:jc w:val="center"/>
              <w:rPr>
                <w:rFonts w:hint="eastAsia" w:ascii="宋体" w:hAnsi="宋体" w:eastAsia="宋体" w:cs="宋体"/>
                <w:i w:val="0"/>
                <w:iCs w:val="0"/>
                <w:color w:val="auto"/>
                <w:sz w:val="24"/>
                <w:szCs w:val="24"/>
                <w:u w:val="none"/>
              </w:rPr>
            </w:pPr>
          </w:p>
        </w:tc>
      </w:tr>
      <w:tr w14:paraId="54701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4FE676">
            <w:pPr>
              <w:jc w:val="center"/>
              <w:rPr>
                <w:rFonts w:hint="eastAsia" w:ascii="宋体" w:hAnsi="宋体" w:eastAsia="宋体" w:cs="宋体"/>
                <w:i w:val="0"/>
                <w:iCs w:val="0"/>
                <w:color w:val="auto"/>
                <w:sz w:val="24"/>
                <w:szCs w:val="24"/>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69CA1E">
            <w:pPr>
              <w:jc w:val="center"/>
              <w:rPr>
                <w:rFonts w:hint="eastAsia" w:ascii="宋体" w:hAnsi="宋体" w:eastAsia="宋体" w:cs="宋体"/>
                <w:i w:val="0"/>
                <w:iCs w:val="0"/>
                <w:color w:val="auto"/>
                <w:sz w:val="24"/>
                <w:szCs w:val="24"/>
                <w:u w:val="none"/>
              </w:rPr>
            </w:pPr>
          </w:p>
        </w:tc>
        <w:tc>
          <w:tcPr>
            <w:tcW w:w="3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AC011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7、支持VxLAN功能，支持集中式和分布式部署方式</w:t>
            </w: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C2413F">
            <w:pPr>
              <w:jc w:val="center"/>
              <w:rPr>
                <w:rFonts w:hint="eastAsia" w:ascii="宋体" w:hAnsi="宋体" w:eastAsia="宋体" w:cs="宋体"/>
                <w:i w:val="0"/>
                <w:iCs w:val="0"/>
                <w:color w:val="auto"/>
                <w:sz w:val="24"/>
                <w:szCs w:val="24"/>
                <w:u w:val="none"/>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EE08E3">
            <w:pPr>
              <w:jc w:val="center"/>
              <w:rPr>
                <w:rFonts w:hint="eastAsia" w:ascii="宋体" w:hAnsi="宋体" w:eastAsia="宋体" w:cs="宋体"/>
                <w:i w:val="0"/>
                <w:iCs w:val="0"/>
                <w:color w:val="auto"/>
                <w:sz w:val="24"/>
                <w:szCs w:val="24"/>
                <w:u w:val="none"/>
              </w:rPr>
            </w:pPr>
          </w:p>
        </w:tc>
      </w:tr>
      <w:tr w14:paraId="06462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BD5102">
            <w:pPr>
              <w:jc w:val="center"/>
              <w:rPr>
                <w:rFonts w:hint="eastAsia" w:ascii="宋体" w:hAnsi="宋体" w:eastAsia="宋体" w:cs="宋体"/>
                <w:i w:val="0"/>
                <w:iCs w:val="0"/>
                <w:color w:val="auto"/>
                <w:sz w:val="24"/>
                <w:szCs w:val="24"/>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0B5DA8">
            <w:pPr>
              <w:jc w:val="center"/>
              <w:rPr>
                <w:rFonts w:hint="eastAsia" w:ascii="宋体" w:hAnsi="宋体" w:eastAsia="宋体" w:cs="宋体"/>
                <w:i w:val="0"/>
                <w:iCs w:val="0"/>
                <w:color w:val="auto"/>
                <w:sz w:val="24"/>
                <w:szCs w:val="24"/>
                <w:u w:val="none"/>
              </w:rPr>
            </w:pPr>
          </w:p>
        </w:tc>
        <w:tc>
          <w:tcPr>
            <w:tcW w:w="3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C6586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8、支持G.8032（ERPS）标准以太环网协</w:t>
            </w: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DC8B5D">
            <w:pPr>
              <w:jc w:val="center"/>
              <w:rPr>
                <w:rFonts w:hint="eastAsia" w:ascii="宋体" w:hAnsi="宋体" w:eastAsia="宋体" w:cs="宋体"/>
                <w:i w:val="0"/>
                <w:iCs w:val="0"/>
                <w:color w:val="auto"/>
                <w:sz w:val="24"/>
                <w:szCs w:val="24"/>
                <w:u w:val="none"/>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4D2270">
            <w:pPr>
              <w:jc w:val="center"/>
              <w:rPr>
                <w:rFonts w:hint="eastAsia" w:ascii="宋体" w:hAnsi="宋体" w:eastAsia="宋体" w:cs="宋体"/>
                <w:i w:val="0"/>
                <w:iCs w:val="0"/>
                <w:color w:val="auto"/>
                <w:sz w:val="24"/>
                <w:szCs w:val="24"/>
                <w:u w:val="none"/>
              </w:rPr>
            </w:pPr>
          </w:p>
        </w:tc>
      </w:tr>
      <w:tr w14:paraId="5E80D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D757A5">
            <w:pPr>
              <w:jc w:val="center"/>
              <w:rPr>
                <w:rFonts w:hint="eastAsia" w:ascii="宋体" w:hAnsi="宋体" w:eastAsia="宋体" w:cs="宋体"/>
                <w:i w:val="0"/>
                <w:iCs w:val="0"/>
                <w:color w:val="auto"/>
                <w:sz w:val="24"/>
                <w:szCs w:val="24"/>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D158BA">
            <w:pPr>
              <w:jc w:val="center"/>
              <w:rPr>
                <w:rFonts w:hint="eastAsia" w:ascii="宋体" w:hAnsi="宋体" w:eastAsia="宋体" w:cs="宋体"/>
                <w:i w:val="0"/>
                <w:iCs w:val="0"/>
                <w:color w:val="auto"/>
                <w:sz w:val="24"/>
                <w:szCs w:val="24"/>
                <w:u w:val="none"/>
              </w:rPr>
            </w:pPr>
          </w:p>
        </w:tc>
        <w:tc>
          <w:tcPr>
            <w:tcW w:w="3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AF862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9、支持堆叠，支持纵向虚拟化功能，作为父节点将下联的交换机和无线AP虚拟为一台设备管理</w:t>
            </w: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626109">
            <w:pPr>
              <w:jc w:val="center"/>
              <w:rPr>
                <w:rFonts w:hint="eastAsia" w:ascii="宋体" w:hAnsi="宋体" w:eastAsia="宋体" w:cs="宋体"/>
                <w:i w:val="0"/>
                <w:iCs w:val="0"/>
                <w:color w:val="auto"/>
                <w:sz w:val="24"/>
                <w:szCs w:val="24"/>
                <w:u w:val="none"/>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2E38DF">
            <w:pPr>
              <w:jc w:val="center"/>
              <w:rPr>
                <w:rFonts w:hint="eastAsia" w:ascii="宋体" w:hAnsi="宋体" w:eastAsia="宋体" w:cs="宋体"/>
                <w:i w:val="0"/>
                <w:iCs w:val="0"/>
                <w:color w:val="auto"/>
                <w:sz w:val="24"/>
                <w:szCs w:val="24"/>
                <w:u w:val="none"/>
              </w:rPr>
            </w:pPr>
          </w:p>
        </w:tc>
      </w:tr>
      <w:tr w14:paraId="49C8F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9888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8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4A77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核心万兆以太网交换机</w:t>
            </w:r>
          </w:p>
        </w:tc>
        <w:tc>
          <w:tcPr>
            <w:tcW w:w="3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5853B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配置万兆SFP+接口48个，100GE QSFP28接口6个，交换容量2.56T/25.6T，包转发率1620Mpps，冗余双电源，实配万兆多模光模块48个，含3米40G高速堆叠线缆</w:t>
            </w:r>
          </w:p>
          <w:p w14:paraId="4C03FC0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b/>
                <w:bCs/>
                <w:i w:val="0"/>
                <w:iCs w:val="0"/>
                <w:color w:val="auto"/>
                <w:kern w:val="0"/>
                <w:sz w:val="24"/>
                <w:szCs w:val="24"/>
                <w:u w:val="none"/>
                <w:lang w:val="en-US" w:eastAsia="zh-CN" w:bidi="ar"/>
              </w:rPr>
              <w:t>需承诺中标后提供</w:t>
            </w:r>
            <w:r>
              <w:rPr>
                <w:rFonts w:hint="eastAsia" w:ascii="宋体" w:hAnsi="宋体" w:eastAsia="宋体" w:cs="宋体"/>
                <w:b/>
                <w:bCs/>
                <w:i w:val="0"/>
                <w:iCs w:val="0"/>
                <w:color w:val="auto"/>
                <w:kern w:val="0"/>
                <w:sz w:val="24"/>
                <w:szCs w:val="24"/>
                <w:u w:val="none"/>
                <w:lang w:val="en-US" w:eastAsia="zh-CN" w:bidi="ar"/>
              </w:rPr>
              <w:t>三年原厂质保服务</w:t>
            </w:r>
            <w:r>
              <w:rPr>
                <w:rFonts w:hint="eastAsia" w:ascii="宋体" w:hAnsi="宋体" w:cs="宋体"/>
                <w:b/>
                <w:bCs/>
                <w:i w:val="0"/>
                <w:iCs w:val="0"/>
                <w:color w:val="auto"/>
                <w:kern w:val="0"/>
                <w:sz w:val="24"/>
                <w:szCs w:val="24"/>
                <w:u w:val="none"/>
                <w:lang w:val="en-US" w:eastAsia="zh-CN" w:bidi="ar"/>
              </w:rPr>
              <w:t>。</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DE43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1B44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3848A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EDD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EB0D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万兆光纤网卡</w:t>
            </w:r>
          </w:p>
        </w:tc>
        <w:tc>
          <w:tcPr>
            <w:tcW w:w="3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0848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万兆光纤单口网卡（含模块）</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E5E6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7AAC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r>
      <w:tr w14:paraId="01554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F13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8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C4FF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数据迁移服务</w:t>
            </w:r>
          </w:p>
        </w:tc>
        <w:tc>
          <w:tcPr>
            <w:tcW w:w="3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E36B5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原有光纤存储数据迁移，数据保障，同步服务</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267B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62DF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327C0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716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8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D827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存储管理模块</w:t>
            </w:r>
          </w:p>
        </w:tc>
        <w:tc>
          <w:tcPr>
            <w:tcW w:w="3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EDE65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原有非编网络管理软件存储接入管理模块，软件授权</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12CD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681C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6F269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C78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8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FB226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机柜</w:t>
            </w:r>
          </w:p>
        </w:tc>
        <w:tc>
          <w:tcPr>
            <w:tcW w:w="3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19C4F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42U标准机柜，含相关附件，机柜承重安装</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7AFFE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8BC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59955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684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8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D5F3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网络工程集成及技术服务</w:t>
            </w:r>
          </w:p>
        </w:tc>
        <w:tc>
          <w:tcPr>
            <w:tcW w:w="3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2B275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包括系统集成，工作站调试配置，施工相关耗材，设备上架调试费用，配电柜接线</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DE7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34B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bl>
    <w:p w14:paraId="6A9D4D51">
      <w:pPr>
        <w:spacing w:line="276" w:lineRule="auto"/>
        <w:ind w:firstLine="4096" w:firstLineChars="1700"/>
        <w:rPr>
          <w:rFonts w:hint="eastAsia" w:ascii="宋体" w:hAnsi="宋体" w:eastAsia="宋体" w:cs="宋体"/>
          <w:b/>
          <w:color w:val="auto"/>
          <w:sz w:val="24"/>
          <w:szCs w:val="24"/>
        </w:rPr>
      </w:pPr>
    </w:p>
    <w:p w14:paraId="68A03BF2">
      <w:pPr>
        <w:spacing w:line="276" w:lineRule="auto"/>
        <w:jc w:val="left"/>
        <w:rPr>
          <w:rFonts w:hint="eastAsia" w:ascii="宋体" w:hAnsi="宋体" w:eastAsia="宋体" w:cs="宋体"/>
          <w:color w:val="auto"/>
          <w:sz w:val="24"/>
          <w:szCs w:val="24"/>
        </w:rPr>
      </w:pPr>
      <w:r>
        <w:rPr>
          <w:rFonts w:hint="eastAsia" w:ascii="宋体" w:hAnsi="宋体" w:eastAsia="宋体" w:cs="宋体"/>
          <w:b/>
          <w:color w:val="auto"/>
          <w:sz w:val="24"/>
          <w:szCs w:val="24"/>
          <w:lang w:eastAsia="zh-CN"/>
        </w:rPr>
        <w:t>★五</w:t>
      </w:r>
      <w:r>
        <w:rPr>
          <w:rFonts w:hint="eastAsia" w:ascii="宋体" w:hAnsi="宋体" w:eastAsia="宋体" w:cs="宋体"/>
          <w:b/>
          <w:color w:val="auto"/>
          <w:sz w:val="24"/>
          <w:szCs w:val="24"/>
        </w:rPr>
        <w:t>、商务要求</w:t>
      </w:r>
    </w:p>
    <w:tbl>
      <w:tblPr>
        <w:tblStyle w:val="62"/>
        <w:tblW w:w="8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1"/>
        <w:gridCol w:w="6672"/>
      </w:tblGrid>
      <w:tr w14:paraId="07C7B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9" w:hRule="atLeast"/>
          <w:jc w:val="center"/>
        </w:trPr>
        <w:tc>
          <w:tcPr>
            <w:tcW w:w="1951" w:type="dxa"/>
            <w:tcBorders>
              <w:top w:val="single" w:color="auto" w:sz="4" w:space="0"/>
              <w:left w:val="single" w:color="auto" w:sz="4" w:space="0"/>
              <w:right w:val="single" w:color="auto" w:sz="4" w:space="0"/>
            </w:tcBorders>
            <w:vAlign w:val="center"/>
          </w:tcPr>
          <w:p w14:paraId="625459B5">
            <w:pPr>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交货时间及地点</w:t>
            </w:r>
          </w:p>
        </w:tc>
        <w:tc>
          <w:tcPr>
            <w:tcW w:w="6672" w:type="dxa"/>
            <w:tcBorders>
              <w:top w:val="single" w:color="auto" w:sz="4" w:space="0"/>
              <w:left w:val="single" w:color="auto" w:sz="4" w:space="0"/>
              <w:bottom w:val="single" w:color="auto" w:sz="4" w:space="0"/>
              <w:right w:val="single" w:color="auto" w:sz="4" w:space="0"/>
            </w:tcBorders>
            <w:vAlign w:val="center"/>
          </w:tcPr>
          <w:p w14:paraId="28DFC82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签订合同后接业主通知三个月内完成采购安装。并在试运行期间完成培训、交接工作。</w:t>
            </w:r>
          </w:p>
          <w:p w14:paraId="1C6CD1D6">
            <w:pPr>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地点：业主指定 。</w:t>
            </w:r>
          </w:p>
        </w:tc>
      </w:tr>
      <w:tr w14:paraId="4DA59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9" w:hRule="atLeast"/>
          <w:jc w:val="center"/>
        </w:trPr>
        <w:tc>
          <w:tcPr>
            <w:tcW w:w="1951" w:type="dxa"/>
            <w:tcBorders>
              <w:top w:val="single" w:color="auto" w:sz="4" w:space="0"/>
              <w:left w:val="single" w:color="auto" w:sz="4" w:space="0"/>
              <w:right w:val="single" w:color="auto" w:sz="4" w:space="0"/>
            </w:tcBorders>
            <w:vAlign w:val="center"/>
          </w:tcPr>
          <w:p w14:paraId="29A0B177">
            <w:pPr>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付款条件</w:t>
            </w:r>
          </w:p>
        </w:tc>
        <w:tc>
          <w:tcPr>
            <w:tcW w:w="6672" w:type="dxa"/>
            <w:tcBorders>
              <w:top w:val="single" w:color="auto" w:sz="4" w:space="0"/>
              <w:left w:val="single" w:color="auto" w:sz="4" w:space="0"/>
              <w:bottom w:val="single" w:color="auto" w:sz="4" w:space="0"/>
              <w:right w:val="single" w:color="auto" w:sz="4" w:space="0"/>
            </w:tcBorders>
            <w:vAlign w:val="center"/>
          </w:tcPr>
          <w:p w14:paraId="6661B05B">
            <w:pPr>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付款方式：甲乙双方签订合同生效后：</w:t>
            </w:r>
          </w:p>
          <w:p w14:paraId="554B642E">
            <w:pPr>
              <w:widowControl/>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第一次：合同生效并具备实施条件后7个工作日内支付合同总额的40%作为预付款；</w:t>
            </w:r>
          </w:p>
          <w:p w14:paraId="34166418">
            <w:pPr>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第二次：</w:t>
            </w:r>
            <w:r>
              <w:rPr>
                <w:rFonts w:hint="eastAsia" w:ascii="宋体" w:hAnsi="宋体" w:eastAsia="宋体" w:cs="宋体"/>
                <w:color w:val="auto"/>
                <w:sz w:val="24"/>
                <w:szCs w:val="24"/>
              </w:rPr>
              <w:t>支付前中标人应开具相应足额、正规的发票给支付单位，支付单位自收到中标人提交的足额、正规发票且</w:t>
            </w:r>
            <w:r>
              <w:rPr>
                <w:rFonts w:hint="eastAsia" w:ascii="宋体" w:hAnsi="宋体" w:eastAsia="宋体" w:cs="宋体"/>
                <w:color w:val="auto"/>
                <w:kern w:val="0"/>
                <w:sz w:val="24"/>
                <w:szCs w:val="24"/>
              </w:rPr>
              <w:t>安装调试合格后</w:t>
            </w:r>
            <w:r>
              <w:rPr>
                <w:rFonts w:hint="eastAsia" w:ascii="宋体" w:hAnsi="宋体" w:eastAsia="宋体" w:cs="宋体"/>
                <w:color w:val="auto"/>
                <w:sz w:val="24"/>
                <w:szCs w:val="24"/>
              </w:rPr>
              <w:t>7个工作日内支付</w:t>
            </w:r>
            <w:r>
              <w:rPr>
                <w:rFonts w:hint="eastAsia" w:ascii="宋体" w:hAnsi="宋体" w:eastAsia="宋体" w:cs="宋体"/>
                <w:color w:val="auto"/>
                <w:kern w:val="0"/>
                <w:sz w:val="24"/>
                <w:szCs w:val="24"/>
              </w:rPr>
              <w:t>至完成工程量的100%。</w:t>
            </w:r>
          </w:p>
          <w:p w14:paraId="58F27F69">
            <w:pPr>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中标单位在提取款项时，必须提供相应的合法票据。</w:t>
            </w:r>
          </w:p>
        </w:tc>
      </w:tr>
      <w:tr w14:paraId="499E7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5" w:hRule="atLeast"/>
          <w:jc w:val="center"/>
        </w:trPr>
        <w:tc>
          <w:tcPr>
            <w:tcW w:w="1951" w:type="dxa"/>
            <w:tcBorders>
              <w:top w:val="single" w:color="auto" w:sz="4" w:space="0"/>
              <w:left w:val="single" w:color="auto" w:sz="4" w:space="0"/>
              <w:right w:val="single" w:color="auto" w:sz="4" w:space="0"/>
            </w:tcBorders>
            <w:vAlign w:val="center"/>
          </w:tcPr>
          <w:p w14:paraId="257B955F">
            <w:pPr>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质保期</w:t>
            </w:r>
          </w:p>
        </w:tc>
        <w:tc>
          <w:tcPr>
            <w:tcW w:w="6672" w:type="dxa"/>
            <w:tcBorders>
              <w:top w:val="single" w:color="auto" w:sz="4" w:space="0"/>
              <w:left w:val="single" w:color="auto" w:sz="4" w:space="0"/>
              <w:bottom w:val="single" w:color="auto" w:sz="4" w:space="0"/>
              <w:right w:val="single" w:color="auto" w:sz="4" w:space="0"/>
            </w:tcBorders>
            <w:vAlign w:val="center"/>
          </w:tcPr>
          <w:p w14:paraId="67F73A1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1.系统所涉及的所有硬件产品自甲方最终验收合格之日起整体质保</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年，在质保期内应能提供充足的备品备件和专用工具，保证系统正</w:t>
            </w:r>
            <w:r>
              <w:rPr>
                <w:rFonts w:hint="eastAsia" w:ascii="宋体" w:hAnsi="宋体" w:eastAsia="宋体" w:cs="宋体"/>
                <w:color w:val="auto"/>
                <w:sz w:val="24"/>
                <w:szCs w:val="24"/>
              </w:rPr>
              <w:t>常稳定运行。</w:t>
            </w:r>
          </w:p>
          <w:p w14:paraId="3DF8425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2.质保期内，对系统集成商自产软件出现的故障和缺陷应免费予以解决；对于产品设计、制造、安装导致的故障和缺陷，在设备生命周期内应免费予以解决；</w:t>
            </w:r>
          </w:p>
          <w:p w14:paraId="37C9A25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3.质保期满后，为系统涉及的所有软、硬件设备提供终身的有偿维修；</w:t>
            </w:r>
          </w:p>
        </w:tc>
      </w:tr>
      <w:tr w14:paraId="6D623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5"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14:paraId="0B702262">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备品备件及材料等要求</w:t>
            </w:r>
          </w:p>
        </w:tc>
        <w:tc>
          <w:tcPr>
            <w:tcW w:w="6672" w:type="dxa"/>
            <w:tcBorders>
              <w:top w:val="single" w:color="auto" w:sz="4" w:space="0"/>
              <w:left w:val="single" w:color="auto" w:sz="4" w:space="0"/>
              <w:bottom w:val="single" w:color="auto" w:sz="4" w:space="0"/>
              <w:right w:val="single" w:color="auto" w:sz="4" w:space="0"/>
            </w:tcBorders>
            <w:vAlign w:val="center"/>
          </w:tcPr>
          <w:p w14:paraId="6B0345C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质保期内免费提供备品备件（列入投标总价）；乙方须提供足够的备品备件、附件和耗材并保证是原厂生产，以满足甲方的需要。</w:t>
            </w:r>
          </w:p>
        </w:tc>
      </w:tr>
      <w:tr w14:paraId="2B1BA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4"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14:paraId="42386CE4">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履约保证金</w:t>
            </w:r>
          </w:p>
        </w:tc>
        <w:tc>
          <w:tcPr>
            <w:tcW w:w="6672" w:type="dxa"/>
            <w:tcBorders>
              <w:top w:val="single" w:color="auto" w:sz="4" w:space="0"/>
              <w:left w:val="single" w:color="auto" w:sz="4" w:space="0"/>
              <w:bottom w:val="single" w:color="auto" w:sz="4" w:space="0"/>
              <w:right w:val="single" w:color="auto" w:sz="4" w:space="0"/>
            </w:tcBorders>
            <w:vAlign w:val="center"/>
          </w:tcPr>
          <w:p w14:paraId="567C1FD4">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履约保证金的收取及退还：</w:t>
            </w:r>
          </w:p>
          <w:p w14:paraId="1684CD0F">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（1）履约保证金金额：合同总价的1%；</w:t>
            </w:r>
          </w:p>
          <w:p w14:paraId="52E2A58E">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（2）履约保证金形式：银行汇票（电汇）、银行保函、保险保单或支票；</w:t>
            </w:r>
          </w:p>
          <w:p w14:paraId="6A32E93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（3）履约保证金的支付：于合同签订后15日内缴入甲方指定账户。</w:t>
            </w:r>
          </w:p>
          <w:p w14:paraId="4DB10BB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（4）履约保证金的退还：</w:t>
            </w:r>
            <w:r>
              <w:rPr>
                <w:rFonts w:hint="eastAsia" w:ascii="宋体" w:hAnsi="宋体" w:eastAsia="宋体" w:cs="宋体"/>
                <w:color w:val="auto"/>
                <w:sz w:val="24"/>
                <w:szCs w:val="24"/>
                <w:lang w:eastAsia="zh-CN"/>
              </w:rPr>
              <w:t>待质保期满</w:t>
            </w:r>
            <w:r>
              <w:rPr>
                <w:rFonts w:hint="eastAsia" w:ascii="宋体" w:hAnsi="宋体" w:eastAsia="宋体" w:cs="宋体"/>
                <w:color w:val="auto"/>
                <w:sz w:val="24"/>
                <w:szCs w:val="24"/>
              </w:rPr>
              <w:t>后30日内，甲方将履约保证金将无息退还乙方(但如乙方未能履行合同规定的任何义务，甲方有权直接在约保证金中予以扣除)。</w:t>
            </w:r>
          </w:p>
        </w:tc>
      </w:tr>
      <w:tr w14:paraId="158A8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14:paraId="215931D7">
            <w:pPr>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sz w:val="24"/>
                <w:szCs w:val="24"/>
              </w:rPr>
              <w:t>培训要求</w:t>
            </w:r>
          </w:p>
        </w:tc>
        <w:tc>
          <w:tcPr>
            <w:tcW w:w="6672" w:type="dxa"/>
            <w:tcBorders>
              <w:top w:val="single" w:color="auto" w:sz="4" w:space="0"/>
              <w:left w:val="single" w:color="auto" w:sz="4" w:space="0"/>
              <w:bottom w:val="single" w:color="auto" w:sz="4" w:space="0"/>
              <w:right w:val="single" w:color="auto" w:sz="4" w:space="0"/>
            </w:tcBorders>
            <w:vAlign w:val="center"/>
          </w:tcPr>
          <w:p w14:paraId="65CDE76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乙方应对甲方的维修、使用人员提供免费的培训，使其能对设备进行日常的维护保养及能对一般故障进行维修。</w:t>
            </w:r>
          </w:p>
        </w:tc>
      </w:tr>
      <w:tr w14:paraId="53F03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2"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14:paraId="531F7C24">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kern w:val="0"/>
                <w:sz w:val="24"/>
                <w:szCs w:val="24"/>
              </w:rPr>
              <w:t>售后服务</w:t>
            </w:r>
          </w:p>
        </w:tc>
        <w:tc>
          <w:tcPr>
            <w:tcW w:w="6672" w:type="dxa"/>
            <w:tcBorders>
              <w:top w:val="single" w:color="auto" w:sz="4" w:space="0"/>
              <w:left w:val="single" w:color="auto" w:sz="4" w:space="0"/>
              <w:bottom w:val="single" w:color="auto" w:sz="4" w:space="0"/>
              <w:right w:val="single" w:color="auto" w:sz="4" w:space="0"/>
            </w:tcBorders>
            <w:vAlign w:val="center"/>
          </w:tcPr>
          <w:p w14:paraId="53E97DD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响应速度要求：收到甲方通知后</w:t>
            </w:r>
            <w:r>
              <w:rPr>
                <w:rFonts w:hint="eastAsia" w:ascii="宋体" w:hAnsi="宋体" w:eastAsia="宋体" w:cs="宋体"/>
                <w:color w:val="auto"/>
                <w:sz w:val="24"/>
                <w:szCs w:val="24"/>
                <w:u w:val="single"/>
              </w:rPr>
              <w:t xml:space="preserve"> 0.5小时</w:t>
            </w:r>
            <w:r>
              <w:rPr>
                <w:rFonts w:hint="eastAsia" w:ascii="宋体" w:hAnsi="宋体" w:eastAsia="宋体" w:cs="宋体"/>
                <w:color w:val="auto"/>
                <w:sz w:val="24"/>
                <w:szCs w:val="24"/>
              </w:rPr>
              <w:t>内作出响应，4小时内到达现场并解决技术问题。</w:t>
            </w:r>
          </w:p>
        </w:tc>
      </w:tr>
      <w:tr w14:paraId="6597E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5"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14:paraId="5766778D">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验收</w:t>
            </w:r>
          </w:p>
        </w:tc>
        <w:tc>
          <w:tcPr>
            <w:tcW w:w="6672" w:type="dxa"/>
            <w:tcBorders>
              <w:top w:val="single" w:color="auto" w:sz="4" w:space="0"/>
              <w:left w:val="single" w:color="auto" w:sz="4" w:space="0"/>
              <w:bottom w:val="single" w:color="auto" w:sz="4" w:space="0"/>
              <w:right w:val="single" w:color="auto" w:sz="4" w:space="0"/>
            </w:tcBorders>
            <w:vAlign w:val="center"/>
          </w:tcPr>
          <w:p w14:paraId="3F6738B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根据《宁波市政府采购履约验收管理办法》甬财采【2021】1051号文件规定及采购文件有关内容要求，由甲方自行或委托第三方服务机构组织验收；</w:t>
            </w:r>
          </w:p>
        </w:tc>
      </w:tr>
      <w:tr w14:paraId="20E98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5" w:hRule="atLeast"/>
          <w:jc w:val="center"/>
        </w:trPr>
        <w:tc>
          <w:tcPr>
            <w:tcW w:w="1951" w:type="dxa"/>
            <w:tcBorders>
              <w:top w:val="single" w:color="auto" w:sz="4" w:space="0"/>
              <w:left w:val="single" w:color="auto" w:sz="4" w:space="0"/>
              <w:right w:val="single" w:color="auto" w:sz="4" w:space="0"/>
            </w:tcBorders>
            <w:vAlign w:val="center"/>
          </w:tcPr>
          <w:p w14:paraId="505A0FB7">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6672" w:type="dxa"/>
            <w:tcBorders>
              <w:top w:val="single" w:color="auto" w:sz="4" w:space="0"/>
              <w:left w:val="single" w:color="auto" w:sz="4" w:space="0"/>
              <w:bottom w:val="single" w:color="auto" w:sz="4" w:space="0"/>
              <w:right w:val="single" w:color="auto" w:sz="4" w:space="0"/>
            </w:tcBorders>
            <w:vAlign w:val="center"/>
          </w:tcPr>
          <w:p w14:paraId="33A3065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同意采购方对投标文件内容的真实性和有效性进行任何形式的监督审查、验证。</w:t>
            </w:r>
          </w:p>
        </w:tc>
      </w:tr>
    </w:tbl>
    <w:p w14:paraId="108CF432">
      <w:pPr>
        <w:pStyle w:val="82"/>
        <w:rPr>
          <w:rFonts w:ascii="宋体" w:hAnsi="宋体" w:cs="宋体"/>
          <w:bCs/>
          <w:color w:val="auto"/>
          <w:sz w:val="24"/>
        </w:rPr>
      </w:pPr>
    </w:p>
    <w:p w14:paraId="2C1B8926">
      <w:pPr>
        <w:pStyle w:val="83"/>
        <w:rPr>
          <w:rFonts w:ascii="宋体" w:hAnsi="宋体" w:cs="宋体"/>
          <w:bCs/>
          <w:color w:val="auto"/>
          <w:sz w:val="24"/>
        </w:rPr>
      </w:pPr>
    </w:p>
    <w:p w14:paraId="343EB010">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58" w:name="_Toc184314457"/>
      <w:bookmarkEnd w:id="58"/>
      <w:bookmarkStart w:id="59" w:name="_Toc184308107"/>
      <w:bookmarkEnd w:id="59"/>
      <w:bookmarkStart w:id="60" w:name="_Toc184314433"/>
      <w:bookmarkEnd w:id="60"/>
      <w:bookmarkStart w:id="61" w:name="_Toc184314418"/>
      <w:bookmarkEnd w:id="61"/>
      <w:bookmarkStart w:id="62" w:name="_Toc184314450"/>
      <w:bookmarkEnd w:id="62"/>
      <w:bookmarkStart w:id="63" w:name="_Toc184310300"/>
      <w:bookmarkEnd w:id="63"/>
      <w:bookmarkStart w:id="64" w:name="_Toc184308059"/>
      <w:bookmarkEnd w:id="64"/>
      <w:bookmarkStart w:id="65" w:name="_Toc184308054"/>
      <w:bookmarkEnd w:id="65"/>
      <w:bookmarkStart w:id="66" w:name="_Toc184310285"/>
      <w:bookmarkEnd w:id="66"/>
      <w:bookmarkStart w:id="67" w:name="_Toc184313245"/>
      <w:bookmarkEnd w:id="67"/>
      <w:bookmarkStart w:id="68" w:name="_Toc184310282"/>
      <w:bookmarkEnd w:id="68"/>
      <w:bookmarkStart w:id="69" w:name="_Toc184308057"/>
      <w:bookmarkEnd w:id="69"/>
      <w:bookmarkStart w:id="70" w:name="_Toc184308101"/>
      <w:bookmarkEnd w:id="70"/>
      <w:bookmarkStart w:id="71" w:name="_Toc184310311"/>
      <w:bookmarkEnd w:id="71"/>
      <w:bookmarkStart w:id="72" w:name="_Toc184313249"/>
      <w:bookmarkEnd w:id="72"/>
      <w:bookmarkStart w:id="73" w:name="_Toc184313265"/>
      <w:bookmarkEnd w:id="73"/>
      <w:bookmarkStart w:id="74" w:name="_Toc184308067"/>
      <w:bookmarkEnd w:id="74"/>
      <w:bookmarkStart w:id="75" w:name="_Toc184313300"/>
      <w:bookmarkEnd w:id="75"/>
      <w:bookmarkStart w:id="76" w:name="_Toc184308066"/>
      <w:bookmarkEnd w:id="76"/>
      <w:bookmarkStart w:id="77" w:name="_Toc184312123"/>
      <w:bookmarkEnd w:id="77"/>
      <w:bookmarkStart w:id="78" w:name="_Toc184314456"/>
      <w:bookmarkEnd w:id="78"/>
      <w:bookmarkStart w:id="79" w:name="_Toc184313309"/>
      <w:bookmarkEnd w:id="79"/>
      <w:bookmarkStart w:id="80" w:name="_Toc184310330"/>
      <w:bookmarkEnd w:id="80"/>
      <w:bookmarkStart w:id="81" w:name="_Toc184313246"/>
      <w:bookmarkEnd w:id="81"/>
      <w:bookmarkStart w:id="82" w:name="_Toc184314435"/>
      <w:bookmarkEnd w:id="82"/>
      <w:bookmarkStart w:id="83" w:name="_Toc184308068"/>
      <w:bookmarkEnd w:id="83"/>
      <w:bookmarkStart w:id="84" w:name="_Toc184312111"/>
      <w:bookmarkEnd w:id="84"/>
      <w:bookmarkStart w:id="85" w:name="_Toc184313293"/>
      <w:bookmarkEnd w:id="85"/>
      <w:bookmarkStart w:id="86" w:name="_Toc184310294"/>
      <w:bookmarkEnd w:id="86"/>
      <w:bookmarkStart w:id="87" w:name="_Toc184312137"/>
      <w:bookmarkEnd w:id="87"/>
      <w:bookmarkStart w:id="88" w:name="_Toc184313247"/>
      <w:bookmarkEnd w:id="88"/>
      <w:bookmarkStart w:id="89" w:name="_Toc184308087"/>
      <w:bookmarkEnd w:id="89"/>
      <w:bookmarkStart w:id="90" w:name="_Toc184312098"/>
      <w:bookmarkEnd w:id="90"/>
      <w:bookmarkStart w:id="91" w:name="_Toc184312095"/>
      <w:bookmarkEnd w:id="91"/>
      <w:bookmarkStart w:id="92" w:name="_Toc184310336"/>
      <w:bookmarkEnd w:id="92"/>
      <w:bookmarkStart w:id="93" w:name="_Toc184312099"/>
      <w:bookmarkEnd w:id="93"/>
      <w:bookmarkStart w:id="94" w:name="_Toc184312086"/>
      <w:bookmarkEnd w:id="94"/>
      <w:bookmarkStart w:id="95" w:name="_Toc184314429"/>
      <w:bookmarkEnd w:id="95"/>
      <w:bookmarkStart w:id="96" w:name="_Toc184313310"/>
      <w:bookmarkEnd w:id="96"/>
      <w:bookmarkStart w:id="97" w:name="_Toc184314471"/>
      <w:bookmarkEnd w:id="97"/>
      <w:bookmarkStart w:id="98" w:name="_Toc184313264"/>
      <w:bookmarkEnd w:id="98"/>
      <w:bookmarkStart w:id="99" w:name="_Toc184308096"/>
      <w:bookmarkEnd w:id="99"/>
      <w:bookmarkStart w:id="100" w:name="_Toc184310289"/>
      <w:bookmarkEnd w:id="100"/>
      <w:bookmarkStart w:id="101" w:name="_Toc184314411"/>
      <w:bookmarkEnd w:id="101"/>
      <w:bookmarkStart w:id="102" w:name="_Toc184313305"/>
      <w:bookmarkEnd w:id="102"/>
      <w:bookmarkStart w:id="103" w:name="_Toc184312081"/>
      <w:bookmarkEnd w:id="103"/>
      <w:bookmarkStart w:id="104" w:name="_Toc184312131"/>
      <w:bookmarkEnd w:id="104"/>
      <w:bookmarkStart w:id="105" w:name="_Toc184310299"/>
      <w:bookmarkEnd w:id="105"/>
      <w:bookmarkStart w:id="106" w:name="_Toc184314419"/>
      <w:bookmarkEnd w:id="106"/>
      <w:bookmarkStart w:id="107" w:name="_Toc184312092"/>
      <w:bookmarkEnd w:id="107"/>
      <w:bookmarkStart w:id="108" w:name="_Toc184310308"/>
      <w:bookmarkEnd w:id="108"/>
      <w:bookmarkStart w:id="109" w:name="_Toc184310274"/>
      <w:bookmarkEnd w:id="109"/>
      <w:bookmarkStart w:id="110" w:name="_Toc184313302"/>
      <w:bookmarkEnd w:id="110"/>
      <w:bookmarkStart w:id="111" w:name="_Toc184313303"/>
      <w:bookmarkEnd w:id="111"/>
      <w:bookmarkStart w:id="112" w:name="_Toc184314444"/>
      <w:bookmarkEnd w:id="112"/>
      <w:bookmarkStart w:id="113" w:name="_Toc184308056"/>
      <w:bookmarkEnd w:id="113"/>
      <w:bookmarkStart w:id="114" w:name="_Toc184314413"/>
      <w:bookmarkEnd w:id="114"/>
      <w:bookmarkStart w:id="115" w:name="_Toc184312106"/>
      <w:bookmarkEnd w:id="115"/>
      <w:bookmarkStart w:id="116" w:name="_Toc184313243"/>
      <w:bookmarkEnd w:id="116"/>
      <w:bookmarkStart w:id="117" w:name="_Toc184310305"/>
      <w:bookmarkEnd w:id="117"/>
      <w:bookmarkStart w:id="118" w:name="_Toc184308071"/>
      <w:bookmarkEnd w:id="118"/>
      <w:bookmarkStart w:id="119" w:name="_Toc184312077"/>
      <w:bookmarkEnd w:id="119"/>
      <w:bookmarkStart w:id="120" w:name="_Toc184314446"/>
      <w:bookmarkEnd w:id="120"/>
      <w:bookmarkStart w:id="121" w:name="_Toc184314441"/>
      <w:bookmarkEnd w:id="121"/>
      <w:bookmarkStart w:id="122" w:name="_Toc184310306"/>
      <w:bookmarkEnd w:id="122"/>
      <w:bookmarkStart w:id="123" w:name="_Toc184313238"/>
      <w:bookmarkEnd w:id="123"/>
      <w:bookmarkStart w:id="124" w:name="_Toc184308043"/>
      <w:bookmarkEnd w:id="124"/>
      <w:bookmarkStart w:id="125" w:name="_Toc184308044"/>
      <w:bookmarkEnd w:id="125"/>
      <w:bookmarkStart w:id="126" w:name="_Toc184312109"/>
      <w:bookmarkEnd w:id="126"/>
      <w:bookmarkStart w:id="127" w:name="_Toc184308086"/>
      <w:bookmarkEnd w:id="127"/>
      <w:bookmarkStart w:id="128" w:name="_Toc184308100"/>
      <w:bookmarkEnd w:id="128"/>
      <w:bookmarkStart w:id="129" w:name="_Toc184312134"/>
      <w:bookmarkEnd w:id="129"/>
      <w:bookmarkStart w:id="130" w:name="_Toc184314421"/>
      <w:bookmarkEnd w:id="130"/>
      <w:bookmarkStart w:id="131" w:name="_Toc184312116"/>
      <w:bookmarkEnd w:id="131"/>
      <w:bookmarkStart w:id="132" w:name="_Toc184314430"/>
      <w:bookmarkEnd w:id="132"/>
      <w:bookmarkStart w:id="133" w:name="_Toc184312093"/>
      <w:bookmarkEnd w:id="133"/>
      <w:bookmarkStart w:id="134" w:name="_Toc184313276"/>
      <w:bookmarkEnd w:id="134"/>
      <w:bookmarkStart w:id="135" w:name="_Toc184308041"/>
      <w:bookmarkEnd w:id="135"/>
      <w:bookmarkStart w:id="136" w:name="_Toc184308108"/>
      <w:bookmarkEnd w:id="136"/>
      <w:bookmarkStart w:id="137" w:name="_Toc184310278"/>
      <w:bookmarkEnd w:id="137"/>
      <w:bookmarkStart w:id="138" w:name="_Toc184312079"/>
      <w:bookmarkEnd w:id="138"/>
      <w:bookmarkStart w:id="139" w:name="_Toc184310338"/>
      <w:bookmarkEnd w:id="139"/>
      <w:bookmarkStart w:id="140" w:name="_Toc184308039"/>
      <w:bookmarkEnd w:id="140"/>
      <w:bookmarkStart w:id="141" w:name="_Toc184310331"/>
      <w:bookmarkEnd w:id="141"/>
      <w:bookmarkStart w:id="142" w:name="_Toc184313257"/>
      <w:bookmarkEnd w:id="142"/>
      <w:bookmarkStart w:id="143" w:name="_Toc184312104"/>
      <w:bookmarkEnd w:id="143"/>
      <w:bookmarkStart w:id="144" w:name="_Toc184310302"/>
      <w:bookmarkEnd w:id="144"/>
      <w:bookmarkStart w:id="145" w:name="_Toc184314459"/>
      <w:bookmarkEnd w:id="145"/>
      <w:bookmarkStart w:id="146" w:name="_Toc184312125"/>
      <w:bookmarkEnd w:id="146"/>
      <w:bookmarkStart w:id="147" w:name="_Toc184308046"/>
      <w:bookmarkEnd w:id="147"/>
      <w:bookmarkStart w:id="148" w:name="_Toc184314455"/>
      <w:bookmarkEnd w:id="148"/>
      <w:bookmarkStart w:id="149" w:name="_Toc184314424"/>
      <w:bookmarkEnd w:id="149"/>
      <w:bookmarkStart w:id="150" w:name="_Toc184314482"/>
      <w:bookmarkEnd w:id="150"/>
      <w:bookmarkStart w:id="151" w:name="_Toc184313250"/>
      <w:bookmarkEnd w:id="151"/>
      <w:bookmarkStart w:id="152" w:name="_Toc184310298"/>
      <w:bookmarkEnd w:id="152"/>
      <w:bookmarkStart w:id="153" w:name="_Toc184314478"/>
      <w:bookmarkEnd w:id="153"/>
      <w:bookmarkStart w:id="154" w:name="_Toc184312120"/>
      <w:bookmarkEnd w:id="154"/>
      <w:bookmarkStart w:id="155" w:name="_Toc184312129"/>
      <w:bookmarkEnd w:id="155"/>
      <w:bookmarkStart w:id="156" w:name="_Toc184313266"/>
      <w:bookmarkEnd w:id="156"/>
      <w:bookmarkStart w:id="157" w:name="_Toc184314481"/>
      <w:bookmarkEnd w:id="157"/>
      <w:bookmarkStart w:id="158" w:name="_Toc184310310"/>
      <w:bookmarkEnd w:id="158"/>
      <w:bookmarkStart w:id="159" w:name="_Toc184313275"/>
      <w:bookmarkEnd w:id="159"/>
      <w:bookmarkStart w:id="160" w:name="_Toc184310342"/>
      <w:bookmarkEnd w:id="160"/>
      <w:bookmarkStart w:id="161" w:name="_Toc184313278"/>
      <w:bookmarkEnd w:id="161"/>
      <w:bookmarkStart w:id="162" w:name="_Toc184313282"/>
      <w:bookmarkEnd w:id="162"/>
      <w:bookmarkStart w:id="163" w:name="_Toc184308097"/>
      <w:bookmarkEnd w:id="163"/>
      <w:bookmarkStart w:id="164" w:name="_Toc184308053"/>
      <w:bookmarkEnd w:id="164"/>
      <w:bookmarkStart w:id="165" w:name="_Toc184313242"/>
      <w:bookmarkEnd w:id="165"/>
      <w:bookmarkStart w:id="166" w:name="_Toc184314440"/>
      <w:bookmarkEnd w:id="166"/>
      <w:bookmarkStart w:id="167" w:name="_Toc184308103"/>
      <w:bookmarkEnd w:id="167"/>
      <w:bookmarkStart w:id="168" w:name="_Toc184313280"/>
      <w:bookmarkEnd w:id="168"/>
      <w:bookmarkStart w:id="169" w:name="_Toc184310288"/>
      <w:bookmarkEnd w:id="169"/>
      <w:bookmarkStart w:id="170" w:name="_Toc184308058"/>
      <w:bookmarkEnd w:id="170"/>
      <w:bookmarkStart w:id="171" w:name="_Toc184314476"/>
      <w:bookmarkEnd w:id="171"/>
      <w:bookmarkStart w:id="172" w:name="_Toc184310275"/>
      <w:bookmarkEnd w:id="172"/>
      <w:bookmarkStart w:id="173" w:name="_Toc184312090"/>
      <w:bookmarkEnd w:id="173"/>
      <w:bookmarkStart w:id="174" w:name="_Toc184312085"/>
      <w:bookmarkEnd w:id="174"/>
      <w:bookmarkStart w:id="175" w:name="_Toc184308091"/>
      <w:bookmarkEnd w:id="175"/>
      <w:bookmarkStart w:id="176" w:name="_Toc184310328"/>
      <w:bookmarkEnd w:id="176"/>
      <w:bookmarkStart w:id="177" w:name="_Toc184313297"/>
      <w:bookmarkEnd w:id="177"/>
      <w:bookmarkStart w:id="178" w:name="_Toc184310341"/>
      <w:bookmarkEnd w:id="178"/>
      <w:bookmarkStart w:id="179" w:name="_Toc184314417"/>
      <w:bookmarkEnd w:id="179"/>
      <w:bookmarkStart w:id="180" w:name="_Toc184310335"/>
      <w:bookmarkEnd w:id="180"/>
      <w:bookmarkStart w:id="181" w:name="_Toc184312115"/>
      <w:bookmarkEnd w:id="181"/>
      <w:bookmarkStart w:id="182" w:name="_Toc184312130"/>
      <w:bookmarkEnd w:id="182"/>
      <w:bookmarkStart w:id="183" w:name="_Toc184314477"/>
      <w:bookmarkEnd w:id="183"/>
      <w:bookmarkStart w:id="184" w:name="_Toc184313270"/>
      <w:bookmarkEnd w:id="184"/>
      <w:bookmarkStart w:id="185" w:name="_Toc184312083"/>
      <w:bookmarkEnd w:id="185"/>
      <w:bookmarkStart w:id="186" w:name="_Toc184308055"/>
      <w:bookmarkEnd w:id="186"/>
      <w:bookmarkStart w:id="187" w:name="_Toc184313273"/>
      <w:bookmarkEnd w:id="187"/>
      <w:bookmarkStart w:id="188" w:name="_Toc184313272"/>
      <w:bookmarkEnd w:id="188"/>
      <w:bookmarkStart w:id="189" w:name="_Toc184312133"/>
      <w:bookmarkEnd w:id="189"/>
      <w:bookmarkStart w:id="190" w:name="_Toc184312074"/>
      <w:bookmarkEnd w:id="190"/>
      <w:bookmarkStart w:id="191" w:name="_Toc184308088"/>
      <w:bookmarkEnd w:id="191"/>
      <w:bookmarkStart w:id="192" w:name="_Toc184308099"/>
      <w:bookmarkEnd w:id="192"/>
      <w:bookmarkStart w:id="193" w:name="_Toc184310292"/>
      <w:bookmarkEnd w:id="193"/>
      <w:bookmarkStart w:id="194" w:name="_Toc184310296"/>
      <w:bookmarkEnd w:id="194"/>
      <w:bookmarkStart w:id="195" w:name="_Toc184313294"/>
      <w:bookmarkEnd w:id="195"/>
      <w:bookmarkStart w:id="196" w:name="_Toc184310276"/>
      <w:bookmarkEnd w:id="196"/>
      <w:bookmarkStart w:id="197" w:name="_Toc184314468"/>
      <w:bookmarkEnd w:id="197"/>
      <w:bookmarkStart w:id="198" w:name="_Toc184308061"/>
      <w:bookmarkEnd w:id="198"/>
      <w:bookmarkStart w:id="199" w:name="_Toc184308050"/>
      <w:bookmarkEnd w:id="199"/>
      <w:bookmarkStart w:id="200" w:name="_Toc184312096"/>
      <w:bookmarkEnd w:id="200"/>
      <w:bookmarkStart w:id="201" w:name="_Toc184313251"/>
      <w:bookmarkEnd w:id="201"/>
      <w:bookmarkStart w:id="202" w:name="_Toc184310287"/>
      <w:bookmarkEnd w:id="202"/>
      <w:bookmarkStart w:id="203" w:name="_Toc184312087"/>
      <w:bookmarkEnd w:id="203"/>
      <w:bookmarkStart w:id="204" w:name="_Toc184312071"/>
      <w:bookmarkEnd w:id="204"/>
      <w:bookmarkStart w:id="205" w:name="_Toc184312094"/>
      <w:bookmarkEnd w:id="205"/>
      <w:bookmarkStart w:id="206" w:name="_Toc184314454"/>
      <w:bookmarkEnd w:id="206"/>
      <w:bookmarkStart w:id="207" w:name="_Toc184313304"/>
      <w:bookmarkEnd w:id="207"/>
      <w:bookmarkStart w:id="208" w:name="_Toc184310320"/>
      <w:bookmarkEnd w:id="208"/>
      <w:bookmarkStart w:id="209" w:name="_Toc184310344"/>
      <w:bookmarkEnd w:id="209"/>
      <w:bookmarkStart w:id="210" w:name="_Toc184308094"/>
      <w:bookmarkEnd w:id="210"/>
      <w:bookmarkStart w:id="211" w:name="_Toc184313274"/>
      <w:bookmarkEnd w:id="211"/>
      <w:bookmarkStart w:id="212" w:name="_Toc184312124"/>
      <w:bookmarkEnd w:id="212"/>
      <w:bookmarkStart w:id="213" w:name="_Toc184314460"/>
      <w:bookmarkEnd w:id="213"/>
      <w:bookmarkStart w:id="214" w:name="_Toc184308076"/>
      <w:bookmarkEnd w:id="214"/>
      <w:bookmarkStart w:id="215" w:name="_Toc184313268"/>
      <w:bookmarkEnd w:id="215"/>
      <w:bookmarkStart w:id="216" w:name="_Toc184308040"/>
      <w:bookmarkEnd w:id="216"/>
      <w:bookmarkStart w:id="217" w:name="_Toc184314437"/>
      <w:bookmarkEnd w:id="217"/>
      <w:bookmarkStart w:id="218" w:name="_Toc184313289"/>
      <w:bookmarkEnd w:id="218"/>
      <w:bookmarkStart w:id="219" w:name="_Toc184310319"/>
      <w:bookmarkEnd w:id="219"/>
      <w:bookmarkStart w:id="220" w:name="_Toc184308078"/>
      <w:bookmarkEnd w:id="220"/>
      <w:bookmarkStart w:id="221" w:name="_Toc184314473"/>
      <w:bookmarkEnd w:id="221"/>
      <w:bookmarkStart w:id="222" w:name="_Toc184310317"/>
      <w:bookmarkEnd w:id="222"/>
      <w:bookmarkStart w:id="223" w:name="_Toc184308042"/>
      <w:bookmarkEnd w:id="223"/>
      <w:bookmarkStart w:id="224" w:name="_Toc184312108"/>
      <w:bookmarkEnd w:id="224"/>
      <w:bookmarkStart w:id="225" w:name="_Toc184312091"/>
      <w:bookmarkEnd w:id="225"/>
      <w:bookmarkStart w:id="226" w:name="_Toc184310343"/>
      <w:bookmarkEnd w:id="226"/>
      <w:bookmarkStart w:id="227" w:name="_Toc184314479"/>
      <w:bookmarkEnd w:id="227"/>
      <w:bookmarkStart w:id="228" w:name="_Toc184310295"/>
      <w:bookmarkEnd w:id="228"/>
      <w:bookmarkStart w:id="229" w:name="_Toc184314432"/>
      <w:bookmarkEnd w:id="229"/>
      <w:bookmarkStart w:id="230" w:name="_Toc184310339"/>
      <w:bookmarkEnd w:id="230"/>
      <w:bookmarkStart w:id="231" w:name="_Toc184310327"/>
      <w:bookmarkEnd w:id="231"/>
      <w:bookmarkStart w:id="232" w:name="_Toc184314442"/>
      <w:bookmarkEnd w:id="232"/>
      <w:bookmarkStart w:id="233" w:name="_Toc184308095"/>
      <w:bookmarkEnd w:id="233"/>
      <w:bookmarkStart w:id="234" w:name="_Toc184313262"/>
      <w:bookmarkEnd w:id="234"/>
      <w:bookmarkStart w:id="235" w:name="_Toc184312128"/>
      <w:bookmarkEnd w:id="235"/>
      <w:bookmarkStart w:id="236" w:name="_Toc184313301"/>
      <w:bookmarkEnd w:id="236"/>
      <w:bookmarkStart w:id="237" w:name="_Toc184314425"/>
      <w:bookmarkEnd w:id="237"/>
      <w:bookmarkStart w:id="238" w:name="_Toc184314428"/>
      <w:bookmarkEnd w:id="238"/>
      <w:bookmarkStart w:id="239" w:name="_Toc184308065"/>
      <w:bookmarkEnd w:id="239"/>
      <w:bookmarkStart w:id="240" w:name="_Toc184314475"/>
      <w:bookmarkEnd w:id="240"/>
      <w:bookmarkStart w:id="241" w:name="_Toc184312136"/>
      <w:bookmarkEnd w:id="241"/>
      <w:bookmarkStart w:id="242" w:name="_Toc184310337"/>
      <w:bookmarkEnd w:id="242"/>
      <w:bookmarkStart w:id="243" w:name="_Toc184313307"/>
      <w:bookmarkEnd w:id="243"/>
      <w:bookmarkStart w:id="244" w:name="_Toc184308037"/>
      <w:bookmarkEnd w:id="244"/>
      <w:bookmarkStart w:id="245" w:name="_Toc184308069"/>
      <w:bookmarkEnd w:id="245"/>
      <w:bookmarkStart w:id="246" w:name="_Toc184308036"/>
      <w:bookmarkEnd w:id="246"/>
      <w:bookmarkStart w:id="247" w:name="_Toc184308105"/>
      <w:bookmarkEnd w:id="247"/>
      <w:bookmarkStart w:id="248" w:name="_Toc184313295"/>
      <w:bookmarkEnd w:id="248"/>
      <w:bookmarkStart w:id="249" w:name="_Toc184314451"/>
      <w:bookmarkEnd w:id="249"/>
      <w:bookmarkStart w:id="250" w:name="_Toc184308080"/>
      <w:bookmarkEnd w:id="250"/>
      <w:bookmarkStart w:id="251" w:name="_Toc184313279"/>
      <w:bookmarkEnd w:id="251"/>
      <w:bookmarkStart w:id="252" w:name="_Toc184310326"/>
      <w:bookmarkEnd w:id="252"/>
      <w:bookmarkStart w:id="253" w:name="_Toc184313244"/>
      <w:bookmarkEnd w:id="253"/>
      <w:bookmarkStart w:id="254" w:name="_Toc184313306"/>
      <w:bookmarkEnd w:id="254"/>
      <w:bookmarkStart w:id="255" w:name="_Toc184308051"/>
      <w:bookmarkEnd w:id="255"/>
      <w:bookmarkStart w:id="256" w:name="_Toc184312072"/>
      <w:bookmarkEnd w:id="256"/>
      <w:bookmarkStart w:id="257" w:name="_Toc184308045"/>
      <w:bookmarkEnd w:id="257"/>
      <w:bookmarkStart w:id="258" w:name="_Toc184310304"/>
      <w:bookmarkEnd w:id="258"/>
      <w:bookmarkStart w:id="259" w:name="_Toc184313288"/>
      <w:bookmarkEnd w:id="259"/>
      <w:bookmarkStart w:id="260" w:name="_Toc184312068"/>
      <w:bookmarkEnd w:id="260"/>
      <w:bookmarkStart w:id="261" w:name="_Toc184312132"/>
      <w:bookmarkEnd w:id="261"/>
      <w:bookmarkStart w:id="262" w:name="_Toc184314447"/>
      <w:bookmarkEnd w:id="262"/>
      <w:bookmarkStart w:id="263" w:name="_Toc184313254"/>
      <w:bookmarkEnd w:id="263"/>
      <w:bookmarkStart w:id="264" w:name="_Toc184308104"/>
      <w:bookmarkEnd w:id="264"/>
      <w:bookmarkStart w:id="265" w:name="_Toc184312080"/>
      <w:bookmarkEnd w:id="265"/>
      <w:bookmarkStart w:id="266" w:name="_Toc184312089"/>
      <w:bookmarkEnd w:id="266"/>
      <w:bookmarkStart w:id="267" w:name="_Toc184310283"/>
      <w:bookmarkEnd w:id="267"/>
      <w:bookmarkStart w:id="268" w:name="_Toc184314414"/>
      <w:bookmarkEnd w:id="268"/>
      <w:bookmarkStart w:id="269" w:name="_Toc184312110"/>
      <w:bookmarkEnd w:id="269"/>
      <w:bookmarkStart w:id="270" w:name="_Toc184314467"/>
      <w:bookmarkEnd w:id="270"/>
      <w:bookmarkStart w:id="271" w:name="_Toc184308073"/>
      <w:bookmarkEnd w:id="271"/>
      <w:bookmarkStart w:id="272" w:name="_Toc184308084"/>
      <w:bookmarkEnd w:id="272"/>
      <w:bookmarkStart w:id="273" w:name="_Toc184312084"/>
      <w:bookmarkEnd w:id="273"/>
      <w:bookmarkStart w:id="274" w:name="_Toc184312119"/>
      <w:bookmarkEnd w:id="274"/>
      <w:bookmarkStart w:id="275" w:name="_Toc184314462"/>
      <w:bookmarkEnd w:id="275"/>
      <w:bookmarkStart w:id="276" w:name="_Toc184312114"/>
      <w:bookmarkEnd w:id="276"/>
      <w:bookmarkStart w:id="277" w:name="_Toc184314463"/>
      <w:bookmarkEnd w:id="277"/>
      <w:bookmarkStart w:id="278" w:name="_Toc184312097"/>
      <w:bookmarkEnd w:id="278"/>
      <w:bookmarkStart w:id="279" w:name="_Toc184310286"/>
      <w:bookmarkEnd w:id="279"/>
      <w:bookmarkStart w:id="280" w:name="_Toc184310301"/>
      <w:bookmarkEnd w:id="280"/>
      <w:bookmarkStart w:id="281" w:name="_Toc184312126"/>
      <w:bookmarkEnd w:id="281"/>
      <w:bookmarkStart w:id="282" w:name="_Toc184308092"/>
      <w:bookmarkEnd w:id="282"/>
      <w:bookmarkStart w:id="283" w:name="_Toc184314453"/>
      <w:bookmarkEnd w:id="283"/>
      <w:bookmarkStart w:id="284" w:name="_Toc184308081"/>
      <w:bookmarkEnd w:id="284"/>
      <w:bookmarkStart w:id="285" w:name="_Toc184313296"/>
      <w:bookmarkEnd w:id="285"/>
      <w:bookmarkStart w:id="286" w:name="_Toc184308060"/>
      <w:bookmarkEnd w:id="286"/>
      <w:bookmarkStart w:id="287" w:name="_Toc184308106"/>
      <w:bookmarkEnd w:id="287"/>
      <w:bookmarkStart w:id="288" w:name="_Toc184313308"/>
      <w:bookmarkEnd w:id="288"/>
      <w:bookmarkStart w:id="289" w:name="_Toc184308063"/>
      <w:bookmarkEnd w:id="289"/>
      <w:bookmarkStart w:id="290" w:name="_Toc184310307"/>
      <w:bookmarkEnd w:id="290"/>
      <w:bookmarkStart w:id="291" w:name="_Toc184310279"/>
      <w:bookmarkEnd w:id="291"/>
      <w:bookmarkStart w:id="292" w:name="_Toc184308072"/>
      <w:bookmarkEnd w:id="292"/>
      <w:bookmarkStart w:id="293" w:name="_Toc184308062"/>
      <w:bookmarkEnd w:id="293"/>
      <w:bookmarkStart w:id="294" w:name="_Toc184308098"/>
      <w:bookmarkEnd w:id="294"/>
      <w:bookmarkStart w:id="295" w:name="_Toc184312138"/>
      <w:bookmarkEnd w:id="295"/>
      <w:bookmarkStart w:id="296" w:name="_Toc184314474"/>
      <w:bookmarkEnd w:id="296"/>
      <w:bookmarkStart w:id="297" w:name="_Toc184313258"/>
      <w:bookmarkEnd w:id="297"/>
      <w:bookmarkStart w:id="298" w:name="_Toc184308049"/>
      <w:bookmarkEnd w:id="298"/>
      <w:bookmarkStart w:id="299" w:name="_Toc184313286"/>
      <w:bookmarkEnd w:id="299"/>
      <w:bookmarkStart w:id="300" w:name="_Toc184313287"/>
      <w:bookmarkEnd w:id="300"/>
      <w:bookmarkStart w:id="301" w:name="_Toc184313263"/>
      <w:bookmarkEnd w:id="301"/>
      <w:bookmarkStart w:id="302" w:name="_Toc184312078"/>
      <w:bookmarkEnd w:id="302"/>
      <w:bookmarkStart w:id="303" w:name="_Toc184314472"/>
      <w:bookmarkEnd w:id="303"/>
      <w:bookmarkStart w:id="304" w:name="_Toc184312103"/>
      <w:bookmarkEnd w:id="304"/>
      <w:bookmarkStart w:id="305" w:name="_Toc184312073"/>
      <w:bookmarkEnd w:id="305"/>
      <w:bookmarkStart w:id="306" w:name="_Toc184312070"/>
      <w:bookmarkEnd w:id="306"/>
      <w:bookmarkStart w:id="307" w:name="_Toc184310315"/>
      <w:bookmarkEnd w:id="307"/>
      <w:bookmarkStart w:id="308" w:name="_Toc184310277"/>
      <w:bookmarkEnd w:id="308"/>
      <w:bookmarkStart w:id="309" w:name="_Toc184308075"/>
      <w:bookmarkEnd w:id="309"/>
      <w:bookmarkStart w:id="310" w:name="_Toc184310281"/>
      <w:bookmarkEnd w:id="310"/>
      <w:bookmarkStart w:id="311" w:name="_Toc184310329"/>
      <w:bookmarkEnd w:id="311"/>
      <w:bookmarkStart w:id="312" w:name="_Toc184314420"/>
      <w:bookmarkEnd w:id="312"/>
      <w:bookmarkStart w:id="313" w:name="_Toc184310334"/>
      <w:bookmarkEnd w:id="313"/>
      <w:bookmarkStart w:id="314" w:name="_Toc184308064"/>
      <w:bookmarkEnd w:id="314"/>
      <w:bookmarkStart w:id="315" w:name="_Toc184312100"/>
      <w:bookmarkEnd w:id="315"/>
      <w:bookmarkStart w:id="316" w:name="_Toc184313285"/>
      <w:bookmarkEnd w:id="316"/>
      <w:bookmarkStart w:id="317" w:name="_Toc184312076"/>
      <w:bookmarkEnd w:id="317"/>
      <w:bookmarkStart w:id="318" w:name="_Toc184314415"/>
      <w:bookmarkEnd w:id="318"/>
      <w:bookmarkStart w:id="319" w:name="_Toc184313281"/>
      <w:bookmarkEnd w:id="319"/>
      <w:bookmarkStart w:id="320" w:name="_Toc184310333"/>
      <w:bookmarkEnd w:id="320"/>
      <w:bookmarkStart w:id="321" w:name="_Toc184310303"/>
      <w:bookmarkEnd w:id="321"/>
      <w:bookmarkStart w:id="322" w:name="_Toc184310318"/>
      <w:bookmarkEnd w:id="322"/>
      <w:bookmarkStart w:id="323" w:name="_Toc184313240"/>
      <w:bookmarkEnd w:id="323"/>
      <w:bookmarkStart w:id="324" w:name="_Toc184312117"/>
      <w:bookmarkEnd w:id="324"/>
      <w:bookmarkStart w:id="325" w:name="_Toc184313252"/>
      <w:bookmarkEnd w:id="325"/>
      <w:bookmarkStart w:id="326" w:name="_Toc184310272"/>
      <w:bookmarkEnd w:id="326"/>
      <w:bookmarkStart w:id="327" w:name="_Toc184313259"/>
      <w:bookmarkEnd w:id="327"/>
      <w:bookmarkStart w:id="328" w:name="_Toc184313248"/>
      <w:bookmarkEnd w:id="328"/>
      <w:bookmarkStart w:id="329" w:name="_Toc184310332"/>
      <w:bookmarkEnd w:id="329"/>
      <w:bookmarkStart w:id="330" w:name="_Toc184313256"/>
      <w:bookmarkEnd w:id="330"/>
      <w:bookmarkStart w:id="331" w:name="_Toc184313292"/>
      <w:bookmarkEnd w:id="331"/>
      <w:bookmarkStart w:id="332" w:name="_Toc184310309"/>
      <w:bookmarkEnd w:id="332"/>
      <w:bookmarkStart w:id="333" w:name="_Toc184312107"/>
      <w:bookmarkEnd w:id="333"/>
      <w:bookmarkStart w:id="334" w:name="_Toc184314448"/>
      <w:bookmarkEnd w:id="334"/>
      <w:bookmarkStart w:id="335" w:name="_Toc184308074"/>
      <w:bookmarkEnd w:id="335"/>
      <w:bookmarkStart w:id="336" w:name="_Toc184314464"/>
      <w:bookmarkEnd w:id="336"/>
      <w:bookmarkStart w:id="337" w:name="_Toc184313277"/>
      <w:bookmarkEnd w:id="337"/>
      <w:bookmarkStart w:id="338" w:name="_Toc184310284"/>
      <w:bookmarkEnd w:id="338"/>
      <w:bookmarkStart w:id="339" w:name="_Toc184314443"/>
      <w:bookmarkEnd w:id="339"/>
      <w:bookmarkStart w:id="340" w:name="_Toc184314438"/>
      <w:bookmarkEnd w:id="340"/>
      <w:bookmarkStart w:id="341" w:name="_Toc184310340"/>
      <w:bookmarkEnd w:id="341"/>
      <w:bookmarkStart w:id="342" w:name="_Toc184312112"/>
      <w:bookmarkEnd w:id="342"/>
      <w:bookmarkStart w:id="343" w:name="_Toc184308083"/>
      <w:bookmarkEnd w:id="343"/>
      <w:bookmarkStart w:id="344" w:name="_Toc184314470"/>
      <w:bookmarkEnd w:id="344"/>
      <w:bookmarkStart w:id="345" w:name="_Toc184313271"/>
      <w:bookmarkEnd w:id="345"/>
      <w:bookmarkStart w:id="346" w:name="_Toc184313261"/>
      <w:bookmarkEnd w:id="346"/>
      <w:bookmarkStart w:id="347" w:name="_Toc184314412"/>
      <w:bookmarkEnd w:id="347"/>
      <w:bookmarkStart w:id="348" w:name="_Toc184308077"/>
      <w:bookmarkEnd w:id="348"/>
      <w:bookmarkStart w:id="349" w:name="_Toc184314427"/>
      <w:bookmarkEnd w:id="349"/>
      <w:bookmarkStart w:id="350" w:name="_Toc184312127"/>
      <w:bookmarkEnd w:id="350"/>
      <w:bookmarkStart w:id="351" w:name="_Toc184310293"/>
      <w:bookmarkEnd w:id="351"/>
      <w:bookmarkStart w:id="352" w:name="_Toc184314469"/>
      <w:bookmarkEnd w:id="352"/>
      <w:bookmarkStart w:id="353" w:name="_Toc184312067"/>
      <w:bookmarkEnd w:id="353"/>
      <w:bookmarkStart w:id="354" w:name="_Toc184314426"/>
      <w:bookmarkEnd w:id="354"/>
      <w:bookmarkStart w:id="355" w:name="_Toc184314410"/>
      <w:bookmarkEnd w:id="355"/>
      <w:bookmarkStart w:id="356" w:name="_Toc184310314"/>
      <w:bookmarkEnd w:id="356"/>
      <w:bookmarkStart w:id="357" w:name="_Toc184314439"/>
      <w:bookmarkEnd w:id="357"/>
      <w:bookmarkStart w:id="358" w:name="_Toc184314422"/>
      <w:bookmarkEnd w:id="358"/>
      <w:bookmarkStart w:id="359" w:name="_Toc184313284"/>
      <w:bookmarkEnd w:id="359"/>
      <w:bookmarkStart w:id="360" w:name="_Toc184308089"/>
      <w:bookmarkEnd w:id="360"/>
      <w:bookmarkStart w:id="361" w:name="_Toc184313299"/>
      <w:bookmarkEnd w:id="361"/>
      <w:bookmarkStart w:id="362" w:name="_Toc184308090"/>
      <w:bookmarkEnd w:id="362"/>
      <w:bookmarkStart w:id="363" w:name="_Toc184310291"/>
      <w:bookmarkEnd w:id="363"/>
      <w:bookmarkStart w:id="364" w:name="_Toc184314449"/>
      <w:bookmarkEnd w:id="364"/>
      <w:bookmarkStart w:id="365" w:name="_Toc184310324"/>
      <w:bookmarkEnd w:id="365"/>
      <w:bookmarkStart w:id="366" w:name="_Toc184313283"/>
      <w:bookmarkEnd w:id="366"/>
      <w:bookmarkStart w:id="367" w:name="_Toc184314465"/>
      <w:bookmarkEnd w:id="367"/>
      <w:bookmarkStart w:id="368" w:name="_Toc184314434"/>
      <w:bookmarkEnd w:id="368"/>
      <w:bookmarkStart w:id="369" w:name="_Toc184312088"/>
      <w:bookmarkEnd w:id="369"/>
      <w:bookmarkStart w:id="370" w:name="_Toc184308102"/>
      <w:bookmarkEnd w:id="370"/>
      <w:bookmarkStart w:id="371" w:name="_Toc184313241"/>
      <w:bookmarkEnd w:id="371"/>
      <w:bookmarkStart w:id="372" w:name="_Toc184312122"/>
      <w:bookmarkEnd w:id="372"/>
      <w:bookmarkStart w:id="373" w:name="_Toc184310322"/>
      <w:bookmarkEnd w:id="373"/>
      <w:bookmarkStart w:id="374" w:name="_Toc184312135"/>
      <w:bookmarkEnd w:id="374"/>
      <w:bookmarkStart w:id="375" w:name="_Toc184310280"/>
      <w:bookmarkEnd w:id="375"/>
      <w:bookmarkStart w:id="376" w:name="_Toc184314431"/>
      <w:bookmarkEnd w:id="376"/>
      <w:bookmarkStart w:id="377" w:name="_Toc184312121"/>
      <w:bookmarkEnd w:id="377"/>
      <w:bookmarkStart w:id="378" w:name="_Toc184314452"/>
      <w:bookmarkEnd w:id="378"/>
      <w:bookmarkStart w:id="379" w:name="_Toc184310316"/>
      <w:bookmarkEnd w:id="379"/>
      <w:bookmarkStart w:id="380" w:name="_Toc184313253"/>
      <w:bookmarkEnd w:id="380"/>
      <w:bookmarkStart w:id="381" w:name="_Toc184313255"/>
      <w:bookmarkEnd w:id="381"/>
      <w:bookmarkStart w:id="382" w:name="_Toc184314466"/>
      <w:bookmarkEnd w:id="382"/>
      <w:bookmarkStart w:id="383" w:name="_Toc184308085"/>
      <w:bookmarkEnd w:id="383"/>
      <w:bookmarkStart w:id="384" w:name="_Toc184308052"/>
      <w:bookmarkEnd w:id="384"/>
      <w:bookmarkStart w:id="385" w:name="_Toc184314436"/>
      <w:bookmarkEnd w:id="385"/>
      <w:bookmarkStart w:id="386" w:name="_Toc184310297"/>
      <w:bookmarkEnd w:id="386"/>
      <w:bookmarkStart w:id="387" w:name="_Toc184308079"/>
      <w:bookmarkEnd w:id="387"/>
      <w:bookmarkStart w:id="388" w:name="_Toc184313260"/>
      <w:bookmarkEnd w:id="388"/>
      <w:bookmarkStart w:id="389" w:name="_Toc184308038"/>
      <w:bookmarkEnd w:id="389"/>
      <w:bookmarkStart w:id="390" w:name="_Toc184312102"/>
      <w:bookmarkEnd w:id="390"/>
      <w:bookmarkStart w:id="391" w:name="_Toc184312118"/>
      <w:bookmarkEnd w:id="391"/>
      <w:bookmarkStart w:id="392" w:name="_Toc184308048"/>
      <w:bookmarkEnd w:id="392"/>
      <w:bookmarkStart w:id="393" w:name="_Toc184310323"/>
      <w:bookmarkEnd w:id="393"/>
      <w:bookmarkStart w:id="394" w:name="_Toc184308070"/>
      <w:bookmarkEnd w:id="394"/>
      <w:bookmarkStart w:id="395" w:name="_Toc184314480"/>
      <w:bookmarkEnd w:id="395"/>
      <w:bookmarkStart w:id="396" w:name="_Toc184312101"/>
      <w:bookmarkEnd w:id="396"/>
      <w:bookmarkStart w:id="397" w:name="_Toc184312082"/>
      <w:bookmarkEnd w:id="397"/>
      <w:bookmarkStart w:id="398" w:name="_Toc184314416"/>
      <w:bookmarkEnd w:id="398"/>
      <w:bookmarkStart w:id="399" w:name="_Toc184310273"/>
      <w:bookmarkEnd w:id="399"/>
      <w:bookmarkStart w:id="400" w:name="_Toc184308093"/>
      <w:bookmarkEnd w:id="400"/>
      <w:bookmarkStart w:id="401" w:name="_Toc184308082"/>
      <w:bookmarkEnd w:id="401"/>
      <w:bookmarkStart w:id="402" w:name="_Toc184313290"/>
      <w:bookmarkEnd w:id="402"/>
      <w:bookmarkStart w:id="403" w:name="_Toc184314445"/>
      <w:bookmarkEnd w:id="403"/>
      <w:bookmarkStart w:id="404" w:name="_Toc184313298"/>
      <w:bookmarkEnd w:id="404"/>
      <w:bookmarkStart w:id="405" w:name="_Toc184314423"/>
      <w:bookmarkEnd w:id="405"/>
      <w:bookmarkStart w:id="406" w:name="_Toc184312069"/>
      <w:bookmarkEnd w:id="406"/>
      <w:bookmarkStart w:id="407" w:name="_Toc184314458"/>
      <w:bookmarkEnd w:id="407"/>
      <w:bookmarkStart w:id="408" w:name="_Toc184313239"/>
      <w:bookmarkEnd w:id="408"/>
      <w:bookmarkStart w:id="409" w:name="_Toc184313291"/>
      <w:bookmarkEnd w:id="409"/>
      <w:bookmarkStart w:id="410" w:name="_Toc184310325"/>
      <w:bookmarkEnd w:id="410"/>
      <w:bookmarkStart w:id="411" w:name="_Toc184310290"/>
      <w:bookmarkEnd w:id="411"/>
      <w:bookmarkStart w:id="412" w:name="_Toc184312105"/>
      <w:bookmarkEnd w:id="412"/>
      <w:bookmarkStart w:id="413" w:name="_Toc184314461"/>
      <w:bookmarkEnd w:id="413"/>
      <w:bookmarkStart w:id="414" w:name="_Toc184308047"/>
      <w:bookmarkEnd w:id="414"/>
      <w:bookmarkStart w:id="415" w:name="_Toc184310313"/>
      <w:bookmarkEnd w:id="415"/>
      <w:bookmarkStart w:id="416" w:name="_Toc184310312"/>
      <w:bookmarkEnd w:id="416"/>
      <w:bookmarkStart w:id="417" w:name="_Toc184310321"/>
      <w:bookmarkEnd w:id="417"/>
      <w:bookmarkStart w:id="418" w:name="_Toc184313269"/>
      <w:bookmarkEnd w:id="418"/>
      <w:bookmarkStart w:id="419" w:name="_Toc184313267"/>
      <w:bookmarkEnd w:id="419"/>
      <w:bookmarkStart w:id="420" w:name="_Toc184312113"/>
      <w:bookmarkEnd w:id="420"/>
      <w:bookmarkStart w:id="421" w:name="_Toc184312075"/>
      <w:bookmarkEnd w:id="421"/>
      <w:bookmarkStart w:id="422" w:name="_Toc184312139"/>
      <w:bookmarkEnd w:id="422"/>
      <w:r>
        <w:rPr>
          <w:rFonts w:hint="eastAsia" w:ascii="宋体" w:hAnsi="宋体" w:cs="宋体"/>
          <w:b/>
          <w:color w:val="auto"/>
          <w:sz w:val="36"/>
          <w:szCs w:val="36"/>
        </w:rPr>
        <w:t>评标办法</w:t>
      </w:r>
    </w:p>
    <w:p w14:paraId="2D5F6BAB">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2"/>
        <w:tblW w:w="10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131"/>
        <w:gridCol w:w="6429"/>
        <w:gridCol w:w="675"/>
        <w:gridCol w:w="853"/>
      </w:tblGrid>
      <w:tr w14:paraId="4876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4" w:type="dxa"/>
            <w:gridSpan w:val="3"/>
            <w:vAlign w:val="center"/>
          </w:tcPr>
          <w:p w14:paraId="3AAD14D9">
            <w:pPr>
              <w:spacing w:line="400" w:lineRule="exact"/>
              <w:jc w:val="center"/>
              <w:rPr>
                <w:rFonts w:ascii="宋体" w:hAnsi="宋体" w:cs="宋体"/>
                <w:b/>
                <w:bCs/>
                <w:color w:val="auto"/>
              </w:rPr>
            </w:pPr>
            <w:r>
              <w:rPr>
                <w:rFonts w:hint="eastAsia" w:ascii="宋体" w:hAnsi="宋体" w:cs="宋体"/>
                <w:b/>
                <w:bCs/>
                <w:color w:val="auto"/>
              </w:rPr>
              <w:t>评分内容</w:t>
            </w:r>
          </w:p>
        </w:tc>
        <w:tc>
          <w:tcPr>
            <w:tcW w:w="675" w:type="dxa"/>
            <w:vAlign w:val="center"/>
          </w:tcPr>
          <w:p w14:paraId="1069434C">
            <w:pPr>
              <w:spacing w:line="400" w:lineRule="exact"/>
              <w:jc w:val="center"/>
              <w:rPr>
                <w:rFonts w:ascii="宋体" w:hAnsi="宋体" w:cs="宋体"/>
                <w:b/>
                <w:bCs/>
                <w:color w:val="auto"/>
              </w:rPr>
            </w:pPr>
            <w:r>
              <w:rPr>
                <w:rFonts w:hint="eastAsia" w:ascii="宋体" w:hAnsi="宋体" w:cs="宋体"/>
                <w:b/>
                <w:bCs/>
                <w:color w:val="auto"/>
              </w:rPr>
              <w:t>分值</w:t>
            </w:r>
          </w:p>
        </w:tc>
        <w:tc>
          <w:tcPr>
            <w:tcW w:w="853" w:type="dxa"/>
            <w:vAlign w:val="center"/>
          </w:tcPr>
          <w:p w14:paraId="771CC3D5">
            <w:pPr>
              <w:spacing w:line="400" w:lineRule="exact"/>
              <w:jc w:val="center"/>
              <w:rPr>
                <w:rFonts w:ascii="宋体" w:hAnsi="宋体" w:cs="宋体"/>
                <w:b/>
                <w:bCs/>
                <w:color w:val="auto"/>
              </w:rPr>
            </w:pPr>
            <w:r>
              <w:rPr>
                <w:rFonts w:hint="eastAsia" w:ascii="宋体" w:hAnsi="宋体" w:cs="宋体"/>
                <w:b/>
                <w:bCs/>
                <w:color w:val="auto"/>
              </w:rPr>
              <w:t>属性</w:t>
            </w:r>
          </w:p>
        </w:tc>
      </w:tr>
      <w:tr w14:paraId="69B0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Align w:val="center"/>
          </w:tcPr>
          <w:p w14:paraId="5F28DBD4">
            <w:pPr>
              <w:spacing w:line="400" w:lineRule="exact"/>
              <w:jc w:val="center"/>
              <w:rPr>
                <w:rFonts w:ascii="宋体" w:hAnsi="宋体" w:cs="宋体"/>
                <w:b/>
                <w:bCs/>
                <w:color w:val="auto"/>
              </w:rPr>
            </w:pPr>
            <w:r>
              <w:rPr>
                <w:rFonts w:hint="eastAsia" w:ascii="宋体" w:hAnsi="宋体" w:cs="宋体"/>
                <w:color w:val="auto"/>
              </w:rPr>
              <w:t>报价分（30分）</w:t>
            </w:r>
          </w:p>
        </w:tc>
        <w:tc>
          <w:tcPr>
            <w:tcW w:w="7560" w:type="dxa"/>
            <w:gridSpan w:val="2"/>
            <w:vAlign w:val="center"/>
          </w:tcPr>
          <w:p w14:paraId="2B00BCD0">
            <w:pPr>
              <w:spacing w:line="400" w:lineRule="exact"/>
              <w:jc w:val="left"/>
              <w:rPr>
                <w:rFonts w:ascii="宋体" w:hAnsi="宋体" w:cs="宋体"/>
                <w:color w:val="auto"/>
              </w:rPr>
            </w:pPr>
            <w:r>
              <w:rPr>
                <w:rFonts w:hint="eastAsia" w:ascii="宋体" w:hAnsi="宋体" w:cs="宋体"/>
                <w:color w:val="auto"/>
              </w:rPr>
              <w:t>1）评标基准价指的是满足采购文件要求且最低的参与评审的价格；</w:t>
            </w:r>
          </w:p>
          <w:p w14:paraId="36653F43">
            <w:pPr>
              <w:spacing w:line="400" w:lineRule="exact"/>
              <w:jc w:val="left"/>
              <w:rPr>
                <w:rFonts w:ascii="宋体" w:hAnsi="宋体" w:cs="宋体"/>
                <w:color w:val="auto"/>
              </w:rPr>
            </w:pPr>
            <w:r>
              <w:rPr>
                <w:rFonts w:hint="eastAsia" w:ascii="宋体" w:hAnsi="宋体" w:cs="宋体"/>
                <w:color w:val="auto"/>
              </w:rPr>
              <w:t>2）参与评审的价格=投标报价-小微企业价格扣除优惠值10%（如有）；</w:t>
            </w:r>
          </w:p>
          <w:p w14:paraId="2EF34DF7">
            <w:pPr>
              <w:spacing w:line="400" w:lineRule="exact"/>
              <w:jc w:val="left"/>
              <w:rPr>
                <w:rFonts w:ascii="宋体" w:hAnsi="宋体" w:cs="宋体"/>
                <w:color w:val="auto"/>
              </w:rPr>
            </w:pPr>
            <w:r>
              <w:rPr>
                <w:rFonts w:hint="eastAsia" w:ascii="宋体" w:hAnsi="宋体" w:cs="宋体"/>
                <w:color w:val="auto"/>
              </w:rPr>
              <w:t>3）参与评审的价格为评标基准价的其价格分得满分30分；</w:t>
            </w:r>
          </w:p>
          <w:p w14:paraId="11D74565">
            <w:pPr>
              <w:spacing w:line="400" w:lineRule="exact"/>
              <w:jc w:val="left"/>
              <w:rPr>
                <w:rFonts w:ascii="宋体" w:hAnsi="宋体" w:cs="宋体"/>
                <w:b/>
                <w:bCs/>
                <w:color w:val="auto"/>
              </w:rPr>
            </w:pPr>
            <w:r>
              <w:rPr>
                <w:rFonts w:hint="eastAsia" w:ascii="宋体" w:hAnsi="宋体" w:cs="宋体"/>
                <w:color w:val="auto"/>
              </w:rPr>
              <w:t>4）其他</w:t>
            </w:r>
            <w:r>
              <w:rPr>
                <w:rFonts w:hint="eastAsia" w:ascii="宋体" w:hAnsi="宋体" w:cs="宋体"/>
                <w:color w:val="auto"/>
                <w:lang w:eastAsia="zh-CN"/>
              </w:rPr>
              <w:t>投标人</w:t>
            </w:r>
            <w:r>
              <w:rPr>
                <w:rFonts w:hint="eastAsia" w:ascii="宋体" w:hAnsi="宋体" w:cs="宋体"/>
                <w:color w:val="auto"/>
              </w:rPr>
              <w:t>价格得分按照下列公式计算：价格得分=（评标基准价/各</w:t>
            </w:r>
            <w:r>
              <w:rPr>
                <w:rFonts w:hint="eastAsia" w:ascii="宋体" w:hAnsi="宋体" w:cs="宋体"/>
                <w:color w:val="auto"/>
                <w:lang w:eastAsia="zh-CN"/>
              </w:rPr>
              <w:t>投标人</w:t>
            </w:r>
            <w:r>
              <w:rPr>
                <w:rFonts w:hint="eastAsia" w:ascii="宋体" w:hAnsi="宋体" w:cs="宋体"/>
                <w:color w:val="auto"/>
              </w:rPr>
              <w:t>参与评审的价格）×30％×100。</w:t>
            </w:r>
          </w:p>
        </w:tc>
        <w:tc>
          <w:tcPr>
            <w:tcW w:w="675" w:type="dxa"/>
            <w:vAlign w:val="center"/>
          </w:tcPr>
          <w:p w14:paraId="4280169A">
            <w:pPr>
              <w:spacing w:line="400" w:lineRule="exact"/>
              <w:jc w:val="center"/>
              <w:rPr>
                <w:rFonts w:ascii="宋体" w:hAnsi="宋体" w:cs="宋体"/>
                <w:b/>
                <w:bCs/>
                <w:color w:val="auto"/>
              </w:rPr>
            </w:pPr>
            <w:r>
              <w:rPr>
                <w:rFonts w:hint="eastAsia" w:ascii="宋体" w:hAnsi="宋体" w:cs="宋体"/>
                <w:color w:val="auto"/>
              </w:rPr>
              <w:t>30</w:t>
            </w:r>
          </w:p>
        </w:tc>
        <w:tc>
          <w:tcPr>
            <w:tcW w:w="853" w:type="dxa"/>
            <w:vAlign w:val="center"/>
          </w:tcPr>
          <w:p w14:paraId="6CC211C5">
            <w:pPr>
              <w:spacing w:line="400" w:lineRule="exact"/>
              <w:jc w:val="center"/>
              <w:rPr>
                <w:rFonts w:ascii="宋体" w:hAnsi="宋体" w:cs="宋体"/>
                <w:b/>
                <w:bCs/>
                <w:color w:val="auto"/>
              </w:rPr>
            </w:pPr>
            <w:r>
              <w:rPr>
                <w:rFonts w:hint="eastAsia" w:ascii="宋体" w:hAnsi="宋体" w:cs="宋体"/>
                <w:bCs/>
                <w:color w:val="auto"/>
              </w:rPr>
              <w:t>客观分</w:t>
            </w:r>
          </w:p>
        </w:tc>
      </w:tr>
      <w:tr w14:paraId="4AB4D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1104" w:type="dxa"/>
            <w:vMerge w:val="restart"/>
            <w:vAlign w:val="center"/>
          </w:tcPr>
          <w:p w14:paraId="27A12E11">
            <w:pPr>
              <w:spacing w:line="400" w:lineRule="exact"/>
              <w:jc w:val="center"/>
              <w:rPr>
                <w:rFonts w:ascii="宋体" w:hAnsi="宋体" w:cs="宋体"/>
                <w:color w:val="auto"/>
              </w:rPr>
            </w:pPr>
            <w:r>
              <w:rPr>
                <w:rFonts w:hint="eastAsia" w:ascii="宋体" w:hAnsi="宋体" w:cs="宋体"/>
                <w:color w:val="auto"/>
              </w:rPr>
              <w:t>商务</w:t>
            </w:r>
          </w:p>
          <w:p w14:paraId="7CB7CC07">
            <w:pPr>
              <w:spacing w:line="400" w:lineRule="exact"/>
              <w:jc w:val="center"/>
              <w:rPr>
                <w:rFonts w:ascii="宋体" w:hAnsi="宋体" w:cs="宋体"/>
                <w:color w:val="auto"/>
              </w:rPr>
            </w:pPr>
            <w:r>
              <w:rPr>
                <w:rFonts w:hint="eastAsia" w:ascii="宋体" w:hAnsi="宋体" w:cs="宋体"/>
                <w:color w:val="auto"/>
              </w:rPr>
              <w:t>技术分（70分）</w:t>
            </w:r>
          </w:p>
        </w:tc>
        <w:tc>
          <w:tcPr>
            <w:tcW w:w="7560" w:type="dxa"/>
            <w:gridSpan w:val="2"/>
            <w:vAlign w:val="center"/>
          </w:tcPr>
          <w:p w14:paraId="579D2EF2">
            <w:pPr>
              <w:numPr>
                <w:ilvl w:val="0"/>
                <w:numId w:val="0"/>
              </w:numPr>
              <w:spacing w:line="400" w:lineRule="exact"/>
              <w:jc w:val="left"/>
              <w:rPr>
                <w:rFonts w:ascii="宋体" w:hAnsi="宋体" w:cs="宋体"/>
                <w:color w:val="auto"/>
              </w:rPr>
            </w:pPr>
            <w:r>
              <w:rPr>
                <w:rFonts w:hint="eastAsia" w:ascii="宋体" w:hAnsi="宋体" w:eastAsia="宋体" w:cs="宋体"/>
                <w:color w:val="auto"/>
                <w:kern w:val="2"/>
                <w:sz w:val="21"/>
                <w:szCs w:val="24"/>
                <w:lang w:val="en-US" w:eastAsia="zh-CN" w:bidi="ar-SA"/>
              </w:rPr>
              <w:t>1、</w:t>
            </w:r>
            <w:r>
              <w:rPr>
                <w:rFonts w:hint="eastAsia" w:ascii="宋体" w:hAnsi="宋体" w:cs="宋体"/>
                <w:color w:val="auto"/>
              </w:rPr>
              <w:t>技术参数响应情况（</w:t>
            </w:r>
            <w:r>
              <w:rPr>
                <w:rFonts w:hint="eastAsia" w:ascii="宋体" w:hAnsi="宋体" w:cs="宋体"/>
                <w:color w:val="auto"/>
                <w:lang w:val="en-US" w:eastAsia="zh-CN"/>
              </w:rPr>
              <w:t>32</w:t>
            </w:r>
            <w:r>
              <w:rPr>
                <w:rFonts w:hint="eastAsia" w:ascii="宋体" w:hAnsi="宋体" w:cs="宋体"/>
                <w:color w:val="auto"/>
              </w:rPr>
              <w:t>分）：响应并满足采购文件第二部分采购需求中商务及技术（含设备需求清单的设备描述）要求的得</w:t>
            </w:r>
            <w:r>
              <w:rPr>
                <w:rFonts w:hint="eastAsia" w:ascii="宋体" w:hAnsi="宋体" w:cs="宋体"/>
                <w:color w:val="auto"/>
                <w:lang w:val="en-US" w:eastAsia="zh-CN"/>
              </w:rPr>
              <w:t>32</w:t>
            </w:r>
            <w:r>
              <w:rPr>
                <w:rFonts w:hint="eastAsia" w:ascii="宋体" w:hAnsi="宋体" w:cs="宋体"/>
                <w:color w:val="auto"/>
              </w:rPr>
              <w:t>分；标注“★”的条款每负偏离或未响应一项条款作无效投标处理；标注“▲”的条款每负偏离或未响应一项条款扣</w:t>
            </w:r>
            <w:r>
              <w:rPr>
                <w:rFonts w:hint="eastAsia" w:ascii="宋体" w:hAnsi="宋体" w:cs="宋体"/>
                <w:color w:val="auto"/>
                <w:lang w:val="en-US" w:eastAsia="zh-CN"/>
              </w:rPr>
              <w:t>1</w:t>
            </w:r>
            <w:r>
              <w:rPr>
                <w:rFonts w:hint="eastAsia" w:ascii="宋体" w:hAnsi="宋体" w:cs="宋体"/>
                <w:color w:val="auto"/>
              </w:rPr>
              <w:t>分，未标注的条款每负偏离或未响应一项条款扣</w:t>
            </w:r>
            <w:r>
              <w:rPr>
                <w:rFonts w:hint="eastAsia" w:ascii="宋体" w:hAnsi="宋体" w:cs="宋体"/>
                <w:color w:val="auto"/>
                <w:lang w:val="en-US" w:eastAsia="zh-CN"/>
              </w:rPr>
              <w:t>0.5</w:t>
            </w:r>
            <w:r>
              <w:rPr>
                <w:rFonts w:hint="eastAsia" w:ascii="宋体" w:hAnsi="宋体" w:cs="宋体"/>
                <w:color w:val="auto"/>
              </w:rPr>
              <w:t>分，</w:t>
            </w:r>
            <w:r>
              <w:rPr>
                <w:rFonts w:hint="eastAsia" w:ascii="宋体" w:hAnsi="宋体" w:cs="宋体"/>
                <w:b/>
                <w:bCs/>
                <w:color w:val="auto"/>
              </w:rPr>
              <w:t>扣至0分的将对其作无效投标处理。</w:t>
            </w:r>
          </w:p>
        </w:tc>
        <w:tc>
          <w:tcPr>
            <w:tcW w:w="675" w:type="dxa"/>
            <w:vAlign w:val="center"/>
          </w:tcPr>
          <w:p w14:paraId="6F73BEDA">
            <w:pPr>
              <w:spacing w:line="400" w:lineRule="exact"/>
              <w:jc w:val="center"/>
              <w:rPr>
                <w:rFonts w:hint="default" w:ascii="宋体" w:hAnsi="宋体" w:eastAsia="宋体" w:cs="宋体"/>
                <w:color w:val="auto"/>
                <w:lang w:val="en-US" w:eastAsia="zh-CN"/>
              </w:rPr>
            </w:pPr>
            <w:r>
              <w:rPr>
                <w:rFonts w:hint="eastAsia" w:ascii="宋体" w:hAnsi="宋体" w:cs="宋体"/>
                <w:color w:val="auto"/>
                <w:lang w:val="en-US" w:eastAsia="zh-CN"/>
              </w:rPr>
              <w:t>32</w:t>
            </w:r>
          </w:p>
        </w:tc>
        <w:tc>
          <w:tcPr>
            <w:tcW w:w="853" w:type="dxa"/>
            <w:vAlign w:val="center"/>
          </w:tcPr>
          <w:p w14:paraId="4EE3FE42">
            <w:pPr>
              <w:spacing w:line="400" w:lineRule="exact"/>
              <w:jc w:val="center"/>
              <w:rPr>
                <w:rFonts w:ascii="宋体" w:hAnsi="宋体" w:cs="宋体"/>
                <w:bCs/>
                <w:color w:val="auto"/>
              </w:rPr>
            </w:pPr>
            <w:r>
              <w:rPr>
                <w:rFonts w:hint="eastAsia" w:ascii="宋体" w:hAnsi="宋体" w:cs="宋体"/>
                <w:bCs/>
                <w:color w:val="auto"/>
              </w:rPr>
              <w:t>客观分</w:t>
            </w:r>
          </w:p>
        </w:tc>
      </w:tr>
      <w:tr w14:paraId="02FF7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1104" w:type="dxa"/>
            <w:vMerge w:val="continue"/>
            <w:vAlign w:val="center"/>
          </w:tcPr>
          <w:p w14:paraId="46256BD3">
            <w:pPr>
              <w:spacing w:line="400" w:lineRule="exact"/>
              <w:jc w:val="center"/>
              <w:rPr>
                <w:rFonts w:ascii="宋体" w:hAnsi="宋体" w:cs="宋体"/>
                <w:color w:val="auto"/>
              </w:rPr>
            </w:pPr>
          </w:p>
        </w:tc>
        <w:tc>
          <w:tcPr>
            <w:tcW w:w="1131" w:type="dxa"/>
            <w:vAlign w:val="center"/>
          </w:tcPr>
          <w:p w14:paraId="7F3B981F">
            <w:pPr>
              <w:spacing w:line="400" w:lineRule="exact"/>
              <w:jc w:val="left"/>
              <w:rPr>
                <w:rFonts w:ascii="宋体" w:hAnsi="宋体" w:cs="宋体"/>
                <w:color w:val="auto"/>
              </w:rPr>
            </w:pPr>
            <w:r>
              <w:rPr>
                <w:rFonts w:hint="eastAsia" w:ascii="宋体" w:hAnsi="宋体" w:cs="宋体"/>
                <w:color w:val="auto"/>
              </w:rPr>
              <w:t>2、</w:t>
            </w:r>
            <w:r>
              <w:rPr>
                <w:rFonts w:hint="eastAsia" w:ascii="宋体" w:hAnsi="宋体" w:cs="宋体"/>
                <w:color w:val="auto"/>
                <w:lang w:val="zh-CN"/>
              </w:rPr>
              <w:t>系统</w:t>
            </w:r>
            <w:r>
              <w:rPr>
                <w:rFonts w:hint="eastAsia" w:ascii="宋体" w:hAnsi="宋体" w:cs="宋体"/>
                <w:color w:val="auto"/>
              </w:rPr>
              <w:t>设计方案(</w:t>
            </w:r>
            <w:r>
              <w:rPr>
                <w:rFonts w:hint="eastAsia" w:ascii="宋体" w:hAnsi="宋体" w:cs="宋体"/>
                <w:color w:val="auto"/>
                <w:lang w:val="en-US" w:eastAsia="zh-CN"/>
              </w:rPr>
              <w:t>5</w:t>
            </w:r>
            <w:r>
              <w:rPr>
                <w:rFonts w:hint="eastAsia" w:ascii="宋体" w:hAnsi="宋体" w:cs="宋体"/>
                <w:color w:val="auto"/>
              </w:rPr>
              <w:t>分)</w:t>
            </w:r>
          </w:p>
        </w:tc>
        <w:tc>
          <w:tcPr>
            <w:tcW w:w="6429" w:type="dxa"/>
            <w:vAlign w:val="center"/>
          </w:tcPr>
          <w:p w14:paraId="3829AF37">
            <w:pPr>
              <w:spacing w:line="400" w:lineRule="exact"/>
              <w:jc w:val="left"/>
              <w:rPr>
                <w:rFonts w:hint="eastAsia" w:ascii="宋体" w:hAnsi="宋体" w:cs="宋体"/>
                <w:bCs/>
                <w:color w:val="auto"/>
                <w:lang w:val="zh-CN"/>
              </w:rPr>
            </w:pPr>
            <w:r>
              <w:rPr>
                <w:rFonts w:hint="eastAsia" w:ascii="宋体" w:hAnsi="宋体" w:cs="宋体"/>
                <w:bCs/>
                <w:color w:val="auto"/>
                <w:lang w:val="zh-CN"/>
              </w:rPr>
              <w:t>根据投标人提供的系统设计方案进行评议。</w:t>
            </w:r>
          </w:p>
          <w:p w14:paraId="6EF0FA29">
            <w:pPr>
              <w:spacing w:line="400" w:lineRule="exact"/>
              <w:jc w:val="left"/>
              <w:rPr>
                <w:rFonts w:hint="eastAsia" w:ascii="宋体" w:hAnsi="宋体" w:cs="宋体"/>
                <w:bCs/>
                <w:color w:val="auto"/>
                <w:lang w:val="zh-CN"/>
              </w:rPr>
            </w:pPr>
            <w:r>
              <w:rPr>
                <w:rFonts w:hint="eastAsia" w:ascii="宋体" w:hAnsi="宋体" w:cs="宋体"/>
                <w:bCs/>
                <w:color w:val="auto"/>
                <w:lang w:val="zh-CN"/>
              </w:rPr>
              <w:t>①系统设计方案内容全面完整、描述清晰，切实可行的得</w:t>
            </w:r>
            <w:r>
              <w:rPr>
                <w:rFonts w:hint="eastAsia" w:ascii="宋体" w:hAnsi="宋体" w:cs="宋体"/>
                <w:bCs/>
                <w:color w:val="auto"/>
                <w:lang w:val="en-US" w:eastAsia="zh-CN"/>
              </w:rPr>
              <w:t>5</w:t>
            </w:r>
            <w:r>
              <w:rPr>
                <w:rFonts w:hint="eastAsia" w:ascii="宋体" w:hAnsi="宋体" w:cs="宋体"/>
                <w:bCs/>
                <w:color w:val="auto"/>
                <w:lang w:val="zh-CN"/>
              </w:rPr>
              <w:t>分；</w:t>
            </w:r>
          </w:p>
          <w:p w14:paraId="10BF6F85">
            <w:pPr>
              <w:spacing w:line="400" w:lineRule="exact"/>
              <w:jc w:val="left"/>
              <w:rPr>
                <w:rFonts w:hint="eastAsia" w:ascii="宋体" w:hAnsi="宋体" w:cs="宋体"/>
                <w:bCs/>
                <w:color w:val="auto"/>
                <w:lang w:val="zh-CN"/>
              </w:rPr>
            </w:pPr>
            <w:r>
              <w:rPr>
                <w:rFonts w:hint="eastAsia" w:ascii="宋体" w:hAnsi="宋体" w:cs="宋体"/>
                <w:bCs/>
                <w:color w:val="auto"/>
                <w:lang w:val="zh-CN"/>
              </w:rPr>
              <w:t>②系统设计方案内容比较详细，合理可行的得</w:t>
            </w:r>
            <w:r>
              <w:rPr>
                <w:rFonts w:hint="eastAsia" w:ascii="宋体" w:hAnsi="宋体" w:cs="宋体"/>
                <w:bCs/>
                <w:color w:val="auto"/>
                <w:lang w:val="en-US" w:eastAsia="zh-CN"/>
              </w:rPr>
              <w:t>3</w:t>
            </w:r>
            <w:r>
              <w:rPr>
                <w:rFonts w:hint="eastAsia" w:ascii="宋体" w:hAnsi="宋体" w:cs="宋体"/>
                <w:bCs/>
                <w:color w:val="auto"/>
                <w:lang w:val="zh-CN"/>
              </w:rPr>
              <w:t>分；</w:t>
            </w:r>
          </w:p>
          <w:p w14:paraId="32B1E8FB">
            <w:pPr>
              <w:spacing w:line="400" w:lineRule="exact"/>
              <w:jc w:val="left"/>
              <w:rPr>
                <w:rFonts w:hint="eastAsia" w:ascii="宋体" w:hAnsi="宋体" w:cs="宋体"/>
                <w:bCs/>
                <w:color w:val="auto"/>
                <w:lang w:val="zh-CN"/>
              </w:rPr>
            </w:pPr>
            <w:r>
              <w:rPr>
                <w:rFonts w:hint="eastAsia" w:ascii="宋体" w:hAnsi="宋体" w:cs="宋体"/>
                <w:bCs/>
                <w:color w:val="auto"/>
                <w:lang w:val="zh-CN"/>
              </w:rPr>
              <w:t>③系统设计方案内容简单笼统，细化程度不足的得</w:t>
            </w:r>
            <w:r>
              <w:rPr>
                <w:rFonts w:hint="eastAsia" w:ascii="宋体" w:hAnsi="宋体" w:cs="宋体"/>
                <w:bCs/>
                <w:color w:val="auto"/>
                <w:lang w:val="en-US" w:eastAsia="zh-CN"/>
              </w:rPr>
              <w:t>1</w:t>
            </w:r>
            <w:r>
              <w:rPr>
                <w:rFonts w:hint="eastAsia" w:ascii="宋体" w:hAnsi="宋体" w:cs="宋体"/>
                <w:bCs/>
                <w:color w:val="auto"/>
                <w:lang w:val="zh-CN"/>
              </w:rPr>
              <w:t>分；</w:t>
            </w:r>
          </w:p>
          <w:p w14:paraId="1507F457">
            <w:pPr>
              <w:spacing w:line="400" w:lineRule="exact"/>
              <w:jc w:val="left"/>
              <w:rPr>
                <w:rFonts w:ascii="宋体" w:hAnsi="宋体" w:cs="宋体"/>
                <w:color w:val="auto"/>
              </w:rPr>
            </w:pPr>
            <w:r>
              <w:rPr>
                <w:rFonts w:hint="eastAsia" w:ascii="宋体" w:hAnsi="宋体" w:cs="宋体"/>
                <w:bCs/>
                <w:color w:val="auto"/>
                <w:lang w:val="zh-CN"/>
              </w:rPr>
              <w:fldChar w:fldCharType="begin"/>
            </w:r>
            <w:r>
              <w:rPr>
                <w:rFonts w:hint="eastAsia" w:ascii="宋体" w:hAnsi="宋体" w:cs="宋体"/>
                <w:bCs/>
                <w:color w:val="auto"/>
                <w:lang w:val="zh-CN"/>
              </w:rPr>
              <w:instrText xml:space="preserve"> = 4 \* GB3 </w:instrText>
            </w:r>
            <w:r>
              <w:rPr>
                <w:rFonts w:hint="eastAsia" w:ascii="宋体" w:hAnsi="宋体" w:cs="宋体"/>
                <w:bCs/>
                <w:color w:val="auto"/>
                <w:lang w:val="zh-CN"/>
              </w:rPr>
              <w:fldChar w:fldCharType="separate"/>
            </w:r>
            <w:r>
              <w:rPr>
                <w:rFonts w:hint="eastAsia" w:ascii="宋体" w:hAnsi="宋体" w:cs="宋体"/>
                <w:bCs/>
                <w:color w:val="auto"/>
                <w:lang w:val="zh-CN"/>
              </w:rPr>
              <w:t>④</w:t>
            </w:r>
            <w:r>
              <w:rPr>
                <w:rFonts w:hint="eastAsia" w:ascii="宋体" w:hAnsi="宋体" w:cs="宋体"/>
                <w:bCs/>
                <w:color w:val="auto"/>
                <w:lang w:val="zh-CN"/>
              </w:rPr>
              <w:fldChar w:fldCharType="end"/>
            </w:r>
            <w:r>
              <w:rPr>
                <w:rFonts w:hint="eastAsia" w:ascii="宋体" w:hAnsi="宋体" w:cs="宋体"/>
                <w:bCs/>
                <w:color w:val="auto"/>
                <w:lang w:val="zh-CN"/>
              </w:rPr>
              <w:t>系统设计方案缺陷较多且明显影响项目建设质量的或未提供的不得分。</w:t>
            </w:r>
          </w:p>
        </w:tc>
        <w:tc>
          <w:tcPr>
            <w:tcW w:w="675" w:type="dxa"/>
            <w:vAlign w:val="center"/>
          </w:tcPr>
          <w:p w14:paraId="10EB754A">
            <w:pPr>
              <w:spacing w:line="400" w:lineRule="exact"/>
              <w:jc w:val="center"/>
              <w:rPr>
                <w:rFonts w:hint="eastAsia" w:ascii="宋体" w:hAnsi="宋体" w:eastAsia="宋体" w:cs="宋体"/>
                <w:color w:val="auto"/>
                <w:lang w:eastAsia="zh-CN"/>
              </w:rPr>
            </w:pPr>
            <w:r>
              <w:rPr>
                <w:rFonts w:hint="eastAsia" w:ascii="宋体" w:hAnsi="宋体" w:cs="宋体"/>
                <w:color w:val="auto"/>
                <w:lang w:val="en-US" w:eastAsia="zh-CN"/>
              </w:rPr>
              <w:t>5</w:t>
            </w:r>
          </w:p>
        </w:tc>
        <w:tc>
          <w:tcPr>
            <w:tcW w:w="853" w:type="dxa"/>
            <w:vAlign w:val="center"/>
          </w:tcPr>
          <w:p w14:paraId="4D6DBA48">
            <w:pPr>
              <w:spacing w:line="400" w:lineRule="exact"/>
              <w:jc w:val="center"/>
              <w:rPr>
                <w:rFonts w:ascii="宋体" w:hAnsi="宋体" w:cs="宋体"/>
                <w:bCs/>
                <w:color w:val="auto"/>
              </w:rPr>
            </w:pPr>
            <w:r>
              <w:rPr>
                <w:rFonts w:hint="eastAsia" w:ascii="宋体" w:hAnsi="宋体" w:cs="宋体"/>
                <w:color w:val="auto"/>
              </w:rPr>
              <w:t>主观分</w:t>
            </w:r>
          </w:p>
        </w:tc>
      </w:tr>
      <w:tr w14:paraId="37E6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104" w:type="dxa"/>
            <w:vMerge w:val="continue"/>
            <w:vAlign w:val="center"/>
          </w:tcPr>
          <w:p w14:paraId="30850E53">
            <w:pPr>
              <w:spacing w:line="400" w:lineRule="exact"/>
              <w:jc w:val="center"/>
              <w:rPr>
                <w:rFonts w:ascii="宋体" w:hAnsi="宋体" w:cs="宋体"/>
                <w:color w:val="auto"/>
              </w:rPr>
            </w:pPr>
          </w:p>
        </w:tc>
        <w:tc>
          <w:tcPr>
            <w:tcW w:w="1131" w:type="dxa"/>
            <w:vAlign w:val="center"/>
          </w:tcPr>
          <w:p w14:paraId="63C94460">
            <w:pPr>
              <w:spacing w:line="400" w:lineRule="exact"/>
              <w:jc w:val="left"/>
              <w:rPr>
                <w:rFonts w:hint="eastAsia" w:ascii="宋体" w:hAnsi="宋体" w:cs="宋体"/>
                <w:color w:val="auto"/>
              </w:rPr>
            </w:pPr>
            <w:r>
              <w:rPr>
                <w:rFonts w:hint="eastAsia" w:ascii="宋体" w:hAnsi="宋体" w:cs="宋体"/>
                <w:color w:val="auto"/>
              </w:rPr>
              <w:t>3、系统集成的设计图纸(</w:t>
            </w:r>
            <w:r>
              <w:rPr>
                <w:rFonts w:hint="eastAsia" w:ascii="宋体" w:hAnsi="宋体" w:cs="宋体"/>
                <w:color w:val="auto"/>
                <w:lang w:val="en-US" w:eastAsia="zh-CN"/>
              </w:rPr>
              <w:t>5</w:t>
            </w:r>
            <w:r>
              <w:rPr>
                <w:rFonts w:hint="eastAsia" w:ascii="宋体" w:hAnsi="宋体" w:cs="宋体"/>
                <w:color w:val="auto"/>
              </w:rPr>
              <w:t>分)</w:t>
            </w:r>
          </w:p>
        </w:tc>
        <w:tc>
          <w:tcPr>
            <w:tcW w:w="6429" w:type="dxa"/>
            <w:vAlign w:val="center"/>
          </w:tcPr>
          <w:p w14:paraId="1720BB82">
            <w:pPr>
              <w:spacing w:line="400" w:lineRule="exact"/>
              <w:jc w:val="left"/>
              <w:rPr>
                <w:rFonts w:hint="eastAsia" w:ascii="宋体" w:hAnsi="宋体" w:cs="宋体"/>
                <w:color w:val="auto"/>
                <w:lang w:val="zh-CN"/>
              </w:rPr>
            </w:pPr>
            <w:r>
              <w:rPr>
                <w:rFonts w:hint="eastAsia" w:ascii="宋体" w:hAnsi="宋体" w:cs="宋体"/>
                <w:color w:val="auto"/>
                <w:lang w:val="zh-CN"/>
              </w:rPr>
              <w:t>根据投标人提供的系统集成的设计图纸进行评议。</w:t>
            </w:r>
          </w:p>
          <w:p w14:paraId="4496541D">
            <w:pPr>
              <w:spacing w:line="400" w:lineRule="exact"/>
              <w:jc w:val="left"/>
              <w:rPr>
                <w:rFonts w:hint="eastAsia" w:ascii="宋体" w:hAnsi="宋体" w:cs="宋体"/>
                <w:color w:val="auto"/>
                <w:lang w:val="zh-CN"/>
              </w:rPr>
            </w:pPr>
            <w:r>
              <w:rPr>
                <w:rFonts w:hint="eastAsia" w:ascii="宋体" w:hAnsi="宋体" w:cs="宋体"/>
                <w:color w:val="auto"/>
                <w:lang w:val="zh-CN"/>
              </w:rPr>
              <w:t>①图纸内容完整、清晰，切实可行的得</w:t>
            </w:r>
            <w:r>
              <w:rPr>
                <w:rFonts w:hint="eastAsia" w:ascii="宋体" w:hAnsi="宋体" w:cs="宋体"/>
                <w:color w:val="auto"/>
                <w:lang w:val="en-US" w:eastAsia="zh-CN"/>
              </w:rPr>
              <w:t>5</w:t>
            </w:r>
            <w:r>
              <w:rPr>
                <w:rFonts w:hint="eastAsia" w:ascii="宋体" w:hAnsi="宋体" w:cs="宋体"/>
                <w:color w:val="auto"/>
                <w:lang w:val="zh-CN"/>
              </w:rPr>
              <w:t>分；</w:t>
            </w:r>
          </w:p>
          <w:p w14:paraId="2F4CE23E">
            <w:pPr>
              <w:spacing w:line="400" w:lineRule="exact"/>
              <w:jc w:val="left"/>
              <w:rPr>
                <w:rFonts w:hint="eastAsia" w:ascii="宋体" w:hAnsi="宋体" w:cs="宋体"/>
                <w:color w:val="auto"/>
                <w:lang w:val="zh-CN"/>
              </w:rPr>
            </w:pPr>
            <w:r>
              <w:rPr>
                <w:rFonts w:hint="eastAsia" w:ascii="宋体" w:hAnsi="宋体" w:cs="宋体"/>
                <w:color w:val="auto"/>
                <w:lang w:val="zh-CN"/>
              </w:rPr>
              <w:t>②图纸内容比较详细，合理可行的得</w:t>
            </w:r>
            <w:r>
              <w:rPr>
                <w:rFonts w:hint="eastAsia" w:ascii="宋体" w:hAnsi="宋体" w:cs="宋体"/>
                <w:color w:val="auto"/>
                <w:lang w:val="en-US" w:eastAsia="zh-CN"/>
              </w:rPr>
              <w:t>3</w:t>
            </w:r>
            <w:r>
              <w:rPr>
                <w:rFonts w:hint="eastAsia" w:ascii="宋体" w:hAnsi="宋体" w:cs="宋体"/>
                <w:color w:val="auto"/>
                <w:lang w:val="zh-CN"/>
              </w:rPr>
              <w:t>分；</w:t>
            </w:r>
          </w:p>
          <w:p w14:paraId="0E5FE74D">
            <w:pPr>
              <w:spacing w:line="400" w:lineRule="exact"/>
              <w:jc w:val="left"/>
              <w:rPr>
                <w:rFonts w:hint="eastAsia" w:ascii="宋体" w:hAnsi="宋体" w:cs="宋体"/>
                <w:color w:val="auto"/>
                <w:lang w:val="zh-CN"/>
              </w:rPr>
            </w:pPr>
            <w:r>
              <w:rPr>
                <w:rFonts w:hint="eastAsia" w:ascii="宋体" w:hAnsi="宋体" w:cs="宋体"/>
                <w:color w:val="auto"/>
                <w:lang w:val="zh-CN"/>
              </w:rPr>
              <w:t>③图纸内容简单笼统，细化程度不足的得</w:t>
            </w:r>
            <w:r>
              <w:rPr>
                <w:rFonts w:hint="eastAsia" w:ascii="宋体" w:hAnsi="宋体" w:cs="宋体"/>
                <w:color w:val="auto"/>
                <w:lang w:val="en-US" w:eastAsia="zh-CN"/>
              </w:rPr>
              <w:t>1</w:t>
            </w:r>
            <w:r>
              <w:rPr>
                <w:rFonts w:hint="eastAsia" w:ascii="宋体" w:hAnsi="宋体" w:cs="宋体"/>
                <w:color w:val="auto"/>
                <w:lang w:val="zh-CN"/>
              </w:rPr>
              <w:t>分；</w:t>
            </w:r>
          </w:p>
          <w:p w14:paraId="3E7D7E72">
            <w:pPr>
              <w:spacing w:line="400" w:lineRule="exact"/>
              <w:jc w:val="left"/>
              <w:rPr>
                <w:rFonts w:hint="eastAsia" w:ascii="宋体" w:hAnsi="宋体" w:cs="宋体"/>
                <w:color w:val="auto"/>
              </w:rPr>
            </w:pPr>
            <w:r>
              <w:rPr>
                <w:rFonts w:hint="eastAsia" w:ascii="宋体" w:hAnsi="宋体" w:cs="宋体"/>
                <w:color w:val="auto"/>
                <w:lang w:val="zh-CN"/>
              </w:rPr>
              <w:fldChar w:fldCharType="begin"/>
            </w:r>
            <w:r>
              <w:rPr>
                <w:rFonts w:hint="eastAsia" w:ascii="宋体" w:hAnsi="宋体" w:cs="宋体"/>
                <w:color w:val="auto"/>
                <w:lang w:val="zh-CN"/>
              </w:rPr>
              <w:instrText xml:space="preserve"> = 4 \* GB3 </w:instrText>
            </w:r>
            <w:r>
              <w:rPr>
                <w:rFonts w:hint="eastAsia" w:ascii="宋体" w:hAnsi="宋体" w:cs="宋体"/>
                <w:color w:val="auto"/>
                <w:lang w:val="zh-CN"/>
              </w:rPr>
              <w:fldChar w:fldCharType="separate"/>
            </w:r>
            <w:r>
              <w:rPr>
                <w:rFonts w:hint="eastAsia" w:ascii="宋体" w:hAnsi="宋体" w:cs="宋体"/>
                <w:color w:val="auto"/>
                <w:lang w:val="zh-CN"/>
              </w:rPr>
              <w:t>④</w:t>
            </w:r>
            <w:r>
              <w:rPr>
                <w:rFonts w:hint="eastAsia" w:ascii="宋体" w:hAnsi="宋体" w:cs="宋体"/>
                <w:color w:val="auto"/>
                <w:lang w:val="zh-CN"/>
              </w:rPr>
              <w:fldChar w:fldCharType="end"/>
            </w:r>
            <w:r>
              <w:rPr>
                <w:rFonts w:hint="eastAsia" w:ascii="宋体" w:hAnsi="宋体" w:cs="宋体"/>
                <w:color w:val="auto"/>
                <w:lang w:val="zh-CN"/>
              </w:rPr>
              <w:t>图纸内容缺陷较多且明显影响项目建设质量的或</w:t>
            </w:r>
            <w:bookmarkStart w:id="427" w:name="_GoBack"/>
            <w:bookmarkEnd w:id="427"/>
            <w:r>
              <w:rPr>
                <w:rFonts w:hint="eastAsia" w:ascii="宋体" w:hAnsi="宋体" w:cs="宋体"/>
                <w:color w:val="auto"/>
                <w:lang w:val="zh-CN"/>
              </w:rPr>
              <w:t>未提供的不得分。</w:t>
            </w:r>
          </w:p>
        </w:tc>
        <w:tc>
          <w:tcPr>
            <w:tcW w:w="675" w:type="dxa"/>
            <w:vAlign w:val="center"/>
          </w:tcPr>
          <w:p w14:paraId="5390A75F">
            <w:pPr>
              <w:spacing w:line="400" w:lineRule="exact"/>
              <w:jc w:val="center"/>
              <w:rPr>
                <w:rFonts w:hint="eastAsia" w:ascii="宋体" w:hAnsi="宋体" w:eastAsia="宋体" w:cs="宋体"/>
                <w:color w:val="auto"/>
                <w:lang w:eastAsia="zh-CN"/>
              </w:rPr>
            </w:pPr>
            <w:r>
              <w:rPr>
                <w:rFonts w:hint="eastAsia" w:ascii="宋体" w:hAnsi="宋体" w:cs="宋体"/>
                <w:color w:val="auto"/>
                <w:lang w:val="en-US" w:eastAsia="zh-CN"/>
              </w:rPr>
              <w:t>5</w:t>
            </w:r>
          </w:p>
        </w:tc>
        <w:tc>
          <w:tcPr>
            <w:tcW w:w="853" w:type="dxa"/>
            <w:vAlign w:val="center"/>
          </w:tcPr>
          <w:p w14:paraId="4156C72C">
            <w:pPr>
              <w:spacing w:line="400" w:lineRule="exact"/>
              <w:jc w:val="center"/>
              <w:rPr>
                <w:rFonts w:ascii="宋体" w:hAnsi="宋体" w:cs="宋体"/>
                <w:bCs/>
                <w:color w:val="auto"/>
              </w:rPr>
            </w:pPr>
            <w:r>
              <w:rPr>
                <w:rFonts w:hint="eastAsia" w:ascii="宋体" w:hAnsi="宋体" w:cs="宋体"/>
                <w:color w:val="auto"/>
              </w:rPr>
              <w:t>主观分</w:t>
            </w:r>
          </w:p>
        </w:tc>
      </w:tr>
      <w:tr w14:paraId="565C6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104" w:type="dxa"/>
            <w:vMerge w:val="continue"/>
            <w:vAlign w:val="center"/>
          </w:tcPr>
          <w:p w14:paraId="02FA2129">
            <w:pPr>
              <w:spacing w:line="400" w:lineRule="exact"/>
              <w:jc w:val="center"/>
              <w:rPr>
                <w:rFonts w:ascii="宋体" w:hAnsi="宋体" w:cs="宋体"/>
                <w:color w:val="auto"/>
              </w:rPr>
            </w:pPr>
          </w:p>
        </w:tc>
        <w:tc>
          <w:tcPr>
            <w:tcW w:w="1131" w:type="dxa"/>
            <w:vAlign w:val="center"/>
          </w:tcPr>
          <w:p w14:paraId="65540818">
            <w:pPr>
              <w:spacing w:line="400" w:lineRule="exact"/>
              <w:jc w:val="left"/>
              <w:rPr>
                <w:rFonts w:hint="eastAsia" w:ascii="宋体" w:hAnsi="宋体" w:cs="宋体"/>
                <w:color w:val="auto"/>
                <w:lang w:val="en-US" w:eastAsia="zh-CN"/>
              </w:rPr>
            </w:pPr>
            <w:r>
              <w:rPr>
                <w:rFonts w:hint="eastAsia" w:ascii="宋体" w:hAnsi="宋体" w:cs="宋体"/>
                <w:color w:val="auto"/>
                <w:lang w:val="en-US" w:eastAsia="zh-CN"/>
              </w:rPr>
              <w:t>4、</w:t>
            </w:r>
            <w:r>
              <w:rPr>
                <w:rFonts w:hint="eastAsia" w:ascii="宋体" w:hAnsi="宋体" w:cs="宋体"/>
                <w:color w:val="auto"/>
              </w:rPr>
              <w:t>供货方案（5分）</w:t>
            </w:r>
          </w:p>
        </w:tc>
        <w:tc>
          <w:tcPr>
            <w:tcW w:w="6429" w:type="dxa"/>
            <w:vAlign w:val="center"/>
          </w:tcPr>
          <w:p w14:paraId="2E3C954D">
            <w:pPr>
              <w:spacing w:line="400" w:lineRule="exact"/>
              <w:jc w:val="left"/>
              <w:rPr>
                <w:rFonts w:hint="eastAsia" w:ascii="宋体" w:hAnsi="宋体" w:cs="宋体"/>
                <w:color w:val="auto"/>
              </w:rPr>
            </w:pPr>
            <w:r>
              <w:rPr>
                <w:rFonts w:hint="eastAsia" w:ascii="宋体" w:hAnsi="宋体" w:cs="宋体"/>
                <w:color w:val="auto"/>
              </w:rPr>
              <w:t>根据</w:t>
            </w:r>
            <w:r>
              <w:rPr>
                <w:rFonts w:hint="eastAsia" w:ascii="宋体" w:hAnsi="宋体" w:cs="宋体"/>
                <w:color w:val="auto"/>
                <w:lang w:eastAsia="zh-CN"/>
              </w:rPr>
              <w:t>投标人</w:t>
            </w:r>
            <w:r>
              <w:rPr>
                <w:rFonts w:hint="eastAsia" w:ascii="宋体" w:hAnsi="宋体" w:cs="宋体"/>
                <w:color w:val="auto"/>
              </w:rPr>
              <w:t>提供的供货方案（包括供工期、交货方式、供货保障流程、供货流程要点、供货实施步骤）进行评议：</w:t>
            </w:r>
          </w:p>
          <w:p w14:paraId="245C35F0">
            <w:pPr>
              <w:spacing w:line="400" w:lineRule="exact"/>
              <w:jc w:val="left"/>
              <w:rPr>
                <w:rFonts w:hint="eastAsia" w:ascii="宋体" w:hAnsi="宋体" w:cs="宋体"/>
                <w:color w:val="auto"/>
              </w:rPr>
            </w:pPr>
            <w:r>
              <w:rPr>
                <w:rFonts w:hint="eastAsia" w:ascii="宋体" w:hAnsi="宋体" w:cs="宋体"/>
                <w:color w:val="auto"/>
                <w:lang w:val="zh-CN"/>
              </w:rPr>
              <w:t>①</w:t>
            </w:r>
            <w:r>
              <w:rPr>
                <w:rFonts w:hint="eastAsia" w:ascii="宋体" w:hAnsi="宋体" w:cs="宋体"/>
                <w:color w:val="auto"/>
              </w:rPr>
              <w:t>工期完全满足招标文件要求，交货方式切合实际，供货流程合理且供货流程要点明确，供货实施步骤清晰，能提供比较有针对性的服务措施的得5分；</w:t>
            </w:r>
          </w:p>
          <w:p w14:paraId="0E8C3783">
            <w:pPr>
              <w:spacing w:line="400" w:lineRule="exact"/>
              <w:jc w:val="left"/>
              <w:rPr>
                <w:rFonts w:hint="eastAsia" w:ascii="宋体" w:hAnsi="宋体" w:cs="宋体"/>
                <w:color w:val="auto"/>
              </w:rPr>
            </w:pPr>
            <w:r>
              <w:rPr>
                <w:rFonts w:hint="eastAsia" w:ascii="宋体" w:hAnsi="宋体" w:cs="宋体"/>
                <w:color w:val="auto"/>
                <w:lang w:val="zh-CN"/>
              </w:rPr>
              <w:t>②</w:t>
            </w:r>
            <w:r>
              <w:rPr>
                <w:rFonts w:hint="eastAsia" w:ascii="宋体" w:hAnsi="宋体" w:cs="宋体"/>
                <w:color w:val="auto"/>
              </w:rPr>
              <w:t>方案内容符合本项目的供货要求，方案实行上基本合理可行的得3分；</w:t>
            </w:r>
          </w:p>
          <w:p w14:paraId="332511E0">
            <w:pPr>
              <w:spacing w:line="400" w:lineRule="exact"/>
              <w:jc w:val="left"/>
              <w:rPr>
                <w:rFonts w:hint="eastAsia" w:ascii="宋体" w:hAnsi="宋体" w:cs="宋体"/>
                <w:color w:val="auto"/>
              </w:rPr>
            </w:pPr>
            <w:r>
              <w:rPr>
                <w:rFonts w:hint="eastAsia" w:ascii="宋体" w:hAnsi="宋体" w:cs="宋体"/>
                <w:color w:val="auto"/>
                <w:lang w:val="zh-CN"/>
              </w:rPr>
              <w:t>③</w:t>
            </w:r>
            <w:r>
              <w:rPr>
                <w:rFonts w:hint="eastAsia" w:ascii="宋体" w:hAnsi="宋体" w:cs="宋体"/>
                <w:color w:val="auto"/>
              </w:rPr>
              <w:t>方案内容不完整，内容不充分，与本项目货物供应要求有差距的得1分；</w:t>
            </w:r>
          </w:p>
          <w:p w14:paraId="7F117A3E">
            <w:pPr>
              <w:spacing w:line="400" w:lineRule="exact"/>
              <w:jc w:val="left"/>
              <w:rPr>
                <w:rFonts w:hint="eastAsia" w:ascii="宋体" w:hAnsi="宋体" w:cs="宋体"/>
                <w:color w:val="auto"/>
                <w:lang w:val="zh-CN"/>
              </w:rPr>
            </w:pPr>
            <w:r>
              <w:rPr>
                <w:rFonts w:hint="eastAsia" w:ascii="宋体" w:hAnsi="宋体" w:cs="宋体"/>
                <w:color w:val="auto"/>
                <w:lang w:val="zh-CN"/>
              </w:rPr>
              <w:fldChar w:fldCharType="begin"/>
            </w:r>
            <w:r>
              <w:rPr>
                <w:rFonts w:hint="eastAsia" w:ascii="宋体" w:hAnsi="宋体" w:cs="宋体"/>
                <w:color w:val="auto"/>
                <w:lang w:val="zh-CN"/>
              </w:rPr>
              <w:instrText xml:space="preserve"> = 4 \* GB3 </w:instrText>
            </w:r>
            <w:r>
              <w:rPr>
                <w:rFonts w:hint="eastAsia" w:ascii="宋体" w:hAnsi="宋体" w:cs="宋体"/>
                <w:color w:val="auto"/>
                <w:lang w:val="zh-CN"/>
              </w:rPr>
              <w:fldChar w:fldCharType="separate"/>
            </w:r>
            <w:r>
              <w:rPr>
                <w:rFonts w:hint="eastAsia" w:ascii="宋体" w:hAnsi="宋体" w:cs="宋体"/>
                <w:color w:val="auto"/>
                <w:lang w:val="zh-CN"/>
              </w:rPr>
              <w:t>④</w:t>
            </w:r>
            <w:r>
              <w:rPr>
                <w:rFonts w:hint="eastAsia" w:ascii="宋体" w:hAnsi="宋体" w:cs="宋体"/>
                <w:color w:val="auto"/>
                <w:lang w:val="zh-CN"/>
              </w:rPr>
              <w:fldChar w:fldCharType="end"/>
            </w:r>
            <w:r>
              <w:rPr>
                <w:rFonts w:hint="eastAsia" w:ascii="宋体" w:hAnsi="宋体" w:cs="宋体"/>
                <w:color w:val="auto"/>
              </w:rPr>
              <w:t>未提供相关内容的不得分。</w:t>
            </w:r>
          </w:p>
        </w:tc>
        <w:tc>
          <w:tcPr>
            <w:tcW w:w="675" w:type="dxa"/>
            <w:shd w:val="clear" w:color="auto" w:fill="auto"/>
            <w:vAlign w:val="center"/>
          </w:tcPr>
          <w:p w14:paraId="35793635">
            <w:pPr>
              <w:spacing w:line="400" w:lineRule="exact"/>
              <w:jc w:val="center"/>
              <w:rPr>
                <w:rFonts w:hint="eastAsia" w:ascii="宋体" w:hAnsi="宋体" w:eastAsia="宋体" w:cs="宋体"/>
                <w:color w:val="auto"/>
                <w:kern w:val="2"/>
                <w:sz w:val="21"/>
                <w:szCs w:val="24"/>
                <w:lang w:val="en-US" w:eastAsia="zh-CN" w:bidi="ar-SA"/>
              </w:rPr>
            </w:pPr>
            <w:r>
              <w:rPr>
                <w:rFonts w:hint="eastAsia" w:ascii="宋体" w:hAnsi="宋体" w:cs="宋体"/>
                <w:color w:val="auto"/>
                <w:lang w:val="en-US" w:eastAsia="zh-CN"/>
              </w:rPr>
              <w:t>5</w:t>
            </w:r>
          </w:p>
        </w:tc>
        <w:tc>
          <w:tcPr>
            <w:tcW w:w="853" w:type="dxa"/>
            <w:shd w:val="clear" w:color="auto" w:fill="auto"/>
            <w:vAlign w:val="center"/>
          </w:tcPr>
          <w:p w14:paraId="01A1E3BC">
            <w:pPr>
              <w:spacing w:line="400" w:lineRule="exact"/>
              <w:jc w:val="center"/>
              <w:rPr>
                <w:rFonts w:hint="eastAsia" w:ascii="宋体" w:hAnsi="宋体" w:eastAsia="宋体" w:cs="宋体"/>
                <w:bCs/>
                <w:color w:val="auto"/>
                <w:kern w:val="2"/>
                <w:sz w:val="21"/>
                <w:szCs w:val="24"/>
                <w:lang w:val="en-US" w:eastAsia="zh-CN" w:bidi="ar-SA"/>
              </w:rPr>
            </w:pPr>
            <w:r>
              <w:rPr>
                <w:rFonts w:hint="eastAsia" w:ascii="宋体" w:hAnsi="宋体" w:cs="宋体"/>
                <w:color w:val="auto"/>
              </w:rPr>
              <w:t>主观分</w:t>
            </w:r>
          </w:p>
        </w:tc>
      </w:tr>
      <w:tr w14:paraId="22A40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04" w:type="dxa"/>
            <w:vMerge w:val="continue"/>
            <w:vAlign w:val="center"/>
          </w:tcPr>
          <w:p w14:paraId="4F4623AA">
            <w:pPr>
              <w:spacing w:line="400" w:lineRule="exact"/>
              <w:jc w:val="center"/>
              <w:rPr>
                <w:rFonts w:ascii="宋体" w:hAnsi="宋体" w:cs="宋体"/>
                <w:color w:val="auto"/>
              </w:rPr>
            </w:pPr>
          </w:p>
        </w:tc>
        <w:tc>
          <w:tcPr>
            <w:tcW w:w="1131" w:type="dxa"/>
            <w:vAlign w:val="center"/>
          </w:tcPr>
          <w:p w14:paraId="0FC605E1">
            <w:pPr>
              <w:spacing w:line="400" w:lineRule="exact"/>
              <w:jc w:val="left"/>
              <w:rPr>
                <w:rFonts w:hint="eastAsia" w:ascii="宋体" w:hAnsi="宋体" w:eastAsia="宋体" w:cs="宋体"/>
                <w:color w:val="auto"/>
                <w:lang w:val="en-US" w:eastAsia="zh-CN"/>
              </w:rPr>
            </w:pPr>
            <w:r>
              <w:rPr>
                <w:rFonts w:hint="eastAsia" w:ascii="宋体" w:hAnsi="宋体" w:cs="宋体"/>
                <w:color w:val="auto"/>
                <w:lang w:val="en-US" w:eastAsia="zh-CN"/>
              </w:rPr>
              <w:t>5、</w:t>
            </w:r>
            <w:r>
              <w:rPr>
                <w:rFonts w:hint="eastAsia" w:ascii="宋体" w:hAnsi="宋体" w:eastAsia="宋体" w:cs="宋体"/>
                <w:color w:val="auto"/>
                <w:lang w:val="en-US" w:eastAsia="zh-CN"/>
              </w:rPr>
              <w:t>质量保证措施（5分）</w:t>
            </w:r>
          </w:p>
        </w:tc>
        <w:tc>
          <w:tcPr>
            <w:tcW w:w="6429" w:type="dxa"/>
            <w:vAlign w:val="center"/>
          </w:tcPr>
          <w:p w14:paraId="22CD0617">
            <w:pPr>
              <w:spacing w:line="400" w:lineRule="exact"/>
              <w:jc w:val="left"/>
              <w:rPr>
                <w:rFonts w:hint="eastAsia" w:ascii="宋体" w:hAnsi="宋体" w:cs="宋体"/>
                <w:color w:val="auto"/>
              </w:rPr>
            </w:pPr>
            <w:r>
              <w:rPr>
                <w:rFonts w:hint="eastAsia" w:ascii="宋体" w:hAnsi="宋体" w:cs="宋体"/>
                <w:color w:val="auto"/>
              </w:rPr>
              <w:t>根据投标人提供的质量保证措施是否有针对性、是否合理可行进行评议：</w:t>
            </w:r>
          </w:p>
          <w:p w14:paraId="2F54BFAB">
            <w:pPr>
              <w:spacing w:line="400" w:lineRule="exact"/>
              <w:jc w:val="left"/>
              <w:rPr>
                <w:rFonts w:hint="eastAsia" w:ascii="宋体" w:hAnsi="宋体" w:cs="宋体"/>
                <w:color w:val="auto"/>
              </w:rPr>
            </w:pPr>
            <w:r>
              <w:rPr>
                <w:rFonts w:hint="eastAsia" w:ascii="宋体" w:hAnsi="宋体" w:cs="宋体"/>
                <w:color w:val="auto"/>
                <w:lang w:val="zh-CN"/>
              </w:rPr>
              <w:t>①</w:t>
            </w:r>
            <w:r>
              <w:rPr>
                <w:rFonts w:hint="eastAsia" w:ascii="宋体" w:hAnsi="宋体" w:cs="宋体"/>
                <w:color w:val="auto"/>
              </w:rPr>
              <w:t>措施针对性强且合理可行的得5分；</w:t>
            </w:r>
          </w:p>
          <w:p w14:paraId="422B8DFD">
            <w:pPr>
              <w:spacing w:line="400" w:lineRule="exact"/>
              <w:jc w:val="left"/>
              <w:rPr>
                <w:rFonts w:hint="eastAsia" w:ascii="宋体" w:hAnsi="宋体" w:cs="宋体"/>
                <w:color w:val="auto"/>
              </w:rPr>
            </w:pPr>
            <w:r>
              <w:rPr>
                <w:rFonts w:hint="eastAsia" w:ascii="宋体" w:hAnsi="宋体" w:cs="宋体"/>
                <w:color w:val="auto"/>
                <w:lang w:val="zh-CN"/>
              </w:rPr>
              <w:t>②</w:t>
            </w:r>
            <w:r>
              <w:rPr>
                <w:rFonts w:hint="eastAsia" w:ascii="宋体" w:hAnsi="宋体" w:cs="宋体"/>
                <w:color w:val="auto"/>
              </w:rPr>
              <w:t>措施针对性一般且较合理可行的得3分；</w:t>
            </w:r>
          </w:p>
          <w:p w14:paraId="167D8BBE">
            <w:pPr>
              <w:spacing w:line="400" w:lineRule="exact"/>
              <w:jc w:val="left"/>
              <w:rPr>
                <w:rFonts w:hint="eastAsia" w:ascii="宋体" w:hAnsi="宋体" w:cs="宋体"/>
                <w:color w:val="auto"/>
              </w:rPr>
            </w:pPr>
            <w:r>
              <w:rPr>
                <w:rFonts w:hint="eastAsia" w:ascii="宋体" w:hAnsi="宋体" w:cs="宋体"/>
                <w:color w:val="auto"/>
                <w:lang w:val="zh-CN"/>
              </w:rPr>
              <w:t>③</w:t>
            </w:r>
            <w:r>
              <w:rPr>
                <w:rFonts w:hint="eastAsia" w:ascii="宋体" w:hAnsi="宋体" w:cs="宋体"/>
                <w:color w:val="auto"/>
              </w:rPr>
              <w:t>措施针对性差且不合理可行的得1分；</w:t>
            </w:r>
          </w:p>
          <w:p w14:paraId="254654BA">
            <w:pPr>
              <w:spacing w:line="400" w:lineRule="exact"/>
              <w:jc w:val="left"/>
              <w:rPr>
                <w:rFonts w:ascii="宋体" w:hAnsi="宋体" w:cs="宋体"/>
                <w:color w:val="auto"/>
              </w:rPr>
            </w:pPr>
            <w:r>
              <w:rPr>
                <w:rFonts w:hint="eastAsia" w:ascii="宋体" w:hAnsi="宋体" w:cs="宋体"/>
                <w:color w:val="auto"/>
                <w:lang w:val="zh-CN"/>
              </w:rPr>
              <w:fldChar w:fldCharType="begin"/>
            </w:r>
            <w:r>
              <w:rPr>
                <w:rFonts w:hint="eastAsia" w:ascii="宋体" w:hAnsi="宋体" w:cs="宋体"/>
                <w:color w:val="auto"/>
                <w:lang w:val="zh-CN"/>
              </w:rPr>
              <w:instrText xml:space="preserve"> = 4 \* GB3 </w:instrText>
            </w:r>
            <w:r>
              <w:rPr>
                <w:rFonts w:hint="eastAsia" w:ascii="宋体" w:hAnsi="宋体" w:cs="宋体"/>
                <w:color w:val="auto"/>
                <w:lang w:val="zh-CN"/>
              </w:rPr>
              <w:fldChar w:fldCharType="separate"/>
            </w:r>
            <w:r>
              <w:rPr>
                <w:rFonts w:hint="eastAsia" w:ascii="宋体" w:hAnsi="宋体" w:cs="宋体"/>
                <w:color w:val="auto"/>
                <w:lang w:val="zh-CN"/>
              </w:rPr>
              <w:t>④</w:t>
            </w:r>
            <w:r>
              <w:rPr>
                <w:rFonts w:hint="eastAsia" w:ascii="宋体" w:hAnsi="宋体" w:cs="宋体"/>
                <w:color w:val="auto"/>
                <w:lang w:val="zh-CN"/>
              </w:rPr>
              <w:fldChar w:fldCharType="end"/>
            </w:r>
            <w:r>
              <w:rPr>
                <w:rFonts w:hint="eastAsia" w:ascii="宋体" w:hAnsi="宋体" w:cs="宋体"/>
                <w:color w:val="auto"/>
              </w:rPr>
              <w:t>未提供相关内容的不得分。</w:t>
            </w:r>
          </w:p>
        </w:tc>
        <w:tc>
          <w:tcPr>
            <w:tcW w:w="675" w:type="dxa"/>
            <w:shd w:val="clear" w:color="auto" w:fill="auto"/>
            <w:vAlign w:val="center"/>
          </w:tcPr>
          <w:p w14:paraId="4E80C630">
            <w:pPr>
              <w:spacing w:line="400" w:lineRule="exact"/>
              <w:jc w:val="center"/>
              <w:rPr>
                <w:rFonts w:hint="eastAsia" w:ascii="宋体" w:hAnsi="宋体" w:eastAsia="宋体" w:cs="宋体"/>
                <w:color w:val="auto"/>
                <w:kern w:val="2"/>
                <w:sz w:val="21"/>
                <w:szCs w:val="24"/>
                <w:lang w:val="en-US" w:eastAsia="zh-CN" w:bidi="ar-SA"/>
              </w:rPr>
            </w:pPr>
            <w:r>
              <w:rPr>
                <w:rFonts w:hint="eastAsia" w:ascii="宋体" w:hAnsi="宋体" w:cs="宋体"/>
                <w:color w:val="auto"/>
                <w:lang w:val="en-US" w:eastAsia="zh-CN"/>
              </w:rPr>
              <w:t>5</w:t>
            </w:r>
          </w:p>
        </w:tc>
        <w:tc>
          <w:tcPr>
            <w:tcW w:w="853" w:type="dxa"/>
            <w:shd w:val="clear" w:color="auto" w:fill="auto"/>
            <w:vAlign w:val="center"/>
          </w:tcPr>
          <w:p w14:paraId="4B158F0A">
            <w:pPr>
              <w:spacing w:line="400" w:lineRule="exact"/>
              <w:jc w:val="center"/>
              <w:rPr>
                <w:rFonts w:ascii="宋体" w:hAnsi="宋体" w:eastAsia="宋体" w:cs="宋体"/>
                <w:bCs/>
                <w:color w:val="auto"/>
                <w:kern w:val="2"/>
                <w:sz w:val="21"/>
                <w:szCs w:val="24"/>
                <w:lang w:val="en-US" w:eastAsia="zh-CN" w:bidi="ar-SA"/>
              </w:rPr>
            </w:pPr>
            <w:r>
              <w:rPr>
                <w:rFonts w:hint="eastAsia" w:ascii="宋体" w:hAnsi="宋体" w:cs="宋体"/>
                <w:color w:val="auto"/>
              </w:rPr>
              <w:t>主观分</w:t>
            </w:r>
          </w:p>
        </w:tc>
      </w:tr>
      <w:tr w14:paraId="0E4B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104" w:type="dxa"/>
            <w:vMerge w:val="continue"/>
            <w:vAlign w:val="center"/>
          </w:tcPr>
          <w:p w14:paraId="119AA291">
            <w:pPr>
              <w:spacing w:line="400" w:lineRule="exact"/>
              <w:jc w:val="center"/>
              <w:rPr>
                <w:rFonts w:ascii="宋体" w:hAnsi="宋体" w:cs="宋体"/>
                <w:color w:val="auto"/>
              </w:rPr>
            </w:pPr>
          </w:p>
        </w:tc>
        <w:tc>
          <w:tcPr>
            <w:tcW w:w="1131" w:type="dxa"/>
            <w:vAlign w:val="center"/>
          </w:tcPr>
          <w:p w14:paraId="6BC40EEB">
            <w:pPr>
              <w:spacing w:line="400" w:lineRule="exact"/>
              <w:jc w:val="left"/>
              <w:rPr>
                <w:rFonts w:ascii="宋体" w:hAnsi="宋体" w:cs="宋体"/>
                <w:color w:val="auto"/>
              </w:rPr>
            </w:pPr>
            <w:r>
              <w:rPr>
                <w:rFonts w:hint="eastAsia" w:ascii="宋体" w:hAnsi="宋体" w:cs="宋体"/>
                <w:color w:val="auto"/>
                <w:lang w:val="en-US" w:eastAsia="zh-CN"/>
              </w:rPr>
              <w:t>6、</w:t>
            </w:r>
            <w:r>
              <w:rPr>
                <w:rFonts w:hint="eastAsia" w:ascii="宋体" w:hAnsi="宋体" w:cs="宋体"/>
                <w:color w:val="auto"/>
              </w:rPr>
              <w:t>项目</w:t>
            </w:r>
            <w:r>
              <w:rPr>
                <w:rFonts w:hint="eastAsia" w:ascii="宋体" w:hAnsi="宋体" w:cs="宋体"/>
                <w:color w:val="auto"/>
                <w:lang w:val="zh-CN"/>
              </w:rPr>
              <w:t>进度计划</w:t>
            </w:r>
            <w:r>
              <w:rPr>
                <w:rFonts w:hint="eastAsia" w:ascii="宋体" w:hAnsi="宋体" w:cs="宋体"/>
                <w:color w:val="auto"/>
              </w:rPr>
              <w:t>及保障(</w:t>
            </w:r>
            <w:r>
              <w:rPr>
                <w:rFonts w:hint="eastAsia" w:ascii="宋体" w:hAnsi="宋体" w:cs="宋体"/>
                <w:color w:val="auto"/>
                <w:lang w:val="en-US" w:eastAsia="zh-CN"/>
              </w:rPr>
              <w:t>5</w:t>
            </w:r>
            <w:r>
              <w:rPr>
                <w:rFonts w:hint="eastAsia" w:ascii="宋体" w:hAnsi="宋体" w:cs="宋体"/>
                <w:color w:val="auto"/>
              </w:rPr>
              <w:t>分)</w:t>
            </w:r>
          </w:p>
        </w:tc>
        <w:tc>
          <w:tcPr>
            <w:tcW w:w="6429" w:type="dxa"/>
            <w:vAlign w:val="center"/>
          </w:tcPr>
          <w:p w14:paraId="5D2B63A9">
            <w:pPr>
              <w:spacing w:line="360" w:lineRule="exact"/>
              <w:rPr>
                <w:rFonts w:hint="eastAsia" w:ascii="宋体" w:hAnsi="宋体" w:cs="宋体"/>
                <w:color w:val="auto"/>
                <w:lang w:val="zh-CN"/>
              </w:rPr>
            </w:pPr>
            <w:r>
              <w:rPr>
                <w:rFonts w:hint="eastAsia" w:ascii="宋体" w:hAnsi="宋体" w:cs="宋体"/>
                <w:color w:val="auto"/>
                <w:lang w:val="zh-CN"/>
              </w:rPr>
              <w:t>根据</w:t>
            </w:r>
            <w:r>
              <w:rPr>
                <w:rFonts w:hint="eastAsia" w:ascii="宋体" w:hAnsi="宋体" w:cs="宋体"/>
                <w:color w:val="auto"/>
              </w:rPr>
              <w:t>项目</w:t>
            </w:r>
            <w:r>
              <w:rPr>
                <w:rFonts w:hint="eastAsia" w:ascii="宋体" w:hAnsi="宋体" w:cs="宋体"/>
                <w:color w:val="auto"/>
                <w:lang w:val="zh-CN"/>
              </w:rPr>
              <w:t>进度计划</w:t>
            </w:r>
            <w:r>
              <w:rPr>
                <w:rFonts w:hint="eastAsia" w:ascii="宋体" w:hAnsi="宋体" w:cs="宋体"/>
                <w:color w:val="auto"/>
              </w:rPr>
              <w:t>及保障</w:t>
            </w:r>
            <w:r>
              <w:rPr>
                <w:rFonts w:hint="eastAsia" w:ascii="宋体" w:hAnsi="宋体" w:cs="宋体"/>
                <w:color w:val="auto"/>
                <w:lang w:val="zh-CN"/>
              </w:rPr>
              <w:t>方案内容的详实程度，对各项工作的时间节点把握是否明确合理进行评议。</w:t>
            </w:r>
          </w:p>
          <w:p w14:paraId="5C30C4BD">
            <w:pPr>
              <w:spacing w:line="360" w:lineRule="exact"/>
              <w:rPr>
                <w:rFonts w:hint="eastAsia" w:ascii="宋体" w:hAnsi="宋体" w:cs="宋体"/>
                <w:color w:val="auto"/>
                <w:lang w:val="zh-CN"/>
              </w:rPr>
            </w:pPr>
            <w:r>
              <w:rPr>
                <w:rFonts w:hint="eastAsia" w:ascii="宋体" w:hAnsi="宋体" w:cs="宋体"/>
                <w:color w:val="auto"/>
                <w:lang w:val="zh-CN"/>
              </w:rPr>
              <w:t>①</w:t>
            </w:r>
            <w:r>
              <w:rPr>
                <w:rFonts w:hint="eastAsia" w:ascii="宋体" w:hAnsi="宋体" w:cs="宋体"/>
                <w:color w:val="auto"/>
              </w:rPr>
              <w:t>进</w:t>
            </w:r>
            <w:r>
              <w:rPr>
                <w:rFonts w:hint="eastAsia" w:ascii="宋体" w:hAnsi="宋体" w:cs="宋体"/>
                <w:color w:val="auto"/>
                <w:lang w:val="zh-CN"/>
              </w:rPr>
              <w:t>度安排全面完整、描述清晰，安排得当，措施得力，切实可行的得</w:t>
            </w:r>
            <w:r>
              <w:rPr>
                <w:rFonts w:hint="eastAsia" w:ascii="宋体" w:hAnsi="宋体" w:cs="宋体"/>
                <w:color w:val="auto"/>
                <w:lang w:val="en-US" w:eastAsia="zh-CN"/>
              </w:rPr>
              <w:t>5</w:t>
            </w:r>
            <w:r>
              <w:rPr>
                <w:rFonts w:hint="eastAsia" w:ascii="宋体" w:hAnsi="宋体" w:cs="宋体"/>
                <w:color w:val="auto"/>
                <w:lang w:val="zh-CN"/>
              </w:rPr>
              <w:t>分；</w:t>
            </w:r>
          </w:p>
          <w:p w14:paraId="40C19070">
            <w:pPr>
              <w:spacing w:line="360" w:lineRule="exact"/>
              <w:rPr>
                <w:rFonts w:hint="eastAsia" w:ascii="宋体" w:hAnsi="宋体" w:cs="宋体"/>
                <w:color w:val="auto"/>
                <w:lang w:val="zh-CN"/>
              </w:rPr>
            </w:pPr>
            <w:r>
              <w:rPr>
                <w:rFonts w:hint="eastAsia" w:ascii="宋体" w:hAnsi="宋体" w:cs="宋体"/>
                <w:color w:val="auto"/>
                <w:lang w:val="zh-CN"/>
              </w:rPr>
              <w:t>②</w:t>
            </w:r>
            <w:r>
              <w:rPr>
                <w:rFonts w:hint="eastAsia" w:ascii="宋体" w:hAnsi="宋体" w:cs="宋体"/>
                <w:color w:val="auto"/>
              </w:rPr>
              <w:t>进度安排比较详细</w:t>
            </w:r>
            <w:r>
              <w:rPr>
                <w:rFonts w:hint="eastAsia" w:ascii="宋体" w:hAnsi="宋体" w:cs="宋体"/>
                <w:color w:val="auto"/>
                <w:lang w:val="zh-CN"/>
              </w:rPr>
              <w:t>，安排妥当，合理可行的得</w:t>
            </w:r>
            <w:r>
              <w:rPr>
                <w:rFonts w:hint="eastAsia" w:ascii="宋体" w:hAnsi="宋体" w:cs="宋体"/>
                <w:color w:val="auto"/>
                <w:lang w:val="en-US" w:eastAsia="zh-CN"/>
              </w:rPr>
              <w:t>3</w:t>
            </w:r>
            <w:r>
              <w:rPr>
                <w:rFonts w:hint="eastAsia" w:ascii="宋体" w:hAnsi="宋体" w:cs="宋体"/>
                <w:color w:val="auto"/>
                <w:lang w:val="zh-CN"/>
              </w:rPr>
              <w:t>分；</w:t>
            </w:r>
          </w:p>
          <w:p w14:paraId="1509076D">
            <w:pPr>
              <w:spacing w:line="360" w:lineRule="exact"/>
              <w:rPr>
                <w:rFonts w:hint="eastAsia" w:ascii="宋体" w:hAnsi="宋体" w:cs="宋体"/>
                <w:color w:val="auto"/>
                <w:lang w:val="zh-CN"/>
              </w:rPr>
            </w:pPr>
            <w:r>
              <w:rPr>
                <w:rFonts w:hint="eastAsia" w:ascii="宋体" w:hAnsi="宋体" w:cs="宋体"/>
                <w:color w:val="auto"/>
                <w:lang w:val="zh-CN"/>
              </w:rPr>
              <w:t>③</w:t>
            </w:r>
            <w:r>
              <w:rPr>
                <w:rFonts w:hint="eastAsia" w:ascii="宋体" w:hAnsi="宋体" w:cs="宋体"/>
                <w:color w:val="auto"/>
              </w:rPr>
              <w:t>进度安排内容比较笼统</w:t>
            </w:r>
            <w:r>
              <w:rPr>
                <w:rFonts w:hint="eastAsia" w:ascii="宋体" w:hAnsi="宋体" w:cs="宋体"/>
                <w:color w:val="auto"/>
                <w:lang w:val="zh-CN"/>
              </w:rPr>
              <w:t>，细化程度不足，安排欠妥的得</w:t>
            </w:r>
            <w:r>
              <w:rPr>
                <w:rFonts w:hint="eastAsia" w:ascii="宋体" w:hAnsi="宋体" w:cs="宋体"/>
                <w:color w:val="auto"/>
                <w:lang w:val="en-US" w:eastAsia="zh-CN"/>
              </w:rPr>
              <w:t>1</w:t>
            </w:r>
            <w:r>
              <w:rPr>
                <w:rFonts w:hint="eastAsia" w:ascii="宋体" w:hAnsi="宋体" w:cs="宋体"/>
                <w:color w:val="auto"/>
                <w:lang w:val="zh-CN"/>
              </w:rPr>
              <w:t>分；</w:t>
            </w:r>
          </w:p>
          <w:p w14:paraId="6CB9F207">
            <w:pPr>
              <w:spacing w:line="360" w:lineRule="exact"/>
              <w:rPr>
                <w:rFonts w:ascii="宋体" w:hAnsi="宋体" w:cs="宋体"/>
                <w:color w:val="auto"/>
              </w:rPr>
            </w:pPr>
            <w:r>
              <w:rPr>
                <w:rFonts w:hint="eastAsia" w:ascii="宋体" w:hAnsi="宋体" w:cs="宋体"/>
                <w:color w:val="auto"/>
                <w:lang w:val="zh-CN"/>
              </w:rPr>
              <w:fldChar w:fldCharType="begin"/>
            </w:r>
            <w:r>
              <w:rPr>
                <w:rFonts w:hint="eastAsia" w:ascii="宋体" w:hAnsi="宋体" w:cs="宋体"/>
                <w:color w:val="auto"/>
                <w:lang w:val="zh-CN"/>
              </w:rPr>
              <w:instrText xml:space="preserve"> = 4 \* GB3 </w:instrText>
            </w:r>
            <w:r>
              <w:rPr>
                <w:rFonts w:hint="eastAsia" w:ascii="宋体" w:hAnsi="宋体" w:cs="宋体"/>
                <w:color w:val="auto"/>
                <w:lang w:val="zh-CN"/>
              </w:rPr>
              <w:fldChar w:fldCharType="separate"/>
            </w:r>
            <w:r>
              <w:rPr>
                <w:rFonts w:hint="eastAsia" w:ascii="宋体" w:hAnsi="宋体" w:cs="宋体"/>
                <w:color w:val="auto"/>
                <w:lang w:val="zh-CN"/>
              </w:rPr>
              <w:t>④</w:t>
            </w:r>
            <w:r>
              <w:rPr>
                <w:rFonts w:hint="eastAsia" w:ascii="宋体" w:hAnsi="宋体" w:cs="宋体"/>
                <w:color w:val="auto"/>
                <w:lang w:val="zh-CN"/>
              </w:rPr>
              <w:fldChar w:fldCharType="end"/>
            </w:r>
            <w:r>
              <w:rPr>
                <w:rFonts w:hint="eastAsia" w:ascii="宋体" w:hAnsi="宋体" w:cs="宋体"/>
                <w:color w:val="auto"/>
              </w:rPr>
              <w:t>进度安排明显不妥且明显影响实施进度的或未提供的不得分</w:t>
            </w:r>
            <w:r>
              <w:rPr>
                <w:rFonts w:hint="eastAsia" w:ascii="宋体" w:hAnsi="宋体" w:cs="宋体"/>
                <w:color w:val="auto"/>
                <w:lang w:val="zh-CN"/>
              </w:rPr>
              <w:t>。</w:t>
            </w:r>
          </w:p>
        </w:tc>
        <w:tc>
          <w:tcPr>
            <w:tcW w:w="675" w:type="dxa"/>
            <w:vAlign w:val="center"/>
          </w:tcPr>
          <w:p w14:paraId="2CD8C377">
            <w:pPr>
              <w:spacing w:line="400" w:lineRule="exact"/>
              <w:jc w:val="center"/>
              <w:rPr>
                <w:rFonts w:hint="eastAsia" w:ascii="宋体" w:hAnsi="宋体" w:eastAsia="宋体" w:cs="宋体"/>
                <w:color w:val="auto"/>
                <w:lang w:eastAsia="zh-CN"/>
              </w:rPr>
            </w:pPr>
            <w:r>
              <w:rPr>
                <w:rFonts w:hint="eastAsia" w:ascii="宋体" w:hAnsi="宋体" w:cs="宋体"/>
                <w:color w:val="auto"/>
                <w:lang w:val="en-US" w:eastAsia="zh-CN"/>
              </w:rPr>
              <w:t>5</w:t>
            </w:r>
          </w:p>
        </w:tc>
        <w:tc>
          <w:tcPr>
            <w:tcW w:w="853" w:type="dxa"/>
            <w:vAlign w:val="center"/>
          </w:tcPr>
          <w:p w14:paraId="27789F77">
            <w:pPr>
              <w:spacing w:line="400" w:lineRule="exact"/>
              <w:jc w:val="center"/>
              <w:rPr>
                <w:rFonts w:ascii="宋体" w:hAnsi="宋体" w:cs="宋体"/>
                <w:color w:val="auto"/>
              </w:rPr>
            </w:pPr>
            <w:r>
              <w:rPr>
                <w:rFonts w:hint="eastAsia" w:ascii="宋体" w:hAnsi="宋体" w:cs="宋体"/>
                <w:color w:val="auto"/>
              </w:rPr>
              <w:t>主观分</w:t>
            </w:r>
          </w:p>
        </w:tc>
      </w:tr>
      <w:tr w14:paraId="1D2B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4" w:type="dxa"/>
            <w:vMerge w:val="continue"/>
            <w:vAlign w:val="center"/>
          </w:tcPr>
          <w:p w14:paraId="7708E141">
            <w:pPr>
              <w:spacing w:line="400" w:lineRule="exact"/>
              <w:jc w:val="center"/>
              <w:rPr>
                <w:rFonts w:ascii="宋体" w:hAnsi="宋体" w:cs="宋体"/>
                <w:color w:val="auto"/>
              </w:rPr>
            </w:pPr>
          </w:p>
        </w:tc>
        <w:tc>
          <w:tcPr>
            <w:tcW w:w="1131" w:type="dxa"/>
            <w:vAlign w:val="center"/>
          </w:tcPr>
          <w:p w14:paraId="5869CD4C">
            <w:pPr>
              <w:spacing w:line="400" w:lineRule="exact"/>
              <w:rPr>
                <w:rFonts w:ascii="宋体" w:hAnsi="宋体" w:cs="宋体"/>
                <w:color w:val="auto"/>
              </w:rPr>
            </w:pPr>
            <w:r>
              <w:rPr>
                <w:rFonts w:hint="eastAsia" w:ascii="宋体" w:hAnsi="宋体" w:cs="宋体"/>
                <w:color w:val="auto"/>
                <w:lang w:val="en-US" w:eastAsia="zh-CN"/>
              </w:rPr>
              <w:t>7</w:t>
            </w:r>
            <w:r>
              <w:rPr>
                <w:rFonts w:hint="eastAsia" w:ascii="宋体" w:hAnsi="宋体" w:cs="宋体"/>
                <w:color w:val="auto"/>
              </w:rPr>
              <w:t>、培训方案(</w:t>
            </w:r>
            <w:r>
              <w:rPr>
                <w:rFonts w:hint="eastAsia" w:ascii="宋体" w:hAnsi="宋体" w:cs="宋体"/>
                <w:color w:val="auto"/>
                <w:lang w:val="en-US" w:eastAsia="zh-CN"/>
              </w:rPr>
              <w:t>5</w:t>
            </w:r>
            <w:r>
              <w:rPr>
                <w:rFonts w:hint="eastAsia" w:ascii="宋体" w:hAnsi="宋体" w:cs="宋体"/>
                <w:color w:val="auto"/>
              </w:rPr>
              <w:t>分)</w:t>
            </w:r>
          </w:p>
        </w:tc>
        <w:tc>
          <w:tcPr>
            <w:tcW w:w="6429" w:type="dxa"/>
            <w:vAlign w:val="center"/>
          </w:tcPr>
          <w:p w14:paraId="72C108D1">
            <w:pPr>
              <w:spacing w:line="400" w:lineRule="exact"/>
              <w:rPr>
                <w:rFonts w:hint="eastAsia" w:ascii="宋体" w:hAnsi="宋体" w:cs="宋体"/>
                <w:color w:val="auto"/>
              </w:rPr>
            </w:pPr>
            <w:r>
              <w:rPr>
                <w:rFonts w:hint="eastAsia" w:ascii="宋体" w:hAnsi="宋体" w:cs="宋体"/>
                <w:color w:val="auto"/>
              </w:rPr>
              <w:t>根据投标人提供的培训方案是否完整详细、合理可行（包括但不限于技术培训计划安排、人员安排、培训内容）进行综合评议</w:t>
            </w:r>
            <w:r>
              <w:rPr>
                <w:rFonts w:hint="eastAsia" w:ascii="宋体" w:hAnsi="宋体" w:cs="宋体"/>
                <w:color w:val="auto"/>
                <w:lang w:val="zh-CN"/>
              </w:rPr>
              <w:t>，最高得2分</w:t>
            </w:r>
            <w:r>
              <w:rPr>
                <w:rFonts w:hint="eastAsia" w:ascii="宋体" w:hAnsi="宋体" w:cs="宋体"/>
                <w:color w:val="auto"/>
              </w:rPr>
              <w:t>。</w:t>
            </w:r>
          </w:p>
          <w:p w14:paraId="49A8BD60">
            <w:pPr>
              <w:spacing w:line="400" w:lineRule="exact"/>
              <w:rPr>
                <w:rFonts w:hint="eastAsia" w:ascii="宋体" w:hAnsi="宋体" w:cs="宋体"/>
                <w:color w:val="auto"/>
                <w:lang w:val="zh-CN"/>
              </w:rPr>
            </w:pPr>
            <w:r>
              <w:rPr>
                <w:rFonts w:hint="eastAsia" w:ascii="宋体" w:hAnsi="宋体" w:cs="宋体"/>
                <w:color w:val="auto"/>
                <w:lang w:val="zh-CN"/>
              </w:rPr>
              <w:t>①</w:t>
            </w:r>
            <w:r>
              <w:rPr>
                <w:rFonts w:hint="eastAsia" w:ascii="宋体" w:hAnsi="宋体" w:cs="宋体"/>
                <w:color w:val="auto"/>
              </w:rPr>
              <w:t>培训方案内容</w:t>
            </w:r>
            <w:r>
              <w:rPr>
                <w:rFonts w:hint="eastAsia" w:ascii="宋体" w:hAnsi="宋体" w:cs="宋体"/>
                <w:color w:val="auto"/>
                <w:lang w:val="zh-CN"/>
              </w:rPr>
              <w:t>全面完整、描述清晰，切实可行的得</w:t>
            </w:r>
            <w:r>
              <w:rPr>
                <w:rFonts w:hint="eastAsia" w:ascii="宋体" w:hAnsi="宋体" w:cs="宋体"/>
                <w:color w:val="auto"/>
                <w:lang w:val="en-US" w:eastAsia="zh-CN"/>
              </w:rPr>
              <w:t>5</w:t>
            </w:r>
            <w:r>
              <w:rPr>
                <w:rFonts w:hint="eastAsia" w:ascii="宋体" w:hAnsi="宋体" w:cs="宋体"/>
                <w:color w:val="auto"/>
                <w:lang w:val="zh-CN"/>
              </w:rPr>
              <w:t>分；</w:t>
            </w:r>
          </w:p>
          <w:p w14:paraId="66B51214">
            <w:pPr>
              <w:spacing w:line="400" w:lineRule="exact"/>
              <w:rPr>
                <w:rFonts w:hint="eastAsia" w:ascii="宋体" w:hAnsi="宋体" w:cs="宋体"/>
                <w:color w:val="auto"/>
                <w:lang w:val="zh-CN"/>
              </w:rPr>
            </w:pPr>
            <w:r>
              <w:rPr>
                <w:rFonts w:hint="eastAsia" w:ascii="宋体" w:hAnsi="宋体" w:cs="宋体"/>
                <w:color w:val="auto"/>
                <w:lang w:val="zh-CN"/>
              </w:rPr>
              <w:t>②</w:t>
            </w:r>
            <w:r>
              <w:rPr>
                <w:rFonts w:hint="eastAsia" w:ascii="宋体" w:hAnsi="宋体" w:cs="宋体"/>
                <w:color w:val="auto"/>
              </w:rPr>
              <w:t>培训方案内容比较详细</w:t>
            </w:r>
            <w:r>
              <w:rPr>
                <w:rFonts w:hint="eastAsia" w:ascii="宋体" w:hAnsi="宋体" w:cs="宋体"/>
                <w:color w:val="auto"/>
                <w:lang w:val="zh-CN"/>
              </w:rPr>
              <w:t>，合理可行的得</w:t>
            </w:r>
            <w:r>
              <w:rPr>
                <w:rFonts w:hint="eastAsia" w:ascii="宋体" w:hAnsi="宋体" w:cs="宋体"/>
                <w:color w:val="auto"/>
                <w:lang w:val="en-US" w:eastAsia="zh-CN"/>
              </w:rPr>
              <w:t>3</w:t>
            </w:r>
            <w:r>
              <w:rPr>
                <w:rFonts w:hint="eastAsia" w:ascii="宋体" w:hAnsi="宋体" w:cs="宋体"/>
                <w:color w:val="auto"/>
                <w:lang w:val="zh-CN"/>
              </w:rPr>
              <w:t>分；</w:t>
            </w:r>
          </w:p>
          <w:p w14:paraId="3221ED9F">
            <w:pPr>
              <w:spacing w:line="400" w:lineRule="exact"/>
              <w:rPr>
                <w:rFonts w:hint="eastAsia" w:ascii="宋体" w:hAnsi="宋体" w:cs="宋体"/>
                <w:color w:val="auto"/>
                <w:lang w:val="zh-CN"/>
              </w:rPr>
            </w:pPr>
            <w:r>
              <w:rPr>
                <w:rFonts w:hint="eastAsia" w:ascii="宋体" w:hAnsi="宋体" w:cs="宋体"/>
                <w:color w:val="auto"/>
                <w:lang w:val="zh-CN"/>
              </w:rPr>
              <w:t>③</w:t>
            </w:r>
            <w:r>
              <w:rPr>
                <w:rFonts w:hint="eastAsia" w:ascii="宋体" w:hAnsi="宋体" w:cs="宋体"/>
                <w:color w:val="auto"/>
              </w:rPr>
              <w:t>培训方案</w:t>
            </w:r>
            <w:r>
              <w:rPr>
                <w:rFonts w:hint="eastAsia" w:ascii="宋体" w:hAnsi="宋体" w:cs="宋体"/>
                <w:color w:val="auto"/>
                <w:lang w:val="zh-CN"/>
              </w:rPr>
              <w:t>内容简单笼统，细化程度不足，安排欠妥的得</w:t>
            </w:r>
            <w:r>
              <w:rPr>
                <w:rFonts w:hint="eastAsia" w:ascii="宋体" w:hAnsi="宋体" w:cs="宋体"/>
                <w:color w:val="auto"/>
                <w:lang w:val="en-US" w:eastAsia="zh-CN"/>
              </w:rPr>
              <w:t>1</w:t>
            </w:r>
            <w:r>
              <w:rPr>
                <w:rFonts w:hint="eastAsia" w:ascii="宋体" w:hAnsi="宋体" w:cs="宋体"/>
                <w:color w:val="auto"/>
                <w:lang w:val="zh-CN"/>
              </w:rPr>
              <w:t>分；</w:t>
            </w:r>
          </w:p>
          <w:p w14:paraId="62677EC4">
            <w:pPr>
              <w:spacing w:line="400" w:lineRule="exact"/>
              <w:rPr>
                <w:rFonts w:hint="eastAsia" w:ascii="宋体" w:hAnsi="宋体" w:cs="宋体"/>
                <w:color w:val="auto"/>
              </w:rPr>
            </w:pPr>
            <w:r>
              <w:rPr>
                <w:rFonts w:hint="eastAsia" w:ascii="宋体" w:hAnsi="宋体" w:cs="宋体"/>
                <w:color w:val="auto"/>
                <w:lang w:val="zh-CN"/>
              </w:rPr>
              <w:fldChar w:fldCharType="begin"/>
            </w:r>
            <w:r>
              <w:rPr>
                <w:rFonts w:hint="eastAsia" w:ascii="宋体" w:hAnsi="宋体" w:cs="宋体"/>
                <w:color w:val="auto"/>
                <w:lang w:val="zh-CN"/>
              </w:rPr>
              <w:instrText xml:space="preserve"> = 4 \* GB3 </w:instrText>
            </w:r>
            <w:r>
              <w:rPr>
                <w:rFonts w:hint="eastAsia" w:ascii="宋体" w:hAnsi="宋体" w:cs="宋体"/>
                <w:color w:val="auto"/>
                <w:lang w:val="zh-CN"/>
              </w:rPr>
              <w:fldChar w:fldCharType="separate"/>
            </w:r>
            <w:r>
              <w:rPr>
                <w:rFonts w:hint="eastAsia" w:ascii="宋体" w:hAnsi="宋体" w:cs="宋体"/>
                <w:color w:val="auto"/>
                <w:lang w:val="zh-CN"/>
              </w:rPr>
              <w:t>④</w:t>
            </w:r>
            <w:r>
              <w:rPr>
                <w:rFonts w:hint="eastAsia" w:ascii="宋体" w:hAnsi="宋体" w:cs="宋体"/>
                <w:color w:val="auto"/>
                <w:lang w:val="zh-CN"/>
              </w:rPr>
              <w:fldChar w:fldCharType="end"/>
            </w:r>
            <w:r>
              <w:rPr>
                <w:rFonts w:hint="eastAsia" w:ascii="宋体" w:hAnsi="宋体" w:cs="宋体"/>
                <w:color w:val="auto"/>
              </w:rPr>
              <w:t>培训方案方案缺陷较多且明显影响培训质量的或未提供的不得分</w:t>
            </w:r>
            <w:r>
              <w:rPr>
                <w:rFonts w:hint="eastAsia" w:ascii="宋体" w:hAnsi="宋体" w:cs="宋体"/>
                <w:color w:val="auto"/>
                <w:lang w:val="zh-CN"/>
              </w:rPr>
              <w:t>。</w:t>
            </w:r>
          </w:p>
        </w:tc>
        <w:tc>
          <w:tcPr>
            <w:tcW w:w="675" w:type="dxa"/>
            <w:vAlign w:val="center"/>
          </w:tcPr>
          <w:p w14:paraId="58ADAC42">
            <w:pPr>
              <w:spacing w:line="400" w:lineRule="exact"/>
              <w:jc w:val="center"/>
              <w:rPr>
                <w:rFonts w:hint="eastAsia" w:ascii="宋体" w:hAnsi="宋体" w:eastAsia="宋体" w:cs="宋体"/>
                <w:color w:val="auto"/>
                <w:lang w:eastAsia="zh-CN"/>
              </w:rPr>
            </w:pPr>
            <w:r>
              <w:rPr>
                <w:rFonts w:hint="eastAsia" w:ascii="宋体" w:hAnsi="宋体" w:cs="宋体"/>
                <w:color w:val="auto"/>
                <w:lang w:val="en-US" w:eastAsia="zh-CN"/>
              </w:rPr>
              <w:t>5</w:t>
            </w:r>
          </w:p>
        </w:tc>
        <w:tc>
          <w:tcPr>
            <w:tcW w:w="853" w:type="dxa"/>
            <w:vAlign w:val="center"/>
          </w:tcPr>
          <w:p w14:paraId="01B7A768">
            <w:pPr>
              <w:spacing w:line="400" w:lineRule="exact"/>
              <w:jc w:val="center"/>
              <w:rPr>
                <w:rFonts w:ascii="宋体" w:hAnsi="宋体" w:cs="宋体"/>
                <w:bCs/>
                <w:color w:val="auto"/>
              </w:rPr>
            </w:pPr>
            <w:r>
              <w:rPr>
                <w:rFonts w:hint="eastAsia" w:ascii="宋体" w:hAnsi="宋体" w:cs="宋体"/>
                <w:bCs/>
                <w:color w:val="auto"/>
              </w:rPr>
              <w:t>主观分</w:t>
            </w:r>
          </w:p>
        </w:tc>
      </w:tr>
      <w:tr w14:paraId="6D534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04" w:type="dxa"/>
            <w:vMerge w:val="continue"/>
            <w:vAlign w:val="center"/>
          </w:tcPr>
          <w:p w14:paraId="68F34C07">
            <w:pPr>
              <w:spacing w:line="400" w:lineRule="exact"/>
              <w:jc w:val="center"/>
              <w:rPr>
                <w:rFonts w:ascii="宋体" w:hAnsi="宋体" w:cs="宋体"/>
                <w:color w:val="auto"/>
              </w:rPr>
            </w:pPr>
          </w:p>
        </w:tc>
        <w:tc>
          <w:tcPr>
            <w:tcW w:w="1131" w:type="dxa"/>
            <w:vAlign w:val="center"/>
          </w:tcPr>
          <w:p w14:paraId="54B4C935">
            <w:pPr>
              <w:spacing w:line="400" w:lineRule="exact"/>
              <w:jc w:val="left"/>
              <w:rPr>
                <w:rFonts w:hint="eastAsia" w:ascii="宋体" w:hAnsi="宋体" w:eastAsia="宋体" w:cs="宋体"/>
                <w:color w:val="auto"/>
                <w:lang w:val="en-US" w:eastAsia="zh-CN"/>
              </w:rPr>
            </w:pPr>
            <w:r>
              <w:rPr>
                <w:rFonts w:hint="eastAsia" w:ascii="宋体" w:hAnsi="宋体" w:cs="宋体"/>
                <w:color w:val="auto"/>
                <w:lang w:val="en-US" w:eastAsia="zh-CN"/>
              </w:rPr>
              <w:t>8、售后服务方案(3分)</w:t>
            </w:r>
          </w:p>
        </w:tc>
        <w:tc>
          <w:tcPr>
            <w:tcW w:w="6429" w:type="dxa"/>
            <w:vAlign w:val="center"/>
          </w:tcPr>
          <w:p w14:paraId="5941E558">
            <w:pPr>
              <w:spacing w:line="400" w:lineRule="exact"/>
              <w:jc w:val="left"/>
              <w:rPr>
                <w:rFonts w:hint="eastAsia" w:ascii="宋体" w:hAnsi="宋体" w:cs="宋体"/>
                <w:color w:val="auto"/>
              </w:rPr>
            </w:pPr>
            <w:r>
              <w:rPr>
                <w:rFonts w:hint="eastAsia" w:ascii="宋体" w:hAnsi="宋体" w:cs="宋体"/>
                <w:color w:val="auto"/>
                <w:lang w:val="en-US" w:eastAsia="zh-CN"/>
              </w:rPr>
              <w:t>8.1</w:t>
            </w:r>
            <w:r>
              <w:rPr>
                <w:rFonts w:hint="eastAsia" w:ascii="宋体" w:hAnsi="宋体" w:cs="宋体"/>
                <w:color w:val="auto"/>
              </w:rPr>
              <w:t>现场维护的服务响应时间（1分）.</w:t>
            </w:r>
          </w:p>
          <w:p w14:paraId="1AF32F4B">
            <w:pPr>
              <w:spacing w:line="400" w:lineRule="exact"/>
              <w:jc w:val="left"/>
              <w:rPr>
                <w:rFonts w:hint="eastAsia" w:ascii="宋体" w:hAnsi="宋体" w:cs="宋体"/>
                <w:color w:val="auto"/>
              </w:rPr>
            </w:pPr>
            <w:r>
              <w:rPr>
                <w:rFonts w:hint="eastAsia" w:ascii="宋体" w:hAnsi="宋体" w:cs="宋体"/>
                <w:color w:val="auto"/>
              </w:rPr>
              <w:t>响应时间</w:t>
            </w:r>
            <w:r>
              <w:rPr>
                <w:rFonts w:hint="eastAsia" w:ascii="宋体" w:hAnsi="宋体" w:cs="宋体"/>
                <w:color w:val="auto"/>
                <w:lang w:val="en-US" w:eastAsia="zh-CN"/>
              </w:rPr>
              <w:t>2</w:t>
            </w:r>
            <w:r>
              <w:rPr>
                <w:rFonts w:hint="eastAsia" w:ascii="宋体" w:hAnsi="宋体" w:cs="宋体"/>
                <w:color w:val="auto"/>
              </w:rPr>
              <w:t>小时以内能够提供现场维护服务的得1分，</w:t>
            </w:r>
            <w:r>
              <w:rPr>
                <w:rFonts w:hint="eastAsia" w:ascii="宋体" w:hAnsi="宋体" w:cs="宋体"/>
                <w:color w:val="auto"/>
                <w:lang w:val="en-US" w:eastAsia="zh-CN"/>
              </w:rPr>
              <w:t>4</w:t>
            </w:r>
            <w:r>
              <w:rPr>
                <w:rFonts w:hint="eastAsia" w:ascii="宋体" w:hAnsi="宋体" w:cs="宋体"/>
                <w:color w:val="auto"/>
              </w:rPr>
              <w:t>小时以内能够提供现场维护服务的得0.5分，其余情况本项不得分。</w:t>
            </w:r>
          </w:p>
          <w:p w14:paraId="421C36B2">
            <w:pPr>
              <w:spacing w:line="400" w:lineRule="exact"/>
              <w:jc w:val="left"/>
              <w:rPr>
                <w:rFonts w:hint="eastAsia" w:ascii="宋体" w:hAnsi="宋体" w:cs="宋体"/>
                <w:color w:val="auto"/>
              </w:rPr>
            </w:pPr>
            <w:r>
              <w:rPr>
                <w:rFonts w:hint="eastAsia" w:ascii="宋体" w:hAnsi="宋体" w:cs="宋体"/>
                <w:color w:val="auto"/>
                <w:lang w:val="en-US" w:eastAsia="zh-CN"/>
              </w:rPr>
              <w:t>8.2</w:t>
            </w:r>
            <w:r>
              <w:rPr>
                <w:rFonts w:hint="eastAsia" w:ascii="宋体" w:hAnsi="宋体" w:cs="宋体"/>
                <w:color w:val="auto"/>
              </w:rPr>
              <w:t>故障处理应急预案评价（</w:t>
            </w:r>
            <w:r>
              <w:rPr>
                <w:rFonts w:hint="eastAsia" w:ascii="宋体" w:hAnsi="宋体" w:cs="宋体"/>
                <w:color w:val="auto"/>
                <w:lang w:val="en-US" w:eastAsia="zh-CN"/>
              </w:rPr>
              <w:t>2</w:t>
            </w:r>
            <w:r>
              <w:rPr>
                <w:rFonts w:hint="eastAsia" w:ascii="宋体" w:hAnsi="宋体" w:cs="宋体"/>
                <w:color w:val="auto"/>
              </w:rPr>
              <w:t>分）</w:t>
            </w:r>
          </w:p>
          <w:p w14:paraId="2988B822">
            <w:pPr>
              <w:spacing w:line="400" w:lineRule="exact"/>
              <w:jc w:val="left"/>
              <w:rPr>
                <w:rFonts w:hint="eastAsia" w:ascii="宋体" w:hAnsi="宋体" w:cs="宋体"/>
                <w:color w:val="auto"/>
              </w:rPr>
            </w:pPr>
            <w:r>
              <w:rPr>
                <w:rFonts w:hint="eastAsia" w:ascii="宋体" w:hAnsi="宋体" w:cs="宋体"/>
                <w:color w:val="auto"/>
                <w:lang w:val="zh-CN"/>
              </w:rPr>
              <w:t>①</w:t>
            </w:r>
            <w:r>
              <w:rPr>
                <w:rFonts w:hint="eastAsia" w:ascii="宋体" w:hAnsi="宋体" w:cs="宋体"/>
                <w:color w:val="auto"/>
              </w:rPr>
              <w:t>应急预案符合项目实际，考虑全面，无明显缺陷的得</w:t>
            </w:r>
            <w:r>
              <w:rPr>
                <w:rFonts w:hint="eastAsia" w:ascii="宋体" w:hAnsi="宋体" w:cs="宋体"/>
                <w:color w:val="auto"/>
                <w:lang w:val="en-US" w:eastAsia="zh-CN"/>
              </w:rPr>
              <w:t>2</w:t>
            </w:r>
            <w:r>
              <w:rPr>
                <w:rFonts w:hint="eastAsia" w:ascii="宋体" w:hAnsi="宋体" w:cs="宋体"/>
                <w:color w:val="auto"/>
              </w:rPr>
              <w:t>分；</w:t>
            </w:r>
          </w:p>
          <w:p w14:paraId="06D23C50">
            <w:pPr>
              <w:spacing w:line="400" w:lineRule="exact"/>
              <w:jc w:val="left"/>
              <w:rPr>
                <w:rFonts w:hint="eastAsia" w:ascii="宋体" w:hAnsi="宋体" w:cs="宋体"/>
                <w:color w:val="auto"/>
              </w:rPr>
            </w:pPr>
            <w:r>
              <w:rPr>
                <w:rFonts w:hint="eastAsia" w:ascii="宋体" w:hAnsi="宋体" w:cs="宋体"/>
                <w:color w:val="auto"/>
                <w:lang w:val="zh-CN"/>
              </w:rPr>
              <w:t>②</w:t>
            </w:r>
            <w:r>
              <w:rPr>
                <w:rFonts w:hint="eastAsia" w:ascii="宋体" w:hAnsi="宋体" w:cs="宋体"/>
                <w:color w:val="auto"/>
              </w:rPr>
              <w:t>应急预案考虑不够全面，存在一定不足，但不会造成较大的实质性影响的得</w:t>
            </w:r>
            <w:r>
              <w:rPr>
                <w:rFonts w:hint="eastAsia" w:ascii="宋体" w:hAnsi="宋体" w:cs="宋体"/>
                <w:color w:val="auto"/>
                <w:lang w:val="en-US" w:eastAsia="zh-CN"/>
              </w:rPr>
              <w:t>1</w:t>
            </w:r>
            <w:r>
              <w:rPr>
                <w:rFonts w:hint="eastAsia" w:ascii="宋体" w:hAnsi="宋体" w:cs="宋体"/>
                <w:color w:val="auto"/>
              </w:rPr>
              <w:t>分；</w:t>
            </w:r>
          </w:p>
          <w:p w14:paraId="3BF2D943">
            <w:pPr>
              <w:spacing w:line="400" w:lineRule="exact"/>
              <w:jc w:val="left"/>
              <w:rPr>
                <w:rFonts w:ascii="宋体" w:hAnsi="宋体" w:cs="宋体"/>
                <w:color w:val="auto"/>
              </w:rPr>
            </w:pPr>
            <w:r>
              <w:rPr>
                <w:rFonts w:hint="eastAsia" w:ascii="宋体" w:hAnsi="宋体" w:cs="宋体"/>
                <w:color w:val="auto"/>
                <w:lang w:val="zh-CN"/>
              </w:rPr>
              <w:t>③</w:t>
            </w:r>
            <w:r>
              <w:rPr>
                <w:rFonts w:hint="eastAsia" w:ascii="宋体" w:hAnsi="宋体" w:cs="宋体"/>
                <w:color w:val="auto"/>
              </w:rPr>
              <w:t>应急预案编制明显不符合项目实际情况，对项目实施过程中的故障缺乏风险预判和应对措施的本项不得分；</w:t>
            </w:r>
          </w:p>
        </w:tc>
        <w:tc>
          <w:tcPr>
            <w:tcW w:w="675" w:type="dxa"/>
            <w:vAlign w:val="center"/>
          </w:tcPr>
          <w:p w14:paraId="274BF697">
            <w:pPr>
              <w:spacing w:line="400" w:lineRule="exact"/>
              <w:jc w:val="center"/>
              <w:rPr>
                <w:rFonts w:hint="eastAsia" w:ascii="宋体" w:hAnsi="宋体" w:eastAsia="宋体" w:cs="宋体"/>
                <w:color w:val="auto"/>
                <w:lang w:eastAsia="zh-CN"/>
              </w:rPr>
            </w:pPr>
            <w:r>
              <w:rPr>
                <w:rFonts w:hint="eastAsia" w:ascii="宋体" w:hAnsi="宋体" w:cs="宋体"/>
                <w:color w:val="auto"/>
                <w:lang w:val="en-US" w:eastAsia="zh-CN"/>
              </w:rPr>
              <w:t>3</w:t>
            </w:r>
          </w:p>
        </w:tc>
        <w:tc>
          <w:tcPr>
            <w:tcW w:w="853" w:type="dxa"/>
            <w:vAlign w:val="center"/>
          </w:tcPr>
          <w:p w14:paraId="6F8AA4C1">
            <w:pPr>
              <w:spacing w:line="400" w:lineRule="exact"/>
              <w:jc w:val="center"/>
              <w:rPr>
                <w:rFonts w:ascii="宋体" w:hAnsi="宋体" w:cs="宋体"/>
                <w:color w:val="auto"/>
              </w:rPr>
            </w:pPr>
            <w:r>
              <w:rPr>
                <w:rFonts w:hint="eastAsia" w:ascii="宋体" w:hAnsi="宋体" w:cs="宋体"/>
                <w:color w:val="auto"/>
              </w:rPr>
              <w:t>主观分</w:t>
            </w:r>
          </w:p>
        </w:tc>
      </w:tr>
      <w:tr w14:paraId="44AF7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1104" w:type="dxa"/>
            <w:vMerge w:val="continue"/>
            <w:vAlign w:val="center"/>
          </w:tcPr>
          <w:p w14:paraId="399981D9">
            <w:pPr>
              <w:spacing w:line="400" w:lineRule="exact"/>
              <w:jc w:val="center"/>
              <w:rPr>
                <w:rFonts w:ascii="宋体" w:hAnsi="宋体" w:cs="宋体"/>
                <w:color w:val="auto"/>
              </w:rPr>
            </w:pPr>
          </w:p>
        </w:tc>
        <w:tc>
          <w:tcPr>
            <w:tcW w:w="7560" w:type="dxa"/>
            <w:gridSpan w:val="2"/>
            <w:vAlign w:val="center"/>
          </w:tcPr>
          <w:p w14:paraId="3C38BF57">
            <w:pPr>
              <w:spacing w:line="400" w:lineRule="exact"/>
              <w:jc w:val="left"/>
              <w:rPr>
                <w:rFonts w:hint="eastAsia" w:ascii="宋体" w:hAnsi="宋体" w:cs="宋体"/>
                <w:color w:val="auto"/>
                <w:kern w:val="0"/>
                <w:lang w:val="zh-CN"/>
              </w:rPr>
            </w:pPr>
            <w:r>
              <w:rPr>
                <w:rFonts w:hint="eastAsia" w:ascii="宋体" w:hAnsi="宋体" w:cs="宋体"/>
                <w:color w:val="auto"/>
                <w:lang w:val="en-US" w:eastAsia="zh-CN"/>
              </w:rPr>
              <w:t>9</w:t>
            </w:r>
            <w:r>
              <w:rPr>
                <w:rFonts w:hint="eastAsia" w:ascii="宋体" w:hAnsi="宋体" w:cs="宋体"/>
                <w:color w:val="auto"/>
              </w:rPr>
              <w:t>、</w:t>
            </w:r>
            <w:r>
              <w:rPr>
                <w:rFonts w:hint="eastAsia" w:ascii="宋体" w:hAnsi="宋体" w:cs="宋体"/>
                <w:color w:val="auto"/>
                <w:kern w:val="0"/>
              </w:rPr>
              <w:t>认证体系证书</w:t>
            </w:r>
            <w:r>
              <w:rPr>
                <w:rFonts w:hint="eastAsia" w:ascii="宋体" w:hAnsi="宋体" w:cs="宋体"/>
                <w:color w:val="auto"/>
              </w:rPr>
              <w:t>（</w:t>
            </w:r>
            <w:r>
              <w:rPr>
                <w:rFonts w:hint="eastAsia" w:ascii="宋体" w:hAnsi="宋体" w:cs="宋体"/>
                <w:color w:val="auto"/>
                <w:lang w:val="en-US" w:eastAsia="zh-CN"/>
              </w:rPr>
              <w:t>1</w:t>
            </w:r>
            <w:r>
              <w:rPr>
                <w:rFonts w:hint="eastAsia" w:ascii="宋体" w:hAnsi="宋体" w:cs="宋体"/>
                <w:color w:val="auto"/>
              </w:rPr>
              <w:t>分）：</w:t>
            </w:r>
            <w:r>
              <w:rPr>
                <w:rFonts w:hint="eastAsia" w:ascii="宋体" w:hAnsi="宋体" w:cs="宋体"/>
                <w:color w:val="auto"/>
                <w:kern w:val="0"/>
                <w:lang w:val="zh-CN"/>
              </w:rPr>
              <w:t>投标人具有有效的ISO9001质量管理体系认证的得1分，无不得分。</w:t>
            </w:r>
          </w:p>
          <w:p w14:paraId="0606E6A1">
            <w:pPr>
              <w:spacing w:line="400" w:lineRule="exact"/>
              <w:jc w:val="left"/>
              <w:rPr>
                <w:rFonts w:ascii="宋体" w:hAnsi="宋体" w:cs="宋体"/>
                <w:color w:val="auto"/>
              </w:rPr>
            </w:pPr>
            <w:r>
              <w:rPr>
                <w:rFonts w:hint="eastAsia" w:ascii="宋体" w:hAnsi="宋体" w:cs="宋体"/>
                <w:color w:val="auto"/>
                <w:kern w:val="0"/>
                <w:lang w:val="zh-CN"/>
              </w:rPr>
              <w:t>注：</w:t>
            </w:r>
            <w:r>
              <w:rPr>
                <w:rFonts w:hint="eastAsia" w:ascii="宋体" w:hAnsi="宋体" w:cs="宋体"/>
                <w:color w:val="auto"/>
                <w:kern w:val="0"/>
              </w:rPr>
              <w:t>投标文件中提供证书复印件，或全国认证认可信息公共服务平台网站上单位具有本项证书的截图。</w:t>
            </w:r>
          </w:p>
        </w:tc>
        <w:tc>
          <w:tcPr>
            <w:tcW w:w="675" w:type="dxa"/>
            <w:vAlign w:val="center"/>
          </w:tcPr>
          <w:p w14:paraId="62E41C9D">
            <w:pPr>
              <w:spacing w:line="400" w:lineRule="exact"/>
              <w:jc w:val="center"/>
              <w:rPr>
                <w:rFonts w:hint="eastAsia" w:ascii="宋体" w:hAnsi="宋体" w:eastAsia="宋体" w:cs="宋体"/>
                <w:color w:val="auto"/>
                <w:lang w:eastAsia="zh-CN"/>
              </w:rPr>
            </w:pPr>
            <w:r>
              <w:rPr>
                <w:rFonts w:hint="eastAsia" w:ascii="宋体" w:hAnsi="宋体" w:cs="宋体"/>
                <w:color w:val="auto"/>
                <w:lang w:val="en-US" w:eastAsia="zh-CN"/>
              </w:rPr>
              <w:t>1</w:t>
            </w:r>
          </w:p>
        </w:tc>
        <w:tc>
          <w:tcPr>
            <w:tcW w:w="853" w:type="dxa"/>
            <w:vAlign w:val="center"/>
          </w:tcPr>
          <w:p w14:paraId="23D130C4">
            <w:pPr>
              <w:spacing w:line="400" w:lineRule="exact"/>
              <w:jc w:val="center"/>
              <w:rPr>
                <w:rFonts w:ascii="宋体" w:hAnsi="宋体" w:cs="宋体"/>
                <w:color w:val="auto"/>
              </w:rPr>
            </w:pPr>
            <w:r>
              <w:rPr>
                <w:rFonts w:hint="eastAsia" w:ascii="宋体" w:hAnsi="宋体" w:cs="宋体"/>
                <w:bCs/>
                <w:color w:val="auto"/>
              </w:rPr>
              <w:t>客观分</w:t>
            </w:r>
          </w:p>
        </w:tc>
      </w:tr>
      <w:tr w14:paraId="1ADC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jc w:val="center"/>
        </w:trPr>
        <w:tc>
          <w:tcPr>
            <w:tcW w:w="1104" w:type="dxa"/>
            <w:vMerge w:val="continue"/>
            <w:vAlign w:val="center"/>
          </w:tcPr>
          <w:p w14:paraId="21739C94">
            <w:pPr>
              <w:spacing w:line="400" w:lineRule="exact"/>
              <w:jc w:val="center"/>
              <w:rPr>
                <w:rFonts w:ascii="宋体" w:hAnsi="宋体" w:cs="宋体"/>
                <w:color w:val="auto"/>
              </w:rPr>
            </w:pPr>
          </w:p>
        </w:tc>
        <w:tc>
          <w:tcPr>
            <w:tcW w:w="7560" w:type="dxa"/>
            <w:gridSpan w:val="2"/>
            <w:vAlign w:val="center"/>
          </w:tcPr>
          <w:p w14:paraId="17EF6611">
            <w:pPr>
              <w:numPr>
                <w:ilvl w:val="0"/>
                <w:numId w:val="0"/>
              </w:numPr>
              <w:spacing w:line="400" w:lineRule="exact"/>
              <w:jc w:val="left"/>
              <w:rPr>
                <w:rFonts w:ascii="宋体" w:hAnsi="宋体" w:cs="宋体"/>
                <w:color w:val="auto"/>
              </w:rPr>
            </w:pPr>
            <w:r>
              <w:rPr>
                <w:rFonts w:hint="eastAsia" w:ascii="宋体" w:hAnsi="宋体" w:cs="宋体"/>
                <w:color w:val="auto"/>
                <w:kern w:val="2"/>
                <w:sz w:val="21"/>
                <w:szCs w:val="24"/>
                <w:lang w:val="en-US" w:eastAsia="zh-CN" w:bidi="ar-SA"/>
              </w:rPr>
              <w:t>10</w:t>
            </w:r>
            <w:r>
              <w:rPr>
                <w:rFonts w:ascii="宋体" w:hAnsi="宋体" w:eastAsia="宋体" w:cs="宋体"/>
                <w:color w:val="auto"/>
                <w:kern w:val="2"/>
                <w:sz w:val="21"/>
                <w:szCs w:val="24"/>
                <w:lang w:val="en-US" w:eastAsia="zh-CN" w:bidi="ar-SA"/>
              </w:rPr>
              <w:t>、</w:t>
            </w:r>
            <w:r>
              <w:rPr>
                <w:rFonts w:hint="eastAsia" w:ascii="宋体" w:hAnsi="宋体" w:cs="宋体"/>
                <w:color w:val="auto"/>
              </w:rPr>
              <w:t>项目业绩（3分）：投标人需提供自2021年</w:t>
            </w:r>
            <w:r>
              <w:rPr>
                <w:rFonts w:hint="eastAsia" w:ascii="宋体" w:hAnsi="宋体" w:cs="宋体"/>
                <w:color w:val="auto"/>
                <w:lang w:val="en-US" w:eastAsia="zh-CN"/>
              </w:rPr>
              <w:t>7</w:t>
            </w:r>
            <w:r>
              <w:rPr>
                <w:rFonts w:hint="eastAsia" w:ascii="宋体" w:hAnsi="宋体" w:cs="宋体"/>
                <w:color w:val="auto"/>
              </w:rPr>
              <w:t>月1日起至投标截止日（以合同签订时间为准），具有类似广电领域具有项目业绩的，每提供一个得1分，最高得3分。</w:t>
            </w:r>
          </w:p>
          <w:p w14:paraId="6BC51BB3">
            <w:pPr>
              <w:spacing w:line="400" w:lineRule="exact"/>
              <w:jc w:val="left"/>
              <w:rPr>
                <w:rFonts w:ascii="宋体" w:hAnsi="宋体" w:cs="宋体"/>
                <w:color w:val="auto"/>
              </w:rPr>
            </w:pPr>
            <w:r>
              <w:rPr>
                <w:rFonts w:hint="eastAsia" w:ascii="宋体" w:hAnsi="宋体" w:cs="宋体"/>
                <w:color w:val="auto"/>
              </w:rPr>
              <w:t>注：投标文件中须提供中标通知书、合同复印件并加盖投标人公章，否则不得分。</w:t>
            </w:r>
          </w:p>
        </w:tc>
        <w:tc>
          <w:tcPr>
            <w:tcW w:w="675" w:type="dxa"/>
            <w:vAlign w:val="center"/>
          </w:tcPr>
          <w:p w14:paraId="5068C337">
            <w:pPr>
              <w:spacing w:line="400" w:lineRule="exact"/>
              <w:jc w:val="center"/>
              <w:rPr>
                <w:rFonts w:ascii="宋体" w:hAnsi="宋体" w:cs="宋体"/>
                <w:color w:val="auto"/>
              </w:rPr>
            </w:pPr>
            <w:r>
              <w:rPr>
                <w:rFonts w:hint="eastAsia" w:ascii="宋体" w:hAnsi="宋体" w:cs="宋体"/>
                <w:color w:val="auto"/>
              </w:rPr>
              <w:t>3</w:t>
            </w:r>
          </w:p>
        </w:tc>
        <w:tc>
          <w:tcPr>
            <w:tcW w:w="853" w:type="dxa"/>
            <w:vAlign w:val="center"/>
          </w:tcPr>
          <w:p w14:paraId="0CD235B6">
            <w:pPr>
              <w:spacing w:line="400" w:lineRule="exact"/>
              <w:jc w:val="center"/>
              <w:rPr>
                <w:rFonts w:ascii="宋体" w:hAnsi="宋体" w:cs="宋体"/>
                <w:color w:val="auto"/>
              </w:rPr>
            </w:pPr>
            <w:r>
              <w:rPr>
                <w:rFonts w:hint="eastAsia" w:ascii="宋体" w:hAnsi="宋体" w:cs="宋体"/>
                <w:bCs/>
                <w:color w:val="auto"/>
              </w:rPr>
              <w:t>客观分</w:t>
            </w:r>
          </w:p>
        </w:tc>
      </w:tr>
      <w:tr w14:paraId="650C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jc w:val="center"/>
        </w:trPr>
        <w:tc>
          <w:tcPr>
            <w:tcW w:w="1104" w:type="dxa"/>
            <w:vAlign w:val="center"/>
          </w:tcPr>
          <w:p w14:paraId="16B1139D">
            <w:pPr>
              <w:spacing w:line="400" w:lineRule="exact"/>
              <w:jc w:val="center"/>
              <w:rPr>
                <w:rFonts w:ascii="宋体" w:hAnsi="宋体" w:cs="宋体"/>
                <w:color w:val="auto"/>
              </w:rPr>
            </w:pPr>
          </w:p>
        </w:tc>
        <w:tc>
          <w:tcPr>
            <w:tcW w:w="7560" w:type="dxa"/>
            <w:gridSpan w:val="2"/>
            <w:vAlign w:val="center"/>
          </w:tcPr>
          <w:p w14:paraId="765D2F4C">
            <w:pPr>
              <w:spacing w:line="400" w:lineRule="exact"/>
              <w:jc w:val="left"/>
              <w:rPr>
                <w:rFonts w:hint="eastAsia" w:ascii="宋体" w:hAnsi="宋体" w:cs="宋体"/>
                <w:color w:val="auto"/>
              </w:rPr>
            </w:pPr>
            <w:r>
              <w:rPr>
                <w:rFonts w:hint="eastAsia" w:ascii="宋体" w:hAnsi="宋体" w:cs="宋体"/>
                <w:color w:val="auto"/>
                <w:lang w:val="en-US" w:eastAsia="zh-CN"/>
              </w:rPr>
              <w:t>11</w:t>
            </w:r>
            <w:r>
              <w:rPr>
                <w:rFonts w:hint="eastAsia" w:ascii="宋体" w:hAnsi="宋体" w:cs="宋体"/>
                <w:color w:val="auto"/>
              </w:rPr>
              <w:t>、节能产品环境标志产品（1分）：</w:t>
            </w:r>
          </w:p>
          <w:p w14:paraId="074F8AA6">
            <w:pPr>
              <w:spacing w:line="400" w:lineRule="exact"/>
              <w:jc w:val="left"/>
              <w:rPr>
                <w:rFonts w:hint="eastAsia" w:ascii="宋体" w:hAnsi="宋体" w:cs="宋体"/>
                <w:color w:val="auto"/>
              </w:rPr>
            </w:pPr>
            <w:r>
              <w:rPr>
                <w:rFonts w:hint="eastAsia" w:ascii="宋体" w:hAnsi="宋体" w:cs="宋体"/>
                <w:color w:val="auto"/>
                <w:lang w:val="en-US" w:eastAsia="zh-CN"/>
              </w:rPr>
              <w:t>11</w:t>
            </w:r>
            <w:r>
              <w:rPr>
                <w:rFonts w:hint="eastAsia" w:ascii="宋体" w:hAnsi="宋体" w:cs="宋体"/>
                <w:color w:val="auto"/>
              </w:rPr>
              <w:t>.1所有投标产品属于《节能产品政府采购品目清单》范围的且具有国家确定的认证机构出具的、处于有效期之内的节能产品认证证书的得0.5分；</w:t>
            </w:r>
          </w:p>
          <w:p w14:paraId="7FC3E808">
            <w:pPr>
              <w:spacing w:line="400" w:lineRule="exact"/>
              <w:jc w:val="left"/>
              <w:rPr>
                <w:rFonts w:hint="eastAsia" w:ascii="宋体" w:hAnsi="宋体" w:cs="宋体"/>
                <w:color w:val="auto"/>
              </w:rPr>
            </w:pPr>
            <w:r>
              <w:rPr>
                <w:rFonts w:hint="eastAsia" w:ascii="宋体" w:hAnsi="宋体" w:cs="宋体"/>
                <w:color w:val="auto"/>
                <w:lang w:val="en-US" w:eastAsia="zh-CN"/>
              </w:rPr>
              <w:t>11</w:t>
            </w:r>
            <w:r>
              <w:rPr>
                <w:rFonts w:hint="eastAsia" w:ascii="宋体" w:hAnsi="宋体" w:cs="宋体"/>
                <w:color w:val="auto"/>
              </w:rPr>
              <w:t>.2所有投标产品属于《环境标志产品政府采购品目清单》范围的且具有国家确定的认证机构出具的、处于有效期之内的环境标志产品认证证书的得0.5分。</w:t>
            </w:r>
          </w:p>
          <w:p w14:paraId="51D1B75D">
            <w:pPr>
              <w:spacing w:line="400" w:lineRule="exact"/>
              <w:jc w:val="left"/>
              <w:rPr>
                <w:rFonts w:hint="eastAsia" w:ascii="宋体" w:hAnsi="宋体" w:cs="宋体"/>
                <w:color w:val="auto"/>
              </w:rPr>
            </w:pPr>
            <w:r>
              <w:rPr>
                <w:rFonts w:hint="eastAsia" w:ascii="宋体" w:hAnsi="宋体" w:cs="宋体"/>
                <w:color w:val="auto"/>
              </w:rPr>
              <w:t>注：投标文件中必须同时提供以下资料：</w:t>
            </w:r>
          </w:p>
          <w:p w14:paraId="7A9A47A9">
            <w:pPr>
              <w:spacing w:line="400" w:lineRule="exact"/>
              <w:jc w:val="left"/>
              <w:rPr>
                <w:rFonts w:hint="eastAsia" w:ascii="宋体" w:hAnsi="宋体" w:cs="宋体"/>
                <w:color w:val="auto"/>
              </w:rPr>
            </w:pPr>
            <w:r>
              <w:rPr>
                <w:rFonts w:hint="eastAsia" w:ascii="宋体" w:hAnsi="宋体" w:cs="宋体"/>
                <w:color w:val="auto"/>
              </w:rPr>
              <w:t>（1）提供政府采购品目清单相关内容页（并对相关内容作圈记），采购品目清单详见《关于印发环境标志产品政府采购品目清单的通知》（财库〔2019〕18号）和《关于印发节能产品政府采购品目清单的通知》（财库〔2019〕19号）。</w:t>
            </w:r>
          </w:p>
          <w:p w14:paraId="6C78CF63">
            <w:pPr>
              <w:spacing w:line="400" w:lineRule="exact"/>
              <w:jc w:val="left"/>
              <w:rPr>
                <w:rFonts w:hint="eastAsia" w:ascii="宋体" w:hAnsi="宋体" w:cs="宋体"/>
                <w:color w:val="auto"/>
              </w:rPr>
            </w:pPr>
            <w:r>
              <w:rPr>
                <w:rFonts w:hint="eastAsia" w:ascii="宋体" w:hAnsi="宋体" w:cs="宋体"/>
                <w:color w:val="auto"/>
              </w:rPr>
              <w:t>（2）《市场监管总局关于发布参与实施政府采购节能产品、环境标志产品认证机构名录的公告》中的认证机构出具的、处于有效期之内的节能产品/环境标志产品认证证书复印件并加盖公章。</w:t>
            </w:r>
          </w:p>
        </w:tc>
        <w:tc>
          <w:tcPr>
            <w:tcW w:w="675" w:type="dxa"/>
            <w:vAlign w:val="center"/>
          </w:tcPr>
          <w:p w14:paraId="28821812">
            <w:pPr>
              <w:spacing w:line="400" w:lineRule="exact"/>
              <w:jc w:val="center"/>
              <w:rPr>
                <w:rFonts w:hint="eastAsia" w:ascii="宋体" w:hAnsi="宋体" w:eastAsia="宋体" w:cs="宋体"/>
                <w:color w:val="auto"/>
                <w:lang w:val="en-US" w:eastAsia="zh-CN"/>
              </w:rPr>
            </w:pPr>
            <w:r>
              <w:rPr>
                <w:rFonts w:hint="eastAsia" w:ascii="宋体" w:hAnsi="宋体" w:cs="宋体"/>
                <w:color w:val="auto"/>
                <w:lang w:val="en-US" w:eastAsia="zh-CN"/>
              </w:rPr>
              <w:t>1</w:t>
            </w:r>
          </w:p>
        </w:tc>
        <w:tc>
          <w:tcPr>
            <w:tcW w:w="853" w:type="dxa"/>
            <w:vAlign w:val="center"/>
          </w:tcPr>
          <w:p w14:paraId="3C0C5064">
            <w:pPr>
              <w:spacing w:line="400" w:lineRule="exact"/>
              <w:jc w:val="center"/>
              <w:rPr>
                <w:rFonts w:hint="eastAsia" w:ascii="宋体" w:hAnsi="宋体" w:cs="宋体"/>
                <w:bCs/>
                <w:color w:val="auto"/>
              </w:rPr>
            </w:pPr>
            <w:r>
              <w:rPr>
                <w:rFonts w:hint="eastAsia" w:ascii="宋体" w:hAnsi="宋体" w:cs="宋体"/>
                <w:bCs/>
                <w:color w:val="auto"/>
              </w:rPr>
              <w:t>客观分</w:t>
            </w:r>
          </w:p>
        </w:tc>
      </w:tr>
    </w:tbl>
    <w:p w14:paraId="526F5713">
      <w:pPr>
        <w:rPr>
          <w:color w:val="auto"/>
        </w:rPr>
      </w:pPr>
    </w:p>
    <w:p w14:paraId="3FDB2B03">
      <w:pPr>
        <w:snapToGrid w:val="0"/>
        <w:spacing w:line="360" w:lineRule="auto"/>
        <w:rPr>
          <w:rFonts w:hint="default"/>
          <w:color w:val="auto"/>
          <w:lang w:val="en-US" w:eastAsia="zh-CN"/>
        </w:rPr>
      </w:pPr>
      <w:r>
        <w:rPr>
          <w:rFonts w:hint="eastAsia" w:ascii="宋体" w:hAnsi="宋体" w:cs="宋体"/>
          <w:color w:val="auto"/>
          <w:sz w:val="20"/>
          <w:szCs w:val="20"/>
          <w:shd w:val="clear" w:color="auto" w:fill="FFFFFF"/>
        </w:rPr>
        <w:t>*</w:t>
      </w:r>
      <w:r>
        <w:rPr>
          <w:rFonts w:hint="eastAsia" w:ascii="宋体" w:hAnsi="宋体" w:cs="宋体"/>
          <w:b/>
          <w:color w:val="auto"/>
          <w:sz w:val="24"/>
        </w:rPr>
        <w:t>备注：</w:t>
      </w:r>
      <w:r>
        <w:rPr>
          <w:rFonts w:hint="eastAsia" w:ascii="宋体" w:hAnsi="宋体" w:cs="宋体"/>
          <w:b/>
          <w:color w:val="auto"/>
          <w:sz w:val="24"/>
          <w:lang w:val="en-US" w:eastAsia="zh-CN"/>
        </w:rPr>
        <w:t>1、</w:t>
      </w:r>
      <w:r>
        <w:rPr>
          <w:rFonts w:hint="eastAsia" w:ascii="宋体" w:hAnsi="宋体" w:cs="宋体"/>
          <w:color w:val="auto"/>
          <w:sz w:val="24"/>
        </w:rPr>
        <w:t>投标人编制投标文件（商务技术文件部分）时，建议按此目录（序号和内容）提供评标标准相应的商务技术资料。</w:t>
      </w:r>
      <w:r>
        <w:rPr>
          <w:rFonts w:hint="eastAsia" w:ascii="宋体" w:hAnsi="宋体" w:eastAsia="宋体" w:cs="宋体"/>
          <w:b w:val="0"/>
          <w:bCs w:val="0"/>
          <w:color w:val="auto"/>
          <w:kern w:val="2"/>
          <w:sz w:val="24"/>
          <w:szCs w:val="24"/>
          <w:lang w:val="en-US" w:eastAsia="zh-CN" w:bidi="ar-SA"/>
        </w:rPr>
        <w:t>2、小数点后保留一位数。3、各评标委员会成员自行按以上参考分值评分。4、重大事件由评标委员会集体讨论，应当按照少数服从多数的原则作出结论。</w:t>
      </w:r>
    </w:p>
    <w:p w14:paraId="26392F68">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5697E42B">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7FA57AE3">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33FED513">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69FCC5EC">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43DD3763">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38B7E07C">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60650DBB">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2A8A502F">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4635628B">
      <w:pPr>
        <w:pStyle w:val="133"/>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092BE830">
      <w:pPr>
        <w:pStyle w:val="133"/>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0CC96E85">
      <w:pPr>
        <w:pStyle w:val="133"/>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3D2C50EF">
      <w:pPr>
        <w:pStyle w:val="133"/>
        <w:spacing w:before="0"/>
        <w:ind w:firstLine="480"/>
        <w:rPr>
          <w:rFonts w:ascii="宋体" w:hAnsi="宋体" w:cs="宋体"/>
          <w:color w:val="auto"/>
          <w:kern w:val="0"/>
          <w:szCs w:val="24"/>
        </w:rPr>
      </w:pPr>
      <w:r>
        <w:rPr>
          <w:rFonts w:hint="eastAsia" w:ascii="宋体" w:hAnsi="宋体" w:cs="宋体"/>
          <w:color w:val="auto"/>
          <w:kern w:val="0"/>
          <w:szCs w:val="24"/>
        </w:rPr>
        <w:t>3.4.1.</w:t>
      </w:r>
      <w:r>
        <w:rPr>
          <w:rFonts w:hint="eastAsia" w:ascii="宋体" w:hAnsi="宋体" w:cs="宋体"/>
          <w:color w:val="auto"/>
          <w:kern w:val="0"/>
          <w:szCs w:val="24"/>
          <w:lang w:val="en-US" w:eastAsia="zh-CN"/>
        </w:rPr>
        <w:t>3</w:t>
      </w:r>
      <w:r>
        <w:rPr>
          <w:rFonts w:hint="eastAsia" w:ascii="宋体" w:hAnsi="宋体" w:cs="宋体"/>
          <w:color w:val="auto"/>
          <w:kern w:val="0"/>
          <w:szCs w:val="24"/>
        </w:rPr>
        <w:t>同时出现两种以上不一致的，按照3.4.1规定的顺序修正。修正后的报价按照财政部第87号令 《政府采购货物和服务招标投标管理办法》第五十一条第二款的规定经投标人确认后产生约束力。</w:t>
      </w:r>
    </w:p>
    <w:p w14:paraId="53AF189A">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50CD976F">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633BDBC6">
      <w:pPr>
        <w:pStyle w:val="133"/>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47A8835">
      <w:pPr>
        <w:pStyle w:val="133"/>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653F8FC7">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64A29B7">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0891979">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07D8D951">
      <w:pPr>
        <w:pStyle w:val="133"/>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9E2DA6A">
      <w:pPr>
        <w:pStyle w:val="25"/>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4773738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D5A18F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B23A68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089E84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2728FF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3EEC9DA">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186ADF0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7FC3FCA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412EBF1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4E3006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6656B08F">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7FA3250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00BBE01F">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w:t>
      </w:r>
      <w:r>
        <w:rPr>
          <w:rFonts w:hint="eastAsia" w:ascii="宋体" w:hAnsi="宋体" w:eastAsia="宋体" w:cs="宋体"/>
          <w:b w:val="0"/>
          <w:bCs w:val="0"/>
          <w:color w:val="auto"/>
          <w:kern w:val="0"/>
          <w:sz w:val="24"/>
          <w:szCs w:val="24"/>
          <w:highlight w:val="none"/>
          <w:lang w:val="en-US" w:eastAsia="zh-CN"/>
        </w:rPr>
        <w:t>的其他</w:t>
      </w:r>
      <w:r>
        <w:rPr>
          <w:rFonts w:hint="eastAsia" w:ascii="宋体" w:hAnsi="宋体" w:eastAsia="宋体" w:cs="宋体"/>
          <w:b w:val="0"/>
          <w:bCs w:val="0"/>
          <w:color w:val="auto"/>
          <w:kern w:val="0"/>
          <w:sz w:val="24"/>
          <w:szCs w:val="24"/>
          <w:highlight w:val="none"/>
          <w:lang w:val="en-US"/>
        </w:rPr>
        <w:t>实质性要求的；</w:t>
      </w:r>
    </w:p>
    <w:p w14:paraId="361BE57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73FD7D00">
      <w:pPr>
        <w:pStyle w:val="25"/>
        <w:snapToGrid w:val="0"/>
        <w:spacing w:line="360" w:lineRule="auto"/>
        <w:ind w:firstLine="472" w:firstLineChars="196"/>
        <w:rPr>
          <w:rFonts w:hint="eastAsia" w:cs="宋体"/>
          <w:b/>
          <w:color w:val="auto"/>
          <w:highlight w:val="none"/>
        </w:rPr>
      </w:pPr>
      <w:r>
        <w:rPr>
          <w:rFonts w:hint="eastAsia" w:cs="宋体"/>
          <w:b/>
          <w:color w:val="auto"/>
          <w:highlight w:val="none"/>
        </w:rPr>
        <w:t>4.2.15上传投标文件同一网卡地址、同一IP地址的为无效标。</w:t>
      </w:r>
    </w:p>
    <w:p w14:paraId="0517ACE6">
      <w:pPr>
        <w:pStyle w:val="25"/>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078E9174">
      <w:pPr>
        <w:pStyle w:val="25"/>
        <w:snapToGrid w:val="0"/>
        <w:spacing w:line="360" w:lineRule="auto"/>
        <w:rPr>
          <w:rFonts w:cs="宋体"/>
          <w:color w:val="auto"/>
        </w:rPr>
      </w:pPr>
      <w:r>
        <w:rPr>
          <w:rFonts w:hint="eastAsia" w:cs="宋体"/>
          <w:color w:val="auto"/>
        </w:rPr>
        <w:t>5.1符合专业条件的</w:t>
      </w:r>
      <w:r>
        <w:rPr>
          <w:rFonts w:hint="eastAsia" w:cs="宋体"/>
          <w:color w:val="auto"/>
          <w:lang w:eastAsia="zh-CN"/>
        </w:rPr>
        <w:t>投标人</w:t>
      </w:r>
      <w:r>
        <w:rPr>
          <w:rFonts w:hint="eastAsia" w:cs="宋体"/>
          <w:color w:val="auto"/>
        </w:rPr>
        <w:t>或者对招标文件作实质响应的</w:t>
      </w:r>
      <w:r>
        <w:rPr>
          <w:rFonts w:hint="eastAsia" w:cs="宋体"/>
          <w:color w:val="auto"/>
          <w:lang w:eastAsia="zh-CN"/>
        </w:rPr>
        <w:t>投标人</w:t>
      </w:r>
      <w:r>
        <w:rPr>
          <w:rFonts w:hint="eastAsia" w:cs="宋体"/>
          <w:color w:val="auto"/>
        </w:rPr>
        <w:t>不足3家的；</w:t>
      </w:r>
    </w:p>
    <w:p w14:paraId="7CC14E9E">
      <w:pPr>
        <w:pStyle w:val="25"/>
        <w:snapToGrid w:val="0"/>
        <w:spacing w:line="360" w:lineRule="auto"/>
        <w:rPr>
          <w:rFonts w:cs="宋体"/>
          <w:color w:val="auto"/>
        </w:rPr>
      </w:pPr>
      <w:r>
        <w:rPr>
          <w:rFonts w:hint="eastAsia" w:cs="宋体"/>
          <w:color w:val="auto"/>
        </w:rPr>
        <w:t>5.2出现影响采购公正的违法、违规行为的；</w:t>
      </w:r>
    </w:p>
    <w:p w14:paraId="5CE2DD56">
      <w:pPr>
        <w:pStyle w:val="25"/>
        <w:snapToGrid w:val="0"/>
        <w:spacing w:line="360" w:lineRule="auto"/>
        <w:rPr>
          <w:rFonts w:cs="宋体"/>
          <w:color w:val="auto"/>
        </w:rPr>
      </w:pPr>
      <w:r>
        <w:rPr>
          <w:rFonts w:hint="eastAsia" w:cs="宋体"/>
          <w:color w:val="auto"/>
        </w:rPr>
        <w:t>5.3投标人的报价均超过了采购预算，采购人不能支付的；</w:t>
      </w:r>
    </w:p>
    <w:p w14:paraId="5B19C78E">
      <w:pPr>
        <w:pStyle w:val="25"/>
        <w:snapToGrid w:val="0"/>
        <w:spacing w:line="360" w:lineRule="auto"/>
        <w:rPr>
          <w:rFonts w:cs="宋体"/>
          <w:color w:val="auto"/>
        </w:rPr>
      </w:pPr>
      <w:r>
        <w:rPr>
          <w:rFonts w:hint="eastAsia" w:cs="宋体"/>
          <w:color w:val="auto"/>
        </w:rPr>
        <w:t>5.4因重大变故，采购任务取消的。</w:t>
      </w:r>
    </w:p>
    <w:p w14:paraId="39369BE2">
      <w:pPr>
        <w:pStyle w:val="25"/>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4A3FB444">
      <w:pPr>
        <w:pStyle w:val="25"/>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564BBCE5">
      <w:pPr>
        <w:pStyle w:val="25"/>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4440C62E">
      <w:pPr>
        <w:pStyle w:val="25"/>
        <w:snapToGrid w:val="0"/>
        <w:spacing w:line="360" w:lineRule="auto"/>
        <w:rPr>
          <w:rFonts w:cs="宋体"/>
          <w:color w:val="auto"/>
        </w:rPr>
      </w:pPr>
      <w:r>
        <w:rPr>
          <w:rFonts w:hint="eastAsia" w:cs="宋体"/>
          <w:color w:val="auto"/>
        </w:rPr>
        <w:t>7.1未确定中标</w:t>
      </w:r>
      <w:r>
        <w:rPr>
          <w:rFonts w:hint="eastAsia" w:cs="宋体"/>
          <w:color w:val="auto"/>
          <w:lang w:eastAsia="zh-CN"/>
        </w:rPr>
        <w:t>投标人</w:t>
      </w:r>
      <w:r>
        <w:rPr>
          <w:rFonts w:hint="eastAsia" w:cs="宋体"/>
          <w:color w:val="auto"/>
        </w:rPr>
        <w:t>的，终止本次政府采购活动，重新开展政府采购活动。</w:t>
      </w:r>
    </w:p>
    <w:p w14:paraId="3EB8D1CD">
      <w:pPr>
        <w:pStyle w:val="25"/>
        <w:snapToGrid w:val="0"/>
        <w:spacing w:line="360" w:lineRule="auto"/>
        <w:rPr>
          <w:rFonts w:cs="宋体"/>
          <w:color w:val="auto"/>
        </w:rPr>
      </w:pPr>
      <w:r>
        <w:rPr>
          <w:rFonts w:hint="eastAsia" w:cs="宋体"/>
          <w:color w:val="auto"/>
        </w:rPr>
        <w:t>7.2已确定中标</w:t>
      </w:r>
      <w:r>
        <w:rPr>
          <w:rFonts w:hint="eastAsia" w:cs="宋体"/>
          <w:color w:val="auto"/>
          <w:lang w:eastAsia="zh-CN"/>
        </w:rPr>
        <w:t>投标人</w:t>
      </w:r>
      <w:r>
        <w:rPr>
          <w:rFonts w:hint="eastAsia" w:cs="宋体"/>
          <w:color w:val="auto"/>
        </w:rPr>
        <w:t>但尚未签订政府采购合同的，中标结果无效，从合格的中标候选人中另行确定中标</w:t>
      </w:r>
      <w:r>
        <w:rPr>
          <w:rFonts w:hint="eastAsia" w:cs="宋体"/>
          <w:color w:val="auto"/>
          <w:lang w:eastAsia="zh-CN"/>
        </w:rPr>
        <w:t>投标人</w:t>
      </w:r>
      <w:r>
        <w:rPr>
          <w:rFonts w:hint="eastAsia" w:cs="宋体"/>
          <w:color w:val="auto"/>
        </w:rPr>
        <w:t>；没有合格的中标候选人的，重新开展政府采购活动。</w:t>
      </w:r>
    </w:p>
    <w:p w14:paraId="2804E519">
      <w:pPr>
        <w:pStyle w:val="25"/>
        <w:snapToGrid w:val="0"/>
        <w:spacing w:line="360" w:lineRule="auto"/>
        <w:rPr>
          <w:rFonts w:cs="宋体"/>
          <w:color w:val="auto"/>
        </w:rPr>
      </w:pPr>
      <w:r>
        <w:rPr>
          <w:rFonts w:hint="eastAsia" w:cs="宋体"/>
          <w:color w:val="auto"/>
        </w:rPr>
        <w:t>7.3政府采购合同已签订但尚未履行的，撤销合同，从合格的中标候选人中另行确定中标</w:t>
      </w:r>
      <w:r>
        <w:rPr>
          <w:rFonts w:hint="eastAsia" w:cs="宋体"/>
          <w:color w:val="auto"/>
          <w:lang w:eastAsia="zh-CN"/>
        </w:rPr>
        <w:t>投标人</w:t>
      </w:r>
      <w:r>
        <w:rPr>
          <w:rFonts w:hint="eastAsia" w:cs="宋体"/>
          <w:color w:val="auto"/>
        </w:rPr>
        <w:t>；没有合格的中标候选人的，重新开展政府采购活动。</w:t>
      </w:r>
    </w:p>
    <w:p w14:paraId="0E768673">
      <w:pPr>
        <w:pStyle w:val="25"/>
        <w:snapToGrid w:val="0"/>
        <w:spacing w:line="360" w:lineRule="auto"/>
        <w:rPr>
          <w:rFonts w:cs="宋体"/>
          <w:color w:val="auto"/>
        </w:rPr>
      </w:pPr>
      <w:r>
        <w:rPr>
          <w:rFonts w:hint="eastAsia" w:cs="宋体"/>
          <w:color w:val="auto"/>
        </w:rPr>
        <w:t>7.4政府采购合同已经履行，给采购人、</w:t>
      </w:r>
      <w:r>
        <w:rPr>
          <w:rFonts w:hint="eastAsia" w:cs="宋体"/>
          <w:color w:val="auto"/>
          <w:lang w:eastAsia="zh-CN"/>
        </w:rPr>
        <w:t>投标人</w:t>
      </w:r>
      <w:r>
        <w:rPr>
          <w:rFonts w:hint="eastAsia" w:cs="宋体"/>
          <w:color w:val="auto"/>
        </w:rPr>
        <w:t>造成损失的，由责任人承担赔偿责任。</w:t>
      </w:r>
    </w:p>
    <w:p w14:paraId="43B2DBA4">
      <w:pPr>
        <w:pStyle w:val="25"/>
        <w:snapToGrid w:val="0"/>
        <w:spacing w:line="360" w:lineRule="auto"/>
        <w:rPr>
          <w:rFonts w:ascii="宋体" w:hAnsi="宋体" w:cs="宋体"/>
          <w:b/>
          <w:color w:val="auto"/>
          <w:sz w:val="36"/>
          <w:szCs w:val="36"/>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bookmarkEnd w:id="32"/>
      <w:bookmarkStart w:id="423" w:name="第五部分"/>
      <w:bookmarkStart w:id="424" w:name="_Toc86217003"/>
    </w:p>
    <w:p w14:paraId="5303072A">
      <w:pPr>
        <w:rPr>
          <w:color w:val="auto"/>
        </w:rPr>
      </w:pPr>
    </w:p>
    <w:p w14:paraId="13DDD142">
      <w:pPr>
        <w:rPr>
          <w:rFonts w:hint="eastAsia" w:ascii="宋体" w:hAnsi="宋体" w:cs="宋体"/>
          <w:b/>
          <w:color w:val="auto"/>
          <w:sz w:val="36"/>
          <w:szCs w:val="36"/>
        </w:rPr>
      </w:pPr>
      <w:r>
        <w:rPr>
          <w:rFonts w:hint="eastAsia" w:ascii="宋体" w:hAnsi="宋体" w:cs="宋体"/>
          <w:b/>
          <w:color w:val="auto"/>
          <w:sz w:val="36"/>
          <w:szCs w:val="36"/>
        </w:rPr>
        <w:br w:type="page"/>
      </w:r>
    </w:p>
    <w:p w14:paraId="3A9C782E">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5F23A8A0">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1515D0C5">
      <w:pPr>
        <w:spacing w:line="480" w:lineRule="auto"/>
        <w:jc w:val="center"/>
        <w:rPr>
          <w:rFonts w:ascii="宋体" w:hAnsi="宋体" w:cs="宋体"/>
          <w:b/>
          <w:color w:val="auto"/>
          <w:sz w:val="28"/>
          <w:szCs w:val="28"/>
        </w:rPr>
      </w:pPr>
    </w:p>
    <w:p w14:paraId="3702F8FE">
      <w:pPr>
        <w:spacing w:line="480" w:lineRule="auto"/>
        <w:jc w:val="center"/>
        <w:rPr>
          <w:rFonts w:ascii="宋体" w:hAnsi="宋体" w:cs="宋体"/>
          <w:b/>
          <w:color w:val="auto"/>
          <w:sz w:val="24"/>
        </w:rPr>
      </w:pPr>
    </w:p>
    <w:p w14:paraId="2C00EE11">
      <w:pPr>
        <w:spacing w:line="480" w:lineRule="auto"/>
        <w:jc w:val="center"/>
        <w:rPr>
          <w:rFonts w:ascii="宋体" w:hAnsi="宋体" w:cs="宋体"/>
          <w:b/>
          <w:color w:val="auto"/>
          <w:sz w:val="24"/>
        </w:rPr>
      </w:pPr>
    </w:p>
    <w:p w14:paraId="6D073D48">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30616F5E">
      <w:pPr>
        <w:spacing w:before="120" w:line="22" w:lineRule="atLeast"/>
        <w:rPr>
          <w:rFonts w:ascii="宋体" w:hAnsi="宋体" w:cs="宋体"/>
          <w:color w:val="auto"/>
          <w:sz w:val="24"/>
        </w:rPr>
      </w:pPr>
    </w:p>
    <w:p w14:paraId="5AAA0187">
      <w:pPr>
        <w:pStyle w:val="61"/>
        <w:rPr>
          <w:color w:val="auto"/>
        </w:rPr>
      </w:pPr>
    </w:p>
    <w:p w14:paraId="2AC7326E">
      <w:pPr>
        <w:pStyle w:val="3"/>
        <w:rPr>
          <w:color w:val="auto"/>
        </w:rPr>
      </w:pPr>
    </w:p>
    <w:p w14:paraId="3ED08002">
      <w:pPr>
        <w:pStyle w:val="600"/>
        <w:spacing w:before="120" w:line="22" w:lineRule="atLeast"/>
        <w:rPr>
          <w:rFonts w:hint="eastAsia" w:ascii="宋体" w:hAnsi="宋体" w:eastAsia="宋体" w:cs="宋体"/>
          <w:color w:val="auto"/>
          <w:sz w:val="28"/>
          <w:szCs w:val="28"/>
        </w:rPr>
      </w:pPr>
      <w:r>
        <w:rPr>
          <w:rFonts w:hint="eastAsia" w:ascii="宋体" w:hAnsi="宋体" w:eastAsia="宋体" w:cs="宋体"/>
          <w:color w:val="auto"/>
          <w:sz w:val="28"/>
          <w:szCs w:val="21"/>
        </w:rPr>
        <w:t>项目名称：</w:t>
      </w:r>
      <w:r>
        <w:rPr>
          <w:rFonts w:hint="eastAsia" w:ascii="宋体" w:hAnsi="宋体" w:eastAsia="宋体" w:cs="宋体"/>
          <w:color w:val="auto"/>
          <w:sz w:val="28"/>
          <w:szCs w:val="21"/>
          <w:u w:val="single"/>
          <w:lang w:eastAsia="zh-CN"/>
        </w:rPr>
        <w:t>宁海传媒集团高清电视非线性编辑系统网络核心存储设备硬件升级改造项目</w:t>
      </w:r>
    </w:p>
    <w:p w14:paraId="0127063C">
      <w:pPr>
        <w:pStyle w:val="600"/>
        <w:spacing w:before="120" w:line="22" w:lineRule="atLeast"/>
        <w:rPr>
          <w:rFonts w:ascii="宋体" w:hAnsi="宋体" w:eastAsia="宋体" w:cs="宋体"/>
          <w:color w:val="auto"/>
          <w:szCs w:val="24"/>
        </w:rPr>
      </w:pPr>
    </w:p>
    <w:p w14:paraId="0595B005">
      <w:pPr>
        <w:rPr>
          <w:rFonts w:ascii="宋体" w:hAnsi="宋体" w:cs="宋体"/>
          <w:color w:val="auto"/>
          <w:sz w:val="24"/>
        </w:rPr>
      </w:pPr>
    </w:p>
    <w:p w14:paraId="109892B5">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10E6F302">
      <w:pPr>
        <w:spacing w:before="120" w:line="22" w:lineRule="atLeast"/>
        <w:rPr>
          <w:rFonts w:ascii="宋体" w:hAnsi="宋体" w:cs="宋体"/>
          <w:color w:val="auto"/>
          <w:sz w:val="24"/>
        </w:rPr>
      </w:pPr>
    </w:p>
    <w:p w14:paraId="26FA3EE8">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05E27F6C">
      <w:pPr>
        <w:spacing w:before="120" w:line="22" w:lineRule="atLeast"/>
        <w:rPr>
          <w:rFonts w:ascii="宋体" w:hAnsi="宋体" w:cs="宋体"/>
          <w:color w:val="auto"/>
          <w:sz w:val="24"/>
        </w:rPr>
      </w:pPr>
    </w:p>
    <w:p w14:paraId="08199C2D">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707B45EE">
      <w:pPr>
        <w:spacing w:before="120" w:line="22" w:lineRule="atLeast"/>
        <w:rPr>
          <w:rFonts w:ascii="宋体" w:hAnsi="宋体" w:cs="宋体"/>
          <w:color w:val="auto"/>
          <w:sz w:val="24"/>
        </w:rPr>
      </w:pPr>
    </w:p>
    <w:p w14:paraId="202B29AF">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7CBBB604">
      <w:pPr>
        <w:widowControl/>
        <w:jc w:val="left"/>
        <w:rPr>
          <w:rFonts w:ascii="宋体" w:hAnsi="宋体" w:cs="宋体"/>
          <w:color w:val="auto"/>
          <w:kern w:val="0"/>
          <w:sz w:val="24"/>
        </w:rPr>
        <w:sectPr>
          <w:pgSz w:w="11907" w:h="16840"/>
          <w:pgMar w:top="1474" w:right="1814" w:bottom="1474" w:left="1814" w:header="851" w:footer="851" w:gutter="0"/>
          <w:pgNumType w:fmt="decimal"/>
          <w:cols w:space="720" w:num="1"/>
        </w:sectPr>
      </w:pPr>
    </w:p>
    <w:p w14:paraId="762FB463">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w:t>
      </w:r>
    </w:p>
    <w:p w14:paraId="1984A419">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w:t>
      </w:r>
    </w:p>
    <w:p w14:paraId="20A58873">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甲、乙双方根据招标的结果，签署本合同。</w:t>
      </w:r>
    </w:p>
    <w:p w14:paraId="4E09D298">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一、货物内容</w:t>
      </w:r>
    </w:p>
    <w:p w14:paraId="45F2372D">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货物名称：</w:t>
      </w:r>
    </w:p>
    <w:p w14:paraId="6FB8490F">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型号规格：</w:t>
      </w:r>
    </w:p>
    <w:p w14:paraId="2DAD1B34">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技术参数：</w:t>
      </w:r>
    </w:p>
    <w:p w14:paraId="7442FC27">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 数量（单位）：</w:t>
      </w:r>
    </w:p>
    <w:p w14:paraId="6DB4FA7C">
      <w:pPr>
        <w:pStyle w:val="33"/>
        <w:keepNext w:val="0"/>
        <w:keepLines w:val="0"/>
        <w:pageBreakBefore w:val="0"/>
        <w:widowControl w:val="0"/>
        <w:tabs>
          <w:tab w:val="left" w:pos="2790"/>
        </w:tabs>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二、合同金额</w:t>
      </w:r>
      <w:r>
        <w:rPr>
          <w:rFonts w:hint="eastAsia" w:ascii="宋体" w:hAnsi="宋体" w:eastAsia="宋体" w:cs="宋体"/>
          <w:b/>
          <w:bCs/>
          <w:color w:val="auto"/>
          <w:sz w:val="24"/>
          <w:szCs w:val="24"/>
        </w:rPr>
        <w:tab/>
      </w:r>
    </w:p>
    <w:p w14:paraId="54A5F90D">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本合同金额为（大写）：___________________________元（￥_______________元）人民币。</w:t>
      </w:r>
    </w:p>
    <w:p w14:paraId="5BB2B1B9">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三、技术资料</w:t>
      </w:r>
    </w:p>
    <w:p w14:paraId="28FACD87">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乙方应按招标文件规定的时间向甲方提供使用货物的有关技术资料。</w:t>
      </w:r>
    </w:p>
    <w:p w14:paraId="389CFE99">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8A9431C">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四、知识产权</w:t>
      </w:r>
    </w:p>
    <w:p w14:paraId="09B14D64">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乙方应保证所提供的货物或其任何一部分均不会侵犯任何第三方的知识产权。</w:t>
      </w:r>
    </w:p>
    <w:p w14:paraId="5233C940">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color w:val="auto"/>
          <w:sz w:val="24"/>
          <w:szCs w:val="24"/>
          <w:u w:val="single"/>
        </w:rPr>
      </w:pPr>
      <w:r>
        <w:rPr>
          <w:rFonts w:hint="eastAsia" w:ascii="宋体" w:hAnsi="宋体" w:eastAsia="宋体" w:cs="宋体"/>
          <w:b/>
          <w:bCs/>
          <w:color w:val="auto"/>
          <w:sz w:val="24"/>
          <w:szCs w:val="24"/>
        </w:rPr>
        <w:t>五、产权担保</w:t>
      </w:r>
    </w:p>
    <w:p w14:paraId="607ADA9E">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乙方保证所交付的货物的所有权完全属于乙方且无任何抵押、查封等产权瑕疵。</w:t>
      </w:r>
    </w:p>
    <w:p w14:paraId="34514ED6">
      <w:pPr>
        <w:pStyle w:val="33"/>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履约保证金</w:t>
      </w:r>
      <w:r>
        <w:rPr>
          <w:rFonts w:hint="eastAsia" w:ascii="宋体" w:hAnsi="宋体" w:eastAsia="宋体" w:cs="宋体"/>
          <w:b/>
          <w:bCs/>
          <w:color w:val="auto"/>
          <w:sz w:val="24"/>
          <w:szCs w:val="24"/>
          <w:lang w:eastAsia="zh-CN"/>
        </w:rPr>
        <w:t>：</w:t>
      </w:r>
    </w:p>
    <w:p w14:paraId="4275AE85">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bCs/>
          <w:color w:val="auto"/>
          <w:sz w:val="24"/>
          <w:szCs w:val="24"/>
          <w:u w:val="single"/>
          <w:lang w:val="en-US" w:eastAsia="zh-CN"/>
        </w:rPr>
      </w:pPr>
      <w:r>
        <w:rPr>
          <w:rFonts w:hint="eastAsia" w:ascii="宋体" w:hAnsi="宋体" w:eastAsia="宋体" w:cs="宋体"/>
          <w:color w:val="auto"/>
          <w:sz w:val="24"/>
          <w:szCs w:val="24"/>
          <w:highlight w:val="none"/>
          <w:shd w:val="clear" w:color="auto" w:fill="FFFFFF"/>
          <w:lang w:val="en-US" w:eastAsia="zh-CN"/>
        </w:rPr>
        <w:t>合同签订前中标单位须向业主支付中标价1%的金额作为项目履约保证金。项目</w:t>
      </w:r>
      <w:r>
        <w:rPr>
          <w:rFonts w:hint="eastAsia" w:ascii="宋体" w:hAnsi="宋体" w:eastAsia="宋体" w:cs="宋体"/>
          <w:color w:val="auto"/>
          <w:sz w:val="24"/>
          <w:szCs w:val="24"/>
          <w:highlight w:val="none"/>
        </w:rPr>
        <w:t>验收合格</w:t>
      </w:r>
      <w:r>
        <w:rPr>
          <w:rFonts w:hint="eastAsia" w:ascii="宋体" w:hAnsi="宋体" w:eastAsia="宋体" w:cs="宋体"/>
          <w:color w:val="auto"/>
          <w:sz w:val="24"/>
          <w:szCs w:val="24"/>
          <w:highlight w:val="none"/>
          <w:lang w:val="en-US" w:eastAsia="zh-CN"/>
        </w:rPr>
        <w:t>后一周内无息退回。</w:t>
      </w:r>
    </w:p>
    <w:p w14:paraId="556127F3">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七、转包或分包</w:t>
      </w:r>
    </w:p>
    <w:p w14:paraId="1CE4BCE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本合同范围的货物，应由乙方直接供应，不得转让他人供应；</w:t>
      </w:r>
    </w:p>
    <w:p w14:paraId="0F83D19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除非得到甲方的书面同意，乙方不得将本合同范围的货物全部或部分分包给他人供应；</w:t>
      </w:r>
    </w:p>
    <w:p w14:paraId="23D38C5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如有转让和未经甲方同意的分包行为，甲方有权解除合同，没收</w:t>
      </w:r>
      <w:r>
        <w:rPr>
          <w:rFonts w:hint="eastAsia" w:ascii="宋体" w:hAnsi="宋体" w:eastAsia="宋体" w:cs="宋体"/>
          <w:color w:val="auto"/>
          <w:sz w:val="24"/>
          <w:szCs w:val="24"/>
          <w:lang w:val="en-US" w:eastAsia="zh-CN"/>
        </w:rPr>
        <w:t>质量</w:t>
      </w:r>
      <w:r>
        <w:rPr>
          <w:rFonts w:hint="eastAsia" w:ascii="宋体" w:hAnsi="宋体" w:eastAsia="宋体" w:cs="宋体"/>
          <w:color w:val="auto"/>
          <w:sz w:val="24"/>
          <w:szCs w:val="24"/>
        </w:rPr>
        <w:t>保证金并追究乙方的违约责任。</w:t>
      </w:r>
    </w:p>
    <w:p w14:paraId="4575D17A">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八、质保期</w:t>
      </w:r>
    </w:p>
    <w:p w14:paraId="1BE7C48D">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质保期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年。（自交货验收合格之日起计）</w:t>
      </w:r>
    </w:p>
    <w:p w14:paraId="56008549">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九、交货期、交货方式及交货地点</w:t>
      </w:r>
    </w:p>
    <w:p w14:paraId="1A353986">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交货期：</w:t>
      </w:r>
    </w:p>
    <w:p w14:paraId="7EC78F2C">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交货方式：</w:t>
      </w:r>
    </w:p>
    <w:p w14:paraId="7ECB3E65">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3. 交货地点：</w:t>
      </w:r>
    </w:p>
    <w:p w14:paraId="49783ADB">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十、货款支付</w:t>
      </w:r>
    </w:p>
    <w:p w14:paraId="73E9A348">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付款方式：</w:t>
      </w:r>
    </w:p>
    <w:p w14:paraId="7793C23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十一、税费</w:t>
      </w:r>
    </w:p>
    <w:p w14:paraId="5A172F9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本合同执行中相关的一切税费均由乙方负担。</w:t>
      </w:r>
    </w:p>
    <w:p w14:paraId="05239B3B">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十二、质量保证及售后服务</w:t>
      </w:r>
    </w:p>
    <w:p w14:paraId="49F4818A">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乙方应按招标文件规定的货物性能、技术要求、质量标准向甲方提供未经使用的全新产品。</w:t>
      </w:r>
    </w:p>
    <w:p w14:paraId="1A52BCA1">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乙方提供的货物在质保期内因货物本身的质量问题发生故障，乙方应负责免费更换。对达不到技术要求者，根据实际情况，经双方协商，可按以下办法处理：</w:t>
      </w:r>
    </w:p>
    <w:p w14:paraId="20493E70">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（1）更换：由乙方承担所发生的全部费用。</w:t>
      </w:r>
    </w:p>
    <w:p w14:paraId="00D90E86">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（2）贬值处理：由甲乙双方合议定价。</w:t>
      </w:r>
    </w:p>
    <w:p w14:paraId="043C017F">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（3）退货处理：乙方应退还甲方支付的合同款，同时应承担该货物的直接费用（运输、保险、检验、货款利息及银行手续费等）。</w:t>
      </w:r>
    </w:p>
    <w:p w14:paraId="4DABA565">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如在使用过程中发生质量问题，乙方在接到甲方通知后在小时内到达甲方现场。</w:t>
      </w:r>
    </w:p>
    <w:p w14:paraId="5FC39AA9">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 在质保期内，乙方应对货物出现的质量及安全问题负责处理解决并承担一切费用。</w:t>
      </w:r>
    </w:p>
    <w:p w14:paraId="13FE607F">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 上述的货物免费保修期为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年，因人为因素出现的故障不在免费保修范围内。超过保修期的机器设备，终生维修，维修时只收部件成本费。</w:t>
      </w:r>
    </w:p>
    <w:p w14:paraId="5B6AC455">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十三、调试和验收</w:t>
      </w:r>
    </w:p>
    <w:p w14:paraId="2852C582">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015F16E8">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乙方交货前应对产品作出全面检查和对验收文件进行整理，并列出清单，作为甲方收货验收和使用的技术条件依据，检验的结果应随货物交甲方。</w:t>
      </w:r>
    </w:p>
    <w:p w14:paraId="0434B724">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3. 甲方对乙方提供的货物在使用前进行调试时，乙方需负责安装并培训甲方的使用操作人员，并协助甲方一起调试，直到符合技术要求，甲方才做最终验收。</w:t>
      </w:r>
    </w:p>
    <w:p w14:paraId="79CF820D">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 对技术复杂的货物，甲方应请国家认可的专业检测机构参与初步验收及最终验收，并由其出具质量检测报告。</w:t>
      </w:r>
    </w:p>
    <w:p w14:paraId="2CFCE57F">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 验收时乙方必须在现场，验收完毕后作出验收结果报告；验收费用由甲方负责。</w:t>
      </w:r>
    </w:p>
    <w:p w14:paraId="22BC3F8B">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十四、货物包装、发运及运输</w:t>
      </w:r>
    </w:p>
    <w:p w14:paraId="14B297CF">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乙方应在货物发运前对其进行满足运输距离、防潮、防震、防锈和防破损装卸等要求包装，以保证货物安全运达甲方指定地点。</w:t>
      </w:r>
    </w:p>
    <w:p w14:paraId="60A15A4E">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使用说明书、质量检验证明书、随配附件和工具以及清单一并附于货物内。</w:t>
      </w:r>
    </w:p>
    <w:p w14:paraId="76D94AB0">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乙方在货物发运手续办理完毕后24小时内或货到甲方48小时前通知甲方，以准备接货。</w:t>
      </w:r>
    </w:p>
    <w:p w14:paraId="123B635B">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 货物在交付甲方前发生的风险均由乙方负责。</w:t>
      </w:r>
    </w:p>
    <w:p w14:paraId="1194E8B7">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 货物在规定的交付期限内由乙方送达甲方指定的地点视为交付，乙方同时需通知甲方货物已送达。</w:t>
      </w:r>
    </w:p>
    <w:p w14:paraId="1036DDE9">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十五、违约责任</w:t>
      </w:r>
    </w:p>
    <w:p w14:paraId="2DB5A807">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甲方无正当理由拒收货物的，甲方向乙方偿付拒收货款总值的百分之五违约金。</w:t>
      </w:r>
    </w:p>
    <w:p w14:paraId="1D846593">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甲方无故逾期验收和办理货款支付手续的,甲方应按逾期付款总额每日万分之五向乙方支付违约金。</w:t>
      </w:r>
    </w:p>
    <w:p w14:paraId="661B4944">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645AE830">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0A3C1A6">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 乙方如提供售后服务和维修不到位的，甲方将视情节没收维修保证金，并将情况报告县采购办进行处罚。</w:t>
      </w:r>
    </w:p>
    <w:p w14:paraId="3B1BDA03">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十六、不可抗力事件处理</w:t>
      </w:r>
    </w:p>
    <w:p w14:paraId="4926F999">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在合同有效期内，任何一方因不可抗力事件导致不能履行合同，则合同履行期可延长，其延长期与不可抗力影响期相同。</w:t>
      </w:r>
    </w:p>
    <w:p w14:paraId="3136166A">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不可抗力事件发生后，应立即通知对方，并寄送有关权威机构出具的证明。</w:t>
      </w:r>
    </w:p>
    <w:p w14:paraId="59BEF3D0">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不可抗力事件延续120天以上，双方应通过友好协商，确定是否继续履行合同。</w:t>
      </w:r>
    </w:p>
    <w:p w14:paraId="5E7D61EB">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十七、诉讼</w:t>
      </w:r>
    </w:p>
    <w:p w14:paraId="0DC388B6">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双方在执行合同中所发生的一切争议，应通过协商解决。如协商不成，可向甲方所在地法院起诉。</w:t>
      </w:r>
    </w:p>
    <w:p w14:paraId="13AE867B">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十八、合同生效及其它</w:t>
      </w:r>
    </w:p>
    <w:p w14:paraId="0990AB80">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合同经双方法定代表人或授权代表签字并加盖单位公章后生效。</w:t>
      </w:r>
    </w:p>
    <w:p w14:paraId="5C2267BA">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合同执行中涉及采购资金和采购内容修改或补充的，须经财政部门审批，并签书面补充协议报政府采购监督管理部门备案，方可作为主合同不可分割的一部分。</w:t>
      </w:r>
    </w:p>
    <w:p w14:paraId="42D3A16B">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本合同未尽事宜，遵照《民法典》有关条文执行。</w:t>
      </w:r>
    </w:p>
    <w:p w14:paraId="648F3F6A">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 本合同正本一式六份，具有同等法律效力，甲乙双方各执二份；采购办、代理公司各执一份。</w:t>
      </w:r>
    </w:p>
    <w:p w14:paraId="2B222588">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p>
    <w:p w14:paraId="5FCE4594">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甲方：                                   乙方： </w:t>
      </w:r>
    </w:p>
    <w:p w14:paraId="4DBC98B1">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地址：                                   地址： </w:t>
      </w:r>
    </w:p>
    <w:p w14:paraId="16C456FF">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法定（授权）代表人：                     法定（授权）代表人：</w:t>
      </w:r>
    </w:p>
    <w:p w14:paraId="1730F64C">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签字日期：      年  月  日               签字日期：      年  月  日</w:t>
      </w:r>
    </w:p>
    <w:p w14:paraId="4B3BF728">
      <w:pPr>
        <w:spacing w:line="360" w:lineRule="auto"/>
        <w:rPr>
          <w:rFonts w:hint="eastAsia" w:ascii="宋体" w:hAnsi="宋体" w:eastAsia="宋体" w:cs="宋体"/>
          <w:color w:val="auto"/>
          <w:sz w:val="24"/>
          <w:szCs w:val="24"/>
        </w:rPr>
      </w:pPr>
    </w:p>
    <w:p w14:paraId="448A3B4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合同见证方:</w:t>
      </w:r>
    </w:p>
    <w:p w14:paraId="0AC87558">
      <w:pPr>
        <w:spacing w:line="360" w:lineRule="auto"/>
        <w:ind w:firstLine="480" w:firstLineChars="200"/>
        <w:rPr>
          <w:rFonts w:hint="eastAsia" w:ascii="宋体" w:hAnsi="宋体" w:eastAsia="宋体" w:cs="宋体"/>
          <w:color w:val="auto"/>
          <w:sz w:val="24"/>
          <w:szCs w:val="24"/>
        </w:rPr>
        <w:sectPr>
          <w:footerReference r:id="rId9" w:type="default"/>
          <w:pgSz w:w="11906" w:h="16838"/>
          <w:pgMar w:top="1474" w:right="1797" w:bottom="1247" w:left="1597" w:header="851" w:footer="851" w:gutter="0"/>
          <w:cols w:space="720" w:num="1"/>
          <w:titlePg/>
          <w:docGrid w:linePitch="312" w:charSpace="0"/>
        </w:sectPr>
      </w:pPr>
      <w:r>
        <w:rPr>
          <w:rFonts w:hint="eastAsia" w:ascii="宋体" w:hAnsi="宋体" w:eastAsia="宋体" w:cs="宋体"/>
          <w:color w:val="auto"/>
          <w:sz w:val="24"/>
          <w:szCs w:val="24"/>
        </w:rPr>
        <w:t>法定代表人或主要负责人:</w:t>
      </w:r>
    </w:p>
    <w:p w14:paraId="02E825CF">
      <w:pPr>
        <w:pStyle w:val="82"/>
        <w:rPr>
          <w:color w:val="auto"/>
        </w:rPr>
      </w:pPr>
    </w:p>
    <w:p w14:paraId="6D2E6248">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423"/>
      <w:r>
        <w:rPr>
          <w:rFonts w:hint="eastAsia" w:ascii="宋体" w:hAnsi="宋体" w:cs="宋体"/>
          <w:b/>
          <w:color w:val="auto"/>
          <w:sz w:val="36"/>
          <w:szCs w:val="20"/>
        </w:rPr>
        <w:t xml:space="preserve"> </w:t>
      </w:r>
      <w:bookmarkEnd w:id="424"/>
      <w:r>
        <w:rPr>
          <w:rFonts w:hint="eastAsia" w:ascii="宋体" w:hAnsi="宋体" w:cs="宋体"/>
          <w:b/>
          <w:color w:val="auto"/>
          <w:sz w:val="36"/>
          <w:szCs w:val="20"/>
        </w:rPr>
        <w:t>应提交的有关格式范例</w:t>
      </w:r>
    </w:p>
    <w:p w14:paraId="66040515">
      <w:pPr>
        <w:spacing w:line="360" w:lineRule="auto"/>
        <w:jc w:val="center"/>
        <w:outlineLvl w:val="0"/>
        <w:rPr>
          <w:rFonts w:ascii="宋体" w:hAnsi="宋体" w:cs="宋体"/>
          <w:b/>
          <w:color w:val="auto"/>
          <w:kern w:val="0"/>
          <w:sz w:val="36"/>
          <w:szCs w:val="36"/>
        </w:rPr>
      </w:pPr>
    </w:p>
    <w:p w14:paraId="0A22D648">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1EB330CA">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7A91E65E">
      <w:pPr>
        <w:spacing w:line="360" w:lineRule="auto"/>
        <w:jc w:val="center"/>
        <w:outlineLvl w:val="0"/>
        <w:rPr>
          <w:rFonts w:ascii="宋体" w:hAnsi="宋体" w:cs="宋体"/>
          <w:b/>
          <w:color w:val="auto"/>
          <w:kern w:val="0"/>
          <w:sz w:val="36"/>
          <w:szCs w:val="36"/>
        </w:rPr>
      </w:pPr>
    </w:p>
    <w:p w14:paraId="00B8DF87">
      <w:pPr>
        <w:numPr>
          <w:ilvl w:val="0"/>
          <w:numId w:val="5"/>
        </w:numPr>
        <w:snapToGrid w:val="0"/>
        <w:spacing w:line="360" w:lineRule="auto"/>
        <w:rPr>
          <w:rFonts w:hint="eastAsia" w:ascii="宋体" w:hAnsi="宋体" w:cs="宋体"/>
          <w:color w:val="auto"/>
          <w:sz w:val="24"/>
        </w:rPr>
      </w:pPr>
      <w:r>
        <w:rPr>
          <w:rFonts w:hint="eastAsia" w:ascii="宋体" w:hAnsi="宋体" w:cs="宋体"/>
          <w:color w:val="auto"/>
          <w:sz w:val="24"/>
        </w:rPr>
        <w:t>符合参加政府采购活动应当具备的一般条件的承诺函……………（页码）</w:t>
      </w:r>
    </w:p>
    <w:p w14:paraId="4817A6DF">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）有效的企业法人营业执照（或事业法人登记证）、其他组织（个体工商户）的营业执照或者民办非企业单位登记证书复印件………………………（页码）</w:t>
      </w:r>
    </w:p>
    <w:p w14:paraId="67CFF200">
      <w:pPr>
        <w:spacing w:line="360" w:lineRule="auto"/>
        <w:ind w:firstLine="480" w:firstLineChars="200"/>
        <w:rPr>
          <w:rFonts w:ascii="宋体" w:hAnsi="宋体" w:cs="宋体"/>
          <w:color w:val="auto"/>
          <w:sz w:val="24"/>
        </w:rPr>
      </w:pPr>
    </w:p>
    <w:p w14:paraId="353572AD">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498E32F3">
      <w:pPr>
        <w:snapToGrid w:val="0"/>
        <w:spacing w:line="360" w:lineRule="auto"/>
        <w:rPr>
          <w:rFonts w:hint="eastAsia" w:ascii="宋体" w:hAnsi="宋体" w:cs="宋体"/>
          <w:color w:val="auto"/>
          <w:sz w:val="24"/>
        </w:rPr>
      </w:pPr>
    </w:p>
    <w:p w14:paraId="210C68A0">
      <w:pPr>
        <w:snapToGrid w:val="0"/>
        <w:spacing w:line="360" w:lineRule="auto"/>
        <w:rPr>
          <w:rFonts w:ascii="宋体" w:hAnsi="宋体" w:cs="宋体"/>
          <w:color w:val="auto"/>
          <w:sz w:val="24"/>
        </w:rPr>
      </w:pPr>
      <w:r>
        <w:rPr>
          <w:rFonts w:hint="eastAsia" w:ascii="宋体" w:hAnsi="宋体" w:cs="宋体"/>
          <w:color w:val="auto"/>
          <w:sz w:val="24"/>
          <w:lang w:eastAsia="zh-CN"/>
        </w:rPr>
        <w:t>宁海传媒集团（宁海县广播电视台）</w:t>
      </w:r>
      <w:r>
        <w:rPr>
          <w:rFonts w:hint="eastAsia" w:ascii="宋体" w:hAnsi="宋体" w:cs="宋体"/>
          <w:color w:val="auto"/>
          <w:sz w:val="24"/>
        </w:rPr>
        <w:t>、</w:t>
      </w:r>
      <w:r>
        <w:rPr>
          <w:rFonts w:hint="eastAsia" w:ascii="宋体" w:hAnsi="宋体" w:cs="宋体"/>
          <w:color w:val="auto"/>
          <w:sz w:val="24"/>
          <w:lang w:eastAsia="zh-CN"/>
        </w:rPr>
        <w:t>浙江天诚工程咨询有限公司</w:t>
      </w:r>
      <w:r>
        <w:rPr>
          <w:rFonts w:hint="eastAsia" w:ascii="宋体" w:hAnsi="宋体" w:cs="宋体"/>
          <w:color w:val="auto"/>
          <w:sz w:val="24"/>
        </w:rPr>
        <w:t>：</w:t>
      </w:r>
    </w:p>
    <w:p w14:paraId="3926CBA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宁海传媒集团高清电视非线性编辑系统网络核心存储设备硬件升级改造项目</w:t>
      </w:r>
      <w:r>
        <w:rPr>
          <w:rFonts w:hint="eastAsia" w:ascii="宋体" w:hAnsi="宋体" w:cs="宋体"/>
          <w:color w:val="auto"/>
          <w:sz w:val="24"/>
        </w:rPr>
        <w:t>【招标编号：</w:t>
      </w:r>
      <w:r>
        <w:rPr>
          <w:rFonts w:hint="eastAsia" w:ascii="宋体" w:hAnsi="宋体" w:cs="宋体"/>
          <w:color w:val="auto"/>
          <w:sz w:val="24"/>
          <w:lang w:eastAsia="zh-CN"/>
        </w:rPr>
        <w:t>ZJTC2024-026</w:t>
      </w:r>
      <w:r>
        <w:rPr>
          <w:rFonts w:hint="eastAsia" w:ascii="宋体" w:hAnsi="宋体" w:cs="宋体"/>
          <w:color w:val="auto"/>
          <w:sz w:val="24"/>
        </w:rPr>
        <w:t>】政府采购活动，郑重承诺：</w:t>
      </w:r>
    </w:p>
    <w:p w14:paraId="1BD609E8">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41ABCB0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620B1B1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4BD8095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4E64811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07325FF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24D30F6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6DB3806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05AEFC3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0D047C31">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1、单位负责人为同一人或者存在直接控股、管理关系的不同</w:t>
      </w:r>
      <w:r>
        <w:rPr>
          <w:rFonts w:hint="eastAsia" w:ascii="宋体" w:hAnsi="宋体" w:cs="宋体"/>
          <w:color w:val="auto"/>
          <w:sz w:val="24"/>
          <w:lang w:eastAsia="zh-CN"/>
        </w:rPr>
        <w:t>投标人</w:t>
      </w:r>
      <w:r>
        <w:rPr>
          <w:rFonts w:hint="eastAsia" w:ascii="宋体" w:hAnsi="宋体" w:cs="宋体"/>
          <w:color w:val="auto"/>
          <w:sz w:val="24"/>
        </w:rPr>
        <w:t>参加同一合同项下的政府采购活动的；</w:t>
      </w:r>
    </w:p>
    <w:p w14:paraId="75823A11">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、为采购项目提供整体设计、规范编制或者项目管理、监理、检测等服务后再参加该采购项目的其他采购活动的。</w:t>
      </w:r>
    </w:p>
    <w:p w14:paraId="0C7CFAD4">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601508CB">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67C4982">
      <w:pPr>
        <w:snapToGrid w:val="0"/>
        <w:spacing w:line="360" w:lineRule="auto"/>
        <w:ind w:right="480"/>
        <w:jc w:val="center"/>
        <w:rPr>
          <w:rFonts w:ascii="宋体" w:hAnsi="宋体" w:cs="宋体"/>
          <w:b/>
          <w:color w:val="auto"/>
          <w:kern w:val="0"/>
          <w:sz w:val="32"/>
          <w:szCs w:val="32"/>
        </w:rPr>
      </w:pPr>
    </w:p>
    <w:p w14:paraId="33B3E476">
      <w:pPr>
        <w:snapToGrid w:val="0"/>
        <w:spacing w:line="360" w:lineRule="auto"/>
        <w:ind w:right="480"/>
        <w:jc w:val="center"/>
        <w:rPr>
          <w:rFonts w:ascii="宋体" w:hAnsi="宋体" w:cs="宋体"/>
          <w:b/>
          <w:color w:val="auto"/>
          <w:kern w:val="0"/>
          <w:sz w:val="32"/>
          <w:szCs w:val="32"/>
        </w:rPr>
      </w:pPr>
    </w:p>
    <w:p w14:paraId="5254F8C4">
      <w:pPr>
        <w:snapToGrid w:val="0"/>
        <w:spacing w:line="360" w:lineRule="auto"/>
        <w:ind w:right="480"/>
        <w:jc w:val="center"/>
        <w:rPr>
          <w:rFonts w:ascii="宋体" w:hAnsi="宋体" w:cs="宋体"/>
          <w:b/>
          <w:color w:val="auto"/>
          <w:kern w:val="0"/>
          <w:sz w:val="32"/>
          <w:szCs w:val="32"/>
        </w:rPr>
      </w:pPr>
    </w:p>
    <w:p w14:paraId="009A9271">
      <w:pPr>
        <w:rPr>
          <w:rFonts w:ascii="宋体" w:hAnsi="宋体" w:cs="宋体"/>
          <w:color w:val="auto"/>
        </w:rPr>
      </w:pPr>
    </w:p>
    <w:p w14:paraId="7AB5C76B">
      <w:pPr>
        <w:snapToGrid w:val="0"/>
        <w:spacing w:line="360" w:lineRule="auto"/>
        <w:ind w:right="480"/>
        <w:jc w:val="center"/>
        <w:rPr>
          <w:rFonts w:ascii="宋体" w:hAnsi="宋体" w:cs="宋体"/>
          <w:b/>
          <w:color w:val="auto"/>
          <w:kern w:val="0"/>
          <w:sz w:val="32"/>
          <w:szCs w:val="32"/>
        </w:rPr>
      </w:pPr>
    </w:p>
    <w:p w14:paraId="7D6954BA">
      <w:pPr>
        <w:snapToGrid w:val="0"/>
        <w:spacing w:line="360" w:lineRule="auto"/>
        <w:ind w:right="480"/>
        <w:jc w:val="center"/>
        <w:rPr>
          <w:rFonts w:ascii="宋体" w:hAnsi="宋体" w:cs="宋体"/>
          <w:b/>
          <w:color w:val="auto"/>
          <w:kern w:val="0"/>
          <w:sz w:val="32"/>
          <w:szCs w:val="32"/>
        </w:rPr>
      </w:pPr>
    </w:p>
    <w:p w14:paraId="401E3839">
      <w:pPr>
        <w:snapToGrid w:val="0"/>
        <w:spacing w:line="360" w:lineRule="auto"/>
        <w:ind w:right="480"/>
        <w:jc w:val="center"/>
        <w:rPr>
          <w:rFonts w:ascii="宋体" w:hAnsi="宋体" w:cs="宋体"/>
          <w:b/>
          <w:color w:val="auto"/>
          <w:kern w:val="0"/>
          <w:sz w:val="32"/>
          <w:szCs w:val="32"/>
        </w:rPr>
      </w:pPr>
    </w:p>
    <w:p w14:paraId="2411A323">
      <w:pPr>
        <w:widowControl/>
        <w:numPr>
          <w:ilvl w:val="0"/>
          <w:numId w:val="6"/>
        </w:numPr>
        <w:spacing w:line="360" w:lineRule="auto"/>
        <w:ind w:left="197" w:leftChars="0" w:firstLine="643" w:firstLineChars="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有效的企业法人营业执照（或事业法人登记证）、其他组织（个体工商户）的营业执照或者民办非企业单位登记证书复印件</w:t>
      </w:r>
    </w:p>
    <w:p w14:paraId="4B6097D4">
      <w:pPr>
        <w:widowControl/>
        <w:spacing w:line="360" w:lineRule="auto"/>
        <w:ind w:firstLine="482" w:firstLineChars="200"/>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sz w:val="24"/>
          <w:highlight w:val="none"/>
          <w:lang w:eastAsia="zh-CN"/>
        </w:rPr>
        <w:t>（</w:t>
      </w:r>
      <w:r>
        <w:rPr>
          <w:rFonts w:hint="eastAsia" w:ascii="宋体" w:hAnsi="宋体" w:cs="宋体"/>
          <w:b/>
          <w:color w:val="auto"/>
          <w:sz w:val="24"/>
          <w:highlight w:val="none"/>
          <w:lang w:eastAsia="zh-CN"/>
        </w:rPr>
        <w:t>投标人</w:t>
      </w:r>
      <w:r>
        <w:rPr>
          <w:rFonts w:hint="eastAsia" w:ascii="宋体" w:hAnsi="宋体" w:eastAsia="宋体" w:cs="宋体"/>
          <w:b/>
          <w:color w:val="auto"/>
          <w:sz w:val="24"/>
          <w:highlight w:val="none"/>
        </w:rPr>
        <w:t>如果有名称变更的，应提供由行政主管部门出具的变更证明文件</w:t>
      </w:r>
      <w:r>
        <w:rPr>
          <w:rFonts w:hint="eastAsia" w:ascii="宋体" w:hAnsi="宋体" w:cs="宋体"/>
          <w:b/>
          <w:color w:val="auto"/>
          <w:sz w:val="24"/>
          <w:highlight w:val="none"/>
          <w:lang w:eastAsia="zh-CN"/>
        </w:rPr>
        <w:t>；若以不具有独立承担民事责任能力的分支机构投标，须取得具有法人资格的总公司的授权书，并提供总公司营业执照副本复印件</w:t>
      </w:r>
      <w:r>
        <w:rPr>
          <w:rFonts w:hint="eastAsia" w:ascii="宋体" w:hAnsi="宋体" w:eastAsia="宋体" w:cs="宋体"/>
          <w:b/>
          <w:color w:val="auto"/>
          <w:sz w:val="24"/>
          <w:highlight w:val="none"/>
          <w:lang w:eastAsia="zh-CN"/>
        </w:rPr>
        <w:t>）</w:t>
      </w:r>
    </w:p>
    <w:p w14:paraId="749C56EF">
      <w:pPr>
        <w:pStyle w:val="3"/>
        <w:rPr>
          <w:color w:val="auto"/>
        </w:rPr>
      </w:pPr>
    </w:p>
    <w:p w14:paraId="5D2DE015">
      <w:pPr>
        <w:widowControl/>
        <w:adjustRightInd/>
        <w:jc w:val="left"/>
        <w:rPr>
          <w:rFonts w:ascii="宋体" w:hAnsi="宋体" w:cs="宋体"/>
          <w:b/>
          <w:color w:val="auto"/>
          <w:kern w:val="0"/>
          <w:sz w:val="32"/>
          <w:szCs w:val="32"/>
        </w:rPr>
      </w:pPr>
    </w:p>
    <w:p w14:paraId="0D76B9A6">
      <w:pPr>
        <w:snapToGrid w:val="0"/>
        <w:spacing w:line="360" w:lineRule="auto"/>
        <w:ind w:right="480"/>
        <w:jc w:val="center"/>
        <w:rPr>
          <w:rFonts w:ascii="宋体" w:hAnsi="宋体" w:cs="宋体"/>
          <w:b/>
          <w:color w:val="auto"/>
          <w:kern w:val="0"/>
          <w:sz w:val="32"/>
          <w:szCs w:val="32"/>
        </w:rPr>
      </w:pPr>
    </w:p>
    <w:p w14:paraId="32F3FE0D">
      <w:pPr>
        <w:snapToGrid w:val="0"/>
        <w:spacing w:line="360" w:lineRule="auto"/>
        <w:ind w:right="480"/>
        <w:jc w:val="center"/>
        <w:rPr>
          <w:rFonts w:ascii="宋体" w:hAnsi="宋体" w:cs="宋体"/>
          <w:b/>
          <w:color w:val="auto"/>
          <w:kern w:val="0"/>
          <w:sz w:val="32"/>
          <w:szCs w:val="32"/>
        </w:rPr>
      </w:pPr>
    </w:p>
    <w:p w14:paraId="08E1177F">
      <w:pPr>
        <w:rPr>
          <w:rFonts w:ascii="宋体" w:hAnsi="宋体" w:cs="宋体"/>
          <w:color w:val="auto"/>
        </w:rPr>
      </w:pPr>
    </w:p>
    <w:p w14:paraId="0C5FF0CF">
      <w:pPr>
        <w:snapToGrid w:val="0"/>
        <w:spacing w:line="360" w:lineRule="auto"/>
        <w:ind w:right="480"/>
        <w:jc w:val="center"/>
        <w:rPr>
          <w:rFonts w:ascii="宋体" w:hAnsi="宋体" w:cs="宋体"/>
          <w:b/>
          <w:color w:val="auto"/>
          <w:kern w:val="0"/>
          <w:sz w:val="32"/>
          <w:szCs w:val="32"/>
        </w:rPr>
      </w:pPr>
    </w:p>
    <w:p w14:paraId="41BFA7FD">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260BD25D">
      <w:pPr>
        <w:spacing w:line="360" w:lineRule="auto"/>
        <w:ind w:right="420" w:firstLine="3614" w:firstLineChars="1000"/>
        <w:rPr>
          <w:rFonts w:hint="eastAsia" w:ascii="宋体" w:hAnsi="宋体" w:cs="宋体"/>
          <w:b/>
          <w:color w:val="auto"/>
          <w:kern w:val="0"/>
          <w:sz w:val="36"/>
          <w:szCs w:val="36"/>
        </w:rPr>
      </w:pPr>
    </w:p>
    <w:p w14:paraId="1A2EE73F">
      <w:pPr>
        <w:spacing w:line="360" w:lineRule="auto"/>
        <w:ind w:right="420"/>
        <w:jc w:val="center"/>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7B29E99F">
      <w:pPr>
        <w:spacing w:line="360" w:lineRule="auto"/>
        <w:jc w:val="center"/>
        <w:outlineLvl w:val="0"/>
        <w:rPr>
          <w:rFonts w:ascii="宋体" w:hAnsi="宋体" w:cs="宋体"/>
          <w:b/>
          <w:color w:val="auto"/>
          <w:kern w:val="0"/>
          <w:sz w:val="24"/>
        </w:rPr>
      </w:pPr>
    </w:p>
    <w:p w14:paraId="71FA136D">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6949D217">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5664BE81">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）符合性审查资料</w:t>
      </w:r>
      <w:r>
        <w:rPr>
          <w:rFonts w:hint="eastAsia" w:ascii="宋体" w:hAnsi="宋体" w:cs="宋体"/>
          <w:color w:val="auto"/>
        </w:rPr>
        <w:t>………………………………………………………………………（页码）</w:t>
      </w:r>
    </w:p>
    <w:p w14:paraId="2B90615A">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）商务技术偏离表</w:t>
      </w:r>
      <w:r>
        <w:rPr>
          <w:rFonts w:hint="eastAsia" w:ascii="宋体" w:hAnsi="宋体" w:cs="宋体"/>
          <w:color w:val="auto"/>
        </w:rPr>
        <w:t>………………………………………………………………………（页码）</w:t>
      </w:r>
    </w:p>
    <w:p w14:paraId="6B5CD65B">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lang w:val="en-US" w:eastAsia="zh-CN"/>
        </w:rPr>
        <w:t>6</w:t>
      </w:r>
      <w:r>
        <w:rPr>
          <w:rFonts w:hint="eastAsia" w:ascii="宋体" w:hAnsi="宋体" w:cs="宋体"/>
          <w:color w:val="auto"/>
          <w:sz w:val="24"/>
          <w:lang w:val="zh-CN"/>
        </w:rPr>
        <w:t>）政府采购投标人廉洁自律承诺书</w:t>
      </w:r>
      <w:r>
        <w:rPr>
          <w:rFonts w:hint="eastAsia" w:ascii="宋体" w:hAnsi="宋体" w:cs="宋体"/>
          <w:color w:val="auto"/>
        </w:rPr>
        <w:t>…………………………………………………（页码）</w:t>
      </w:r>
    </w:p>
    <w:p w14:paraId="4C371F3D">
      <w:pPr>
        <w:snapToGrid w:val="0"/>
        <w:spacing w:line="360" w:lineRule="auto"/>
        <w:jc w:val="center"/>
        <w:rPr>
          <w:rFonts w:ascii="宋体" w:hAnsi="宋体" w:cs="宋体"/>
          <w:b/>
          <w:color w:val="auto"/>
          <w:kern w:val="0"/>
          <w:sz w:val="32"/>
          <w:szCs w:val="32"/>
          <w:lang w:val="zh-CN"/>
        </w:rPr>
      </w:pPr>
    </w:p>
    <w:p w14:paraId="1E527134">
      <w:pPr>
        <w:snapToGrid w:val="0"/>
        <w:spacing w:line="360" w:lineRule="auto"/>
        <w:jc w:val="center"/>
        <w:rPr>
          <w:rFonts w:ascii="宋体" w:hAnsi="宋体" w:cs="宋体"/>
          <w:b/>
          <w:color w:val="auto"/>
          <w:kern w:val="0"/>
          <w:sz w:val="32"/>
          <w:szCs w:val="32"/>
          <w:lang w:val="zh-CN"/>
        </w:rPr>
      </w:pPr>
    </w:p>
    <w:p w14:paraId="140D29BD">
      <w:pPr>
        <w:snapToGrid w:val="0"/>
        <w:spacing w:line="360" w:lineRule="auto"/>
        <w:jc w:val="center"/>
        <w:rPr>
          <w:rFonts w:ascii="宋体" w:hAnsi="宋体" w:cs="宋体"/>
          <w:b/>
          <w:color w:val="auto"/>
          <w:kern w:val="0"/>
          <w:sz w:val="32"/>
          <w:szCs w:val="32"/>
          <w:lang w:val="zh-CN"/>
        </w:rPr>
      </w:pPr>
    </w:p>
    <w:p w14:paraId="5A7788D8">
      <w:pPr>
        <w:snapToGrid w:val="0"/>
        <w:spacing w:line="360" w:lineRule="auto"/>
        <w:jc w:val="center"/>
        <w:rPr>
          <w:rFonts w:ascii="宋体" w:hAnsi="宋体" w:cs="宋体"/>
          <w:b/>
          <w:color w:val="auto"/>
          <w:kern w:val="0"/>
          <w:sz w:val="32"/>
          <w:szCs w:val="32"/>
          <w:lang w:val="zh-CN"/>
        </w:rPr>
      </w:pPr>
    </w:p>
    <w:p w14:paraId="61434E15">
      <w:pPr>
        <w:snapToGrid w:val="0"/>
        <w:spacing w:line="360" w:lineRule="auto"/>
        <w:jc w:val="center"/>
        <w:rPr>
          <w:rFonts w:ascii="宋体" w:hAnsi="宋体" w:cs="宋体"/>
          <w:b/>
          <w:color w:val="auto"/>
          <w:kern w:val="0"/>
          <w:sz w:val="32"/>
          <w:szCs w:val="32"/>
          <w:lang w:val="zh-CN"/>
        </w:rPr>
      </w:pPr>
    </w:p>
    <w:p w14:paraId="5FAA0EA2">
      <w:pPr>
        <w:snapToGrid w:val="0"/>
        <w:spacing w:line="360" w:lineRule="auto"/>
        <w:jc w:val="center"/>
        <w:rPr>
          <w:rFonts w:ascii="宋体" w:hAnsi="宋体" w:cs="宋体"/>
          <w:b/>
          <w:color w:val="auto"/>
          <w:kern w:val="0"/>
          <w:sz w:val="32"/>
          <w:szCs w:val="32"/>
          <w:lang w:val="zh-CN"/>
        </w:rPr>
      </w:pPr>
    </w:p>
    <w:p w14:paraId="18D50465">
      <w:pPr>
        <w:snapToGrid w:val="0"/>
        <w:spacing w:line="360" w:lineRule="auto"/>
        <w:jc w:val="center"/>
        <w:rPr>
          <w:rFonts w:ascii="宋体" w:hAnsi="宋体" w:cs="宋体"/>
          <w:b/>
          <w:color w:val="auto"/>
          <w:kern w:val="0"/>
          <w:sz w:val="32"/>
          <w:szCs w:val="32"/>
          <w:lang w:val="zh-CN"/>
        </w:rPr>
      </w:pPr>
    </w:p>
    <w:p w14:paraId="7D245C87">
      <w:pPr>
        <w:snapToGrid w:val="0"/>
        <w:spacing w:line="360" w:lineRule="auto"/>
        <w:jc w:val="center"/>
        <w:rPr>
          <w:rFonts w:ascii="宋体" w:hAnsi="宋体" w:cs="宋体"/>
          <w:b/>
          <w:color w:val="auto"/>
          <w:kern w:val="0"/>
          <w:sz w:val="32"/>
          <w:szCs w:val="32"/>
          <w:lang w:val="zh-CN"/>
        </w:rPr>
      </w:pPr>
    </w:p>
    <w:p w14:paraId="747C86BC">
      <w:pPr>
        <w:snapToGrid w:val="0"/>
        <w:spacing w:line="360" w:lineRule="auto"/>
        <w:jc w:val="center"/>
        <w:rPr>
          <w:rFonts w:ascii="宋体" w:hAnsi="宋体" w:cs="宋体"/>
          <w:b/>
          <w:color w:val="auto"/>
          <w:kern w:val="0"/>
          <w:sz w:val="32"/>
          <w:szCs w:val="32"/>
          <w:lang w:val="zh-CN"/>
        </w:rPr>
      </w:pPr>
    </w:p>
    <w:p w14:paraId="04FCA3EE">
      <w:pPr>
        <w:snapToGrid w:val="0"/>
        <w:spacing w:line="360" w:lineRule="auto"/>
        <w:jc w:val="center"/>
        <w:rPr>
          <w:rFonts w:ascii="宋体" w:hAnsi="宋体" w:cs="宋体"/>
          <w:b/>
          <w:color w:val="auto"/>
          <w:kern w:val="0"/>
          <w:sz w:val="32"/>
          <w:szCs w:val="32"/>
          <w:lang w:val="zh-CN"/>
        </w:rPr>
      </w:pPr>
    </w:p>
    <w:p w14:paraId="1AFD4881">
      <w:pPr>
        <w:snapToGrid w:val="0"/>
        <w:spacing w:line="360" w:lineRule="auto"/>
        <w:jc w:val="center"/>
        <w:rPr>
          <w:rFonts w:ascii="宋体" w:hAnsi="宋体" w:cs="宋体"/>
          <w:b/>
          <w:color w:val="auto"/>
          <w:kern w:val="0"/>
          <w:sz w:val="32"/>
          <w:szCs w:val="32"/>
          <w:lang w:val="zh-CN"/>
        </w:rPr>
      </w:pPr>
    </w:p>
    <w:p w14:paraId="61442863">
      <w:pPr>
        <w:snapToGrid w:val="0"/>
        <w:spacing w:line="360" w:lineRule="auto"/>
        <w:jc w:val="center"/>
        <w:rPr>
          <w:rFonts w:ascii="宋体" w:hAnsi="宋体" w:cs="宋体"/>
          <w:b/>
          <w:color w:val="auto"/>
          <w:kern w:val="0"/>
          <w:sz w:val="32"/>
          <w:szCs w:val="32"/>
          <w:lang w:val="zh-CN"/>
        </w:rPr>
      </w:pPr>
    </w:p>
    <w:p w14:paraId="2E2637B3">
      <w:pPr>
        <w:rPr>
          <w:rFonts w:ascii="宋体" w:hAnsi="宋体" w:cs="宋体"/>
          <w:b/>
          <w:color w:val="auto"/>
          <w:kern w:val="0"/>
          <w:sz w:val="32"/>
          <w:szCs w:val="32"/>
          <w:lang w:val="zh-CN"/>
        </w:rPr>
      </w:pPr>
    </w:p>
    <w:p w14:paraId="6F9E644E">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75947EDC">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4FD2284D">
      <w:pPr>
        <w:keepNext w:val="0"/>
        <w:keepLines w:val="0"/>
        <w:pageBreakBefore w:val="0"/>
        <w:widowControl w:val="0"/>
        <w:kinsoku/>
        <w:wordWrap/>
        <w:overflowPunct/>
        <w:topLinePunct w:val="0"/>
        <w:autoSpaceDE/>
        <w:autoSpaceDN/>
        <w:bidi w:val="0"/>
        <w:snapToGrid w:val="0"/>
        <w:spacing w:line="400" w:lineRule="exact"/>
        <w:textAlignment w:val="auto"/>
        <w:rPr>
          <w:rFonts w:ascii="宋体" w:hAnsi="宋体" w:cs="宋体"/>
          <w:color w:val="auto"/>
          <w:sz w:val="24"/>
        </w:rPr>
      </w:pPr>
      <w:r>
        <w:rPr>
          <w:rFonts w:hint="eastAsia" w:ascii="宋体" w:hAnsi="宋体" w:cs="宋体"/>
          <w:color w:val="auto"/>
          <w:sz w:val="24"/>
          <w:lang w:eastAsia="zh-CN"/>
        </w:rPr>
        <w:t>宁海传媒集团（宁海县广播电视台）</w:t>
      </w:r>
      <w:r>
        <w:rPr>
          <w:rFonts w:hint="eastAsia" w:ascii="宋体" w:hAnsi="宋体" w:cs="宋体"/>
          <w:color w:val="auto"/>
          <w:sz w:val="24"/>
        </w:rPr>
        <w:t>、</w:t>
      </w:r>
      <w:r>
        <w:rPr>
          <w:rFonts w:hint="eastAsia" w:ascii="宋体" w:hAnsi="宋体" w:cs="宋体"/>
          <w:color w:val="auto"/>
          <w:sz w:val="24"/>
          <w:lang w:eastAsia="zh-CN"/>
        </w:rPr>
        <w:t>浙江天诚工程咨询有限公司</w:t>
      </w:r>
      <w:r>
        <w:rPr>
          <w:rFonts w:hint="eastAsia" w:ascii="宋体" w:hAnsi="宋体" w:cs="宋体"/>
          <w:color w:val="auto"/>
          <w:sz w:val="24"/>
        </w:rPr>
        <w:t>：</w:t>
      </w:r>
    </w:p>
    <w:p w14:paraId="5B2DEF07">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宁海传媒集团高清电视非线性编辑系统网络核心存储设备硬件升级改造项目</w:t>
      </w:r>
      <w:r>
        <w:rPr>
          <w:rFonts w:hint="eastAsia" w:ascii="宋体" w:hAnsi="宋体" w:cs="宋体"/>
          <w:color w:val="auto"/>
          <w:sz w:val="24"/>
        </w:rPr>
        <w:t>【招标编号：</w:t>
      </w:r>
      <w:r>
        <w:rPr>
          <w:rFonts w:hint="eastAsia" w:ascii="宋体" w:hAnsi="宋体" w:cs="宋体"/>
          <w:color w:val="auto"/>
          <w:sz w:val="24"/>
          <w:lang w:eastAsia="zh-CN"/>
        </w:rPr>
        <w:t>ZJTC2024-026</w:t>
      </w:r>
      <w:r>
        <w:rPr>
          <w:rFonts w:hint="eastAsia" w:ascii="宋体" w:hAnsi="宋体" w:cs="宋体"/>
          <w:color w:val="auto"/>
          <w:sz w:val="24"/>
        </w:rPr>
        <w:t>】招标的有关活动，并对此项目进行投标。为此：</w:t>
      </w:r>
    </w:p>
    <w:p w14:paraId="1FA3CA30">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5E96C537">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rPr>
      </w:pPr>
      <w:r>
        <w:rPr>
          <w:rFonts w:hint="eastAsia" w:ascii="宋体" w:hAnsi="宋体" w:cs="宋体"/>
          <w:color w:val="auto"/>
          <w:sz w:val="24"/>
        </w:rPr>
        <w:t>2、我方的投标文件包括以下内容：</w:t>
      </w:r>
    </w:p>
    <w:p w14:paraId="5274FD55">
      <w:pPr>
        <w:keepNext w:val="0"/>
        <w:keepLines w:val="0"/>
        <w:pageBreakBefore w:val="0"/>
        <w:widowControl w:val="0"/>
        <w:kinsoku/>
        <w:wordWrap/>
        <w:overflowPunct/>
        <w:topLinePunct w:val="0"/>
        <w:autoSpaceDE/>
        <w:autoSpaceDN/>
        <w:bidi w:val="0"/>
        <w:snapToGrid w:val="0"/>
        <w:spacing w:line="400" w:lineRule="exact"/>
        <w:ind w:left="210" w:leftChars="100" w:firstLine="480" w:firstLineChars="200"/>
        <w:textAlignment w:val="auto"/>
        <w:rPr>
          <w:rFonts w:ascii="宋体" w:hAnsi="宋体" w:cs="宋体"/>
          <w:color w:val="auto"/>
          <w:sz w:val="24"/>
        </w:rPr>
      </w:pPr>
      <w:r>
        <w:rPr>
          <w:rFonts w:hint="eastAsia" w:ascii="宋体" w:hAnsi="宋体" w:cs="宋体"/>
          <w:color w:val="auto"/>
          <w:sz w:val="24"/>
        </w:rPr>
        <w:t>2.1资格文件：</w:t>
      </w:r>
    </w:p>
    <w:p w14:paraId="7B7369A8">
      <w:pPr>
        <w:keepNext w:val="0"/>
        <w:keepLines w:val="0"/>
        <w:pageBreakBefore w:val="0"/>
        <w:widowControl w:val="0"/>
        <w:kinsoku/>
        <w:wordWrap/>
        <w:overflowPunct/>
        <w:topLinePunct w:val="0"/>
        <w:autoSpaceDE/>
        <w:autoSpaceDN/>
        <w:bidi w:val="0"/>
        <w:snapToGrid w:val="0"/>
        <w:spacing w:line="400" w:lineRule="exact"/>
        <w:ind w:left="420" w:leftChars="200" w:firstLine="480" w:firstLineChars="200"/>
        <w:textAlignment w:val="auto"/>
        <w:rPr>
          <w:rFonts w:hint="eastAsia" w:ascii="宋体" w:hAnsi="宋体" w:cs="宋体"/>
          <w:color w:val="auto"/>
          <w:sz w:val="24"/>
        </w:rPr>
      </w:pPr>
      <w:r>
        <w:rPr>
          <w:rFonts w:hint="eastAsia" w:ascii="宋体" w:hAnsi="宋体" w:cs="宋体"/>
          <w:color w:val="auto"/>
          <w:sz w:val="24"/>
        </w:rPr>
        <w:t>2.1.1承诺函；</w:t>
      </w:r>
    </w:p>
    <w:p w14:paraId="6406505E">
      <w:pPr>
        <w:keepNext w:val="0"/>
        <w:keepLines w:val="0"/>
        <w:pageBreakBefore w:val="0"/>
        <w:widowControl w:val="0"/>
        <w:kinsoku/>
        <w:wordWrap/>
        <w:overflowPunct/>
        <w:topLinePunct w:val="0"/>
        <w:autoSpaceDE/>
        <w:autoSpaceDN/>
        <w:bidi w:val="0"/>
        <w:snapToGrid w:val="0"/>
        <w:spacing w:line="400" w:lineRule="exact"/>
        <w:ind w:left="420" w:leftChars="200" w:firstLine="480" w:firstLineChars="200"/>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2.1.2有效的企业法人营业执照（或事业法人登记证）、其他组织（个体工商户）的营业执照或者民办非企业单位登记证书复印</w:t>
      </w:r>
    </w:p>
    <w:p w14:paraId="78137AA4">
      <w:pPr>
        <w:keepNext w:val="0"/>
        <w:keepLines w:val="0"/>
        <w:pageBreakBefore w:val="0"/>
        <w:widowControl w:val="0"/>
        <w:kinsoku/>
        <w:wordWrap/>
        <w:overflowPunct/>
        <w:topLinePunct w:val="0"/>
        <w:autoSpaceDE/>
        <w:autoSpaceDN/>
        <w:bidi w:val="0"/>
        <w:snapToGrid w:val="0"/>
        <w:spacing w:line="400" w:lineRule="exact"/>
        <w:ind w:left="210" w:leftChars="100" w:firstLine="480" w:firstLineChars="200"/>
        <w:textAlignment w:val="auto"/>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41AF3995">
      <w:pPr>
        <w:keepNext w:val="0"/>
        <w:keepLines w:val="0"/>
        <w:pageBreakBefore w:val="0"/>
        <w:widowControl w:val="0"/>
        <w:kinsoku/>
        <w:wordWrap/>
        <w:overflowPunct/>
        <w:topLinePunct w:val="0"/>
        <w:autoSpaceDE/>
        <w:autoSpaceDN/>
        <w:bidi w:val="0"/>
        <w:snapToGrid w:val="0"/>
        <w:spacing w:line="400" w:lineRule="exact"/>
        <w:ind w:left="420" w:leftChars="200" w:firstLine="480" w:firstLineChars="200"/>
        <w:textAlignment w:val="auto"/>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20B743A7">
      <w:pPr>
        <w:keepNext w:val="0"/>
        <w:keepLines w:val="0"/>
        <w:pageBreakBefore w:val="0"/>
        <w:widowControl w:val="0"/>
        <w:kinsoku/>
        <w:wordWrap/>
        <w:overflowPunct/>
        <w:topLinePunct w:val="0"/>
        <w:autoSpaceDE/>
        <w:autoSpaceDN/>
        <w:bidi w:val="0"/>
        <w:snapToGrid w:val="0"/>
        <w:spacing w:line="400" w:lineRule="exact"/>
        <w:ind w:left="420" w:leftChars="200" w:firstLine="480" w:firstLineChars="200"/>
        <w:textAlignment w:val="auto"/>
        <w:rPr>
          <w:rFonts w:ascii="宋体" w:hAnsi="宋体" w:cs="宋体"/>
          <w:color w:val="auto"/>
          <w:sz w:val="24"/>
        </w:rPr>
      </w:pPr>
      <w:r>
        <w:rPr>
          <w:rFonts w:hint="eastAsia" w:ascii="宋体" w:hAnsi="宋体" w:cs="宋体"/>
          <w:color w:val="auto"/>
          <w:sz w:val="24"/>
        </w:rPr>
        <w:t>2.2.2授权委托书或法定代表人（单位负责人）身份证明；</w:t>
      </w:r>
    </w:p>
    <w:p w14:paraId="7946C0E5">
      <w:pPr>
        <w:keepNext w:val="0"/>
        <w:keepLines w:val="0"/>
        <w:pageBreakBefore w:val="0"/>
        <w:widowControl w:val="0"/>
        <w:kinsoku/>
        <w:wordWrap/>
        <w:overflowPunct/>
        <w:topLinePunct w:val="0"/>
        <w:autoSpaceDE/>
        <w:autoSpaceDN/>
        <w:bidi w:val="0"/>
        <w:snapToGrid w:val="0"/>
        <w:spacing w:line="400" w:lineRule="exact"/>
        <w:ind w:left="420" w:leftChars="200" w:firstLine="480" w:firstLineChars="200"/>
        <w:textAlignment w:val="auto"/>
        <w:rPr>
          <w:rFonts w:ascii="宋体" w:hAnsi="宋体" w:cs="宋体"/>
          <w:color w:val="auto"/>
          <w:sz w:val="24"/>
        </w:rPr>
      </w:pPr>
      <w:r>
        <w:rPr>
          <w:rFonts w:hint="eastAsia" w:ascii="宋体" w:hAnsi="宋体" w:cs="宋体"/>
          <w:color w:val="auto"/>
          <w:sz w:val="24"/>
        </w:rPr>
        <w:t>2.2.</w:t>
      </w:r>
      <w:r>
        <w:rPr>
          <w:rFonts w:hint="eastAsia" w:ascii="宋体" w:hAnsi="宋体" w:cs="宋体"/>
          <w:color w:val="auto"/>
          <w:sz w:val="24"/>
          <w:lang w:val="en-US" w:eastAsia="zh-CN"/>
        </w:rPr>
        <w:t>3</w:t>
      </w:r>
      <w:r>
        <w:rPr>
          <w:rFonts w:hint="eastAsia" w:ascii="宋体" w:hAnsi="宋体" w:cs="宋体"/>
          <w:color w:val="auto"/>
          <w:sz w:val="24"/>
        </w:rPr>
        <w:t>符合性审查资料；</w:t>
      </w:r>
    </w:p>
    <w:p w14:paraId="6365EF75">
      <w:pPr>
        <w:keepNext w:val="0"/>
        <w:keepLines w:val="0"/>
        <w:pageBreakBefore w:val="0"/>
        <w:widowControl w:val="0"/>
        <w:kinsoku/>
        <w:wordWrap/>
        <w:overflowPunct/>
        <w:topLinePunct w:val="0"/>
        <w:autoSpaceDE/>
        <w:autoSpaceDN/>
        <w:bidi w:val="0"/>
        <w:snapToGrid w:val="0"/>
        <w:spacing w:line="400" w:lineRule="exact"/>
        <w:ind w:left="420" w:leftChars="200" w:firstLine="480" w:firstLineChars="200"/>
        <w:textAlignment w:val="auto"/>
        <w:rPr>
          <w:rFonts w:ascii="宋体" w:hAnsi="宋体" w:cs="宋体"/>
          <w:color w:val="auto"/>
          <w:sz w:val="24"/>
        </w:rPr>
      </w:pPr>
      <w:r>
        <w:rPr>
          <w:rFonts w:hint="eastAsia" w:ascii="宋体" w:hAnsi="宋体" w:cs="宋体"/>
          <w:color w:val="auto"/>
          <w:sz w:val="24"/>
        </w:rPr>
        <w:t>2.2.</w:t>
      </w:r>
      <w:r>
        <w:rPr>
          <w:rFonts w:hint="eastAsia" w:ascii="宋体" w:hAnsi="宋体" w:cs="宋体"/>
          <w:color w:val="auto"/>
          <w:sz w:val="24"/>
          <w:lang w:val="en-US" w:eastAsia="zh-CN"/>
        </w:rPr>
        <w:t>4</w:t>
      </w:r>
      <w:r>
        <w:rPr>
          <w:rFonts w:hint="eastAsia" w:ascii="宋体" w:hAnsi="宋体" w:cs="宋体"/>
          <w:color w:val="auto"/>
          <w:sz w:val="24"/>
        </w:rPr>
        <w:t>评标标准相应的商务技术资料；</w:t>
      </w:r>
    </w:p>
    <w:p w14:paraId="5FDC5276">
      <w:pPr>
        <w:keepNext w:val="0"/>
        <w:keepLines w:val="0"/>
        <w:pageBreakBefore w:val="0"/>
        <w:widowControl w:val="0"/>
        <w:kinsoku/>
        <w:wordWrap/>
        <w:overflowPunct/>
        <w:topLinePunct w:val="0"/>
        <w:autoSpaceDE/>
        <w:autoSpaceDN/>
        <w:bidi w:val="0"/>
        <w:snapToGrid w:val="0"/>
        <w:spacing w:line="400" w:lineRule="exact"/>
        <w:ind w:left="420" w:leftChars="200" w:firstLine="480" w:firstLineChars="200"/>
        <w:textAlignment w:val="auto"/>
        <w:rPr>
          <w:rFonts w:ascii="宋体" w:hAnsi="宋体" w:cs="宋体"/>
          <w:color w:val="auto"/>
          <w:sz w:val="24"/>
        </w:rPr>
      </w:pPr>
      <w:r>
        <w:rPr>
          <w:rFonts w:hint="eastAsia" w:ascii="宋体" w:hAnsi="宋体" w:cs="宋体"/>
          <w:color w:val="auto"/>
          <w:sz w:val="24"/>
        </w:rPr>
        <w:t>2.2.</w:t>
      </w:r>
      <w:r>
        <w:rPr>
          <w:rFonts w:hint="eastAsia" w:ascii="宋体" w:hAnsi="宋体" w:cs="宋体"/>
          <w:color w:val="auto"/>
          <w:sz w:val="24"/>
          <w:lang w:val="en-US" w:eastAsia="zh-CN"/>
        </w:rPr>
        <w:t>5</w:t>
      </w:r>
      <w:r>
        <w:rPr>
          <w:rFonts w:hint="eastAsia" w:ascii="宋体" w:hAnsi="宋体" w:cs="宋体"/>
          <w:color w:val="auto"/>
          <w:sz w:val="24"/>
        </w:rPr>
        <w:t>商务技术偏离表；</w:t>
      </w:r>
    </w:p>
    <w:p w14:paraId="42B0E677">
      <w:pPr>
        <w:keepNext w:val="0"/>
        <w:keepLines w:val="0"/>
        <w:pageBreakBefore w:val="0"/>
        <w:widowControl w:val="0"/>
        <w:kinsoku/>
        <w:wordWrap/>
        <w:overflowPunct/>
        <w:topLinePunct w:val="0"/>
        <w:autoSpaceDE/>
        <w:autoSpaceDN/>
        <w:bidi w:val="0"/>
        <w:snapToGrid w:val="0"/>
        <w:spacing w:line="400" w:lineRule="exact"/>
        <w:ind w:left="420" w:leftChars="200" w:firstLine="480" w:firstLineChars="200"/>
        <w:textAlignment w:val="auto"/>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6</w:t>
      </w:r>
      <w:r>
        <w:rPr>
          <w:rFonts w:hint="eastAsia" w:ascii="宋体" w:hAnsi="宋体" w:cs="宋体"/>
          <w:color w:val="auto"/>
          <w:sz w:val="24"/>
          <w:lang w:val="zh-CN"/>
        </w:rPr>
        <w:t>政府采购投标人廉洁自律承诺书；</w:t>
      </w:r>
    </w:p>
    <w:p w14:paraId="00A96BAF">
      <w:pPr>
        <w:keepNext w:val="0"/>
        <w:keepLines w:val="0"/>
        <w:pageBreakBefore w:val="0"/>
        <w:widowControl w:val="0"/>
        <w:kinsoku/>
        <w:wordWrap/>
        <w:overflowPunct/>
        <w:topLinePunct w:val="0"/>
        <w:autoSpaceDE/>
        <w:autoSpaceDN/>
        <w:bidi w:val="0"/>
        <w:snapToGrid w:val="0"/>
        <w:spacing w:line="400" w:lineRule="exact"/>
        <w:ind w:left="210" w:leftChars="100" w:firstLine="480" w:firstLineChars="200"/>
        <w:textAlignment w:val="auto"/>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235A6EB5">
      <w:pPr>
        <w:keepNext w:val="0"/>
        <w:keepLines w:val="0"/>
        <w:pageBreakBefore w:val="0"/>
        <w:widowControl w:val="0"/>
        <w:kinsoku/>
        <w:wordWrap/>
        <w:overflowPunct/>
        <w:topLinePunct w:val="0"/>
        <w:autoSpaceDE/>
        <w:autoSpaceDN/>
        <w:bidi w:val="0"/>
        <w:spacing w:line="400" w:lineRule="exact"/>
        <w:ind w:left="420" w:leftChars="200" w:firstLine="480" w:firstLineChars="200"/>
        <w:textAlignment w:val="auto"/>
        <w:rPr>
          <w:rFonts w:hint="eastAsia" w:ascii="宋体" w:hAnsi="宋体" w:cs="宋体"/>
          <w:color w:val="auto"/>
          <w:sz w:val="24"/>
        </w:rPr>
      </w:pPr>
      <w:r>
        <w:rPr>
          <w:rFonts w:hint="eastAsia" w:ascii="宋体" w:hAnsi="宋体" w:cs="宋体"/>
          <w:color w:val="auto"/>
          <w:sz w:val="24"/>
        </w:rPr>
        <w:t>2.3.1开标一览表（报价表）；</w:t>
      </w:r>
    </w:p>
    <w:p w14:paraId="1D739CDF">
      <w:pPr>
        <w:keepNext w:val="0"/>
        <w:keepLines w:val="0"/>
        <w:pageBreakBefore w:val="0"/>
        <w:widowControl w:val="0"/>
        <w:kinsoku/>
        <w:wordWrap/>
        <w:overflowPunct/>
        <w:topLinePunct w:val="0"/>
        <w:autoSpaceDE/>
        <w:autoSpaceDN/>
        <w:bidi w:val="0"/>
        <w:snapToGrid w:val="0"/>
        <w:spacing w:line="400" w:lineRule="exact"/>
        <w:ind w:left="420" w:leftChars="200" w:firstLine="480" w:firstLineChars="200"/>
        <w:textAlignment w:val="auto"/>
        <w:rPr>
          <w:rFonts w:ascii="宋体" w:hAnsi="宋体" w:cs="宋体"/>
          <w:color w:val="auto"/>
          <w:sz w:val="24"/>
        </w:rPr>
      </w:pPr>
      <w:r>
        <w:rPr>
          <w:rFonts w:hint="eastAsia" w:ascii="宋体" w:hAnsi="宋体" w:cs="宋体"/>
          <w:color w:val="auto"/>
          <w:sz w:val="24"/>
        </w:rPr>
        <w:t>2.3.2中小企业声明函（如果有）。</w:t>
      </w:r>
    </w:p>
    <w:p w14:paraId="736AAD4C">
      <w:pPr>
        <w:pStyle w:val="80"/>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3、我方承诺除商务技术偏离表列出的偏离外，我方响应招标文件的全部要求。对投标文件中材料的真实性、合法性负责。</w:t>
      </w:r>
    </w:p>
    <w:p w14:paraId="4B43A7DB">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rPr>
      </w:pPr>
      <w:r>
        <w:rPr>
          <w:rFonts w:hint="eastAsia" w:ascii="宋体" w:hAnsi="宋体" w:cs="宋体"/>
          <w:color w:val="auto"/>
          <w:sz w:val="24"/>
        </w:rPr>
        <w:t>4、如我方中标，我方承诺：</w:t>
      </w:r>
    </w:p>
    <w:p w14:paraId="63AC0DF0">
      <w:pPr>
        <w:keepNext w:val="0"/>
        <w:keepLines w:val="0"/>
        <w:pageBreakBefore w:val="0"/>
        <w:widowControl w:val="0"/>
        <w:kinsoku/>
        <w:wordWrap/>
        <w:overflowPunct/>
        <w:topLinePunct w:val="0"/>
        <w:autoSpaceDE/>
        <w:autoSpaceDN/>
        <w:bidi w:val="0"/>
        <w:snapToGrid w:val="0"/>
        <w:spacing w:line="400" w:lineRule="exact"/>
        <w:ind w:left="210" w:leftChars="100" w:firstLine="480" w:firstLineChars="200"/>
        <w:textAlignment w:val="auto"/>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4B4F927A">
      <w:pPr>
        <w:keepNext w:val="0"/>
        <w:keepLines w:val="0"/>
        <w:pageBreakBefore w:val="0"/>
        <w:widowControl w:val="0"/>
        <w:kinsoku/>
        <w:wordWrap/>
        <w:overflowPunct/>
        <w:topLinePunct w:val="0"/>
        <w:autoSpaceDE/>
        <w:autoSpaceDN/>
        <w:bidi w:val="0"/>
        <w:snapToGrid w:val="0"/>
        <w:spacing w:line="400" w:lineRule="exact"/>
        <w:ind w:left="210" w:leftChars="100" w:firstLine="480" w:firstLineChars="200"/>
        <w:textAlignment w:val="auto"/>
        <w:rPr>
          <w:rFonts w:ascii="宋体" w:hAnsi="宋体" w:cs="宋体"/>
          <w:color w:val="auto"/>
          <w:sz w:val="24"/>
        </w:rPr>
      </w:pPr>
      <w:r>
        <w:rPr>
          <w:rFonts w:hint="eastAsia" w:ascii="宋体" w:hAnsi="宋体" w:cs="宋体"/>
          <w:color w:val="auto"/>
          <w:sz w:val="24"/>
        </w:rPr>
        <w:t xml:space="preserve">4.2在签订合同时不向你方提出附加条件； </w:t>
      </w:r>
    </w:p>
    <w:p w14:paraId="74F7A2CB">
      <w:pPr>
        <w:keepNext w:val="0"/>
        <w:keepLines w:val="0"/>
        <w:pageBreakBefore w:val="0"/>
        <w:widowControl w:val="0"/>
        <w:kinsoku/>
        <w:wordWrap/>
        <w:overflowPunct/>
        <w:topLinePunct w:val="0"/>
        <w:autoSpaceDE/>
        <w:autoSpaceDN/>
        <w:bidi w:val="0"/>
        <w:snapToGrid w:val="0"/>
        <w:spacing w:line="400" w:lineRule="exact"/>
        <w:ind w:left="210" w:leftChars="100" w:firstLine="480" w:firstLineChars="200"/>
        <w:textAlignment w:val="auto"/>
        <w:rPr>
          <w:rFonts w:ascii="宋体" w:hAnsi="宋体" w:cs="宋体"/>
          <w:color w:val="auto"/>
          <w:sz w:val="24"/>
        </w:rPr>
      </w:pPr>
      <w:r>
        <w:rPr>
          <w:rFonts w:hint="eastAsia" w:ascii="宋体" w:hAnsi="宋体" w:cs="宋体"/>
          <w:color w:val="auto"/>
          <w:sz w:val="24"/>
        </w:rPr>
        <w:t xml:space="preserve">4.3按照招标文件要求提交履约保证金； </w:t>
      </w:r>
    </w:p>
    <w:p w14:paraId="0FA7AB6C">
      <w:pPr>
        <w:keepNext w:val="0"/>
        <w:keepLines w:val="0"/>
        <w:pageBreakBefore w:val="0"/>
        <w:widowControl w:val="0"/>
        <w:kinsoku/>
        <w:wordWrap/>
        <w:overflowPunct/>
        <w:topLinePunct w:val="0"/>
        <w:autoSpaceDE/>
        <w:autoSpaceDN/>
        <w:bidi w:val="0"/>
        <w:snapToGrid w:val="0"/>
        <w:spacing w:line="400" w:lineRule="exact"/>
        <w:ind w:left="210" w:leftChars="100" w:firstLine="480" w:firstLineChars="200"/>
        <w:textAlignment w:val="auto"/>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7BAACC81">
      <w:pPr>
        <w:keepNext w:val="0"/>
        <w:keepLines w:val="0"/>
        <w:pageBreakBefore w:val="0"/>
        <w:widowControl w:val="0"/>
        <w:kinsoku/>
        <w:wordWrap/>
        <w:overflowPunct/>
        <w:topLinePunct w:val="0"/>
        <w:autoSpaceDE/>
        <w:autoSpaceDN/>
        <w:bidi w:val="0"/>
        <w:snapToGrid w:val="0"/>
        <w:spacing w:line="400" w:lineRule="exact"/>
        <w:ind w:left="210" w:leftChars="100" w:firstLine="480" w:firstLineChars="200"/>
        <w:textAlignment w:val="auto"/>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3270036A">
      <w:pPr>
        <w:keepNext w:val="0"/>
        <w:keepLines w:val="0"/>
        <w:pageBreakBefore w:val="0"/>
        <w:widowControl w:val="0"/>
        <w:kinsoku/>
        <w:wordWrap/>
        <w:overflowPunct/>
        <w:topLinePunct w:val="0"/>
        <w:autoSpaceDE/>
        <w:autoSpaceDN/>
        <w:bidi w:val="0"/>
        <w:spacing w:line="400" w:lineRule="exact"/>
        <w:ind w:firstLine="3600" w:firstLineChars="1500"/>
        <w:textAlignment w:val="auto"/>
        <w:rPr>
          <w:rFonts w:ascii="宋体" w:hAnsi="宋体" w:cs="宋体"/>
          <w:color w:val="auto"/>
          <w:sz w:val="24"/>
        </w:rPr>
      </w:pPr>
      <w:r>
        <w:rPr>
          <w:rFonts w:hint="eastAsia" w:ascii="宋体" w:hAnsi="宋体" w:cs="宋体"/>
          <w:color w:val="auto"/>
          <w:sz w:val="24"/>
        </w:rPr>
        <w:t xml:space="preserve">投标人名称（电子签名）：                          </w:t>
      </w:r>
    </w:p>
    <w:p w14:paraId="2EC4EC17">
      <w:pPr>
        <w:keepNext w:val="0"/>
        <w:keepLines w:val="0"/>
        <w:pageBreakBefore w:val="0"/>
        <w:widowControl w:val="0"/>
        <w:kinsoku/>
        <w:wordWrap/>
        <w:overflowPunct/>
        <w:topLinePunct w:val="0"/>
        <w:autoSpaceDE/>
        <w:autoSpaceDN/>
        <w:bidi w:val="0"/>
        <w:spacing w:line="400" w:lineRule="exact"/>
        <w:jc w:val="center"/>
        <w:textAlignment w:val="auto"/>
        <w:rPr>
          <w:rFonts w:ascii="宋体" w:hAnsi="宋体" w:cs="宋体"/>
          <w:color w:val="auto"/>
          <w:sz w:val="24"/>
        </w:rPr>
      </w:pPr>
      <w:r>
        <w:rPr>
          <w:rFonts w:hint="eastAsia" w:ascii="宋体" w:hAnsi="宋体" w:cs="宋体"/>
          <w:color w:val="auto"/>
          <w:sz w:val="24"/>
        </w:rPr>
        <w:t xml:space="preserve">     日期：  年   月   日</w:t>
      </w:r>
    </w:p>
    <w:p w14:paraId="4F6DBF82">
      <w:pPr>
        <w:keepNext w:val="0"/>
        <w:keepLines w:val="0"/>
        <w:pageBreakBefore w:val="0"/>
        <w:widowControl w:val="0"/>
        <w:kinsoku/>
        <w:wordWrap/>
        <w:overflowPunct/>
        <w:topLinePunct w:val="0"/>
        <w:autoSpaceDE/>
        <w:autoSpaceDN/>
        <w:bidi w:val="0"/>
        <w:snapToGrid w:val="0"/>
        <w:spacing w:line="400" w:lineRule="exact"/>
        <w:ind w:left="420" w:leftChars="200" w:firstLine="4200" w:firstLineChars="1750"/>
        <w:textAlignment w:val="auto"/>
        <w:rPr>
          <w:rFonts w:ascii="宋体" w:hAnsi="宋体" w:cs="宋体"/>
          <w:color w:val="auto"/>
          <w:kern w:val="0"/>
          <w:sz w:val="24"/>
          <w:u w:val="single"/>
        </w:rPr>
      </w:pPr>
    </w:p>
    <w:p w14:paraId="720FF6CE">
      <w:pPr>
        <w:keepNext w:val="0"/>
        <w:keepLines w:val="0"/>
        <w:pageBreakBefore w:val="0"/>
        <w:widowControl w:val="0"/>
        <w:kinsoku/>
        <w:wordWrap/>
        <w:overflowPunct/>
        <w:topLinePunct w:val="0"/>
        <w:autoSpaceDE/>
        <w:autoSpaceDN/>
        <w:bidi w:val="0"/>
        <w:spacing w:line="400" w:lineRule="exact"/>
        <w:ind w:right="420"/>
        <w:textAlignment w:val="auto"/>
        <w:rPr>
          <w:rFonts w:ascii="宋体" w:hAnsi="宋体" w:cs="宋体"/>
          <w:color w:val="auto"/>
          <w:sz w:val="24"/>
        </w:rPr>
      </w:pPr>
      <w:r>
        <w:rPr>
          <w:rFonts w:hint="eastAsia" w:ascii="宋体" w:hAnsi="宋体" w:cs="宋体"/>
          <w:color w:val="auto"/>
          <w:sz w:val="24"/>
        </w:rPr>
        <w:t>注：按本格式和要求提供。</w:t>
      </w:r>
    </w:p>
    <w:p w14:paraId="2DE11AD5">
      <w:pPr>
        <w:jc w:val="both"/>
        <w:rPr>
          <w:rFonts w:ascii="宋体" w:hAnsi="宋体" w:cs="宋体"/>
          <w:b/>
          <w:color w:val="auto"/>
          <w:kern w:val="0"/>
          <w:sz w:val="32"/>
          <w:szCs w:val="32"/>
        </w:rPr>
      </w:pPr>
    </w:p>
    <w:p w14:paraId="44227B99">
      <w:pPr>
        <w:pStyle w:val="40"/>
        <w:rPr>
          <w:color w:val="auto"/>
        </w:rPr>
      </w:pPr>
    </w:p>
    <w:p w14:paraId="57D54653">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209EF085">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2D095313">
      <w:pPr>
        <w:snapToGrid w:val="0"/>
        <w:spacing w:line="360" w:lineRule="auto"/>
        <w:jc w:val="center"/>
        <w:rPr>
          <w:rFonts w:ascii="宋体" w:hAnsi="宋体" w:cs="宋体"/>
          <w:color w:val="auto"/>
        </w:rPr>
      </w:pPr>
      <w:r>
        <w:rPr>
          <w:rFonts w:hint="eastAsia" w:ascii="宋体" w:hAnsi="宋体" w:cs="宋体"/>
          <w:b/>
          <w:color w:val="auto"/>
          <w:kern w:val="0"/>
          <w:sz w:val="32"/>
          <w:szCs w:val="32"/>
          <w:lang w:val="zh-CN"/>
        </w:rPr>
        <w:t>授权委托书</w:t>
      </w:r>
    </w:p>
    <w:p w14:paraId="1DF3AF7C">
      <w:pPr>
        <w:snapToGrid w:val="0"/>
        <w:spacing w:line="360" w:lineRule="auto"/>
        <w:rPr>
          <w:rFonts w:ascii="宋体" w:hAnsi="宋体" w:cs="宋体"/>
          <w:color w:val="auto"/>
          <w:kern w:val="0"/>
          <w:sz w:val="24"/>
        </w:rPr>
      </w:pPr>
      <w:r>
        <w:rPr>
          <w:rFonts w:hint="eastAsia" w:ascii="宋体" w:hAnsi="宋体" w:cs="宋体"/>
          <w:color w:val="auto"/>
          <w:sz w:val="24"/>
          <w:lang w:eastAsia="zh-CN"/>
        </w:rPr>
        <w:t>宁海传媒集团（宁海县广播电视台）、浙江天诚工程咨询有限公司</w:t>
      </w:r>
      <w:r>
        <w:rPr>
          <w:rFonts w:hint="eastAsia" w:ascii="宋体" w:hAnsi="宋体" w:cs="宋体"/>
          <w:color w:val="auto"/>
          <w:kern w:val="0"/>
          <w:sz w:val="24"/>
          <w:lang w:val="zh-CN"/>
        </w:rPr>
        <w:t>：</w:t>
      </w:r>
    </w:p>
    <w:p w14:paraId="3874901D">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u w:val="single"/>
          <w:lang w:eastAsia="zh-CN"/>
        </w:rPr>
        <w:t>宁海传媒集团高清电视非线性编辑系统网络核心存储设备硬件升级改造项目</w:t>
      </w:r>
      <w:r>
        <w:rPr>
          <w:rFonts w:hint="eastAsia" w:ascii="宋体" w:hAnsi="宋体" w:cs="宋体"/>
          <w:color w:val="auto"/>
          <w:sz w:val="24"/>
        </w:rPr>
        <w:t>【招标编号：</w:t>
      </w:r>
      <w:r>
        <w:rPr>
          <w:rFonts w:hint="eastAsia" w:ascii="宋体" w:hAnsi="宋体" w:cs="宋体"/>
          <w:color w:val="auto"/>
          <w:sz w:val="24"/>
          <w:lang w:eastAsia="zh-CN"/>
        </w:rPr>
        <w:t>ZJTC2024-026</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11885DAE">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58842C0">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1A1AF916">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10D2BBA9">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3845B78E">
      <w:pPr>
        <w:pStyle w:val="151"/>
        <w:spacing w:line="360" w:lineRule="auto"/>
        <w:rPr>
          <w:rFonts w:hint="eastAsia" w:ascii="宋体" w:hAnsi="宋体" w:eastAsia="宋体" w:cs="宋体"/>
          <w:bCs/>
          <w:color w:val="auto"/>
          <w:sz w:val="21"/>
          <w:szCs w:val="21"/>
          <w:highlight w:val="none"/>
        </w:rPr>
      </w:pPr>
      <w:r>
        <w:rPr>
          <w:rFonts w:hint="eastAsia" w:ascii="宋体" w:hAnsi="宋体" w:eastAsia="宋体" w:cs="宋体"/>
          <w:b/>
          <w:color w:val="auto"/>
          <w:szCs w:val="21"/>
          <w:highlight w:val="none"/>
        </w:rPr>
        <w:t>附法定代表人身份证复印件</w:t>
      </w:r>
      <w:r>
        <w:rPr>
          <w:rFonts w:hint="eastAsia" w:ascii="宋体" w:hAnsi="宋体" w:eastAsia="宋体" w:cs="宋体"/>
          <w:color w:val="auto"/>
          <w:kern w:val="0"/>
          <w:sz w:val="21"/>
          <w:szCs w:val="21"/>
          <w:highlight w:val="none"/>
          <w:lang w:val="zh-CN"/>
        </w:rPr>
        <w:t xml:space="preserve"> </w:t>
      </w:r>
      <w:r>
        <w:rPr>
          <w:rFonts w:hint="eastAsia" w:ascii="宋体" w:hAnsi="宋体" w:eastAsia="宋体" w:cs="宋体"/>
          <w:b/>
          <w:color w:val="auto"/>
          <w:szCs w:val="21"/>
          <w:highlight w:val="none"/>
        </w:rPr>
        <w:t>（正反两面）</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1D833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jc w:val="center"/>
        </w:trPr>
        <w:tc>
          <w:tcPr>
            <w:tcW w:w="9060" w:type="dxa"/>
          </w:tcPr>
          <w:p w14:paraId="43F8C46A">
            <w:pPr>
              <w:pStyle w:val="151"/>
              <w:adjustRightIn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正面：                                 反面：</w:t>
            </w:r>
          </w:p>
          <w:p w14:paraId="34A5B01B">
            <w:pPr>
              <w:pStyle w:val="151"/>
              <w:adjustRightInd w:val="0"/>
              <w:spacing w:line="360" w:lineRule="auto"/>
              <w:rPr>
                <w:rFonts w:hint="eastAsia" w:ascii="宋体" w:hAnsi="宋体" w:eastAsia="宋体" w:cs="宋体"/>
                <w:bCs/>
                <w:color w:val="auto"/>
                <w:sz w:val="21"/>
                <w:szCs w:val="21"/>
                <w:highlight w:val="none"/>
              </w:rPr>
            </w:pPr>
          </w:p>
        </w:tc>
      </w:tr>
    </w:tbl>
    <w:p w14:paraId="5A08DE85">
      <w:pPr>
        <w:snapToGrid w:val="0"/>
        <w:spacing w:line="360" w:lineRule="auto"/>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附被授权人的身份证复印件</w:t>
      </w:r>
      <w:r>
        <w:rPr>
          <w:rFonts w:hint="eastAsia" w:ascii="宋体" w:hAnsi="宋体" w:eastAsia="宋体" w:cs="宋体"/>
          <w:color w:val="auto"/>
          <w:kern w:val="0"/>
          <w:sz w:val="21"/>
          <w:szCs w:val="21"/>
          <w:highlight w:val="none"/>
          <w:lang w:val="zh-CN"/>
        </w:rPr>
        <w:t xml:space="preserve"> </w:t>
      </w:r>
      <w:r>
        <w:rPr>
          <w:rFonts w:hint="eastAsia" w:ascii="宋体" w:hAnsi="宋体" w:eastAsia="宋体" w:cs="宋体"/>
          <w:b/>
          <w:color w:val="auto"/>
          <w:szCs w:val="21"/>
          <w:highlight w:val="none"/>
        </w:rPr>
        <w:t>（正反两面）</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6287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jc w:val="center"/>
        </w:trPr>
        <w:tc>
          <w:tcPr>
            <w:tcW w:w="9060" w:type="dxa"/>
          </w:tcPr>
          <w:p w14:paraId="669334EA">
            <w:pPr>
              <w:snapToGrid w:val="0"/>
              <w:spacing w:line="360" w:lineRule="auto"/>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正面：                                 反面：</w:t>
            </w:r>
          </w:p>
          <w:p w14:paraId="55BA16DA">
            <w:pPr>
              <w:pStyle w:val="151"/>
              <w:adjustRightInd w:val="0"/>
              <w:spacing w:line="360" w:lineRule="auto"/>
              <w:rPr>
                <w:rFonts w:hint="eastAsia" w:ascii="宋体" w:hAnsi="宋体" w:eastAsia="宋体" w:cs="宋体"/>
                <w:bCs/>
                <w:color w:val="auto"/>
                <w:sz w:val="21"/>
                <w:szCs w:val="21"/>
                <w:highlight w:val="none"/>
              </w:rPr>
            </w:pPr>
          </w:p>
        </w:tc>
      </w:tr>
    </w:tbl>
    <w:p w14:paraId="100B5B5D">
      <w:pPr>
        <w:snapToGrid w:val="0"/>
        <w:spacing w:line="360" w:lineRule="auto"/>
        <w:rPr>
          <w:rFonts w:ascii="宋体" w:hAnsi="宋体" w:cs="宋体"/>
          <w:color w:val="auto"/>
          <w:sz w:val="24"/>
        </w:rPr>
      </w:pPr>
    </w:p>
    <w:p w14:paraId="7997C62E">
      <w:pPr>
        <w:pStyle w:val="3"/>
        <w:rPr>
          <w:color w:val="auto"/>
        </w:rPr>
      </w:pPr>
    </w:p>
    <w:p w14:paraId="19EA0993">
      <w:pPr>
        <w:rPr>
          <w:color w:val="auto"/>
        </w:rPr>
      </w:pPr>
    </w:p>
    <w:p w14:paraId="2CF4964A">
      <w:pPr>
        <w:pStyle w:val="40"/>
        <w:rPr>
          <w:color w:val="auto"/>
        </w:rPr>
      </w:pPr>
    </w:p>
    <w:p w14:paraId="71CB65CD">
      <w:pPr>
        <w:pStyle w:val="40"/>
        <w:rPr>
          <w:rFonts w:ascii="宋体" w:hAnsi="宋体" w:cs="宋体"/>
          <w:b/>
          <w:color w:val="auto"/>
          <w:kern w:val="0"/>
          <w:sz w:val="32"/>
          <w:szCs w:val="32"/>
          <w:lang w:val="zh-CN"/>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p>
    <w:p w14:paraId="1D8EC8F8">
      <w:pPr>
        <w:pStyle w:val="40"/>
        <w:rPr>
          <w:rFonts w:ascii="宋体" w:hAnsi="宋体" w:cs="宋体"/>
          <w:b/>
          <w:color w:val="auto"/>
          <w:kern w:val="0"/>
          <w:sz w:val="32"/>
          <w:szCs w:val="32"/>
          <w:lang w:val="zh-CN"/>
        </w:rPr>
      </w:pPr>
    </w:p>
    <w:p w14:paraId="5A240841">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3E775B7B">
      <w:pPr>
        <w:pStyle w:val="151"/>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DF65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597A33BB">
            <w:pPr>
              <w:pStyle w:val="151"/>
              <w:adjustRightInd w:val="0"/>
              <w:spacing w:line="360" w:lineRule="auto"/>
              <w:rPr>
                <w:rFonts w:hAnsi="宋体" w:cs="宋体"/>
                <w:bCs/>
                <w:color w:val="auto"/>
                <w:sz w:val="24"/>
              </w:rPr>
            </w:pPr>
            <w:r>
              <w:rPr>
                <w:rFonts w:hint="eastAsia" w:hAnsi="宋体" w:cs="宋体"/>
                <w:bCs/>
                <w:color w:val="auto"/>
                <w:sz w:val="24"/>
              </w:rPr>
              <w:t>正面：                                 反面：</w:t>
            </w:r>
          </w:p>
          <w:p w14:paraId="554810E2">
            <w:pPr>
              <w:pStyle w:val="151"/>
              <w:adjustRightInd w:val="0"/>
              <w:spacing w:line="360" w:lineRule="auto"/>
              <w:rPr>
                <w:rFonts w:hAnsi="宋体" w:cs="宋体"/>
                <w:bCs/>
                <w:color w:val="auto"/>
                <w:sz w:val="24"/>
              </w:rPr>
            </w:pPr>
          </w:p>
        </w:tc>
      </w:tr>
    </w:tbl>
    <w:p w14:paraId="2986A890">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33167DC8">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54344F57">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3368A397">
      <w:pPr>
        <w:jc w:val="center"/>
        <w:rPr>
          <w:rFonts w:ascii="宋体" w:hAnsi="宋体" w:cs="宋体"/>
          <w:b/>
          <w:color w:val="auto"/>
          <w:kern w:val="0"/>
          <w:sz w:val="32"/>
          <w:szCs w:val="32"/>
        </w:rPr>
      </w:pPr>
    </w:p>
    <w:p w14:paraId="55637762">
      <w:pPr>
        <w:jc w:val="center"/>
        <w:rPr>
          <w:rFonts w:ascii="宋体" w:hAnsi="宋体" w:cs="宋体"/>
          <w:b/>
          <w:color w:val="auto"/>
          <w:kern w:val="0"/>
          <w:sz w:val="32"/>
          <w:szCs w:val="32"/>
        </w:rPr>
      </w:pPr>
    </w:p>
    <w:p w14:paraId="55CDB59A">
      <w:pPr>
        <w:jc w:val="center"/>
        <w:rPr>
          <w:rFonts w:ascii="宋体" w:hAnsi="宋体" w:cs="宋体"/>
          <w:b/>
          <w:color w:val="auto"/>
          <w:kern w:val="0"/>
          <w:sz w:val="32"/>
          <w:szCs w:val="32"/>
        </w:rPr>
      </w:pPr>
    </w:p>
    <w:p w14:paraId="4006CBBF">
      <w:pPr>
        <w:jc w:val="center"/>
        <w:rPr>
          <w:rFonts w:ascii="宋体" w:hAnsi="宋体" w:cs="宋体"/>
          <w:b/>
          <w:color w:val="auto"/>
          <w:kern w:val="0"/>
          <w:sz w:val="32"/>
          <w:szCs w:val="32"/>
        </w:rPr>
      </w:pPr>
    </w:p>
    <w:p w14:paraId="2FAEFA70">
      <w:pPr>
        <w:jc w:val="center"/>
        <w:rPr>
          <w:rFonts w:ascii="宋体" w:hAnsi="宋体" w:cs="宋体"/>
          <w:b/>
          <w:color w:val="auto"/>
          <w:kern w:val="0"/>
          <w:sz w:val="32"/>
          <w:szCs w:val="32"/>
        </w:rPr>
      </w:pPr>
    </w:p>
    <w:p w14:paraId="6B40E9E8">
      <w:pPr>
        <w:jc w:val="center"/>
        <w:rPr>
          <w:rFonts w:ascii="宋体" w:hAnsi="宋体" w:cs="宋体"/>
          <w:b/>
          <w:color w:val="auto"/>
          <w:kern w:val="0"/>
          <w:sz w:val="32"/>
          <w:szCs w:val="32"/>
        </w:rPr>
      </w:pPr>
    </w:p>
    <w:p w14:paraId="0E39E03A">
      <w:pPr>
        <w:jc w:val="center"/>
        <w:rPr>
          <w:rFonts w:ascii="宋体" w:hAnsi="宋体" w:cs="宋体"/>
          <w:b/>
          <w:color w:val="auto"/>
          <w:kern w:val="0"/>
          <w:sz w:val="32"/>
          <w:szCs w:val="32"/>
        </w:rPr>
      </w:pPr>
    </w:p>
    <w:p w14:paraId="6498D36F">
      <w:pPr>
        <w:jc w:val="center"/>
        <w:rPr>
          <w:rFonts w:ascii="宋体" w:hAnsi="宋体" w:cs="宋体"/>
          <w:b/>
          <w:color w:val="auto"/>
          <w:kern w:val="0"/>
          <w:sz w:val="32"/>
          <w:szCs w:val="32"/>
        </w:rPr>
      </w:pPr>
    </w:p>
    <w:p w14:paraId="7606B604">
      <w:pPr>
        <w:jc w:val="center"/>
        <w:rPr>
          <w:rFonts w:ascii="宋体" w:hAnsi="宋体" w:cs="宋体"/>
          <w:b/>
          <w:color w:val="auto"/>
          <w:kern w:val="0"/>
          <w:sz w:val="32"/>
          <w:szCs w:val="32"/>
        </w:rPr>
      </w:pPr>
    </w:p>
    <w:p w14:paraId="35EE404A">
      <w:pPr>
        <w:jc w:val="center"/>
        <w:rPr>
          <w:rFonts w:ascii="宋体" w:hAnsi="宋体" w:cs="宋体"/>
          <w:b/>
          <w:color w:val="auto"/>
          <w:kern w:val="0"/>
          <w:sz w:val="32"/>
          <w:szCs w:val="32"/>
        </w:rPr>
      </w:pPr>
    </w:p>
    <w:p w14:paraId="15ACE371">
      <w:pPr>
        <w:snapToGrid w:val="0"/>
        <w:spacing w:line="360" w:lineRule="auto"/>
        <w:ind w:right="480"/>
        <w:rPr>
          <w:rFonts w:ascii="宋体" w:hAnsi="宋体" w:cs="宋体"/>
          <w:b/>
          <w:color w:val="auto"/>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703DDC63">
      <w:pPr>
        <w:snapToGrid w:val="0"/>
        <w:spacing w:line="360" w:lineRule="auto"/>
        <w:rPr>
          <w:rFonts w:ascii="宋体" w:hAnsi="宋体" w:cs="宋体"/>
          <w:color w:val="auto"/>
          <w:kern w:val="0"/>
          <w:sz w:val="24"/>
        </w:rPr>
      </w:pPr>
    </w:p>
    <w:p w14:paraId="221DD03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、符合性审查资料</w:t>
      </w:r>
    </w:p>
    <w:p w14:paraId="6BA54155">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FAD7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43F1764">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7E066782">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7AFCF813">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4718471B">
            <w:pPr>
              <w:snapToGrid w:val="0"/>
              <w:spacing w:line="240" w:lineRule="atLeast"/>
              <w:jc w:val="center"/>
              <w:rPr>
                <w:rFonts w:hint="default" w:ascii="宋体" w:hAnsi="宋体" w:eastAsia="宋体" w:cs="宋体"/>
                <w:b/>
                <w:color w:val="auto"/>
                <w:sz w:val="24"/>
                <w:lang w:val="en-US" w:eastAsia="zh-CN"/>
              </w:rPr>
            </w:pPr>
            <w:r>
              <w:rPr>
                <w:rFonts w:hint="eastAsia" w:ascii="宋体" w:hAnsi="宋体" w:cs="宋体"/>
                <w:b/>
                <w:color w:val="auto"/>
                <w:sz w:val="24"/>
                <w:lang w:val="en-US" w:eastAsia="zh-CN"/>
              </w:rPr>
              <w:t>审查情况</w:t>
            </w:r>
          </w:p>
        </w:tc>
      </w:tr>
      <w:tr w14:paraId="4DFE2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F2C097">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szCs w:val="24"/>
              </w:rPr>
            </w:pPr>
            <w:r>
              <w:rPr>
                <w:rFonts w:hint="eastAsia" w:ascii="宋体" w:hAnsi="宋体" w:eastAsia="宋体" w:cs="宋体"/>
                <w:color w:val="auto"/>
                <w:sz w:val="24"/>
                <w:szCs w:val="24"/>
                <w:highlight w:val="none"/>
              </w:rPr>
              <w:t>1</w:t>
            </w:r>
          </w:p>
        </w:tc>
        <w:tc>
          <w:tcPr>
            <w:tcW w:w="4991" w:type="dxa"/>
            <w:vAlign w:val="center"/>
          </w:tcPr>
          <w:p w14:paraId="5721F8DA">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4"/>
                <w:szCs w:val="24"/>
              </w:rPr>
            </w:pPr>
            <w:r>
              <w:rPr>
                <w:rFonts w:hint="eastAsia" w:ascii="宋体" w:hAnsi="宋体" w:eastAsia="宋体" w:cs="宋体"/>
                <w:color w:val="auto"/>
                <w:sz w:val="24"/>
                <w:szCs w:val="24"/>
                <w:highlight w:val="none"/>
              </w:rPr>
              <w:t>投标文件按照招标文件要求签署、盖章。</w:t>
            </w:r>
          </w:p>
        </w:tc>
        <w:tc>
          <w:tcPr>
            <w:tcW w:w="2551" w:type="dxa"/>
            <w:vAlign w:val="center"/>
          </w:tcPr>
          <w:p w14:paraId="690FAEBC">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4"/>
                <w:szCs w:val="24"/>
              </w:rPr>
            </w:pPr>
            <w:r>
              <w:rPr>
                <w:rFonts w:hint="eastAsia" w:ascii="宋体" w:hAnsi="宋体" w:eastAsia="宋体" w:cs="宋体"/>
                <w:color w:val="auto"/>
                <w:sz w:val="24"/>
                <w:szCs w:val="24"/>
                <w:highlight w:val="none"/>
              </w:rPr>
              <w:t>需要使用电子签名或者签字盖章的投标文件的组成部分</w:t>
            </w:r>
          </w:p>
        </w:tc>
        <w:tc>
          <w:tcPr>
            <w:tcW w:w="1418" w:type="dxa"/>
            <w:vAlign w:val="center"/>
          </w:tcPr>
          <w:p w14:paraId="0DCE952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w:t>
            </w:r>
          </w:p>
          <w:p w14:paraId="589F39D1">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4"/>
                <w:szCs w:val="24"/>
              </w:rPr>
            </w:pPr>
            <w:r>
              <w:rPr>
                <w:rFonts w:hint="eastAsia" w:ascii="宋体" w:hAnsi="宋体" w:eastAsia="宋体" w:cs="宋体"/>
                <w:color w:val="auto"/>
                <w:sz w:val="24"/>
                <w:szCs w:val="24"/>
                <w:highlight w:val="none"/>
              </w:rPr>
              <w:t>□不通过</w:t>
            </w:r>
          </w:p>
        </w:tc>
      </w:tr>
      <w:tr w14:paraId="24E7A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F54BCF">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szCs w:val="24"/>
              </w:rPr>
            </w:pPr>
            <w:r>
              <w:rPr>
                <w:rFonts w:hint="eastAsia" w:ascii="宋体" w:hAnsi="宋体" w:eastAsia="宋体" w:cs="宋体"/>
                <w:color w:val="auto"/>
                <w:sz w:val="24"/>
                <w:szCs w:val="24"/>
                <w:highlight w:val="none"/>
              </w:rPr>
              <w:t>2</w:t>
            </w:r>
          </w:p>
        </w:tc>
        <w:tc>
          <w:tcPr>
            <w:tcW w:w="4991" w:type="dxa"/>
            <w:vAlign w:val="top"/>
          </w:tcPr>
          <w:p w14:paraId="390CA9D0">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4"/>
                <w:szCs w:val="24"/>
              </w:rPr>
            </w:pPr>
            <w:r>
              <w:rPr>
                <w:rFonts w:hint="eastAsia" w:ascii="宋体" w:hAnsi="宋体" w:eastAsia="宋体" w:cs="宋体"/>
                <w:color w:val="auto"/>
                <w:sz w:val="24"/>
                <w:szCs w:val="24"/>
                <w:highlight w:val="none"/>
              </w:rPr>
              <w:t>投标文件中承诺的投标有效期不少于招标文件中载明的投标有效期。</w:t>
            </w:r>
          </w:p>
        </w:tc>
        <w:tc>
          <w:tcPr>
            <w:tcW w:w="2551" w:type="dxa"/>
            <w:vAlign w:val="center"/>
          </w:tcPr>
          <w:p w14:paraId="47B6079A">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4"/>
                <w:szCs w:val="24"/>
              </w:rPr>
            </w:pPr>
            <w:r>
              <w:rPr>
                <w:rFonts w:hint="eastAsia" w:ascii="宋体" w:hAnsi="宋体" w:eastAsia="宋体" w:cs="宋体"/>
                <w:color w:val="auto"/>
                <w:sz w:val="24"/>
                <w:szCs w:val="24"/>
                <w:highlight w:val="none"/>
              </w:rPr>
              <w:t>投标函</w:t>
            </w:r>
          </w:p>
        </w:tc>
        <w:tc>
          <w:tcPr>
            <w:tcW w:w="1418" w:type="dxa"/>
            <w:vAlign w:val="center"/>
          </w:tcPr>
          <w:p w14:paraId="2D7D6A9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w:t>
            </w:r>
          </w:p>
          <w:p w14:paraId="64E4694A">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4"/>
                <w:szCs w:val="24"/>
              </w:rPr>
            </w:pPr>
            <w:r>
              <w:rPr>
                <w:rFonts w:hint="eastAsia" w:ascii="宋体" w:hAnsi="宋体" w:eastAsia="宋体" w:cs="宋体"/>
                <w:color w:val="auto"/>
                <w:sz w:val="24"/>
                <w:szCs w:val="24"/>
                <w:highlight w:val="none"/>
              </w:rPr>
              <w:t>□不通过</w:t>
            </w:r>
          </w:p>
        </w:tc>
      </w:tr>
      <w:tr w14:paraId="1828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626887">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szCs w:val="24"/>
              </w:rPr>
            </w:pPr>
            <w:r>
              <w:rPr>
                <w:rFonts w:hint="eastAsia" w:ascii="宋体" w:hAnsi="宋体" w:eastAsia="宋体" w:cs="宋体"/>
                <w:color w:val="auto"/>
                <w:sz w:val="24"/>
                <w:szCs w:val="24"/>
                <w:highlight w:val="none"/>
              </w:rPr>
              <w:t>3</w:t>
            </w:r>
          </w:p>
        </w:tc>
        <w:tc>
          <w:tcPr>
            <w:tcW w:w="4991" w:type="dxa"/>
            <w:vAlign w:val="center"/>
          </w:tcPr>
          <w:p w14:paraId="19456562">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4"/>
                <w:szCs w:val="24"/>
              </w:rPr>
            </w:pPr>
            <w:r>
              <w:rPr>
                <w:rFonts w:hint="eastAsia" w:ascii="宋体" w:hAnsi="宋体" w:eastAsia="宋体" w:cs="宋体"/>
                <w:color w:val="auto"/>
                <w:sz w:val="24"/>
                <w:szCs w:val="24"/>
                <w:highlight w:val="none"/>
              </w:rPr>
              <w:t>投标文件满足招标文件的其它实质性要求。</w:t>
            </w:r>
          </w:p>
        </w:tc>
        <w:tc>
          <w:tcPr>
            <w:tcW w:w="2551" w:type="dxa"/>
            <w:vAlign w:val="center"/>
          </w:tcPr>
          <w:p w14:paraId="3BF45B2D">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4"/>
                <w:szCs w:val="24"/>
              </w:rPr>
            </w:pPr>
            <w:r>
              <w:rPr>
                <w:rFonts w:hint="eastAsia" w:ascii="宋体" w:hAnsi="宋体" w:eastAsia="宋体" w:cs="宋体"/>
                <w:color w:val="auto"/>
                <w:sz w:val="24"/>
                <w:szCs w:val="24"/>
                <w:highlight w:val="none"/>
              </w:rPr>
              <w:t>招标文件其它实质性要求相应的材料（“</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系指实质性要求条款，招标文件无其它实质性要求的，无需提供）</w:t>
            </w:r>
          </w:p>
        </w:tc>
        <w:tc>
          <w:tcPr>
            <w:tcW w:w="1418" w:type="dxa"/>
            <w:vAlign w:val="center"/>
          </w:tcPr>
          <w:p w14:paraId="11A6F4C1">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w:t>
            </w:r>
          </w:p>
          <w:p w14:paraId="2CF16963">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4"/>
                <w:szCs w:val="24"/>
              </w:rPr>
            </w:pPr>
            <w:r>
              <w:rPr>
                <w:rFonts w:hint="eastAsia" w:ascii="宋体" w:hAnsi="宋体" w:eastAsia="宋体" w:cs="宋体"/>
                <w:color w:val="auto"/>
                <w:sz w:val="24"/>
                <w:szCs w:val="24"/>
                <w:highlight w:val="none"/>
              </w:rPr>
              <w:t>□不通过</w:t>
            </w:r>
          </w:p>
        </w:tc>
      </w:tr>
      <w:tr w14:paraId="4892B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6BCAD3">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cs="宋体"/>
                <w:color w:val="auto"/>
                <w:sz w:val="24"/>
                <w:szCs w:val="24"/>
              </w:rPr>
            </w:pPr>
            <w:r>
              <w:rPr>
                <w:rFonts w:hint="eastAsia" w:ascii="宋体" w:hAnsi="宋体" w:eastAsia="宋体" w:cs="宋体"/>
                <w:color w:val="auto"/>
                <w:sz w:val="24"/>
                <w:szCs w:val="24"/>
                <w:highlight w:val="none"/>
              </w:rPr>
              <w:t>4</w:t>
            </w:r>
          </w:p>
        </w:tc>
        <w:tc>
          <w:tcPr>
            <w:tcW w:w="4991" w:type="dxa"/>
            <w:vAlign w:val="center"/>
          </w:tcPr>
          <w:p w14:paraId="02F7C81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color w:val="auto"/>
                <w:sz w:val="24"/>
                <w:szCs w:val="24"/>
              </w:rPr>
            </w:pPr>
            <w:r>
              <w:rPr>
                <w:rFonts w:hint="eastAsia" w:ascii="宋体" w:hAnsi="宋体" w:eastAsia="宋体" w:cs="宋体"/>
                <w:color w:val="auto"/>
                <w:sz w:val="24"/>
                <w:szCs w:val="24"/>
                <w:highlight w:val="none"/>
              </w:rPr>
              <w:t>投标文件没有招标文件中规定的其它无效投标条款的。</w:t>
            </w:r>
          </w:p>
        </w:tc>
        <w:tc>
          <w:tcPr>
            <w:tcW w:w="2551" w:type="dxa"/>
            <w:vAlign w:val="center"/>
          </w:tcPr>
          <w:p w14:paraId="6F068DA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cs="宋体"/>
                <w:color w:val="auto"/>
                <w:kern w:val="0"/>
                <w:sz w:val="24"/>
                <w:szCs w:val="24"/>
              </w:rPr>
            </w:pPr>
          </w:p>
        </w:tc>
        <w:tc>
          <w:tcPr>
            <w:tcW w:w="1418" w:type="dxa"/>
            <w:vAlign w:val="center"/>
          </w:tcPr>
          <w:p w14:paraId="7BF43161">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w:t>
            </w:r>
          </w:p>
          <w:p w14:paraId="0D6AA75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cs="宋体"/>
                <w:color w:val="auto"/>
                <w:sz w:val="24"/>
                <w:szCs w:val="24"/>
              </w:rPr>
            </w:pPr>
            <w:r>
              <w:rPr>
                <w:rFonts w:hint="eastAsia" w:ascii="宋体" w:hAnsi="宋体" w:eastAsia="宋体" w:cs="宋体"/>
                <w:color w:val="auto"/>
                <w:sz w:val="24"/>
                <w:szCs w:val="24"/>
                <w:highlight w:val="none"/>
              </w:rPr>
              <w:t>□不通过</w:t>
            </w:r>
          </w:p>
        </w:tc>
      </w:tr>
      <w:tr w14:paraId="1886A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477FDA">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cs="宋体"/>
                <w:color w:val="auto"/>
                <w:sz w:val="24"/>
                <w:szCs w:val="24"/>
              </w:rPr>
            </w:pPr>
            <w:r>
              <w:rPr>
                <w:rFonts w:hint="eastAsia" w:ascii="宋体" w:hAnsi="宋体" w:eastAsia="宋体" w:cs="宋体"/>
                <w:color w:val="auto"/>
                <w:sz w:val="24"/>
                <w:szCs w:val="24"/>
                <w:highlight w:val="none"/>
              </w:rPr>
              <w:t>5</w:t>
            </w:r>
          </w:p>
        </w:tc>
        <w:tc>
          <w:tcPr>
            <w:tcW w:w="4991" w:type="dxa"/>
            <w:vAlign w:val="center"/>
          </w:tcPr>
          <w:p w14:paraId="0320742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color w:val="auto"/>
                <w:sz w:val="24"/>
                <w:szCs w:val="24"/>
              </w:rPr>
            </w:pPr>
            <w:r>
              <w:rPr>
                <w:rFonts w:hint="eastAsia" w:ascii="宋体" w:hAnsi="宋体" w:eastAsia="宋体" w:cs="宋体"/>
                <w:color w:val="auto"/>
                <w:sz w:val="24"/>
                <w:szCs w:val="24"/>
                <w:highlight w:val="none"/>
              </w:rPr>
              <w:t>按有关法律、法规、规章不属于投标无效的。</w:t>
            </w:r>
          </w:p>
        </w:tc>
        <w:tc>
          <w:tcPr>
            <w:tcW w:w="2551" w:type="dxa"/>
            <w:vAlign w:val="center"/>
          </w:tcPr>
          <w:p w14:paraId="29C0C1D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cs="宋体"/>
                <w:color w:val="auto"/>
                <w:kern w:val="0"/>
                <w:sz w:val="24"/>
                <w:szCs w:val="24"/>
              </w:rPr>
            </w:pPr>
          </w:p>
        </w:tc>
        <w:tc>
          <w:tcPr>
            <w:tcW w:w="1418" w:type="dxa"/>
            <w:vAlign w:val="center"/>
          </w:tcPr>
          <w:p w14:paraId="40AE8796">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w:t>
            </w:r>
          </w:p>
          <w:p w14:paraId="195349A6">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cs="宋体"/>
                <w:color w:val="auto"/>
                <w:sz w:val="24"/>
                <w:szCs w:val="24"/>
              </w:rPr>
            </w:pPr>
            <w:r>
              <w:rPr>
                <w:rFonts w:hint="eastAsia" w:ascii="宋体" w:hAnsi="宋体" w:eastAsia="宋体" w:cs="宋体"/>
                <w:color w:val="auto"/>
                <w:sz w:val="24"/>
                <w:szCs w:val="24"/>
                <w:highlight w:val="none"/>
              </w:rPr>
              <w:t>□不通过</w:t>
            </w:r>
          </w:p>
        </w:tc>
      </w:tr>
      <w:tr w14:paraId="22E74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3F0710">
            <w:pPr>
              <w:jc w:val="center"/>
              <w:rPr>
                <w:rFonts w:hint="default" w:ascii="宋体" w:hAnsi="宋体" w:eastAsia="宋体" w:cs="宋体"/>
                <w:color w:val="auto"/>
                <w:sz w:val="24"/>
                <w:lang w:val="en-US" w:eastAsia="zh-CN"/>
              </w:rPr>
            </w:pPr>
          </w:p>
        </w:tc>
        <w:tc>
          <w:tcPr>
            <w:tcW w:w="4991" w:type="dxa"/>
            <w:vAlign w:val="center"/>
          </w:tcPr>
          <w:p w14:paraId="12F9A7C9">
            <w:pPr>
              <w:spacing w:line="360" w:lineRule="auto"/>
              <w:jc w:val="center"/>
              <w:rPr>
                <w:rFonts w:hint="default" w:ascii="宋体" w:hAnsi="宋体" w:eastAsia="宋体" w:cs="宋体"/>
                <w:color w:val="auto"/>
                <w:sz w:val="24"/>
                <w:lang w:val="en-US" w:eastAsia="zh-CN"/>
              </w:rPr>
            </w:pPr>
          </w:p>
        </w:tc>
        <w:tc>
          <w:tcPr>
            <w:tcW w:w="2551" w:type="dxa"/>
            <w:vAlign w:val="center"/>
          </w:tcPr>
          <w:p w14:paraId="6AF2637C">
            <w:pPr>
              <w:jc w:val="center"/>
              <w:rPr>
                <w:rFonts w:hint="default" w:ascii="宋体" w:hAnsi="宋体" w:eastAsia="宋体" w:cs="宋体"/>
                <w:color w:val="auto"/>
                <w:kern w:val="0"/>
                <w:sz w:val="24"/>
                <w:lang w:val="en-US" w:eastAsia="zh-CN"/>
              </w:rPr>
            </w:pPr>
          </w:p>
        </w:tc>
        <w:tc>
          <w:tcPr>
            <w:tcW w:w="1418" w:type="dxa"/>
          </w:tcPr>
          <w:p w14:paraId="3E5D5BCC">
            <w:pPr>
              <w:rPr>
                <w:rFonts w:hint="eastAsia" w:ascii="宋体" w:hAnsi="宋体" w:cs="宋体"/>
                <w:color w:val="auto"/>
                <w:sz w:val="24"/>
              </w:rPr>
            </w:pPr>
          </w:p>
        </w:tc>
      </w:tr>
    </w:tbl>
    <w:p w14:paraId="34D3521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备注：投标人自查表将作为</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有效性审查的重要内容之一，</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必须严格按照其内容及序列要求在投标文件中对应如实提供</w:t>
      </w:r>
      <w:r>
        <w:rPr>
          <w:rFonts w:hint="eastAsia" w:ascii="宋体" w:hAnsi="宋体" w:eastAsia="宋体" w:cs="宋体"/>
          <w:color w:val="auto"/>
          <w:sz w:val="21"/>
          <w:szCs w:val="21"/>
          <w:highlight w:val="none"/>
          <w:lang w:eastAsia="zh-CN"/>
        </w:rPr>
        <w:t>。</w:t>
      </w:r>
    </w:p>
    <w:p w14:paraId="7BBBDE2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46C2EF75">
      <w:pPr>
        <w:pStyle w:val="23"/>
        <w:rPr>
          <w:rFonts w:hint="eastAsia" w:ascii="宋体" w:hAnsi="宋体" w:eastAsia="宋体" w:cs="宋体"/>
          <w:color w:val="auto"/>
          <w:highlight w:val="none"/>
        </w:rPr>
      </w:pPr>
    </w:p>
    <w:p w14:paraId="26B13D27">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291E4075">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32862AE8">
      <w:pPr>
        <w:jc w:val="center"/>
        <w:rPr>
          <w:rFonts w:ascii="宋体" w:hAnsi="宋体" w:cs="宋体"/>
          <w:b/>
          <w:color w:val="auto"/>
          <w:kern w:val="0"/>
          <w:sz w:val="32"/>
          <w:szCs w:val="32"/>
        </w:rPr>
      </w:pPr>
    </w:p>
    <w:p w14:paraId="31B4EC04">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7DC47D36">
      <w:pPr>
        <w:jc w:val="center"/>
        <w:rPr>
          <w:rFonts w:ascii="宋体" w:hAnsi="宋体" w:cs="宋体"/>
          <w:b/>
          <w:color w:val="auto"/>
          <w:kern w:val="0"/>
          <w:sz w:val="32"/>
          <w:szCs w:val="32"/>
        </w:rPr>
      </w:pPr>
    </w:p>
    <w:p w14:paraId="174FE6C9">
      <w:pPr>
        <w:pStyle w:val="40"/>
        <w:rPr>
          <w:rFonts w:ascii="宋体" w:hAnsi="宋体" w:cs="宋体"/>
          <w:b/>
          <w:color w:val="auto"/>
          <w:kern w:val="0"/>
          <w:sz w:val="32"/>
          <w:szCs w:val="32"/>
        </w:rPr>
      </w:pPr>
    </w:p>
    <w:p w14:paraId="524AED3D">
      <w:pPr>
        <w:pStyle w:val="40"/>
        <w:rPr>
          <w:rFonts w:ascii="宋体" w:hAnsi="宋体" w:cs="宋体"/>
          <w:b/>
          <w:color w:val="auto"/>
          <w:kern w:val="0"/>
          <w:sz w:val="32"/>
          <w:szCs w:val="32"/>
        </w:rPr>
      </w:pPr>
    </w:p>
    <w:p w14:paraId="5A40FA61">
      <w:pPr>
        <w:pStyle w:val="40"/>
        <w:rPr>
          <w:rFonts w:ascii="宋体" w:hAnsi="宋体" w:cs="宋体"/>
          <w:b/>
          <w:color w:val="auto"/>
          <w:kern w:val="0"/>
          <w:sz w:val="32"/>
          <w:szCs w:val="32"/>
        </w:rPr>
      </w:pPr>
    </w:p>
    <w:p w14:paraId="093F81BB">
      <w:pPr>
        <w:jc w:val="center"/>
        <w:rPr>
          <w:rFonts w:hint="eastAsia" w:ascii="宋体" w:hAnsi="宋体" w:cs="宋体"/>
          <w:b/>
          <w:color w:val="auto"/>
          <w:kern w:val="0"/>
          <w:sz w:val="32"/>
          <w:szCs w:val="32"/>
        </w:rPr>
      </w:pPr>
      <w:r>
        <w:rPr>
          <w:rFonts w:hint="eastAsia" w:ascii="宋体" w:hAnsi="宋体" w:cs="宋体"/>
          <w:b/>
          <w:color w:val="auto"/>
          <w:kern w:val="0"/>
          <w:sz w:val="32"/>
          <w:szCs w:val="32"/>
          <w:lang w:val="en-US" w:eastAsia="zh-CN"/>
        </w:rPr>
        <w:t>四</w:t>
      </w:r>
      <w:r>
        <w:rPr>
          <w:rFonts w:hint="eastAsia" w:ascii="宋体" w:hAnsi="宋体" w:cs="宋体"/>
          <w:b/>
          <w:color w:val="auto"/>
          <w:kern w:val="0"/>
          <w:sz w:val="32"/>
          <w:szCs w:val="32"/>
        </w:rPr>
        <w:t>、评标标准相应的商务技术资料</w:t>
      </w:r>
    </w:p>
    <w:p w14:paraId="3956A495">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eastAsia="zh-CN"/>
        </w:rPr>
        <w:t>）</w:t>
      </w:r>
      <w:r>
        <w:rPr>
          <w:rFonts w:hint="eastAsia" w:ascii="宋体" w:hAnsi="宋体" w:cs="宋体"/>
          <w:b/>
          <w:bCs/>
          <w:color w:val="auto"/>
          <w:sz w:val="24"/>
          <w:szCs w:val="24"/>
          <w:lang w:eastAsia="zh-CN"/>
        </w:rPr>
        <w:t>投标人</w:t>
      </w:r>
      <w:r>
        <w:rPr>
          <w:rFonts w:hint="eastAsia" w:ascii="宋体" w:hAnsi="宋体" w:eastAsia="宋体" w:cs="宋体"/>
          <w:b/>
          <w:bCs/>
          <w:color w:val="auto"/>
          <w:sz w:val="24"/>
          <w:szCs w:val="24"/>
        </w:rPr>
        <w:t>响应表</w:t>
      </w:r>
    </w:p>
    <w:p w14:paraId="09212680">
      <w:pPr>
        <w:rPr>
          <w:rFonts w:hint="eastAsia" w:ascii="宋体" w:hAnsi="宋体" w:eastAsia="宋体" w:cs="宋体"/>
          <w:color w:val="auto"/>
          <w:sz w:val="24"/>
          <w:szCs w:val="24"/>
        </w:rPr>
      </w:pPr>
    </w:p>
    <w:p w14:paraId="3FACCCCE">
      <w:pPr>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bCs/>
          <w:color w:val="auto"/>
          <w:sz w:val="24"/>
          <w:szCs w:val="24"/>
        </w:rPr>
        <w:t>项目名称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tbl>
      <w:tblPr>
        <w:tblStyle w:val="62"/>
        <w:tblW w:w="8804" w:type="dxa"/>
        <w:tblInd w:w="93" w:type="dxa"/>
        <w:tblLayout w:type="fixed"/>
        <w:tblCellMar>
          <w:top w:w="0" w:type="dxa"/>
          <w:left w:w="108" w:type="dxa"/>
          <w:bottom w:w="0" w:type="dxa"/>
          <w:right w:w="108" w:type="dxa"/>
        </w:tblCellMar>
      </w:tblPr>
      <w:tblGrid>
        <w:gridCol w:w="724"/>
        <w:gridCol w:w="6237"/>
        <w:gridCol w:w="1843"/>
      </w:tblGrid>
      <w:tr w14:paraId="5AF0B77F">
        <w:tblPrEx>
          <w:tblCellMar>
            <w:top w:w="0" w:type="dxa"/>
            <w:left w:w="108" w:type="dxa"/>
            <w:bottom w:w="0" w:type="dxa"/>
            <w:right w:w="108" w:type="dxa"/>
          </w:tblCellMar>
        </w:tblPrEx>
        <w:trPr>
          <w:trHeight w:val="596"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427BD52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6A89BA8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评审内容</w:t>
            </w:r>
          </w:p>
        </w:tc>
        <w:tc>
          <w:tcPr>
            <w:tcW w:w="1843" w:type="dxa"/>
            <w:tcBorders>
              <w:top w:val="single" w:color="auto" w:sz="4" w:space="0"/>
              <w:left w:val="nil"/>
              <w:bottom w:val="single" w:color="auto" w:sz="4" w:space="0"/>
              <w:right w:val="single" w:color="auto" w:sz="4" w:space="0"/>
            </w:tcBorders>
            <w:noWrap w:val="0"/>
            <w:vAlign w:val="center"/>
          </w:tcPr>
          <w:p w14:paraId="23B78D5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证明文件</w:t>
            </w:r>
          </w:p>
        </w:tc>
      </w:tr>
      <w:tr w14:paraId="5841EE9C">
        <w:tblPrEx>
          <w:tblCellMar>
            <w:top w:w="0" w:type="dxa"/>
            <w:left w:w="108" w:type="dxa"/>
            <w:bottom w:w="0" w:type="dxa"/>
            <w:right w:w="108" w:type="dxa"/>
          </w:tblCellMar>
        </w:tblPrEx>
        <w:trPr>
          <w:trHeight w:val="593" w:hRule="atLeast"/>
        </w:trPr>
        <w:tc>
          <w:tcPr>
            <w:tcW w:w="724" w:type="dxa"/>
            <w:tcBorders>
              <w:top w:val="nil"/>
              <w:left w:val="single" w:color="auto" w:sz="4" w:space="0"/>
              <w:bottom w:val="single" w:color="auto" w:sz="4" w:space="0"/>
              <w:right w:val="single" w:color="auto" w:sz="4" w:space="0"/>
            </w:tcBorders>
            <w:noWrap w:val="0"/>
            <w:vAlign w:val="center"/>
          </w:tcPr>
          <w:p w14:paraId="10C2697A">
            <w:pPr>
              <w:rPr>
                <w:rFonts w:hint="eastAsia" w:ascii="宋体" w:hAnsi="宋体" w:eastAsia="宋体" w:cs="宋体"/>
                <w:color w:val="auto"/>
                <w:sz w:val="24"/>
                <w:szCs w:val="24"/>
              </w:rPr>
            </w:pPr>
          </w:p>
        </w:tc>
        <w:tc>
          <w:tcPr>
            <w:tcW w:w="6237" w:type="dxa"/>
            <w:tcBorders>
              <w:top w:val="nil"/>
              <w:left w:val="single" w:color="auto" w:sz="4" w:space="0"/>
              <w:bottom w:val="single" w:color="auto" w:sz="4" w:space="0"/>
              <w:right w:val="single" w:color="auto" w:sz="4" w:space="0"/>
            </w:tcBorders>
            <w:noWrap w:val="0"/>
            <w:vAlign w:val="center"/>
          </w:tcPr>
          <w:p w14:paraId="29A870AD">
            <w:pPr>
              <w:rPr>
                <w:rFonts w:hint="eastAsia" w:ascii="宋体" w:hAnsi="宋体" w:eastAsia="宋体" w:cs="宋体"/>
                <w:color w:val="auto"/>
                <w:sz w:val="24"/>
                <w:szCs w:val="24"/>
              </w:rPr>
            </w:pPr>
          </w:p>
        </w:tc>
        <w:tc>
          <w:tcPr>
            <w:tcW w:w="1843" w:type="dxa"/>
            <w:tcBorders>
              <w:top w:val="nil"/>
              <w:left w:val="nil"/>
              <w:bottom w:val="single" w:color="auto" w:sz="4" w:space="0"/>
              <w:right w:val="single" w:color="auto" w:sz="4" w:space="0"/>
            </w:tcBorders>
            <w:noWrap w:val="0"/>
            <w:vAlign w:val="center"/>
          </w:tcPr>
          <w:p w14:paraId="5FB0F52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见（  ）页</w:t>
            </w:r>
          </w:p>
        </w:tc>
      </w:tr>
      <w:tr w14:paraId="0B72287A">
        <w:tblPrEx>
          <w:tblCellMar>
            <w:top w:w="0" w:type="dxa"/>
            <w:left w:w="108" w:type="dxa"/>
            <w:bottom w:w="0" w:type="dxa"/>
            <w:right w:w="108" w:type="dxa"/>
          </w:tblCellMar>
        </w:tblPrEx>
        <w:trPr>
          <w:trHeight w:val="613" w:hRule="atLeast"/>
        </w:trPr>
        <w:tc>
          <w:tcPr>
            <w:tcW w:w="724" w:type="dxa"/>
            <w:tcBorders>
              <w:top w:val="nil"/>
              <w:left w:val="single" w:color="auto" w:sz="4" w:space="0"/>
              <w:bottom w:val="single" w:color="auto" w:sz="4" w:space="0"/>
              <w:right w:val="single" w:color="auto" w:sz="4" w:space="0"/>
            </w:tcBorders>
            <w:noWrap w:val="0"/>
            <w:vAlign w:val="center"/>
          </w:tcPr>
          <w:p w14:paraId="7F7D701A">
            <w:pPr>
              <w:rPr>
                <w:rFonts w:hint="eastAsia" w:ascii="宋体" w:hAnsi="宋体" w:eastAsia="宋体" w:cs="宋体"/>
                <w:color w:val="auto"/>
                <w:sz w:val="24"/>
                <w:szCs w:val="24"/>
              </w:rPr>
            </w:pPr>
          </w:p>
        </w:tc>
        <w:tc>
          <w:tcPr>
            <w:tcW w:w="6237" w:type="dxa"/>
            <w:tcBorders>
              <w:top w:val="nil"/>
              <w:left w:val="single" w:color="auto" w:sz="4" w:space="0"/>
              <w:bottom w:val="single" w:color="auto" w:sz="4" w:space="0"/>
              <w:right w:val="single" w:color="auto" w:sz="4" w:space="0"/>
            </w:tcBorders>
            <w:noWrap w:val="0"/>
            <w:vAlign w:val="center"/>
          </w:tcPr>
          <w:p w14:paraId="25B114D6">
            <w:pPr>
              <w:rPr>
                <w:rFonts w:hint="eastAsia" w:ascii="宋体" w:hAnsi="宋体" w:eastAsia="宋体" w:cs="宋体"/>
                <w:color w:val="auto"/>
                <w:sz w:val="24"/>
                <w:szCs w:val="24"/>
              </w:rPr>
            </w:pPr>
          </w:p>
        </w:tc>
        <w:tc>
          <w:tcPr>
            <w:tcW w:w="1843" w:type="dxa"/>
            <w:tcBorders>
              <w:top w:val="nil"/>
              <w:left w:val="nil"/>
              <w:bottom w:val="single" w:color="auto" w:sz="4" w:space="0"/>
              <w:right w:val="single" w:color="auto" w:sz="4" w:space="0"/>
            </w:tcBorders>
            <w:noWrap w:val="0"/>
            <w:vAlign w:val="center"/>
          </w:tcPr>
          <w:p w14:paraId="21CDCF9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见（  ）页</w:t>
            </w:r>
          </w:p>
        </w:tc>
      </w:tr>
      <w:tr w14:paraId="12F8B728">
        <w:tblPrEx>
          <w:tblCellMar>
            <w:top w:w="0" w:type="dxa"/>
            <w:left w:w="108" w:type="dxa"/>
            <w:bottom w:w="0" w:type="dxa"/>
            <w:right w:w="108" w:type="dxa"/>
          </w:tblCellMar>
        </w:tblPrEx>
        <w:trPr>
          <w:trHeight w:val="520" w:hRule="atLeast"/>
        </w:trPr>
        <w:tc>
          <w:tcPr>
            <w:tcW w:w="724" w:type="dxa"/>
            <w:tcBorders>
              <w:top w:val="nil"/>
              <w:left w:val="single" w:color="auto" w:sz="4" w:space="0"/>
              <w:bottom w:val="single" w:color="auto" w:sz="4" w:space="0"/>
              <w:right w:val="single" w:color="auto" w:sz="4" w:space="0"/>
            </w:tcBorders>
            <w:noWrap w:val="0"/>
            <w:vAlign w:val="center"/>
          </w:tcPr>
          <w:p w14:paraId="7BE48E3E">
            <w:pPr>
              <w:rPr>
                <w:rFonts w:hint="eastAsia" w:ascii="宋体" w:hAnsi="宋体" w:eastAsia="宋体" w:cs="宋体"/>
                <w:color w:val="auto"/>
                <w:sz w:val="24"/>
                <w:szCs w:val="24"/>
              </w:rPr>
            </w:pPr>
          </w:p>
        </w:tc>
        <w:tc>
          <w:tcPr>
            <w:tcW w:w="6237" w:type="dxa"/>
            <w:tcBorders>
              <w:top w:val="nil"/>
              <w:left w:val="single" w:color="auto" w:sz="4" w:space="0"/>
              <w:bottom w:val="single" w:color="auto" w:sz="4" w:space="0"/>
              <w:right w:val="single" w:color="auto" w:sz="4" w:space="0"/>
            </w:tcBorders>
            <w:noWrap w:val="0"/>
            <w:vAlign w:val="center"/>
          </w:tcPr>
          <w:p w14:paraId="74040FE9">
            <w:pPr>
              <w:rPr>
                <w:rFonts w:hint="eastAsia" w:ascii="宋体" w:hAnsi="宋体" w:eastAsia="宋体" w:cs="宋体"/>
                <w:color w:val="auto"/>
                <w:sz w:val="24"/>
                <w:szCs w:val="24"/>
              </w:rPr>
            </w:pPr>
          </w:p>
        </w:tc>
        <w:tc>
          <w:tcPr>
            <w:tcW w:w="1843" w:type="dxa"/>
            <w:tcBorders>
              <w:top w:val="nil"/>
              <w:left w:val="nil"/>
              <w:bottom w:val="single" w:color="auto" w:sz="4" w:space="0"/>
              <w:right w:val="single" w:color="auto" w:sz="4" w:space="0"/>
            </w:tcBorders>
            <w:noWrap w:val="0"/>
            <w:vAlign w:val="center"/>
          </w:tcPr>
          <w:p w14:paraId="539F3DA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见（  ）页</w:t>
            </w:r>
          </w:p>
        </w:tc>
      </w:tr>
      <w:tr w14:paraId="39EA319D">
        <w:tblPrEx>
          <w:tblCellMar>
            <w:top w:w="0" w:type="dxa"/>
            <w:left w:w="108" w:type="dxa"/>
            <w:bottom w:w="0" w:type="dxa"/>
            <w:right w:w="108" w:type="dxa"/>
          </w:tblCellMar>
        </w:tblPrEx>
        <w:trPr>
          <w:trHeight w:val="531" w:hRule="atLeast"/>
        </w:trPr>
        <w:tc>
          <w:tcPr>
            <w:tcW w:w="724" w:type="dxa"/>
            <w:tcBorders>
              <w:top w:val="nil"/>
              <w:left w:val="single" w:color="auto" w:sz="4" w:space="0"/>
              <w:bottom w:val="single" w:color="auto" w:sz="4" w:space="0"/>
              <w:right w:val="single" w:color="auto" w:sz="4" w:space="0"/>
            </w:tcBorders>
            <w:noWrap w:val="0"/>
            <w:vAlign w:val="center"/>
          </w:tcPr>
          <w:p w14:paraId="502F60A5">
            <w:pPr>
              <w:rPr>
                <w:rFonts w:hint="eastAsia" w:ascii="宋体" w:hAnsi="宋体" w:eastAsia="宋体" w:cs="宋体"/>
                <w:color w:val="auto"/>
                <w:sz w:val="24"/>
                <w:szCs w:val="24"/>
              </w:rPr>
            </w:pPr>
          </w:p>
        </w:tc>
        <w:tc>
          <w:tcPr>
            <w:tcW w:w="6237" w:type="dxa"/>
            <w:tcBorders>
              <w:top w:val="nil"/>
              <w:left w:val="single" w:color="auto" w:sz="4" w:space="0"/>
              <w:bottom w:val="single" w:color="auto" w:sz="4" w:space="0"/>
              <w:right w:val="single" w:color="auto" w:sz="4" w:space="0"/>
            </w:tcBorders>
            <w:noWrap w:val="0"/>
            <w:vAlign w:val="center"/>
          </w:tcPr>
          <w:p w14:paraId="772B9061">
            <w:pPr>
              <w:rPr>
                <w:rFonts w:hint="eastAsia" w:ascii="宋体" w:hAnsi="宋体" w:eastAsia="宋体" w:cs="宋体"/>
                <w:color w:val="auto"/>
                <w:sz w:val="24"/>
                <w:szCs w:val="24"/>
              </w:rPr>
            </w:pPr>
          </w:p>
        </w:tc>
        <w:tc>
          <w:tcPr>
            <w:tcW w:w="1843" w:type="dxa"/>
            <w:tcBorders>
              <w:top w:val="nil"/>
              <w:left w:val="nil"/>
              <w:bottom w:val="single" w:color="auto" w:sz="4" w:space="0"/>
              <w:right w:val="single" w:color="auto" w:sz="4" w:space="0"/>
            </w:tcBorders>
            <w:noWrap w:val="0"/>
            <w:vAlign w:val="center"/>
          </w:tcPr>
          <w:p w14:paraId="102BF6B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见（  ）页</w:t>
            </w:r>
          </w:p>
        </w:tc>
      </w:tr>
      <w:tr w14:paraId="4005A703">
        <w:tblPrEx>
          <w:tblCellMar>
            <w:top w:w="0" w:type="dxa"/>
            <w:left w:w="108" w:type="dxa"/>
            <w:bottom w:w="0" w:type="dxa"/>
            <w:right w:w="108" w:type="dxa"/>
          </w:tblCellMar>
        </w:tblPrEx>
        <w:trPr>
          <w:trHeight w:val="60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17FCAA13">
            <w:pPr>
              <w:rPr>
                <w:rFonts w:hint="eastAsia" w:ascii="宋体" w:hAnsi="宋体" w:eastAsia="宋体" w:cs="宋体"/>
                <w:color w:val="auto"/>
                <w:sz w:val="24"/>
                <w:szCs w:val="24"/>
              </w:rPr>
            </w:pPr>
          </w:p>
        </w:tc>
        <w:tc>
          <w:tcPr>
            <w:tcW w:w="6237" w:type="dxa"/>
            <w:tcBorders>
              <w:top w:val="single" w:color="auto" w:sz="4" w:space="0"/>
              <w:left w:val="single" w:color="auto" w:sz="4" w:space="0"/>
              <w:bottom w:val="single" w:color="auto" w:sz="4" w:space="0"/>
              <w:right w:val="single" w:color="auto" w:sz="4" w:space="0"/>
            </w:tcBorders>
            <w:noWrap w:val="0"/>
            <w:vAlign w:val="center"/>
          </w:tcPr>
          <w:p w14:paraId="3D512EE0">
            <w:pPr>
              <w:rPr>
                <w:rFonts w:hint="eastAsia" w:ascii="宋体" w:hAnsi="宋体" w:eastAsia="宋体" w:cs="宋体"/>
                <w:color w:val="auto"/>
                <w:sz w:val="24"/>
                <w:szCs w:val="24"/>
              </w:rPr>
            </w:pPr>
          </w:p>
        </w:tc>
        <w:tc>
          <w:tcPr>
            <w:tcW w:w="1843" w:type="dxa"/>
            <w:tcBorders>
              <w:top w:val="single" w:color="auto" w:sz="4" w:space="0"/>
              <w:left w:val="nil"/>
              <w:bottom w:val="single" w:color="auto" w:sz="4" w:space="0"/>
              <w:right w:val="single" w:color="auto" w:sz="4" w:space="0"/>
            </w:tcBorders>
            <w:noWrap w:val="0"/>
            <w:vAlign w:val="center"/>
          </w:tcPr>
          <w:p w14:paraId="5CB0978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见（  ）页</w:t>
            </w:r>
          </w:p>
        </w:tc>
      </w:tr>
      <w:tr w14:paraId="37B8B505">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08E2EF21">
            <w:pPr>
              <w:rPr>
                <w:rFonts w:hint="eastAsia" w:ascii="宋体" w:hAnsi="宋体" w:eastAsia="宋体" w:cs="宋体"/>
                <w:color w:val="auto"/>
                <w:sz w:val="24"/>
                <w:szCs w:val="24"/>
              </w:rPr>
            </w:pPr>
          </w:p>
        </w:tc>
        <w:tc>
          <w:tcPr>
            <w:tcW w:w="6237" w:type="dxa"/>
            <w:tcBorders>
              <w:top w:val="single" w:color="auto" w:sz="4" w:space="0"/>
              <w:left w:val="single" w:color="auto" w:sz="4" w:space="0"/>
              <w:bottom w:val="single" w:color="auto" w:sz="4" w:space="0"/>
              <w:right w:val="single" w:color="auto" w:sz="4" w:space="0"/>
            </w:tcBorders>
            <w:noWrap w:val="0"/>
            <w:vAlign w:val="center"/>
          </w:tcPr>
          <w:p w14:paraId="20DD597F">
            <w:pPr>
              <w:rPr>
                <w:rFonts w:hint="eastAsia" w:ascii="宋体" w:hAnsi="宋体" w:eastAsia="宋体" w:cs="宋体"/>
                <w:color w:val="auto"/>
                <w:sz w:val="24"/>
                <w:szCs w:val="24"/>
              </w:rPr>
            </w:pPr>
          </w:p>
        </w:tc>
        <w:tc>
          <w:tcPr>
            <w:tcW w:w="1843" w:type="dxa"/>
            <w:tcBorders>
              <w:top w:val="single" w:color="auto" w:sz="4" w:space="0"/>
              <w:left w:val="nil"/>
              <w:bottom w:val="single" w:color="auto" w:sz="4" w:space="0"/>
              <w:right w:val="single" w:color="auto" w:sz="4" w:space="0"/>
            </w:tcBorders>
            <w:noWrap w:val="0"/>
            <w:vAlign w:val="center"/>
          </w:tcPr>
          <w:p w14:paraId="5F30E88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见（  ）页</w:t>
            </w:r>
          </w:p>
        </w:tc>
      </w:tr>
      <w:tr w14:paraId="11E4F69E">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42CE17DA">
            <w:pPr>
              <w:rPr>
                <w:rFonts w:hint="eastAsia" w:ascii="宋体" w:hAnsi="宋体" w:eastAsia="宋体" w:cs="宋体"/>
                <w:color w:val="auto"/>
                <w:sz w:val="24"/>
                <w:szCs w:val="24"/>
              </w:rPr>
            </w:pPr>
          </w:p>
        </w:tc>
        <w:tc>
          <w:tcPr>
            <w:tcW w:w="6237" w:type="dxa"/>
            <w:tcBorders>
              <w:top w:val="single" w:color="auto" w:sz="4" w:space="0"/>
              <w:left w:val="single" w:color="auto" w:sz="4" w:space="0"/>
              <w:bottom w:val="single" w:color="auto" w:sz="4" w:space="0"/>
              <w:right w:val="single" w:color="auto" w:sz="4" w:space="0"/>
            </w:tcBorders>
            <w:noWrap w:val="0"/>
            <w:vAlign w:val="center"/>
          </w:tcPr>
          <w:p w14:paraId="4755029F">
            <w:pPr>
              <w:rPr>
                <w:rFonts w:hint="eastAsia" w:ascii="宋体" w:hAnsi="宋体" w:eastAsia="宋体" w:cs="宋体"/>
                <w:color w:val="auto"/>
                <w:sz w:val="24"/>
                <w:szCs w:val="24"/>
              </w:rPr>
            </w:pPr>
          </w:p>
        </w:tc>
        <w:tc>
          <w:tcPr>
            <w:tcW w:w="1843" w:type="dxa"/>
            <w:tcBorders>
              <w:top w:val="single" w:color="auto" w:sz="4" w:space="0"/>
              <w:left w:val="nil"/>
              <w:bottom w:val="single" w:color="auto" w:sz="4" w:space="0"/>
              <w:right w:val="single" w:color="auto" w:sz="4" w:space="0"/>
            </w:tcBorders>
            <w:noWrap w:val="0"/>
            <w:vAlign w:val="center"/>
          </w:tcPr>
          <w:p w14:paraId="22CE865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见（  ）页</w:t>
            </w:r>
          </w:p>
        </w:tc>
      </w:tr>
      <w:tr w14:paraId="08D1127A">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3AB92F9C">
            <w:pPr>
              <w:rPr>
                <w:rFonts w:hint="eastAsia" w:ascii="宋体" w:hAnsi="宋体" w:eastAsia="宋体" w:cs="宋体"/>
                <w:color w:val="auto"/>
                <w:sz w:val="24"/>
                <w:szCs w:val="24"/>
              </w:rPr>
            </w:pPr>
          </w:p>
        </w:tc>
        <w:tc>
          <w:tcPr>
            <w:tcW w:w="6237" w:type="dxa"/>
            <w:tcBorders>
              <w:top w:val="single" w:color="auto" w:sz="4" w:space="0"/>
              <w:left w:val="single" w:color="auto" w:sz="4" w:space="0"/>
              <w:bottom w:val="single" w:color="auto" w:sz="4" w:space="0"/>
              <w:right w:val="single" w:color="auto" w:sz="4" w:space="0"/>
            </w:tcBorders>
            <w:noWrap w:val="0"/>
            <w:vAlign w:val="center"/>
          </w:tcPr>
          <w:p w14:paraId="1C13A2D5">
            <w:pPr>
              <w:rPr>
                <w:rFonts w:hint="eastAsia" w:ascii="宋体" w:hAnsi="宋体" w:eastAsia="宋体" w:cs="宋体"/>
                <w:color w:val="auto"/>
                <w:sz w:val="24"/>
                <w:szCs w:val="24"/>
              </w:rPr>
            </w:pPr>
          </w:p>
        </w:tc>
        <w:tc>
          <w:tcPr>
            <w:tcW w:w="1843" w:type="dxa"/>
            <w:tcBorders>
              <w:top w:val="single" w:color="auto" w:sz="4" w:space="0"/>
              <w:left w:val="nil"/>
              <w:bottom w:val="single" w:color="auto" w:sz="4" w:space="0"/>
              <w:right w:val="single" w:color="auto" w:sz="4" w:space="0"/>
            </w:tcBorders>
            <w:noWrap w:val="0"/>
            <w:vAlign w:val="center"/>
          </w:tcPr>
          <w:p w14:paraId="39C47AD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见（  ）页</w:t>
            </w:r>
          </w:p>
        </w:tc>
      </w:tr>
      <w:tr w14:paraId="38EDA09F">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18803F6B">
            <w:pPr>
              <w:rPr>
                <w:rFonts w:hint="eastAsia" w:ascii="宋体" w:hAnsi="宋体" w:eastAsia="宋体" w:cs="宋体"/>
                <w:color w:val="auto"/>
                <w:sz w:val="24"/>
                <w:szCs w:val="24"/>
              </w:rPr>
            </w:pPr>
          </w:p>
        </w:tc>
        <w:tc>
          <w:tcPr>
            <w:tcW w:w="6237" w:type="dxa"/>
            <w:tcBorders>
              <w:top w:val="single" w:color="auto" w:sz="4" w:space="0"/>
              <w:left w:val="single" w:color="auto" w:sz="4" w:space="0"/>
              <w:bottom w:val="single" w:color="auto" w:sz="4" w:space="0"/>
              <w:right w:val="single" w:color="auto" w:sz="4" w:space="0"/>
            </w:tcBorders>
            <w:noWrap w:val="0"/>
            <w:vAlign w:val="center"/>
          </w:tcPr>
          <w:p w14:paraId="725560F8">
            <w:pPr>
              <w:rPr>
                <w:rFonts w:hint="eastAsia" w:ascii="宋体" w:hAnsi="宋体" w:eastAsia="宋体" w:cs="宋体"/>
                <w:color w:val="auto"/>
                <w:sz w:val="24"/>
                <w:szCs w:val="24"/>
              </w:rPr>
            </w:pPr>
          </w:p>
        </w:tc>
        <w:tc>
          <w:tcPr>
            <w:tcW w:w="1843" w:type="dxa"/>
            <w:tcBorders>
              <w:top w:val="single" w:color="auto" w:sz="4" w:space="0"/>
              <w:left w:val="nil"/>
              <w:bottom w:val="single" w:color="auto" w:sz="4" w:space="0"/>
              <w:right w:val="single" w:color="auto" w:sz="4" w:space="0"/>
            </w:tcBorders>
            <w:noWrap w:val="0"/>
            <w:vAlign w:val="center"/>
          </w:tcPr>
          <w:p w14:paraId="141B850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见（  ）页</w:t>
            </w:r>
          </w:p>
        </w:tc>
      </w:tr>
      <w:tr w14:paraId="21EF6BB7">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359FAED6">
            <w:pPr>
              <w:rPr>
                <w:rFonts w:hint="eastAsia" w:ascii="宋体" w:hAnsi="宋体" w:eastAsia="宋体" w:cs="宋体"/>
                <w:color w:val="auto"/>
                <w:sz w:val="24"/>
                <w:szCs w:val="24"/>
              </w:rPr>
            </w:pPr>
          </w:p>
        </w:tc>
        <w:tc>
          <w:tcPr>
            <w:tcW w:w="6237" w:type="dxa"/>
            <w:tcBorders>
              <w:top w:val="single" w:color="auto" w:sz="4" w:space="0"/>
              <w:left w:val="single" w:color="auto" w:sz="4" w:space="0"/>
              <w:bottom w:val="single" w:color="auto" w:sz="4" w:space="0"/>
              <w:right w:val="single" w:color="auto" w:sz="4" w:space="0"/>
            </w:tcBorders>
            <w:noWrap w:val="0"/>
            <w:vAlign w:val="center"/>
          </w:tcPr>
          <w:p w14:paraId="36E27C64">
            <w:pPr>
              <w:rPr>
                <w:rFonts w:hint="eastAsia" w:ascii="宋体" w:hAnsi="宋体" w:eastAsia="宋体" w:cs="宋体"/>
                <w:color w:val="auto"/>
                <w:sz w:val="24"/>
                <w:szCs w:val="24"/>
              </w:rPr>
            </w:pPr>
          </w:p>
        </w:tc>
        <w:tc>
          <w:tcPr>
            <w:tcW w:w="1843" w:type="dxa"/>
            <w:tcBorders>
              <w:top w:val="single" w:color="auto" w:sz="4" w:space="0"/>
              <w:left w:val="nil"/>
              <w:bottom w:val="single" w:color="auto" w:sz="4" w:space="0"/>
              <w:right w:val="single" w:color="auto" w:sz="4" w:space="0"/>
            </w:tcBorders>
            <w:noWrap w:val="0"/>
            <w:vAlign w:val="center"/>
          </w:tcPr>
          <w:p w14:paraId="08DE6D0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见（  ）页</w:t>
            </w:r>
          </w:p>
        </w:tc>
      </w:tr>
      <w:tr w14:paraId="0686025C">
        <w:tblPrEx>
          <w:tblCellMar>
            <w:top w:w="0" w:type="dxa"/>
            <w:left w:w="108" w:type="dxa"/>
            <w:bottom w:w="0" w:type="dxa"/>
            <w:right w:w="108" w:type="dxa"/>
          </w:tblCellMar>
        </w:tblPrEx>
        <w:trPr>
          <w:trHeight w:val="608"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52586A66">
            <w:pPr>
              <w:rPr>
                <w:rFonts w:hint="eastAsia" w:ascii="宋体" w:hAnsi="宋体" w:eastAsia="宋体" w:cs="宋体"/>
                <w:color w:val="auto"/>
                <w:sz w:val="24"/>
                <w:szCs w:val="24"/>
              </w:rPr>
            </w:pPr>
          </w:p>
        </w:tc>
        <w:tc>
          <w:tcPr>
            <w:tcW w:w="6237" w:type="dxa"/>
            <w:tcBorders>
              <w:top w:val="single" w:color="auto" w:sz="4" w:space="0"/>
              <w:left w:val="single" w:color="auto" w:sz="4" w:space="0"/>
              <w:bottom w:val="single" w:color="auto" w:sz="4" w:space="0"/>
              <w:right w:val="single" w:color="auto" w:sz="4" w:space="0"/>
            </w:tcBorders>
            <w:noWrap w:val="0"/>
            <w:vAlign w:val="center"/>
          </w:tcPr>
          <w:p w14:paraId="7168ED2F">
            <w:pPr>
              <w:rPr>
                <w:rFonts w:hint="eastAsia" w:ascii="宋体" w:hAnsi="宋体" w:eastAsia="宋体" w:cs="宋体"/>
                <w:color w:val="auto"/>
                <w:sz w:val="24"/>
                <w:szCs w:val="24"/>
              </w:rPr>
            </w:pPr>
          </w:p>
        </w:tc>
        <w:tc>
          <w:tcPr>
            <w:tcW w:w="1843" w:type="dxa"/>
            <w:tcBorders>
              <w:top w:val="single" w:color="auto" w:sz="4" w:space="0"/>
              <w:left w:val="nil"/>
              <w:bottom w:val="single" w:color="auto" w:sz="4" w:space="0"/>
              <w:right w:val="single" w:color="auto" w:sz="4" w:space="0"/>
            </w:tcBorders>
            <w:noWrap w:val="0"/>
            <w:vAlign w:val="center"/>
          </w:tcPr>
          <w:p w14:paraId="1D85720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见（  ）页</w:t>
            </w:r>
          </w:p>
        </w:tc>
      </w:tr>
      <w:tr w14:paraId="6449FB17">
        <w:tblPrEx>
          <w:tblCellMar>
            <w:top w:w="0" w:type="dxa"/>
            <w:left w:w="108" w:type="dxa"/>
            <w:bottom w:w="0" w:type="dxa"/>
            <w:right w:w="108" w:type="dxa"/>
          </w:tblCellMar>
        </w:tblPrEx>
        <w:trPr>
          <w:trHeight w:val="750"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5A01BF78">
            <w:pPr>
              <w:rPr>
                <w:rFonts w:hint="eastAsia" w:ascii="宋体" w:hAnsi="宋体" w:eastAsia="宋体" w:cs="宋体"/>
                <w:color w:val="auto"/>
                <w:sz w:val="24"/>
                <w:szCs w:val="24"/>
              </w:rPr>
            </w:pPr>
          </w:p>
        </w:tc>
        <w:tc>
          <w:tcPr>
            <w:tcW w:w="6237" w:type="dxa"/>
            <w:tcBorders>
              <w:top w:val="single" w:color="auto" w:sz="4" w:space="0"/>
              <w:left w:val="single" w:color="auto" w:sz="4" w:space="0"/>
              <w:bottom w:val="single" w:color="auto" w:sz="4" w:space="0"/>
              <w:right w:val="single" w:color="auto" w:sz="4" w:space="0"/>
            </w:tcBorders>
            <w:noWrap w:val="0"/>
            <w:vAlign w:val="center"/>
          </w:tcPr>
          <w:p w14:paraId="7ECD8D84">
            <w:pPr>
              <w:rPr>
                <w:rFonts w:hint="eastAsia" w:ascii="宋体" w:hAnsi="宋体" w:eastAsia="宋体" w:cs="宋体"/>
                <w:color w:val="auto"/>
                <w:sz w:val="24"/>
                <w:szCs w:val="24"/>
              </w:rPr>
            </w:pPr>
          </w:p>
        </w:tc>
        <w:tc>
          <w:tcPr>
            <w:tcW w:w="1843" w:type="dxa"/>
            <w:tcBorders>
              <w:top w:val="single" w:color="auto" w:sz="4" w:space="0"/>
              <w:left w:val="nil"/>
              <w:bottom w:val="single" w:color="auto" w:sz="4" w:space="0"/>
              <w:right w:val="single" w:color="auto" w:sz="4" w:space="0"/>
            </w:tcBorders>
            <w:noWrap w:val="0"/>
            <w:vAlign w:val="center"/>
          </w:tcPr>
          <w:p w14:paraId="39509C5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见（  ）页</w:t>
            </w:r>
          </w:p>
        </w:tc>
      </w:tr>
    </w:tbl>
    <w:p w14:paraId="4EACE204">
      <w:pPr>
        <w:rPr>
          <w:rFonts w:hint="eastAsia" w:ascii="宋体" w:hAnsi="宋体" w:eastAsia="宋体" w:cs="宋体"/>
          <w:b/>
          <w:color w:val="auto"/>
          <w:sz w:val="24"/>
          <w:szCs w:val="24"/>
        </w:rPr>
      </w:pPr>
      <w:r>
        <w:rPr>
          <w:rFonts w:hint="eastAsia" w:ascii="宋体" w:hAnsi="宋体" w:eastAsia="宋体" w:cs="宋体"/>
          <w:b/>
          <w:color w:val="auto"/>
          <w:sz w:val="24"/>
          <w:szCs w:val="24"/>
        </w:rPr>
        <w:t>根据评分标准逐条填写。</w:t>
      </w:r>
    </w:p>
    <w:p w14:paraId="3D205714">
      <w:pPr>
        <w:rPr>
          <w:rFonts w:hint="eastAsia" w:ascii="宋体" w:hAnsi="宋体" w:eastAsia="宋体" w:cs="宋体"/>
          <w:color w:val="auto"/>
          <w:sz w:val="24"/>
          <w:szCs w:val="24"/>
        </w:rPr>
      </w:pPr>
    </w:p>
    <w:p w14:paraId="5FF6474E">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35AC9756">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D422B69">
      <w:pPr>
        <w:snapToGrid w:val="0"/>
        <w:spacing w:line="400" w:lineRule="exact"/>
        <w:jc w:val="center"/>
        <w:rPr>
          <w:rFonts w:hint="eastAsia" w:ascii="宋体" w:hAnsi="宋体" w:eastAsia="宋体" w:cs="宋体"/>
          <w:b/>
          <w:bCs/>
          <w:color w:val="auto"/>
          <w:sz w:val="24"/>
          <w:szCs w:val="24"/>
        </w:rPr>
      </w:pPr>
    </w:p>
    <w:p w14:paraId="4DB1C3E8">
      <w:pPr>
        <w:snapToGrid w:val="0"/>
        <w:spacing w:line="400" w:lineRule="exact"/>
        <w:jc w:val="both"/>
        <w:rPr>
          <w:rFonts w:hint="eastAsia" w:ascii="宋体" w:hAnsi="宋体" w:eastAsia="宋体" w:cs="宋体"/>
          <w:b/>
          <w:bCs/>
          <w:color w:val="auto"/>
          <w:sz w:val="24"/>
          <w:szCs w:val="24"/>
        </w:rPr>
      </w:pPr>
    </w:p>
    <w:p w14:paraId="11EE328D">
      <w:pPr>
        <w:pStyle w:val="40"/>
        <w:rPr>
          <w:rFonts w:hint="eastAsia" w:ascii="宋体" w:hAnsi="宋体" w:eastAsia="宋体" w:cs="宋体"/>
          <w:b/>
          <w:bCs/>
          <w:color w:val="auto"/>
          <w:sz w:val="24"/>
          <w:szCs w:val="24"/>
        </w:rPr>
      </w:pPr>
    </w:p>
    <w:p w14:paraId="464B8D86">
      <w:pPr>
        <w:pStyle w:val="40"/>
        <w:rPr>
          <w:rFonts w:hint="eastAsia" w:ascii="宋体" w:hAnsi="宋体" w:eastAsia="宋体" w:cs="宋体"/>
          <w:b/>
          <w:bCs/>
          <w:color w:val="auto"/>
          <w:sz w:val="24"/>
          <w:szCs w:val="24"/>
        </w:rPr>
      </w:pPr>
    </w:p>
    <w:p w14:paraId="4B1A5021">
      <w:pPr>
        <w:pStyle w:val="40"/>
        <w:rPr>
          <w:rFonts w:hint="eastAsia" w:ascii="宋体" w:hAnsi="宋体" w:eastAsia="宋体" w:cs="宋体"/>
          <w:b/>
          <w:bCs/>
          <w:color w:val="auto"/>
          <w:sz w:val="24"/>
          <w:szCs w:val="24"/>
        </w:rPr>
      </w:pPr>
    </w:p>
    <w:p w14:paraId="0D197CA2">
      <w:pPr>
        <w:pStyle w:val="40"/>
        <w:rPr>
          <w:rFonts w:hint="eastAsia" w:ascii="宋体" w:hAnsi="宋体" w:eastAsia="宋体" w:cs="宋体"/>
          <w:b/>
          <w:bCs/>
          <w:color w:val="auto"/>
          <w:sz w:val="24"/>
          <w:szCs w:val="24"/>
        </w:rPr>
      </w:pPr>
    </w:p>
    <w:p w14:paraId="3C59B7BB">
      <w:pP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br w:type="page"/>
      </w:r>
    </w:p>
    <w:p w14:paraId="79CF1ED1">
      <w:pPr>
        <w:snapToGrid w:val="0"/>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lang w:eastAsia="zh-CN"/>
        </w:rPr>
        <w:t>）</w:t>
      </w:r>
      <w:r>
        <w:rPr>
          <w:rFonts w:hint="eastAsia" w:ascii="宋体" w:hAnsi="宋体" w:cs="宋体"/>
          <w:b/>
          <w:bCs/>
          <w:color w:val="auto"/>
          <w:sz w:val="24"/>
          <w:szCs w:val="24"/>
          <w:lang w:eastAsia="zh-CN"/>
        </w:rPr>
        <w:t>投标人</w:t>
      </w:r>
      <w:r>
        <w:rPr>
          <w:rFonts w:hint="eastAsia" w:ascii="宋体" w:hAnsi="宋体" w:eastAsia="宋体" w:cs="宋体"/>
          <w:b/>
          <w:bCs/>
          <w:color w:val="auto"/>
          <w:sz w:val="24"/>
          <w:szCs w:val="24"/>
        </w:rPr>
        <w:t>基本情况表</w:t>
      </w:r>
    </w:p>
    <w:tbl>
      <w:tblPr>
        <w:tblStyle w:val="6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908"/>
        <w:gridCol w:w="8"/>
        <w:gridCol w:w="1561"/>
        <w:gridCol w:w="952"/>
        <w:gridCol w:w="307"/>
        <w:gridCol w:w="20"/>
        <w:gridCol w:w="1001"/>
        <w:gridCol w:w="9"/>
        <w:gridCol w:w="500"/>
        <w:gridCol w:w="268"/>
        <w:gridCol w:w="1730"/>
      </w:tblGrid>
      <w:tr w14:paraId="761ED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noWrap w:val="0"/>
            <w:tcMar>
              <w:left w:w="28" w:type="dxa"/>
              <w:right w:w="28" w:type="dxa"/>
            </w:tcMar>
            <w:vAlign w:val="center"/>
          </w:tcPr>
          <w:p w14:paraId="0F4A11B1">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申请人名称</w:t>
            </w:r>
          </w:p>
        </w:tc>
        <w:tc>
          <w:tcPr>
            <w:tcW w:w="7264" w:type="dxa"/>
            <w:gridSpan w:val="11"/>
            <w:noWrap w:val="0"/>
            <w:tcMar>
              <w:left w:w="28" w:type="dxa"/>
              <w:right w:w="28" w:type="dxa"/>
            </w:tcMar>
            <w:vAlign w:val="center"/>
          </w:tcPr>
          <w:p w14:paraId="133EEA3F">
            <w:pPr>
              <w:snapToGrid w:val="0"/>
              <w:spacing w:line="400" w:lineRule="exact"/>
              <w:rPr>
                <w:rFonts w:hint="eastAsia" w:ascii="宋体" w:hAnsi="宋体" w:eastAsia="宋体" w:cs="宋体"/>
                <w:color w:val="auto"/>
                <w:sz w:val="24"/>
                <w:szCs w:val="24"/>
              </w:rPr>
            </w:pPr>
          </w:p>
        </w:tc>
      </w:tr>
      <w:tr w14:paraId="4A63E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noWrap w:val="0"/>
            <w:tcMar>
              <w:left w:w="28" w:type="dxa"/>
              <w:right w:w="28" w:type="dxa"/>
            </w:tcMar>
            <w:vAlign w:val="center"/>
          </w:tcPr>
          <w:p w14:paraId="1A811CCB">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3736" w:type="dxa"/>
            <w:gridSpan w:val="5"/>
            <w:noWrap w:val="0"/>
            <w:tcMar>
              <w:left w:w="28" w:type="dxa"/>
              <w:right w:w="28" w:type="dxa"/>
            </w:tcMar>
            <w:vAlign w:val="center"/>
          </w:tcPr>
          <w:p w14:paraId="18872E28">
            <w:pPr>
              <w:snapToGrid w:val="0"/>
              <w:spacing w:line="400" w:lineRule="exact"/>
              <w:rPr>
                <w:rFonts w:hint="eastAsia" w:ascii="宋体" w:hAnsi="宋体" w:eastAsia="宋体" w:cs="宋体"/>
                <w:color w:val="auto"/>
                <w:sz w:val="24"/>
                <w:szCs w:val="24"/>
              </w:rPr>
            </w:pPr>
          </w:p>
        </w:tc>
        <w:tc>
          <w:tcPr>
            <w:tcW w:w="1021" w:type="dxa"/>
            <w:gridSpan w:val="2"/>
            <w:noWrap w:val="0"/>
            <w:tcMar>
              <w:left w:w="28" w:type="dxa"/>
              <w:right w:w="28" w:type="dxa"/>
            </w:tcMar>
            <w:vAlign w:val="center"/>
          </w:tcPr>
          <w:p w14:paraId="46ED7444">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2507" w:type="dxa"/>
            <w:gridSpan w:val="4"/>
            <w:noWrap w:val="0"/>
            <w:tcMar>
              <w:left w:w="28" w:type="dxa"/>
              <w:right w:w="28" w:type="dxa"/>
            </w:tcMar>
            <w:vAlign w:val="center"/>
          </w:tcPr>
          <w:p w14:paraId="0A836B8F">
            <w:pPr>
              <w:snapToGrid w:val="0"/>
              <w:spacing w:line="400" w:lineRule="exact"/>
              <w:rPr>
                <w:rFonts w:hint="eastAsia" w:ascii="宋体" w:hAnsi="宋体" w:eastAsia="宋体" w:cs="宋体"/>
                <w:color w:val="auto"/>
                <w:sz w:val="24"/>
                <w:szCs w:val="24"/>
              </w:rPr>
            </w:pPr>
          </w:p>
        </w:tc>
      </w:tr>
      <w:tr w14:paraId="34405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vMerge w:val="restart"/>
            <w:noWrap w:val="0"/>
            <w:tcMar>
              <w:left w:w="28" w:type="dxa"/>
              <w:right w:w="28" w:type="dxa"/>
            </w:tcMar>
            <w:vAlign w:val="center"/>
          </w:tcPr>
          <w:p w14:paraId="088AAE59">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08" w:type="dxa"/>
            <w:noWrap w:val="0"/>
            <w:tcMar>
              <w:left w:w="28" w:type="dxa"/>
              <w:right w:w="28" w:type="dxa"/>
            </w:tcMar>
            <w:vAlign w:val="center"/>
          </w:tcPr>
          <w:p w14:paraId="419EF5D9">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828" w:type="dxa"/>
            <w:gridSpan w:val="4"/>
            <w:noWrap w:val="0"/>
            <w:tcMar>
              <w:left w:w="28" w:type="dxa"/>
              <w:right w:w="28" w:type="dxa"/>
            </w:tcMar>
            <w:vAlign w:val="center"/>
          </w:tcPr>
          <w:p w14:paraId="52306B26">
            <w:pPr>
              <w:snapToGrid w:val="0"/>
              <w:spacing w:line="400" w:lineRule="exact"/>
              <w:rPr>
                <w:rFonts w:hint="eastAsia" w:ascii="宋体" w:hAnsi="宋体" w:eastAsia="宋体" w:cs="宋体"/>
                <w:color w:val="auto"/>
                <w:sz w:val="24"/>
                <w:szCs w:val="24"/>
              </w:rPr>
            </w:pPr>
          </w:p>
        </w:tc>
        <w:tc>
          <w:tcPr>
            <w:tcW w:w="1021" w:type="dxa"/>
            <w:gridSpan w:val="2"/>
            <w:noWrap w:val="0"/>
            <w:tcMar>
              <w:left w:w="28" w:type="dxa"/>
              <w:right w:w="28" w:type="dxa"/>
            </w:tcMar>
            <w:vAlign w:val="center"/>
          </w:tcPr>
          <w:p w14:paraId="6262BD2D">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2507" w:type="dxa"/>
            <w:gridSpan w:val="4"/>
            <w:noWrap w:val="0"/>
            <w:tcMar>
              <w:left w:w="28" w:type="dxa"/>
              <w:right w:w="28" w:type="dxa"/>
            </w:tcMar>
            <w:vAlign w:val="center"/>
          </w:tcPr>
          <w:p w14:paraId="2DDF2CA1">
            <w:pPr>
              <w:snapToGrid w:val="0"/>
              <w:spacing w:line="400" w:lineRule="exact"/>
              <w:rPr>
                <w:rFonts w:hint="eastAsia" w:ascii="宋体" w:hAnsi="宋体" w:eastAsia="宋体" w:cs="宋体"/>
                <w:color w:val="auto"/>
                <w:sz w:val="24"/>
                <w:szCs w:val="24"/>
              </w:rPr>
            </w:pPr>
          </w:p>
        </w:tc>
      </w:tr>
      <w:tr w14:paraId="25720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vMerge w:val="continue"/>
            <w:noWrap w:val="0"/>
            <w:tcMar>
              <w:left w:w="28" w:type="dxa"/>
              <w:right w:w="28" w:type="dxa"/>
            </w:tcMar>
            <w:vAlign w:val="center"/>
          </w:tcPr>
          <w:p w14:paraId="5BEB16DE">
            <w:pPr>
              <w:snapToGrid w:val="0"/>
              <w:spacing w:line="400" w:lineRule="exact"/>
              <w:jc w:val="center"/>
              <w:rPr>
                <w:rFonts w:hint="eastAsia" w:ascii="宋体" w:hAnsi="宋体" w:eastAsia="宋体" w:cs="宋体"/>
                <w:color w:val="auto"/>
                <w:sz w:val="24"/>
                <w:szCs w:val="24"/>
              </w:rPr>
            </w:pPr>
          </w:p>
        </w:tc>
        <w:tc>
          <w:tcPr>
            <w:tcW w:w="908" w:type="dxa"/>
            <w:noWrap w:val="0"/>
            <w:tcMar>
              <w:left w:w="28" w:type="dxa"/>
              <w:right w:w="28" w:type="dxa"/>
            </w:tcMar>
            <w:vAlign w:val="center"/>
          </w:tcPr>
          <w:p w14:paraId="5DD8E7DD">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2828" w:type="dxa"/>
            <w:gridSpan w:val="4"/>
            <w:noWrap w:val="0"/>
            <w:tcMar>
              <w:left w:w="28" w:type="dxa"/>
              <w:right w:w="28" w:type="dxa"/>
            </w:tcMar>
            <w:vAlign w:val="center"/>
          </w:tcPr>
          <w:p w14:paraId="6678D0A5">
            <w:pPr>
              <w:snapToGrid w:val="0"/>
              <w:spacing w:line="400" w:lineRule="exact"/>
              <w:rPr>
                <w:rFonts w:hint="eastAsia" w:ascii="宋体" w:hAnsi="宋体" w:eastAsia="宋体" w:cs="宋体"/>
                <w:color w:val="auto"/>
                <w:sz w:val="24"/>
                <w:szCs w:val="24"/>
              </w:rPr>
            </w:pPr>
          </w:p>
        </w:tc>
        <w:tc>
          <w:tcPr>
            <w:tcW w:w="1021" w:type="dxa"/>
            <w:gridSpan w:val="2"/>
            <w:noWrap w:val="0"/>
            <w:tcMar>
              <w:left w:w="28" w:type="dxa"/>
              <w:right w:w="28" w:type="dxa"/>
            </w:tcMar>
            <w:vAlign w:val="center"/>
          </w:tcPr>
          <w:p w14:paraId="73EF6617">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507" w:type="dxa"/>
            <w:gridSpan w:val="4"/>
            <w:noWrap w:val="0"/>
            <w:tcMar>
              <w:left w:w="28" w:type="dxa"/>
              <w:right w:w="28" w:type="dxa"/>
            </w:tcMar>
            <w:vAlign w:val="center"/>
          </w:tcPr>
          <w:p w14:paraId="203A25C6">
            <w:pPr>
              <w:snapToGrid w:val="0"/>
              <w:spacing w:line="400" w:lineRule="exact"/>
              <w:rPr>
                <w:rFonts w:hint="eastAsia" w:ascii="宋体" w:hAnsi="宋体" w:eastAsia="宋体" w:cs="宋体"/>
                <w:color w:val="auto"/>
                <w:sz w:val="24"/>
                <w:szCs w:val="24"/>
              </w:rPr>
            </w:pPr>
          </w:p>
        </w:tc>
      </w:tr>
      <w:tr w14:paraId="1475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noWrap w:val="0"/>
            <w:tcMar>
              <w:left w:w="28" w:type="dxa"/>
              <w:right w:w="28" w:type="dxa"/>
            </w:tcMar>
            <w:vAlign w:val="center"/>
          </w:tcPr>
          <w:p w14:paraId="533F0CD4">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组织结构</w:t>
            </w:r>
          </w:p>
        </w:tc>
        <w:tc>
          <w:tcPr>
            <w:tcW w:w="7264" w:type="dxa"/>
            <w:gridSpan w:val="11"/>
            <w:noWrap w:val="0"/>
            <w:tcMar>
              <w:left w:w="28" w:type="dxa"/>
              <w:right w:w="28" w:type="dxa"/>
            </w:tcMar>
            <w:vAlign w:val="center"/>
          </w:tcPr>
          <w:p w14:paraId="04757044">
            <w:pPr>
              <w:snapToGrid w:val="0"/>
              <w:spacing w:line="400" w:lineRule="exact"/>
              <w:rPr>
                <w:rFonts w:hint="eastAsia" w:ascii="宋体" w:hAnsi="宋体" w:eastAsia="宋体" w:cs="宋体"/>
                <w:color w:val="auto"/>
                <w:sz w:val="24"/>
                <w:szCs w:val="24"/>
              </w:rPr>
            </w:pPr>
          </w:p>
        </w:tc>
      </w:tr>
      <w:tr w14:paraId="74AD1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noWrap w:val="0"/>
            <w:tcMar>
              <w:left w:w="28" w:type="dxa"/>
              <w:right w:w="28" w:type="dxa"/>
            </w:tcMar>
            <w:vAlign w:val="center"/>
          </w:tcPr>
          <w:p w14:paraId="1A9103E6">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916" w:type="dxa"/>
            <w:gridSpan w:val="2"/>
            <w:noWrap w:val="0"/>
            <w:tcMar>
              <w:left w:w="28" w:type="dxa"/>
              <w:right w:w="28" w:type="dxa"/>
            </w:tcMar>
            <w:vAlign w:val="center"/>
          </w:tcPr>
          <w:p w14:paraId="07504291">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1561" w:type="dxa"/>
            <w:noWrap w:val="0"/>
            <w:tcMar>
              <w:left w:w="28" w:type="dxa"/>
              <w:right w:w="28" w:type="dxa"/>
            </w:tcMar>
            <w:vAlign w:val="center"/>
          </w:tcPr>
          <w:p w14:paraId="4C25DABD">
            <w:pPr>
              <w:snapToGrid w:val="0"/>
              <w:spacing w:line="400" w:lineRule="exact"/>
              <w:jc w:val="center"/>
              <w:rPr>
                <w:rFonts w:hint="eastAsia" w:ascii="宋体" w:hAnsi="宋体" w:eastAsia="宋体" w:cs="宋体"/>
                <w:color w:val="auto"/>
                <w:sz w:val="24"/>
                <w:szCs w:val="24"/>
              </w:rPr>
            </w:pPr>
          </w:p>
        </w:tc>
        <w:tc>
          <w:tcPr>
            <w:tcW w:w="1279" w:type="dxa"/>
            <w:gridSpan w:val="3"/>
            <w:noWrap w:val="0"/>
            <w:tcMar>
              <w:left w:w="28" w:type="dxa"/>
              <w:right w:w="28" w:type="dxa"/>
            </w:tcMar>
            <w:vAlign w:val="center"/>
          </w:tcPr>
          <w:p w14:paraId="030611CF">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技术职称</w:t>
            </w:r>
          </w:p>
        </w:tc>
        <w:tc>
          <w:tcPr>
            <w:tcW w:w="1010" w:type="dxa"/>
            <w:gridSpan w:val="2"/>
            <w:noWrap w:val="0"/>
            <w:tcMar>
              <w:left w:w="28" w:type="dxa"/>
              <w:right w:w="28" w:type="dxa"/>
            </w:tcMar>
            <w:vAlign w:val="center"/>
          </w:tcPr>
          <w:p w14:paraId="3DF5926F">
            <w:pPr>
              <w:snapToGrid w:val="0"/>
              <w:spacing w:line="400" w:lineRule="exact"/>
              <w:jc w:val="center"/>
              <w:rPr>
                <w:rFonts w:hint="eastAsia" w:ascii="宋体" w:hAnsi="宋体" w:eastAsia="宋体" w:cs="宋体"/>
                <w:color w:val="auto"/>
                <w:sz w:val="24"/>
                <w:szCs w:val="24"/>
              </w:rPr>
            </w:pPr>
          </w:p>
        </w:tc>
        <w:tc>
          <w:tcPr>
            <w:tcW w:w="768" w:type="dxa"/>
            <w:gridSpan w:val="2"/>
            <w:noWrap w:val="0"/>
            <w:tcMar>
              <w:left w:w="28" w:type="dxa"/>
              <w:right w:w="28" w:type="dxa"/>
            </w:tcMar>
            <w:vAlign w:val="center"/>
          </w:tcPr>
          <w:p w14:paraId="4400774C">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730" w:type="dxa"/>
            <w:noWrap w:val="0"/>
            <w:tcMar>
              <w:left w:w="28" w:type="dxa"/>
              <w:right w:w="28" w:type="dxa"/>
            </w:tcMar>
            <w:vAlign w:val="center"/>
          </w:tcPr>
          <w:p w14:paraId="3FEE8FBF">
            <w:pPr>
              <w:snapToGrid w:val="0"/>
              <w:spacing w:line="400" w:lineRule="exact"/>
              <w:rPr>
                <w:rFonts w:hint="eastAsia" w:ascii="宋体" w:hAnsi="宋体" w:eastAsia="宋体" w:cs="宋体"/>
                <w:color w:val="auto"/>
                <w:sz w:val="24"/>
                <w:szCs w:val="24"/>
              </w:rPr>
            </w:pPr>
          </w:p>
        </w:tc>
      </w:tr>
      <w:tr w14:paraId="1D34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noWrap w:val="0"/>
            <w:tcMar>
              <w:left w:w="28" w:type="dxa"/>
              <w:right w:w="28" w:type="dxa"/>
            </w:tcMar>
            <w:vAlign w:val="center"/>
          </w:tcPr>
          <w:p w14:paraId="5DA9C596">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技术负责人</w:t>
            </w:r>
          </w:p>
        </w:tc>
        <w:tc>
          <w:tcPr>
            <w:tcW w:w="916" w:type="dxa"/>
            <w:gridSpan w:val="2"/>
            <w:noWrap w:val="0"/>
            <w:tcMar>
              <w:left w:w="28" w:type="dxa"/>
              <w:right w:w="28" w:type="dxa"/>
            </w:tcMar>
            <w:vAlign w:val="center"/>
          </w:tcPr>
          <w:p w14:paraId="0CFB4CFA">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1561" w:type="dxa"/>
            <w:noWrap w:val="0"/>
            <w:tcMar>
              <w:left w:w="28" w:type="dxa"/>
              <w:right w:w="28" w:type="dxa"/>
            </w:tcMar>
            <w:vAlign w:val="center"/>
          </w:tcPr>
          <w:p w14:paraId="270D0106">
            <w:pPr>
              <w:snapToGrid w:val="0"/>
              <w:spacing w:line="400" w:lineRule="exact"/>
              <w:jc w:val="center"/>
              <w:rPr>
                <w:rFonts w:hint="eastAsia" w:ascii="宋体" w:hAnsi="宋体" w:eastAsia="宋体" w:cs="宋体"/>
                <w:color w:val="auto"/>
                <w:sz w:val="24"/>
                <w:szCs w:val="24"/>
              </w:rPr>
            </w:pPr>
          </w:p>
        </w:tc>
        <w:tc>
          <w:tcPr>
            <w:tcW w:w="1279" w:type="dxa"/>
            <w:gridSpan w:val="3"/>
            <w:noWrap w:val="0"/>
            <w:tcMar>
              <w:left w:w="28" w:type="dxa"/>
              <w:right w:w="28" w:type="dxa"/>
            </w:tcMar>
            <w:vAlign w:val="center"/>
          </w:tcPr>
          <w:p w14:paraId="449EFE27">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技术职称</w:t>
            </w:r>
          </w:p>
        </w:tc>
        <w:tc>
          <w:tcPr>
            <w:tcW w:w="1010" w:type="dxa"/>
            <w:gridSpan w:val="2"/>
            <w:noWrap w:val="0"/>
            <w:tcMar>
              <w:left w:w="28" w:type="dxa"/>
              <w:right w:w="28" w:type="dxa"/>
            </w:tcMar>
            <w:vAlign w:val="center"/>
          </w:tcPr>
          <w:p w14:paraId="788DA469">
            <w:pPr>
              <w:snapToGrid w:val="0"/>
              <w:spacing w:line="400" w:lineRule="exact"/>
              <w:jc w:val="center"/>
              <w:rPr>
                <w:rFonts w:hint="eastAsia" w:ascii="宋体" w:hAnsi="宋体" w:eastAsia="宋体" w:cs="宋体"/>
                <w:color w:val="auto"/>
                <w:sz w:val="24"/>
                <w:szCs w:val="24"/>
              </w:rPr>
            </w:pPr>
          </w:p>
        </w:tc>
        <w:tc>
          <w:tcPr>
            <w:tcW w:w="768" w:type="dxa"/>
            <w:gridSpan w:val="2"/>
            <w:noWrap w:val="0"/>
            <w:tcMar>
              <w:left w:w="28" w:type="dxa"/>
              <w:right w:w="28" w:type="dxa"/>
            </w:tcMar>
            <w:vAlign w:val="center"/>
          </w:tcPr>
          <w:p w14:paraId="1A7437A7">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730" w:type="dxa"/>
            <w:noWrap w:val="0"/>
            <w:tcMar>
              <w:left w:w="28" w:type="dxa"/>
              <w:right w:w="28" w:type="dxa"/>
            </w:tcMar>
            <w:vAlign w:val="center"/>
          </w:tcPr>
          <w:p w14:paraId="5AD13302">
            <w:pPr>
              <w:snapToGrid w:val="0"/>
              <w:spacing w:line="400" w:lineRule="exact"/>
              <w:rPr>
                <w:rFonts w:hint="eastAsia" w:ascii="宋体" w:hAnsi="宋体" w:eastAsia="宋体" w:cs="宋体"/>
                <w:color w:val="auto"/>
                <w:sz w:val="24"/>
                <w:szCs w:val="24"/>
              </w:rPr>
            </w:pPr>
          </w:p>
        </w:tc>
      </w:tr>
      <w:tr w14:paraId="7BD5A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noWrap w:val="0"/>
            <w:tcMar>
              <w:left w:w="28" w:type="dxa"/>
              <w:right w:w="28" w:type="dxa"/>
            </w:tcMar>
            <w:vAlign w:val="center"/>
          </w:tcPr>
          <w:p w14:paraId="26CE098A">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2477" w:type="dxa"/>
            <w:gridSpan w:val="3"/>
            <w:noWrap w:val="0"/>
            <w:tcMar>
              <w:left w:w="28" w:type="dxa"/>
              <w:right w:w="28" w:type="dxa"/>
            </w:tcMar>
            <w:vAlign w:val="center"/>
          </w:tcPr>
          <w:p w14:paraId="67B6F95C">
            <w:pPr>
              <w:snapToGrid w:val="0"/>
              <w:spacing w:line="400" w:lineRule="exact"/>
              <w:rPr>
                <w:rFonts w:hint="eastAsia" w:ascii="宋体" w:hAnsi="宋体" w:eastAsia="宋体" w:cs="宋体"/>
                <w:color w:val="auto"/>
                <w:sz w:val="24"/>
                <w:szCs w:val="24"/>
              </w:rPr>
            </w:pPr>
          </w:p>
        </w:tc>
        <w:tc>
          <w:tcPr>
            <w:tcW w:w="4787" w:type="dxa"/>
            <w:gridSpan w:val="8"/>
            <w:noWrap w:val="0"/>
            <w:tcMar>
              <w:left w:w="28" w:type="dxa"/>
              <w:right w:w="28" w:type="dxa"/>
            </w:tcMar>
            <w:vAlign w:val="center"/>
          </w:tcPr>
          <w:p w14:paraId="12A914E1">
            <w:pPr>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员工总人数：</w:t>
            </w:r>
          </w:p>
        </w:tc>
      </w:tr>
      <w:tr w14:paraId="0EC1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noWrap w:val="0"/>
            <w:tcMar>
              <w:left w:w="28" w:type="dxa"/>
              <w:right w:w="28" w:type="dxa"/>
            </w:tcMar>
            <w:vAlign w:val="center"/>
          </w:tcPr>
          <w:p w14:paraId="797E4D76">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企业资质等级</w:t>
            </w:r>
          </w:p>
        </w:tc>
        <w:tc>
          <w:tcPr>
            <w:tcW w:w="2477" w:type="dxa"/>
            <w:gridSpan w:val="3"/>
            <w:noWrap w:val="0"/>
            <w:tcMar>
              <w:left w:w="28" w:type="dxa"/>
              <w:right w:w="28" w:type="dxa"/>
            </w:tcMar>
            <w:vAlign w:val="center"/>
          </w:tcPr>
          <w:p w14:paraId="333FED5C">
            <w:pPr>
              <w:snapToGrid w:val="0"/>
              <w:spacing w:line="400" w:lineRule="exact"/>
              <w:rPr>
                <w:rFonts w:hint="eastAsia" w:ascii="宋体" w:hAnsi="宋体" w:eastAsia="宋体" w:cs="宋体"/>
                <w:color w:val="auto"/>
                <w:sz w:val="24"/>
                <w:szCs w:val="24"/>
              </w:rPr>
            </w:pPr>
          </w:p>
        </w:tc>
        <w:tc>
          <w:tcPr>
            <w:tcW w:w="952" w:type="dxa"/>
            <w:vMerge w:val="restart"/>
            <w:noWrap w:val="0"/>
            <w:tcMar>
              <w:left w:w="28" w:type="dxa"/>
              <w:right w:w="28" w:type="dxa"/>
            </w:tcMar>
            <w:vAlign w:val="center"/>
          </w:tcPr>
          <w:p w14:paraId="59A4C5BD">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其中</w:t>
            </w:r>
          </w:p>
        </w:tc>
        <w:tc>
          <w:tcPr>
            <w:tcW w:w="1837" w:type="dxa"/>
            <w:gridSpan w:val="5"/>
            <w:noWrap w:val="0"/>
            <w:tcMar>
              <w:left w:w="28" w:type="dxa"/>
              <w:right w:w="28" w:type="dxa"/>
            </w:tcMar>
            <w:vAlign w:val="center"/>
          </w:tcPr>
          <w:p w14:paraId="51AAAEA9">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高级职称人员</w:t>
            </w:r>
          </w:p>
        </w:tc>
        <w:tc>
          <w:tcPr>
            <w:tcW w:w="1998" w:type="dxa"/>
            <w:gridSpan w:val="2"/>
            <w:noWrap w:val="0"/>
            <w:tcMar>
              <w:left w:w="28" w:type="dxa"/>
              <w:right w:w="28" w:type="dxa"/>
            </w:tcMar>
            <w:vAlign w:val="center"/>
          </w:tcPr>
          <w:p w14:paraId="6B58E102">
            <w:pPr>
              <w:snapToGrid w:val="0"/>
              <w:spacing w:line="400" w:lineRule="exact"/>
              <w:rPr>
                <w:rFonts w:hint="eastAsia" w:ascii="宋体" w:hAnsi="宋体" w:eastAsia="宋体" w:cs="宋体"/>
                <w:color w:val="auto"/>
                <w:sz w:val="24"/>
                <w:szCs w:val="24"/>
              </w:rPr>
            </w:pPr>
          </w:p>
        </w:tc>
      </w:tr>
      <w:tr w14:paraId="6E02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noWrap w:val="0"/>
            <w:tcMar>
              <w:left w:w="28" w:type="dxa"/>
              <w:right w:w="28" w:type="dxa"/>
            </w:tcMar>
            <w:vAlign w:val="center"/>
          </w:tcPr>
          <w:p w14:paraId="2872C3F4">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营业执照号</w:t>
            </w:r>
          </w:p>
        </w:tc>
        <w:tc>
          <w:tcPr>
            <w:tcW w:w="2477" w:type="dxa"/>
            <w:gridSpan w:val="3"/>
            <w:noWrap w:val="0"/>
            <w:tcMar>
              <w:left w:w="28" w:type="dxa"/>
              <w:right w:w="28" w:type="dxa"/>
            </w:tcMar>
            <w:vAlign w:val="center"/>
          </w:tcPr>
          <w:p w14:paraId="57E7BE14">
            <w:pPr>
              <w:snapToGrid w:val="0"/>
              <w:spacing w:line="400" w:lineRule="exact"/>
              <w:rPr>
                <w:rFonts w:hint="eastAsia" w:ascii="宋体" w:hAnsi="宋体" w:eastAsia="宋体" w:cs="宋体"/>
                <w:color w:val="auto"/>
                <w:sz w:val="24"/>
                <w:szCs w:val="24"/>
              </w:rPr>
            </w:pPr>
          </w:p>
        </w:tc>
        <w:tc>
          <w:tcPr>
            <w:tcW w:w="952" w:type="dxa"/>
            <w:vMerge w:val="continue"/>
            <w:noWrap w:val="0"/>
            <w:tcMar>
              <w:left w:w="28" w:type="dxa"/>
              <w:right w:w="28" w:type="dxa"/>
            </w:tcMar>
            <w:vAlign w:val="center"/>
          </w:tcPr>
          <w:p w14:paraId="49491C68">
            <w:pPr>
              <w:snapToGrid w:val="0"/>
              <w:spacing w:line="400" w:lineRule="exact"/>
              <w:rPr>
                <w:rFonts w:hint="eastAsia" w:ascii="宋体" w:hAnsi="宋体" w:eastAsia="宋体" w:cs="宋体"/>
                <w:color w:val="auto"/>
                <w:sz w:val="24"/>
                <w:szCs w:val="24"/>
              </w:rPr>
            </w:pPr>
          </w:p>
        </w:tc>
        <w:tc>
          <w:tcPr>
            <w:tcW w:w="1837" w:type="dxa"/>
            <w:gridSpan w:val="5"/>
            <w:noWrap w:val="0"/>
            <w:tcMar>
              <w:left w:w="28" w:type="dxa"/>
              <w:right w:w="28" w:type="dxa"/>
            </w:tcMar>
            <w:vAlign w:val="center"/>
          </w:tcPr>
          <w:p w14:paraId="30B2FA30">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中级职称人员</w:t>
            </w:r>
          </w:p>
        </w:tc>
        <w:tc>
          <w:tcPr>
            <w:tcW w:w="1998" w:type="dxa"/>
            <w:gridSpan w:val="2"/>
            <w:noWrap w:val="0"/>
            <w:tcMar>
              <w:left w:w="28" w:type="dxa"/>
              <w:right w:w="28" w:type="dxa"/>
            </w:tcMar>
            <w:vAlign w:val="center"/>
          </w:tcPr>
          <w:p w14:paraId="0066007F">
            <w:pPr>
              <w:snapToGrid w:val="0"/>
              <w:spacing w:line="400" w:lineRule="exact"/>
              <w:rPr>
                <w:rFonts w:hint="eastAsia" w:ascii="宋体" w:hAnsi="宋体" w:eastAsia="宋体" w:cs="宋体"/>
                <w:color w:val="auto"/>
                <w:sz w:val="24"/>
                <w:szCs w:val="24"/>
              </w:rPr>
            </w:pPr>
          </w:p>
        </w:tc>
      </w:tr>
      <w:tr w14:paraId="1E39E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noWrap w:val="0"/>
            <w:tcMar>
              <w:left w:w="28" w:type="dxa"/>
              <w:right w:w="28" w:type="dxa"/>
            </w:tcMar>
            <w:vAlign w:val="center"/>
          </w:tcPr>
          <w:p w14:paraId="2E0D0719">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2477" w:type="dxa"/>
            <w:gridSpan w:val="3"/>
            <w:noWrap w:val="0"/>
            <w:tcMar>
              <w:left w:w="28" w:type="dxa"/>
              <w:right w:w="28" w:type="dxa"/>
            </w:tcMar>
            <w:vAlign w:val="center"/>
          </w:tcPr>
          <w:p w14:paraId="20058FBF">
            <w:pPr>
              <w:snapToGrid w:val="0"/>
              <w:spacing w:line="400" w:lineRule="exact"/>
              <w:rPr>
                <w:rFonts w:hint="eastAsia" w:ascii="宋体" w:hAnsi="宋体" w:eastAsia="宋体" w:cs="宋体"/>
                <w:color w:val="auto"/>
                <w:sz w:val="24"/>
                <w:szCs w:val="24"/>
              </w:rPr>
            </w:pPr>
          </w:p>
        </w:tc>
        <w:tc>
          <w:tcPr>
            <w:tcW w:w="952" w:type="dxa"/>
            <w:vMerge w:val="continue"/>
            <w:noWrap w:val="0"/>
            <w:tcMar>
              <w:left w:w="28" w:type="dxa"/>
              <w:right w:w="28" w:type="dxa"/>
            </w:tcMar>
            <w:vAlign w:val="center"/>
          </w:tcPr>
          <w:p w14:paraId="42573B2C">
            <w:pPr>
              <w:snapToGrid w:val="0"/>
              <w:spacing w:line="400" w:lineRule="exact"/>
              <w:rPr>
                <w:rFonts w:hint="eastAsia" w:ascii="宋体" w:hAnsi="宋体" w:eastAsia="宋体" w:cs="宋体"/>
                <w:color w:val="auto"/>
                <w:sz w:val="24"/>
                <w:szCs w:val="24"/>
              </w:rPr>
            </w:pPr>
          </w:p>
        </w:tc>
        <w:tc>
          <w:tcPr>
            <w:tcW w:w="1837" w:type="dxa"/>
            <w:gridSpan w:val="5"/>
            <w:noWrap w:val="0"/>
            <w:tcMar>
              <w:left w:w="28" w:type="dxa"/>
              <w:right w:w="28" w:type="dxa"/>
            </w:tcMar>
            <w:vAlign w:val="center"/>
          </w:tcPr>
          <w:p w14:paraId="60198D88">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初级职称人员</w:t>
            </w:r>
          </w:p>
        </w:tc>
        <w:tc>
          <w:tcPr>
            <w:tcW w:w="1998" w:type="dxa"/>
            <w:gridSpan w:val="2"/>
            <w:noWrap w:val="0"/>
            <w:tcMar>
              <w:left w:w="28" w:type="dxa"/>
              <w:right w:w="28" w:type="dxa"/>
            </w:tcMar>
            <w:vAlign w:val="center"/>
          </w:tcPr>
          <w:p w14:paraId="2DC0AECB">
            <w:pPr>
              <w:snapToGrid w:val="0"/>
              <w:spacing w:line="400" w:lineRule="exact"/>
              <w:rPr>
                <w:rFonts w:hint="eastAsia" w:ascii="宋体" w:hAnsi="宋体" w:eastAsia="宋体" w:cs="宋体"/>
                <w:color w:val="auto"/>
                <w:sz w:val="24"/>
                <w:szCs w:val="24"/>
              </w:rPr>
            </w:pPr>
          </w:p>
        </w:tc>
      </w:tr>
      <w:tr w14:paraId="489A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noWrap w:val="0"/>
            <w:tcMar>
              <w:left w:w="28" w:type="dxa"/>
              <w:right w:w="28" w:type="dxa"/>
            </w:tcMar>
            <w:vAlign w:val="center"/>
          </w:tcPr>
          <w:p w14:paraId="323E7F46">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2477" w:type="dxa"/>
            <w:gridSpan w:val="3"/>
            <w:noWrap w:val="0"/>
            <w:tcMar>
              <w:left w:w="28" w:type="dxa"/>
              <w:right w:w="28" w:type="dxa"/>
            </w:tcMar>
            <w:vAlign w:val="center"/>
          </w:tcPr>
          <w:p w14:paraId="041B012C">
            <w:pPr>
              <w:snapToGrid w:val="0"/>
              <w:spacing w:line="400" w:lineRule="exact"/>
              <w:rPr>
                <w:rFonts w:hint="eastAsia" w:ascii="宋体" w:hAnsi="宋体" w:eastAsia="宋体" w:cs="宋体"/>
                <w:color w:val="auto"/>
                <w:sz w:val="24"/>
                <w:szCs w:val="24"/>
              </w:rPr>
            </w:pPr>
          </w:p>
        </w:tc>
        <w:tc>
          <w:tcPr>
            <w:tcW w:w="952" w:type="dxa"/>
            <w:vMerge w:val="continue"/>
            <w:noWrap w:val="0"/>
            <w:tcMar>
              <w:left w:w="28" w:type="dxa"/>
              <w:right w:w="28" w:type="dxa"/>
            </w:tcMar>
            <w:vAlign w:val="center"/>
          </w:tcPr>
          <w:p w14:paraId="7F9906F5">
            <w:pPr>
              <w:snapToGrid w:val="0"/>
              <w:spacing w:line="400" w:lineRule="exact"/>
              <w:rPr>
                <w:rFonts w:hint="eastAsia" w:ascii="宋体" w:hAnsi="宋体" w:eastAsia="宋体" w:cs="宋体"/>
                <w:color w:val="auto"/>
                <w:sz w:val="24"/>
                <w:szCs w:val="24"/>
              </w:rPr>
            </w:pPr>
          </w:p>
        </w:tc>
        <w:tc>
          <w:tcPr>
            <w:tcW w:w="1837" w:type="dxa"/>
            <w:gridSpan w:val="5"/>
            <w:noWrap w:val="0"/>
            <w:tcMar>
              <w:left w:w="28" w:type="dxa"/>
              <w:right w:w="28" w:type="dxa"/>
            </w:tcMar>
            <w:vAlign w:val="center"/>
          </w:tcPr>
          <w:p w14:paraId="002B8B61">
            <w:pPr>
              <w:snapToGrid w:val="0"/>
              <w:spacing w:line="400" w:lineRule="exact"/>
              <w:rPr>
                <w:rFonts w:hint="eastAsia" w:ascii="宋体" w:hAnsi="宋体" w:eastAsia="宋体" w:cs="宋体"/>
                <w:color w:val="auto"/>
                <w:sz w:val="24"/>
                <w:szCs w:val="24"/>
              </w:rPr>
            </w:pPr>
          </w:p>
        </w:tc>
        <w:tc>
          <w:tcPr>
            <w:tcW w:w="1998" w:type="dxa"/>
            <w:gridSpan w:val="2"/>
            <w:noWrap w:val="0"/>
            <w:tcMar>
              <w:left w:w="28" w:type="dxa"/>
              <w:right w:w="28" w:type="dxa"/>
            </w:tcMar>
            <w:vAlign w:val="center"/>
          </w:tcPr>
          <w:p w14:paraId="59F771CF">
            <w:pPr>
              <w:snapToGrid w:val="0"/>
              <w:spacing w:line="400" w:lineRule="exact"/>
              <w:rPr>
                <w:rFonts w:hint="eastAsia" w:ascii="宋体" w:hAnsi="宋体" w:eastAsia="宋体" w:cs="宋体"/>
                <w:color w:val="auto"/>
                <w:sz w:val="24"/>
                <w:szCs w:val="24"/>
              </w:rPr>
            </w:pPr>
          </w:p>
        </w:tc>
      </w:tr>
      <w:tr w14:paraId="7CC9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noWrap w:val="0"/>
            <w:tcMar>
              <w:left w:w="28" w:type="dxa"/>
              <w:right w:w="28" w:type="dxa"/>
            </w:tcMar>
            <w:vAlign w:val="center"/>
          </w:tcPr>
          <w:p w14:paraId="6CF2AB44">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c>
          <w:tcPr>
            <w:tcW w:w="2477" w:type="dxa"/>
            <w:gridSpan w:val="3"/>
            <w:noWrap w:val="0"/>
            <w:tcMar>
              <w:left w:w="28" w:type="dxa"/>
              <w:right w:w="28" w:type="dxa"/>
            </w:tcMar>
            <w:vAlign w:val="center"/>
          </w:tcPr>
          <w:p w14:paraId="49F90E44">
            <w:pPr>
              <w:snapToGrid w:val="0"/>
              <w:spacing w:line="400" w:lineRule="exact"/>
              <w:rPr>
                <w:rFonts w:hint="eastAsia" w:ascii="宋体" w:hAnsi="宋体" w:eastAsia="宋体" w:cs="宋体"/>
                <w:color w:val="auto"/>
                <w:sz w:val="24"/>
                <w:szCs w:val="24"/>
              </w:rPr>
            </w:pPr>
          </w:p>
        </w:tc>
        <w:tc>
          <w:tcPr>
            <w:tcW w:w="952" w:type="dxa"/>
            <w:vMerge w:val="continue"/>
            <w:noWrap w:val="0"/>
            <w:tcMar>
              <w:left w:w="28" w:type="dxa"/>
              <w:right w:w="28" w:type="dxa"/>
            </w:tcMar>
            <w:vAlign w:val="center"/>
          </w:tcPr>
          <w:p w14:paraId="3B4C7649">
            <w:pPr>
              <w:snapToGrid w:val="0"/>
              <w:spacing w:line="400" w:lineRule="exact"/>
              <w:rPr>
                <w:rFonts w:hint="eastAsia" w:ascii="宋体" w:hAnsi="宋体" w:eastAsia="宋体" w:cs="宋体"/>
                <w:color w:val="auto"/>
                <w:sz w:val="24"/>
                <w:szCs w:val="24"/>
              </w:rPr>
            </w:pPr>
          </w:p>
        </w:tc>
        <w:tc>
          <w:tcPr>
            <w:tcW w:w="1837" w:type="dxa"/>
            <w:gridSpan w:val="5"/>
            <w:noWrap w:val="0"/>
            <w:tcMar>
              <w:left w:w="28" w:type="dxa"/>
              <w:right w:w="28" w:type="dxa"/>
            </w:tcMar>
            <w:vAlign w:val="center"/>
          </w:tcPr>
          <w:p w14:paraId="17660944">
            <w:pPr>
              <w:snapToGrid w:val="0"/>
              <w:spacing w:line="400" w:lineRule="exact"/>
              <w:rPr>
                <w:rFonts w:hint="eastAsia" w:ascii="宋体" w:hAnsi="宋体" w:eastAsia="宋体" w:cs="宋体"/>
                <w:color w:val="auto"/>
                <w:sz w:val="24"/>
                <w:szCs w:val="24"/>
              </w:rPr>
            </w:pPr>
          </w:p>
        </w:tc>
        <w:tc>
          <w:tcPr>
            <w:tcW w:w="1998" w:type="dxa"/>
            <w:gridSpan w:val="2"/>
            <w:noWrap w:val="0"/>
            <w:tcMar>
              <w:left w:w="28" w:type="dxa"/>
              <w:right w:w="28" w:type="dxa"/>
            </w:tcMar>
            <w:vAlign w:val="center"/>
          </w:tcPr>
          <w:p w14:paraId="104E5580">
            <w:pPr>
              <w:snapToGrid w:val="0"/>
              <w:spacing w:line="400" w:lineRule="exact"/>
              <w:rPr>
                <w:rFonts w:hint="eastAsia" w:ascii="宋体" w:hAnsi="宋体" w:eastAsia="宋体" w:cs="宋体"/>
                <w:color w:val="auto"/>
                <w:sz w:val="24"/>
                <w:szCs w:val="24"/>
              </w:rPr>
            </w:pPr>
          </w:p>
        </w:tc>
      </w:tr>
      <w:tr w14:paraId="5D919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664" w:type="dxa"/>
            <w:noWrap w:val="0"/>
            <w:tcMar>
              <w:left w:w="28" w:type="dxa"/>
              <w:right w:w="28" w:type="dxa"/>
            </w:tcMar>
            <w:vAlign w:val="center"/>
          </w:tcPr>
          <w:p w14:paraId="40C8BD02">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7264" w:type="dxa"/>
            <w:gridSpan w:val="11"/>
            <w:noWrap w:val="0"/>
            <w:tcMar>
              <w:left w:w="28" w:type="dxa"/>
              <w:right w:w="28" w:type="dxa"/>
            </w:tcMar>
            <w:vAlign w:val="center"/>
          </w:tcPr>
          <w:p w14:paraId="740BA63F">
            <w:pPr>
              <w:snapToGrid w:val="0"/>
              <w:spacing w:line="400" w:lineRule="exact"/>
              <w:rPr>
                <w:rFonts w:hint="eastAsia" w:ascii="宋体" w:hAnsi="宋体" w:eastAsia="宋体" w:cs="宋体"/>
                <w:color w:val="auto"/>
                <w:sz w:val="24"/>
                <w:szCs w:val="24"/>
              </w:rPr>
            </w:pPr>
          </w:p>
        </w:tc>
      </w:tr>
      <w:tr w14:paraId="65A5F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1664" w:type="dxa"/>
            <w:noWrap w:val="0"/>
            <w:tcMar>
              <w:left w:w="28" w:type="dxa"/>
              <w:right w:w="28" w:type="dxa"/>
            </w:tcMar>
            <w:vAlign w:val="center"/>
          </w:tcPr>
          <w:p w14:paraId="606EC64B">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7264" w:type="dxa"/>
            <w:gridSpan w:val="11"/>
            <w:noWrap w:val="0"/>
            <w:tcMar>
              <w:left w:w="28" w:type="dxa"/>
              <w:right w:w="28" w:type="dxa"/>
            </w:tcMar>
            <w:vAlign w:val="center"/>
          </w:tcPr>
          <w:p w14:paraId="1948134F">
            <w:pPr>
              <w:snapToGrid w:val="0"/>
              <w:spacing w:line="400" w:lineRule="exact"/>
              <w:rPr>
                <w:rFonts w:hint="eastAsia" w:ascii="宋体" w:hAnsi="宋体" w:eastAsia="宋体" w:cs="宋体"/>
                <w:color w:val="auto"/>
                <w:sz w:val="24"/>
                <w:szCs w:val="24"/>
              </w:rPr>
            </w:pPr>
          </w:p>
        </w:tc>
      </w:tr>
    </w:tbl>
    <w:p w14:paraId="60CE315F">
      <w:pPr>
        <w:snapToGrid w:val="0"/>
        <w:spacing w:line="400" w:lineRule="exact"/>
        <w:rPr>
          <w:rFonts w:hint="eastAsia" w:ascii="宋体" w:hAnsi="宋体" w:eastAsia="宋体" w:cs="宋体"/>
          <w:color w:val="auto"/>
          <w:sz w:val="24"/>
          <w:szCs w:val="24"/>
        </w:rPr>
      </w:pPr>
    </w:p>
    <w:p w14:paraId="5883D6C9">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4CD7C82C">
      <w:pPr>
        <w:spacing w:line="360" w:lineRule="auto"/>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E447788">
      <w:pPr>
        <w:rPr>
          <w:rFonts w:hint="eastAsia" w:ascii="宋体" w:hAnsi="宋体" w:cs="宋体"/>
          <w:color w:val="auto"/>
          <w:kern w:val="0"/>
          <w:sz w:val="24"/>
          <w:lang w:val="zh-CN"/>
        </w:rPr>
      </w:pPr>
      <w:r>
        <w:rPr>
          <w:rFonts w:hint="eastAsia" w:ascii="宋体" w:hAnsi="宋体" w:cs="宋体"/>
          <w:color w:val="auto"/>
          <w:kern w:val="0"/>
          <w:sz w:val="24"/>
          <w:lang w:val="zh-CN"/>
        </w:rPr>
        <w:br w:type="page"/>
      </w:r>
    </w:p>
    <w:p w14:paraId="7954854B">
      <w:pPr>
        <w:snapToGrid w:val="0"/>
        <w:spacing w:line="400" w:lineRule="exact"/>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lang w:eastAsia="zh-CN"/>
        </w:rPr>
        <w:t>）设备清单一览表</w:t>
      </w:r>
    </w:p>
    <w:p w14:paraId="0170FF7F">
      <w:pPr>
        <w:pStyle w:val="33"/>
        <w:snapToGrid w:val="0"/>
        <w:spacing w:beforeLines="0" w:afterLines="0"/>
        <w:jc w:val="center"/>
        <w:rPr>
          <w:rFonts w:hint="eastAsia" w:ascii="宋体" w:hAnsi="宋体" w:eastAsia="宋体" w:cs="宋体"/>
          <w:color w:val="auto"/>
          <w:sz w:val="24"/>
          <w:szCs w:val="24"/>
        </w:rPr>
      </w:pPr>
    </w:p>
    <w:p w14:paraId="4D40B0C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tbl>
      <w:tblPr>
        <w:tblStyle w:val="62"/>
        <w:tblW w:w="88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6"/>
        <w:gridCol w:w="1431"/>
        <w:gridCol w:w="1086"/>
        <w:gridCol w:w="1450"/>
        <w:gridCol w:w="820"/>
        <w:gridCol w:w="1086"/>
        <w:gridCol w:w="2194"/>
      </w:tblGrid>
      <w:tr w14:paraId="14409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1" w:hRule="atLeast"/>
          <w:jc w:val="center"/>
        </w:trPr>
        <w:tc>
          <w:tcPr>
            <w:tcW w:w="796" w:type="dxa"/>
            <w:tcBorders>
              <w:top w:val="single" w:color="auto" w:sz="4" w:space="0"/>
              <w:bottom w:val="single" w:color="auto" w:sz="4" w:space="0"/>
              <w:right w:val="single" w:color="auto" w:sz="4" w:space="0"/>
            </w:tcBorders>
            <w:vAlign w:val="center"/>
          </w:tcPr>
          <w:p w14:paraId="1B61DB3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431" w:type="dxa"/>
            <w:tcBorders>
              <w:top w:val="single" w:color="auto" w:sz="4" w:space="0"/>
              <w:left w:val="single" w:color="auto" w:sz="4" w:space="0"/>
              <w:bottom w:val="single" w:color="auto" w:sz="4" w:space="0"/>
              <w:right w:val="single" w:color="auto" w:sz="4" w:space="0"/>
            </w:tcBorders>
            <w:vAlign w:val="center"/>
          </w:tcPr>
          <w:p w14:paraId="280E6A2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货物名称</w:t>
            </w:r>
          </w:p>
        </w:tc>
        <w:tc>
          <w:tcPr>
            <w:tcW w:w="1086" w:type="dxa"/>
            <w:tcBorders>
              <w:top w:val="single" w:color="auto" w:sz="4" w:space="0"/>
              <w:left w:val="single" w:color="auto" w:sz="4" w:space="0"/>
              <w:bottom w:val="single" w:color="auto" w:sz="4" w:space="0"/>
              <w:right w:val="single" w:color="auto" w:sz="4" w:space="0"/>
            </w:tcBorders>
            <w:vAlign w:val="center"/>
          </w:tcPr>
          <w:p w14:paraId="7EB29CD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品牌</w:t>
            </w:r>
          </w:p>
        </w:tc>
        <w:tc>
          <w:tcPr>
            <w:tcW w:w="1450" w:type="dxa"/>
            <w:tcBorders>
              <w:top w:val="single" w:color="auto" w:sz="4" w:space="0"/>
              <w:left w:val="single" w:color="auto" w:sz="4" w:space="0"/>
              <w:bottom w:val="single" w:color="auto" w:sz="4" w:space="0"/>
              <w:right w:val="single" w:color="auto" w:sz="4" w:space="0"/>
            </w:tcBorders>
            <w:vAlign w:val="center"/>
          </w:tcPr>
          <w:p w14:paraId="5B161DD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规格型号</w:t>
            </w:r>
          </w:p>
        </w:tc>
        <w:tc>
          <w:tcPr>
            <w:tcW w:w="820" w:type="dxa"/>
            <w:tcBorders>
              <w:top w:val="single" w:color="auto" w:sz="4" w:space="0"/>
              <w:left w:val="single" w:color="auto" w:sz="4" w:space="0"/>
              <w:bottom w:val="single" w:color="auto" w:sz="4" w:space="0"/>
              <w:right w:val="single" w:color="auto" w:sz="4" w:space="0"/>
            </w:tcBorders>
            <w:vAlign w:val="center"/>
          </w:tcPr>
          <w:p w14:paraId="16D1775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产地</w:t>
            </w:r>
          </w:p>
        </w:tc>
        <w:tc>
          <w:tcPr>
            <w:tcW w:w="1086" w:type="dxa"/>
            <w:tcBorders>
              <w:top w:val="single" w:color="auto" w:sz="4" w:space="0"/>
              <w:left w:val="single" w:color="auto" w:sz="4" w:space="0"/>
              <w:bottom w:val="single" w:color="auto" w:sz="4" w:space="0"/>
              <w:right w:val="single" w:color="auto" w:sz="4" w:space="0"/>
            </w:tcBorders>
            <w:vAlign w:val="center"/>
          </w:tcPr>
          <w:p w14:paraId="251AB0E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2194" w:type="dxa"/>
            <w:tcBorders>
              <w:top w:val="single" w:color="auto" w:sz="4" w:space="0"/>
              <w:left w:val="single" w:color="auto" w:sz="4" w:space="0"/>
              <w:bottom w:val="single" w:color="auto" w:sz="4" w:space="0"/>
            </w:tcBorders>
            <w:vAlign w:val="center"/>
          </w:tcPr>
          <w:p w14:paraId="3BE54CB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制造商的规模（大、中、小、微企业）</w:t>
            </w:r>
          </w:p>
        </w:tc>
      </w:tr>
      <w:tr w14:paraId="19A90F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96" w:type="dxa"/>
            <w:tcBorders>
              <w:top w:val="single" w:color="auto" w:sz="4" w:space="0"/>
              <w:bottom w:val="single" w:color="auto" w:sz="4" w:space="0"/>
              <w:right w:val="single" w:color="auto" w:sz="4" w:space="0"/>
            </w:tcBorders>
          </w:tcPr>
          <w:p w14:paraId="6D5268EA">
            <w:pPr>
              <w:tabs>
                <w:tab w:val="left" w:pos="1418"/>
              </w:tabs>
              <w:snapToGrid w:val="0"/>
              <w:spacing w:line="400" w:lineRule="exact"/>
              <w:jc w:val="center"/>
              <w:rPr>
                <w:rFonts w:hint="eastAsia" w:ascii="宋体" w:hAnsi="宋体" w:eastAsia="宋体" w:cs="宋体"/>
                <w:color w:val="auto"/>
                <w:spacing w:val="20"/>
                <w:sz w:val="24"/>
                <w:szCs w:val="24"/>
              </w:rPr>
            </w:pPr>
          </w:p>
        </w:tc>
        <w:tc>
          <w:tcPr>
            <w:tcW w:w="1431" w:type="dxa"/>
            <w:tcBorders>
              <w:top w:val="single" w:color="auto" w:sz="4" w:space="0"/>
              <w:left w:val="single" w:color="auto" w:sz="4" w:space="0"/>
              <w:bottom w:val="single" w:color="auto" w:sz="4" w:space="0"/>
              <w:right w:val="single" w:color="auto" w:sz="4" w:space="0"/>
            </w:tcBorders>
          </w:tcPr>
          <w:p w14:paraId="182AAFAB">
            <w:pPr>
              <w:tabs>
                <w:tab w:val="left" w:pos="1418"/>
              </w:tabs>
              <w:snapToGrid w:val="0"/>
              <w:spacing w:line="400" w:lineRule="exact"/>
              <w:jc w:val="center"/>
              <w:rPr>
                <w:rFonts w:hint="eastAsia" w:ascii="宋体" w:hAnsi="宋体" w:eastAsia="宋体" w:cs="宋体"/>
                <w:color w:val="auto"/>
                <w:spacing w:val="20"/>
                <w:sz w:val="24"/>
                <w:szCs w:val="24"/>
              </w:rPr>
            </w:pPr>
          </w:p>
        </w:tc>
        <w:tc>
          <w:tcPr>
            <w:tcW w:w="1086" w:type="dxa"/>
            <w:tcBorders>
              <w:top w:val="single" w:color="auto" w:sz="4" w:space="0"/>
              <w:left w:val="single" w:color="auto" w:sz="4" w:space="0"/>
              <w:bottom w:val="single" w:color="auto" w:sz="4" w:space="0"/>
              <w:right w:val="single" w:color="auto" w:sz="4" w:space="0"/>
            </w:tcBorders>
          </w:tcPr>
          <w:p w14:paraId="11F34BD9">
            <w:pPr>
              <w:tabs>
                <w:tab w:val="left" w:pos="1418"/>
              </w:tabs>
              <w:snapToGrid w:val="0"/>
              <w:spacing w:line="400" w:lineRule="exact"/>
              <w:jc w:val="center"/>
              <w:rPr>
                <w:rFonts w:hint="eastAsia" w:ascii="宋体" w:hAnsi="宋体" w:eastAsia="宋体" w:cs="宋体"/>
                <w:color w:val="auto"/>
                <w:spacing w:val="20"/>
                <w:sz w:val="24"/>
                <w:szCs w:val="24"/>
              </w:rPr>
            </w:pPr>
          </w:p>
        </w:tc>
        <w:tc>
          <w:tcPr>
            <w:tcW w:w="1450" w:type="dxa"/>
            <w:tcBorders>
              <w:top w:val="single" w:color="auto" w:sz="4" w:space="0"/>
              <w:left w:val="single" w:color="auto" w:sz="4" w:space="0"/>
              <w:bottom w:val="single" w:color="auto" w:sz="4" w:space="0"/>
              <w:right w:val="single" w:color="auto" w:sz="4" w:space="0"/>
            </w:tcBorders>
          </w:tcPr>
          <w:p w14:paraId="3F19AE7A">
            <w:pPr>
              <w:tabs>
                <w:tab w:val="left" w:pos="1418"/>
              </w:tabs>
              <w:snapToGrid w:val="0"/>
              <w:spacing w:line="400" w:lineRule="exact"/>
              <w:jc w:val="center"/>
              <w:rPr>
                <w:rFonts w:hint="eastAsia" w:ascii="宋体" w:hAnsi="宋体" w:eastAsia="宋体" w:cs="宋体"/>
                <w:color w:val="auto"/>
                <w:spacing w:val="20"/>
                <w:sz w:val="24"/>
                <w:szCs w:val="24"/>
              </w:rPr>
            </w:pPr>
          </w:p>
        </w:tc>
        <w:tc>
          <w:tcPr>
            <w:tcW w:w="820" w:type="dxa"/>
            <w:tcBorders>
              <w:top w:val="single" w:color="auto" w:sz="4" w:space="0"/>
              <w:left w:val="single" w:color="auto" w:sz="4" w:space="0"/>
              <w:bottom w:val="single" w:color="auto" w:sz="4" w:space="0"/>
              <w:right w:val="single" w:color="auto" w:sz="4" w:space="0"/>
            </w:tcBorders>
          </w:tcPr>
          <w:p w14:paraId="7A83843C">
            <w:pPr>
              <w:tabs>
                <w:tab w:val="left" w:pos="1418"/>
              </w:tabs>
              <w:snapToGrid w:val="0"/>
              <w:spacing w:line="400" w:lineRule="exact"/>
              <w:jc w:val="center"/>
              <w:rPr>
                <w:rFonts w:hint="eastAsia" w:ascii="宋体" w:hAnsi="宋体" w:eastAsia="宋体" w:cs="宋体"/>
                <w:color w:val="auto"/>
                <w:spacing w:val="20"/>
                <w:sz w:val="24"/>
                <w:szCs w:val="24"/>
              </w:rPr>
            </w:pPr>
          </w:p>
        </w:tc>
        <w:tc>
          <w:tcPr>
            <w:tcW w:w="1086" w:type="dxa"/>
            <w:tcBorders>
              <w:top w:val="single" w:color="auto" w:sz="4" w:space="0"/>
              <w:left w:val="single" w:color="auto" w:sz="4" w:space="0"/>
              <w:bottom w:val="single" w:color="auto" w:sz="4" w:space="0"/>
              <w:right w:val="single" w:color="auto" w:sz="4" w:space="0"/>
            </w:tcBorders>
          </w:tcPr>
          <w:p w14:paraId="798808C9">
            <w:pPr>
              <w:tabs>
                <w:tab w:val="left" w:pos="1418"/>
              </w:tabs>
              <w:snapToGrid w:val="0"/>
              <w:spacing w:line="400" w:lineRule="exact"/>
              <w:jc w:val="center"/>
              <w:rPr>
                <w:rFonts w:hint="eastAsia" w:ascii="宋体" w:hAnsi="宋体" w:eastAsia="宋体" w:cs="宋体"/>
                <w:color w:val="auto"/>
                <w:spacing w:val="20"/>
                <w:sz w:val="24"/>
                <w:szCs w:val="24"/>
              </w:rPr>
            </w:pPr>
          </w:p>
        </w:tc>
        <w:tc>
          <w:tcPr>
            <w:tcW w:w="2194" w:type="dxa"/>
            <w:tcBorders>
              <w:top w:val="single" w:color="auto" w:sz="4" w:space="0"/>
              <w:left w:val="single" w:color="auto" w:sz="4" w:space="0"/>
              <w:bottom w:val="single" w:color="auto" w:sz="4" w:space="0"/>
            </w:tcBorders>
          </w:tcPr>
          <w:p w14:paraId="181012EE">
            <w:pPr>
              <w:tabs>
                <w:tab w:val="left" w:pos="1418"/>
              </w:tabs>
              <w:snapToGrid w:val="0"/>
              <w:spacing w:line="400" w:lineRule="exact"/>
              <w:jc w:val="center"/>
              <w:rPr>
                <w:rFonts w:hint="eastAsia" w:ascii="宋体" w:hAnsi="宋体" w:eastAsia="宋体" w:cs="宋体"/>
                <w:color w:val="auto"/>
                <w:spacing w:val="20"/>
                <w:sz w:val="24"/>
                <w:szCs w:val="24"/>
              </w:rPr>
            </w:pPr>
          </w:p>
        </w:tc>
      </w:tr>
      <w:tr w14:paraId="092AD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96" w:type="dxa"/>
            <w:tcBorders>
              <w:top w:val="single" w:color="auto" w:sz="4" w:space="0"/>
              <w:bottom w:val="single" w:color="auto" w:sz="4" w:space="0"/>
              <w:right w:val="single" w:color="auto" w:sz="4" w:space="0"/>
            </w:tcBorders>
          </w:tcPr>
          <w:p w14:paraId="48ECE693">
            <w:pPr>
              <w:tabs>
                <w:tab w:val="left" w:pos="1418"/>
              </w:tabs>
              <w:snapToGrid w:val="0"/>
              <w:spacing w:line="400" w:lineRule="exact"/>
              <w:jc w:val="center"/>
              <w:rPr>
                <w:rFonts w:hint="eastAsia" w:ascii="宋体" w:hAnsi="宋体" w:eastAsia="宋体" w:cs="宋体"/>
                <w:color w:val="auto"/>
                <w:spacing w:val="20"/>
                <w:sz w:val="24"/>
                <w:szCs w:val="24"/>
              </w:rPr>
            </w:pPr>
          </w:p>
        </w:tc>
        <w:tc>
          <w:tcPr>
            <w:tcW w:w="1431" w:type="dxa"/>
            <w:tcBorders>
              <w:top w:val="single" w:color="auto" w:sz="4" w:space="0"/>
              <w:left w:val="single" w:color="auto" w:sz="4" w:space="0"/>
              <w:bottom w:val="single" w:color="auto" w:sz="4" w:space="0"/>
              <w:right w:val="single" w:color="auto" w:sz="4" w:space="0"/>
            </w:tcBorders>
          </w:tcPr>
          <w:p w14:paraId="510B4EC0">
            <w:pPr>
              <w:tabs>
                <w:tab w:val="left" w:pos="1418"/>
              </w:tabs>
              <w:snapToGrid w:val="0"/>
              <w:spacing w:line="400" w:lineRule="exact"/>
              <w:jc w:val="center"/>
              <w:rPr>
                <w:rFonts w:hint="eastAsia" w:ascii="宋体" w:hAnsi="宋体" w:eastAsia="宋体" w:cs="宋体"/>
                <w:color w:val="auto"/>
                <w:spacing w:val="20"/>
                <w:sz w:val="24"/>
                <w:szCs w:val="24"/>
              </w:rPr>
            </w:pPr>
          </w:p>
        </w:tc>
        <w:tc>
          <w:tcPr>
            <w:tcW w:w="1086" w:type="dxa"/>
            <w:tcBorders>
              <w:top w:val="single" w:color="auto" w:sz="4" w:space="0"/>
              <w:left w:val="single" w:color="auto" w:sz="4" w:space="0"/>
              <w:bottom w:val="single" w:color="auto" w:sz="4" w:space="0"/>
              <w:right w:val="single" w:color="auto" w:sz="4" w:space="0"/>
            </w:tcBorders>
          </w:tcPr>
          <w:p w14:paraId="01D38C15">
            <w:pPr>
              <w:tabs>
                <w:tab w:val="left" w:pos="1418"/>
              </w:tabs>
              <w:snapToGrid w:val="0"/>
              <w:spacing w:line="400" w:lineRule="exact"/>
              <w:jc w:val="center"/>
              <w:rPr>
                <w:rFonts w:hint="eastAsia" w:ascii="宋体" w:hAnsi="宋体" w:eastAsia="宋体" w:cs="宋体"/>
                <w:color w:val="auto"/>
                <w:spacing w:val="20"/>
                <w:sz w:val="24"/>
                <w:szCs w:val="24"/>
              </w:rPr>
            </w:pPr>
          </w:p>
        </w:tc>
        <w:tc>
          <w:tcPr>
            <w:tcW w:w="1450" w:type="dxa"/>
            <w:tcBorders>
              <w:top w:val="single" w:color="auto" w:sz="4" w:space="0"/>
              <w:left w:val="single" w:color="auto" w:sz="4" w:space="0"/>
              <w:bottom w:val="single" w:color="auto" w:sz="4" w:space="0"/>
              <w:right w:val="single" w:color="auto" w:sz="4" w:space="0"/>
            </w:tcBorders>
          </w:tcPr>
          <w:p w14:paraId="0488BF06">
            <w:pPr>
              <w:tabs>
                <w:tab w:val="left" w:pos="1418"/>
              </w:tabs>
              <w:snapToGrid w:val="0"/>
              <w:spacing w:line="400" w:lineRule="exact"/>
              <w:jc w:val="center"/>
              <w:rPr>
                <w:rFonts w:hint="eastAsia" w:ascii="宋体" w:hAnsi="宋体" w:eastAsia="宋体" w:cs="宋体"/>
                <w:color w:val="auto"/>
                <w:spacing w:val="20"/>
                <w:sz w:val="24"/>
                <w:szCs w:val="24"/>
              </w:rPr>
            </w:pPr>
          </w:p>
        </w:tc>
        <w:tc>
          <w:tcPr>
            <w:tcW w:w="820" w:type="dxa"/>
            <w:tcBorders>
              <w:top w:val="single" w:color="auto" w:sz="4" w:space="0"/>
              <w:left w:val="single" w:color="auto" w:sz="4" w:space="0"/>
              <w:bottom w:val="single" w:color="auto" w:sz="4" w:space="0"/>
              <w:right w:val="single" w:color="auto" w:sz="4" w:space="0"/>
            </w:tcBorders>
          </w:tcPr>
          <w:p w14:paraId="29F41132">
            <w:pPr>
              <w:tabs>
                <w:tab w:val="left" w:pos="1418"/>
              </w:tabs>
              <w:snapToGrid w:val="0"/>
              <w:spacing w:line="400" w:lineRule="exact"/>
              <w:jc w:val="center"/>
              <w:rPr>
                <w:rFonts w:hint="eastAsia" w:ascii="宋体" w:hAnsi="宋体" w:eastAsia="宋体" w:cs="宋体"/>
                <w:color w:val="auto"/>
                <w:spacing w:val="20"/>
                <w:sz w:val="24"/>
                <w:szCs w:val="24"/>
              </w:rPr>
            </w:pPr>
          </w:p>
        </w:tc>
        <w:tc>
          <w:tcPr>
            <w:tcW w:w="1086" w:type="dxa"/>
            <w:tcBorders>
              <w:top w:val="single" w:color="auto" w:sz="4" w:space="0"/>
              <w:left w:val="single" w:color="auto" w:sz="4" w:space="0"/>
              <w:bottom w:val="single" w:color="auto" w:sz="4" w:space="0"/>
              <w:right w:val="single" w:color="auto" w:sz="4" w:space="0"/>
            </w:tcBorders>
          </w:tcPr>
          <w:p w14:paraId="21E0929B">
            <w:pPr>
              <w:tabs>
                <w:tab w:val="left" w:pos="1418"/>
              </w:tabs>
              <w:snapToGrid w:val="0"/>
              <w:spacing w:line="400" w:lineRule="exact"/>
              <w:jc w:val="center"/>
              <w:rPr>
                <w:rFonts w:hint="eastAsia" w:ascii="宋体" w:hAnsi="宋体" w:eastAsia="宋体" w:cs="宋体"/>
                <w:color w:val="auto"/>
                <w:spacing w:val="20"/>
                <w:sz w:val="24"/>
                <w:szCs w:val="24"/>
              </w:rPr>
            </w:pPr>
          </w:p>
        </w:tc>
        <w:tc>
          <w:tcPr>
            <w:tcW w:w="2194" w:type="dxa"/>
            <w:tcBorders>
              <w:top w:val="single" w:color="auto" w:sz="4" w:space="0"/>
              <w:left w:val="single" w:color="auto" w:sz="4" w:space="0"/>
              <w:bottom w:val="single" w:color="auto" w:sz="4" w:space="0"/>
            </w:tcBorders>
          </w:tcPr>
          <w:p w14:paraId="30E1D676">
            <w:pPr>
              <w:tabs>
                <w:tab w:val="left" w:pos="1418"/>
              </w:tabs>
              <w:snapToGrid w:val="0"/>
              <w:spacing w:line="400" w:lineRule="exact"/>
              <w:jc w:val="center"/>
              <w:rPr>
                <w:rFonts w:hint="eastAsia" w:ascii="宋体" w:hAnsi="宋体" w:eastAsia="宋体" w:cs="宋体"/>
                <w:color w:val="auto"/>
                <w:spacing w:val="20"/>
                <w:sz w:val="24"/>
                <w:szCs w:val="24"/>
              </w:rPr>
            </w:pPr>
          </w:p>
        </w:tc>
      </w:tr>
      <w:tr w14:paraId="357B1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96" w:type="dxa"/>
            <w:tcBorders>
              <w:top w:val="single" w:color="auto" w:sz="4" w:space="0"/>
              <w:bottom w:val="single" w:color="auto" w:sz="4" w:space="0"/>
              <w:right w:val="single" w:color="auto" w:sz="4" w:space="0"/>
            </w:tcBorders>
          </w:tcPr>
          <w:p w14:paraId="56ECD633">
            <w:pPr>
              <w:tabs>
                <w:tab w:val="left" w:pos="1418"/>
              </w:tabs>
              <w:snapToGrid w:val="0"/>
              <w:spacing w:line="400" w:lineRule="exact"/>
              <w:jc w:val="center"/>
              <w:rPr>
                <w:rFonts w:hint="eastAsia" w:ascii="宋体" w:hAnsi="宋体" w:eastAsia="宋体" w:cs="宋体"/>
                <w:color w:val="auto"/>
                <w:spacing w:val="20"/>
                <w:sz w:val="24"/>
                <w:szCs w:val="24"/>
              </w:rPr>
            </w:pPr>
          </w:p>
        </w:tc>
        <w:tc>
          <w:tcPr>
            <w:tcW w:w="1431" w:type="dxa"/>
            <w:tcBorders>
              <w:top w:val="single" w:color="auto" w:sz="4" w:space="0"/>
              <w:left w:val="single" w:color="auto" w:sz="4" w:space="0"/>
              <w:bottom w:val="single" w:color="auto" w:sz="4" w:space="0"/>
              <w:right w:val="single" w:color="auto" w:sz="4" w:space="0"/>
            </w:tcBorders>
          </w:tcPr>
          <w:p w14:paraId="1DFD233F">
            <w:pPr>
              <w:tabs>
                <w:tab w:val="left" w:pos="1418"/>
              </w:tabs>
              <w:snapToGrid w:val="0"/>
              <w:spacing w:line="400" w:lineRule="exact"/>
              <w:jc w:val="center"/>
              <w:rPr>
                <w:rFonts w:hint="eastAsia" w:ascii="宋体" w:hAnsi="宋体" w:eastAsia="宋体" w:cs="宋体"/>
                <w:color w:val="auto"/>
                <w:spacing w:val="20"/>
                <w:sz w:val="24"/>
                <w:szCs w:val="24"/>
              </w:rPr>
            </w:pPr>
          </w:p>
        </w:tc>
        <w:tc>
          <w:tcPr>
            <w:tcW w:w="1086" w:type="dxa"/>
            <w:tcBorders>
              <w:top w:val="single" w:color="auto" w:sz="4" w:space="0"/>
              <w:left w:val="single" w:color="auto" w:sz="4" w:space="0"/>
              <w:bottom w:val="single" w:color="auto" w:sz="4" w:space="0"/>
              <w:right w:val="single" w:color="auto" w:sz="4" w:space="0"/>
            </w:tcBorders>
          </w:tcPr>
          <w:p w14:paraId="6EBB7740">
            <w:pPr>
              <w:tabs>
                <w:tab w:val="left" w:pos="1418"/>
              </w:tabs>
              <w:snapToGrid w:val="0"/>
              <w:spacing w:line="400" w:lineRule="exact"/>
              <w:jc w:val="center"/>
              <w:rPr>
                <w:rFonts w:hint="eastAsia" w:ascii="宋体" w:hAnsi="宋体" w:eastAsia="宋体" w:cs="宋体"/>
                <w:color w:val="auto"/>
                <w:spacing w:val="20"/>
                <w:sz w:val="24"/>
                <w:szCs w:val="24"/>
              </w:rPr>
            </w:pPr>
          </w:p>
        </w:tc>
        <w:tc>
          <w:tcPr>
            <w:tcW w:w="1450" w:type="dxa"/>
            <w:tcBorders>
              <w:top w:val="single" w:color="auto" w:sz="4" w:space="0"/>
              <w:left w:val="single" w:color="auto" w:sz="4" w:space="0"/>
              <w:bottom w:val="single" w:color="auto" w:sz="4" w:space="0"/>
              <w:right w:val="single" w:color="auto" w:sz="4" w:space="0"/>
            </w:tcBorders>
          </w:tcPr>
          <w:p w14:paraId="5CA71A98">
            <w:pPr>
              <w:tabs>
                <w:tab w:val="left" w:pos="1418"/>
              </w:tabs>
              <w:snapToGrid w:val="0"/>
              <w:spacing w:line="400" w:lineRule="exact"/>
              <w:jc w:val="center"/>
              <w:rPr>
                <w:rFonts w:hint="eastAsia" w:ascii="宋体" w:hAnsi="宋体" w:eastAsia="宋体" w:cs="宋体"/>
                <w:color w:val="auto"/>
                <w:spacing w:val="20"/>
                <w:sz w:val="24"/>
                <w:szCs w:val="24"/>
              </w:rPr>
            </w:pPr>
          </w:p>
        </w:tc>
        <w:tc>
          <w:tcPr>
            <w:tcW w:w="820" w:type="dxa"/>
            <w:tcBorders>
              <w:top w:val="single" w:color="auto" w:sz="4" w:space="0"/>
              <w:left w:val="single" w:color="auto" w:sz="4" w:space="0"/>
              <w:bottom w:val="single" w:color="auto" w:sz="4" w:space="0"/>
              <w:right w:val="single" w:color="auto" w:sz="4" w:space="0"/>
            </w:tcBorders>
          </w:tcPr>
          <w:p w14:paraId="4B7C9FB2">
            <w:pPr>
              <w:tabs>
                <w:tab w:val="left" w:pos="1418"/>
              </w:tabs>
              <w:snapToGrid w:val="0"/>
              <w:spacing w:line="400" w:lineRule="exact"/>
              <w:jc w:val="center"/>
              <w:rPr>
                <w:rFonts w:hint="eastAsia" w:ascii="宋体" w:hAnsi="宋体" w:eastAsia="宋体" w:cs="宋体"/>
                <w:color w:val="auto"/>
                <w:spacing w:val="20"/>
                <w:sz w:val="24"/>
                <w:szCs w:val="24"/>
              </w:rPr>
            </w:pPr>
          </w:p>
        </w:tc>
        <w:tc>
          <w:tcPr>
            <w:tcW w:w="1086" w:type="dxa"/>
            <w:tcBorders>
              <w:top w:val="single" w:color="auto" w:sz="4" w:space="0"/>
              <w:left w:val="single" w:color="auto" w:sz="4" w:space="0"/>
              <w:bottom w:val="single" w:color="auto" w:sz="4" w:space="0"/>
              <w:right w:val="single" w:color="auto" w:sz="4" w:space="0"/>
            </w:tcBorders>
          </w:tcPr>
          <w:p w14:paraId="3BAF8E1C">
            <w:pPr>
              <w:tabs>
                <w:tab w:val="left" w:pos="1418"/>
              </w:tabs>
              <w:snapToGrid w:val="0"/>
              <w:spacing w:line="400" w:lineRule="exact"/>
              <w:jc w:val="center"/>
              <w:rPr>
                <w:rFonts w:hint="eastAsia" w:ascii="宋体" w:hAnsi="宋体" w:eastAsia="宋体" w:cs="宋体"/>
                <w:color w:val="auto"/>
                <w:spacing w:val="20"/>
                <w:sz w:val="24"/>
                <w:szCs w:val="24"/>
              </w:rPr>
            </w:pPr>
          </w:p>
        </w:tc>
        <w:tc>
          <w:tcPr>
            <w:tcW w:w="2194" w:type="dxa"/>
            <w:tcBorders>
              <w:top w:val="single" w:color="auto" w:sz="4" w:space="0"/>
              <w:left w:val="single" w:color="auto" w:sz="4" w:space="0"/>
              <w:bottom w:val="single" w:color="auto" w:sz="4" w:space="0"/>
            </w:tcBorders>
          </w:tcPr>
          <w:p w14:paraId="1020E8D7">
            <w:pPr>
              <w:tabs>
                <w:tab w:val="left" w:pos="1418"/>
              </w:tabs>
              <w:snapToGrid w:val="0"/>
              <w:spacing w:line="400" w:lineRule="exact"/>
              <w:jc w:val="center"/>
              <w:rPr>
                <w:rFonts w:hint="eastAsia" w:ascii="宋体" w:hAnsi="宋体" w:eastAsia="宋体" w:cs="宋体"/>
                <w:color w:val="auto"/>
                <w:spacing w:val="20"/>
                <w:sz w:val="24"/>
                <w:szCs w:val="24"/>
              </w:rPr>
            </w:pPr>
          </w:p>
        </w:tc>
      </w:tr>
      <w:tr w14:paraId="35E7F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96" w:type="dxa"/>
            <w:tcBorders>
              <w:top w:val="single" w:color="auto" w:sz="4" w:space="0"/>
              <w:bottom w:val="single" w:color="auto" w:sz="4" w:space="0"/>
              <w:right w:val="single" w:color="auto" w:sz="4" w:space="0"/>
            </w:tcBorders>
          </w:tcPr>
          <w:p w14:paraId="6F100296">
            <w:pPr>
              <w:tabs>
                <w:tab w:val="left" w:pos="1418"/>
              </w:tabs>
              <w:snapToGrid w:val="0"/>
              <w:spacing w:line="400" w:lineRule="exact"/>
              <w:jc w:val="center"/>
              <w:rPr>
                <w:rFonts w:hint="eastAsia" w:ascii="宋体" w:hAnsi="宋体" w:eastAsia="宋体" w:cs="宋体"/>
                <w:color w:val="auto"/>
                <w:spacing w:val="20"/>
                <w:sz w:val="24"/>
                <w:szCs w:val="24"/>
              </w:rPr>
            </w:pPr>
          </w:p>
        </w:tc>
        <w:tc>
          <w:tcPr>
            <w:tcW w:w="1431" w:type="dxa"/>
            <w:tcBorders>
              <w:top w:val="single" w:color="auto" w:sz="4" w:space="0"/>
              <w:left w:val="single" w:color="auto" w:sz="4" w:space="0"/>
              <w:bottom w:val="single" w:color="auto" w:sz="4" w:space="0"/>
              <w:right w:val="single" w:color="auto" w:sz="4" w:space="0"/>
            </w:tcBorders>
          </w:tcPr>
          <w:p w14:paraId="6CEEBBAD">
            <w:pPr>
              <w:tabs>
                <w:tab w:val="left" w:pos="1418"/>
              </w:tabs>
              <w:snapToGrid w:val="0"/>
              <w:spacing w:line="400" w:lineRule="exact"/>
              <w:jc w:val="center"/>
              <w:rPr>
                <w:rFonts w:hint="eastAsia" w:ascii="宋体" w:hAnsi="宋体" w:eastAsia="宋体" w:cs="宋体"/>
                <w:color w:val="auto"/>
                <w:spacing w:val="20"/>
                <w:sz w:val="24"/>
                <w:szCs w:val="24"/>
              </w:rPr>
            </w:pPr>
          </w:p>
        </w:tc>
        <w:tc>
          <w:tcPr>
            <w:tcW w:w="1086" w:type="dxa"/>
            <w:tcBorders>
              <w:top w:val="single" w:color="auto" w:sz="4" w:space="0"/>
              <w:left w:val="single" w:color="auto" w:sz="4" w:space="0"/>
              <w:bottom w:val="single" w:color="auto" w:sz="4" w:space="0"/>
              <w:right w:val="single" w:color="auto" w:sz="4" w:space="0"/>
            </w:tcBorders>
          </w:tcPr>
          <w:p w14:paraId="3EF4D965">
            <w:pPr>
              <w:tabs>
                <w:tab w:val="left" w:pos="1418"/>
              </w:tabs>
              <w:snapToGrid w:val="0"/>
              <w:spacing w:line="400" w:lineRule="exact"/>
              <w:jc w:val="center"/>
              <w:rPr>
                <w:rFonts w:hint="eastAsia" w:ascii="宋体" w:hAnsi="宋体" w:eastAsia="宋体" w:cs="宋体"/>
                <w:color w:val="auto"/>
                <w:spacing w:val="20"/>
                <w:sz w:val="24"/>
                <w:szCs w:val="24"/>
              </w:rPr>
            </w:pPr>
          </w:p>
        </w:tc>
        <w:tc>
          <w:tcPr>
            <w:tcW w:w="1450" w:type="dxa"/>
            <w:tcBorders>
              <w:top w:val="single" w:color="auto" w:sz="4" w:space="0"/>
              <w:left w:val="single" w:color="auto" w:sz="4" w:space="0"/>
              <w:bottom w:val="single" w:color="auto" w:sz="4" w:space="0"/>
              <w:right w:val="single" w:color="auto" w:sz="4" w:space="0"/>
            </w:tcBorders>
          </w:tcPr>
          <w:p w14:paraId="767DEC89">
            <w:pPr>
              <w:tabs>
                <w:tab w:val="left" w:pos="1418"/>
              </w:tabs>
              <w:snapToGrid w:val="0"/>
              <w:spacing w:line="400" w:lineRule="exact"/>
              <w:jc w:val="center"/>
              <w:rPr>
                <w:rFonts w:hint="eastAsia" w:ascii="宋体" w:hAnsi="宋体" w:eastAsia="宋体" w:cs="宋体"/>
                <w:color w:val="auto"/>
                <w:spacing w:val="20"/>
                <w:sz w:val="24"/>
                <w:szCs w:val="24"/>
              </w:rPr>
            </w:pPr>
          </w:p>
        </w:tc>
        <w:tc>
          <w:tcPr>
            <w:tcW w:w="820" w:type="dxa"/>
            <w:tcBorders>
              <w:top w:val="single" w:color="auto" w:sz="4" w:space="0"/>
              <w:left w:val="single" w:color="auto" w:sz="4" w:space="0"/>
              <w:bottom w:val="single" w:color="auto" w:sz="4" w:space="0"/>
              <w:right w:val="single" w:color="auto" w:sz="4" w:space="0"/>
            </w:tcBorders>
          </w:tcPr>
          <w:p w14:paraId="16C9F0FA">
            <w:pPr>
              <w:tabs>
                <w:tab w:val="left" w:pos="1418"/>
              </w:tabs>
              <w:snapToGrid w:val="0"/>
              <w:spacing w:line="400" w:lineRule="exact"/>
              <w:jc w:val="center"/>
              <w:rPr>
                <w:rFonts w:hint="eastAsia" w:ascii="宋体" w:hAnsi="宋体" w:eastAsia="宋体" w:cs="宋体"/>
                <w:color w:val="auto"/>
                <w:spacing w:val="20"/>
                <w:sz w:val="24"/>
                <w:szCs w:val="24"/>
              </w:rPr>
            </w:pPr>
          </w:p>
        </w:tc>
        <w:tc>
          <w:tcPr>
            <w:tcW w:w="1086" w:type="dxa"/>
            <w:tcBorders>
              <w:top w:val="single" w:color="auto" w:sz="4" w:space="0"/>
              <w:left w:val="single" w:color="auto" w:sz="4" w:space="0"/>
              <w:bottom w:val="single" w:color="auto" w:sz="4" w:space="0"/>
              <w:right w:val="single" w:color="auto" w:sz="4" w:space="0"/>
            </w:tcBorders>
          </w:tcPr>
          <w:p w14:paraId="5B4B0E31">
            <w:pPr>
              <w:tabs>
                <w:tab w:val="left" w:pos="1418"/>
              </w:tabs>
              <w:snapToGrid w:val="0"/>
              <w:spacing w:line="400" w:lineRule="exact"/>
              <w:jc w:val="center"/>
              <w:rPr>
                <w:rFonts w:hint="eastAsia" w:ascii="宋体" w:hAnsi="宋体" w:eastAsia="宋体" w:cs="宋体"/>
                <w:color w:val="auto"/>
                <w:spacing w:val="20"/>
                <w:sz w:val="24"/>
                <w:szCs w:val="24"/>
              </w:rPr>
            </w:pPr>
          </w:p>
        </w:tc>
        <w:tc>
          <w:tcPr>
            <w:tcW w:w="2194" w:type="dxa"/>
            <w:tcBorders>
              <w:top w:val="single" w:color="auto" w:sz="4" w:space="0"/>
              <w:left w:val="single" w:color="auto" w:sz="4" w:space="0"/>
              <w:bottom w:val="single" w:color="auto" w:sz="4" w:space="0"/>
            </w:tcBorders>
          </w:tcPr>
          <w:p w14:paraId="40948BF9">
            <w:pPr>
              <w:tabs>
                <w:tab w:val="left" w:pos="1418"/>
              </w:tabs>
              <w:snapToGrid w:val="0"/>
              <w:spacing w:line="400" w:lineRule="exact"/>
              <w:jc w:val="center"/>
              <w:rPr>
                <w:rFonts w:hint="eastAsia" w:ascii="宋体" w:hAnsi="宋体" w:eastAsia="宋体" w:cs="宋体"/>
                <w:color w:val="auto"/>
                <w:spacing w:val="20"/>
                <w:sz w:val="24"/>
                <w:szCs w:val="24"/>
              </w:rPr>
            </w:pPr>
          </w:p>
        </w:tc>
      </w:tr>
      <w:tr w14:paraId="064AF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96" w:type="dxa"/>
            <w:tcBorders>
              <w:top w:val="single" w:color="auto" w:sz="4" w:space="0"/>
              <w:bottom w:val="single" w:color="auto" w:sz="4" w:space="0"/>
              <w:right w:val="single" w:color="auto" w:sz="4" w:space="0"/>
            </w:tcBorders>
          </w:tcPr>
          <w:p w14:paraId="2426A5AE">
            <w:pPr>
              <w:tabs>
                <w:tab w:val="left" w:pos="1418"/>
              </w:tabs>
              <w:snapToGrid w:val="0"/>
              <w:spacing w:line="400" w:lineRule="exact"/>
              <w:jc w:val="center"/>
              <w:rPr>
                <w:rFonts w:hint="eastAsia" w:ascii="宋体" w:hAnsi="宋体" w:eastAsia="宋体" w:cs="宋体"/>
                <w:color w:val="auto"/>
                <w:spacing w:val="20"/>
                <w:sz w:val="24"/>
                <w:szCs w:val="24"/>
              </w:rPr>
            </w:pPr>
          </w:p>
        </w:tc>
        <w:tc>
          <w:tcPr>
            <w:tcW w:w="1431" w:type="dxa"/>
            <w:tcBorders>
              <w:top w:val="single" w:color="auto" w:sz="4" w:space="0"/>
              <w:left w:val="single" w:color="auto" w:sz="4" w:space="0"/>
              <w:bottom w:val="single" w:color="auto" w:sz="4" w:space="0"/>
              <w:right w:val="single" w:color="auto" w:sz="4" w:space="0"/>
            </w:tcBorders>
          </w:tcPr>
          <w:p w14:paraId="7644C376">
            <w:pPr>
              <w:tabs>
                <w:tab w:val="left" w:pos="1418"/>
              </w:tabs>
              <w:snapToGrid w:val="0"/>
              <w:spacing w:line="400" w:lineRule="exact"/>
              <w:jc w:val="center"/>
              <w:rPr>
                <w:rFonts w:hint="eastAsia" w:ascii="宋体" w:hAnsi="宋体" w:eastAsia="宋体" w:cs="宋体"/>
                <w:color w:val="auto"/>
                <w:spacing w:val="20"/>
                <w:sz w:val="24"/>
                <w:szCs w:val="24"/>
              </w:rPr>
            </w:pPr>
          </w:p>
        </w:tc>
        <w:tc>
          <w:tcPr>
            <w:tcW w:w="1086" w:type="dxa"/>
            <w:tcBorders>
              <w:top w:val="single" w:color="auto" w:sz="4" w:space="0"/>
              <w:left w:val="single" w:color="auto" w:sz="4" w:space="0"/>
              <w:bottom w:val="single" w:color="auto" w:sz="4" w:space="0"/>
              <w:right w:val="single" w:color="auto" w:sz="4" w:space="0"/>
            </w:tcBorders>
          </w:tcPr>
          <w:p w14:paraId="772C0F8B">
            <w:pPr>
              <w:tabs>
                <w:tab w:val="left" w:pos="1418"/>
              </w:tabs>
              <w:snapToGrid w:val="0"/>
              <w:spacing w:line="400" w:lineRule="exact"/>
              <w:jc w:val="center"/>
              <w:rPr>
                <w:rFonts w:hint="eastAsia" w:ascii="宋体" w:hAnsi="宋体" w:eastAsia="宋体" w:cs="宋体"/>
                <w:color w:val="auto"/>
                <w:spacing w:val="20"/>
                <w:sz w:val="24"/>
                <w:szCs w:val="24"/>
              </w:rPr>
            </w:pPr>
          </w:p>
        </w:tc>
        <w:tc>
          <w:tcPr>
            <w:tcW w:w="1450" w:type="dxa"/>
            <w:tcBorders>
              <w:top w:val="single" w:color="auto" w:sz="4" w:space="0"/>
              <w:left w:val="single" w:color="auto" w:sz="4" w:space="0"/>
              <w:bottom w:val="single" w:color="auto" w:sz="4" w:space="0"/>
              <w:right w:val="single" w:color="auto" w:sz="4" w:space="0"/>
            </w:tcBorders>
          </w:tcPr>
          <w:p w14:paraId="4C7A5A78">
            <w:pPr>
              <w:tabs>
                <w:tab w:val="left" w:pos="1418"/>
              </w:tabs>
              <w:snapToGrid w:val="0"/>
              <w:spacing w:line="400" w:lineRule="exact"/>
              <w:jc w:val="center"/>
              <w:rPr>
                <w:rFonts w:hint="eastAsia" w:ascii="宋体" w:hAnsi="宋体" w:eastAsia="宋体" w:cs="宋体"/>
                <w:color w:val="auto"/>
                <w:spacing w:val="20"/>
                <w:sz w:val="24"/>
                <w:szCs w:val="24"/>
              </w:rPr>
            </w:pPr>
          </w:p>
        </w:tc>
        <w:tc>
          <w:tcPr>
            <w:tcW w:w="820" w:type="dxa"/>
            <w:tcBorders>
              <w:top w:val="single" w:color="auto" w:sz="4" w:space="0"/>
              <w:left w:val="single" w:color="auto" w:sz="4" w:space="0"/>
              <w:bottom w:val="single" w:color="auto" w:sz="4" w:space="0"/>
              <w:right w:val="single" w:color="auto" w:sz="4" w:space="0"/>
            </w:tcBorders>
          </w:tcPr>
          <w:p w14:paraId="6B4954DC">
            <w:pPr>
              <w:tabs>
                <w:tab w:val="left" w:pos="1418"/>
              </w:tabs>
              <w:snapToGrid w:val="0"/>
              <w:spacing w:line="400" w:lineRule="exact"/>
              <w:jc w:val="center"/>
              <w:rPr>
                <w:rFonts w:hint="eastAsia" w:ascii="宋体" w:hAnsi="宋体" w:eastAsia="宋体" w:cs="宋体"/>
                <w:color w:val="auto"/>
                <w:spacing w:val="20"/>
                <w:sz w:val="24"/>
                <w:szCs w:val="24"/>
              </w:rPr>
            </w:pPr>
          </w:p>
        </w:tc>
        <w:tc>
          <w:tcPr>
            <w:tcW w:w="1086" w:type="dxa"/>
            <w:tcBorders>
              <w:top w:val="single" w:color="auto" w:sz="4" w:space="0"/>
              <w:left w:val="single" w:color="auto" w:sz="4" w:space="0"/>
              <w:bottom w:val="single" w:color="auto" w:sz="4" w:space="0"/>
              <w:right w:val="single" w:color="auto" w:sz="4" w:space="0"/>
            </w:tcBorders>
          </w:tcPr>
          <w:p w14:paraId="550A4717">
            <w:pPr>
              <w:tabs>
                <w:tab w:val="left" w:pos="1418"/>
              </w:tabs>
              <w:snapToGrid w:val="0"/>
              <w:spacing w:line="400" w:lineRule="exact"/>
              <w:jc w:val="center"/>
              <w:rPr>
                <w:rFonts w:hint="eastAsia" w:ascii="宋体" w:hAnsi="宋体" w:eastAsia="宋体" w:cs="宋体"/>
                <w:color w:val="auto"/>
                <w:spacing w:val="20"/>
                <w:sz w:val="24"/>
                <w:szCs w:val="24"/>
              </w:rPr>
            </w:pPr>
          </w:p>
        </w:tc>
        <w:tc>
          <w:tcPr>
            <w:tcW w:w="2194" w:type="dxa"/>
            <w:tcBorders>
              <w:top w:val="single" w:color="auto" w:sz="4" w:space="0"/>
              <w:left w:val="single" w:color="auto" w:sz="4" w:space="0"/>
              <w:bottom w:val="single" w:color="auto" w:sz="4" w:space="0"/>
            </w:tcBorders>
          </w:tcPr>
          <w:p w14:paraId="435EC7EC">
            <w:pPr>
              <w:tabs>
                <w:tab w:val="left" w:pos="1418"/>
              </w:tabs>
              <w:snapToGrid w:val="0"/>
              <w:spacing w:line="400" w:lineRule="exact"/>
              <w:jc w:val="center"/>
              <w:rPr>
                <w:rFonts w:hint="eastAsia" w:ascii="宋体" w:hAnsi="宋体" w:eastAsia="宋体" w:cs="宋体"/>
                <w:color w:val="auto"/>
                <w:spacing w:val="20"/>
                <w:sz w:val="24"/>
                <w:szCs w:val="24"/>
              </w:rPr>
            </w:pPr>
          </w:p>
        </w:tc>
      </w:tr>
      <w:tr w14:paraId="1E649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96" w:type="dxa"/>
            <w:tcBorders>
              <w:top w:val="single" w:color="auto" w:sz="4" w:space="0"/>
              <w:bottom w:val="single" w:color="auto" w:sz="4" w:space="0"/>
              <w:right w:val="single" w:color="auto" w:sz="4" w:space="0"/>
            </w:tcBorders>
          </w:tcPr>
          <w:p w14:paraId="2D39E6B3">
            <w:pPr>
              <w:tabs>
                <w:tab w:val="left" w:pos="1418"/>
              </w:tabs>
              <w:snapToGrid w:val="0"/>
              <w:spacing w:line="400" w:lineRule="exact"/>
              <w:jc w:val="center"/>
              <w:rPr>
                <w:rFonts w:hint="eastAsia" w:ascii="宋体" w:hAnsi="宋体" w:eastAsia="宋体" w:cs="宋体"/>
                <w:color w:val="auto"/>
                <w:spacing w:val="20"/>
                <w:sz w:val="24"/>
                <w:szCs w:val="24"/>
              </w:rPr>
            </w:pPr>
          </w:p>
        </w:tc>
        <w:tc>
          <w:tcPr>
            <w:tcW w:w="1431" w:type="dxa"/>
            <w:tcBorders>
              <w:top w:val="single" w:color="auto" w:sz="4" w:space="0"/>
              <w:left w:val="single" w:color="auto" w:sz="4" w:space="0"/>
              <w:bottom w:val="single" w:color="auto" w:sz="4" w:space="0"/>
              <w:right w:val="single" w:color="auto" w:sz="4" w:space="0"/>
            </w:tcBorders>
          </w:tcPr>
          <w:p w14:paraId="2210B317">
            <w:pPr>
              <w:tabs>
                <w:tab w:val="left" w:pos="1418"/>
              </w:tabs>
              <w:snapToGrid w:val="0"/>
              <w:spacing w:line="400" w:lineRule="exact"/>
              <w:jc w:val="center"/>
              <w:rPr>
                <w:rFonts w:hint="eastAsia" w:ascii="宋体" w:hAnsi="宋体" w:eastAsia="宋体" w:cs="宋体"/>
                <w:color w:val="auto"/>
                <w:spacing w:val="20"/>
                <w:sz w:val="24"/>
                <w:szCs w:val="24"/>
              </w:rPr>
            </w:pPr>
          </w:p>
        </w:tc>
        <w:tc>
          <w:tcPr>
            <w:tcW w:w="1086" w:type="dxa"/>
            <w:tcBorders>
              <w:top w:val="single" w:color="auto" w:sz="4" w:space="0"/>
              <w:left w:val="single" w:color="auto" w:sz="4" w:space="0"/>
              <w:bottom w:val="single" w:color="auto" w:sz="4" w:space="0"/>
              <w:right w:val="single" w:color="auto" w:sz="4" w:space="0"/>
            </w:tcBorders>
          </w:tcPr>
          <w:p w14:paraId="64DD27EE">
            <w:pPr>
              <w:tabs>
                <w:tab w:val="left" w:pos="1418"/>
              </w:tabs>
              <w:snapToGrid w:val="0"/>
              <w:spacing w:line="400" w:lineRule="exact"/>
              <w:jc w:val="center"/>
              <w:rPr>
                <w:rFonts w:hint="eastAsia" w:ascii="宋体" w:hAnsi="宋体" w:eastAsia="宋体" w:cs="宋体"/>
                <w:color w:val="auto"/>
                <w:spacing w:val="20"/>
                <w:sz w:val="24"/>
                <w:szCs w:val="24"/>
              </w:rPr>
            </w:pPr>
          </w:p>
        </w:tc>
        <w:tc>
          <w:tcPr>
            <w:tcW w:w="1450" w:type="dxa"/>
            <w:tcBorders>
              <w:top w:val="single" w:color="auto" w:sz="4" w:space="0"/>
              <w:left w:val="single" w:color="auto" w:sz="4" w:space="0"/>
              <w:bottom w:val="single" w:color="auto" w:sz="4" w:space="0"/>
              <w:right w:val="single" w:color="auto" w:sz="4" w:space="0"/>
            </w:tcBorders>
          </w:tcPr>
          <w:p w14:paraId="6F570553">
            <w:pPr>
              <w:tabs>
                <w:tab w:val="left" w:pos="1418"/>
              </w:tabs>
              <w:snapToGrid w:val="0"/>
              <w:spacing w:line="400" w:lineRule="exact"/>
              <w:jc w:val="center"/>
              <w:rPr>
                <w:rFonts w:hint="eastAsia" w:ascii="宋体" w:hAnsi="宋体" w:eastAsia="宋体" w:cs="宋体"/>
                <w:color w:val="auto"/>
                <w:spacing w:val="20"/>
                <w:sz w:val="24"/>
                <w:szCs w:val="24"/>
              </w:rPr>
            </w:pPr>
          </w:p>
        </w:tc>
        <w:tc>
          <w:tcPr>
            <w:tcW w:w="820" w:type="dxa"/>
            <w:tcBorders>
              <w:top w:val="single" w:color="auto" w:sz="4" w:space="0"/>
              <w:left w:val="single" w:color="auto" w:sz="4" w:space="0"/>
              <w:bottom w:val="single" w:color="auto" w:sz="4" w:space="0"/>
              <w:right w:val="single" w:color="auto" w:sz="4" w:space="0"/>
            </w:tcBorders>
          </w:tcPr>
          <w:p w14:paraId="63889F6B">
            <w:pPr>
              <w:tabs>
                <w:tab w:val="left" w:pos="1418"/>
              </w:tabs>
              <w:snapToGrid w:val="0"/>
              <w:spacing w:line="400" w:lineRule="exact"/>
              <w:jc w:val="center"/>
              <w:rPr>
                <w:rFonts w:hint="eastAsia" w:ascii="宋体" w:hAnsi="宋体" w:eastAsia="宋体" w:cs="宋体"/>
                <w:color w:val="auto"/>
                <w:spacing w:val="20"/>
                <w:sz w:val="24"/>
                <w:szCs w:val="24"/>
              </w:rPr>
            </w:pPr>
          </w:p>
        </w:tc>
        <w:tc>
          <w:tcPr>
            <w:tcW w:w="1086" w:type="dxa"/>
            <w:tcBorders>
              <w:top w:val="single" w:color="auto" w:sz="4" w:space="0"/>
              <w:left w:val="single" w:color="auto" w:sz="4" w:space="0"/>
              <w:bottom w:val="single" w:color="auto" w:sz="4" w:space="0"/>
              <w:right w:val="single" w:color="auto" w:sz="4" w:space="0"/>
            </w:tcBorders>
          </w:tcPr>
          <w:p w14:paraId="6147FFEB">
            <w:pPr>
              <w:tabs>
                <w:tab w:val="left" w:pos="1418"/>
              </w:tabs>
              <w:snapToGrid w:val="0"/>
              <w:spacing w:line="400" w:lineRule="exact"/>
              <w:jc w:val="center"/>
              <w:rPr>
                <w:rFonts w:hint="eastAsia" w:ascii="宋体" w:hAnsi="宋体" w:eastAsia="宋体" w:cs="宋体"/>
                <w:color w:val="auto"/>
                <w:spacing w:val="20"/>
                <w:sz w:val="24"/>
                <w:szCs w:val="24"/>
              </w:rPr>
            </w:pPr>
          </w:p>
        </w:tc>
        <w:tc>
          <w:tcPr>
            <w:tcW w:w="2194" w:type="dxa"/>
            <w:tcBorders>
              <w:top w:val="single" w:color="auto" w:sz="4" w:space="0"/>
              <w:left w:val="single" w:color="auto" w:sz="4" w:space="0"/>
              <w:bottom w:val="single" w:color="auto" w:sz="4" w:space="0"/>
            </w:tcBorders>
          </w:tcPr>
          <w:p w14:paraId="5CE6FD66">
            <w:pPr>
              <w:tabs>
                <w:tab w:val="left" w:pos="1418"/>
              </w:tabs>
              <w:snapToGrid w:val="0"/>
              <w:spacing w:line="400" w:lineRule="exact"/>
              <w:jc w:val="center"/>
              <w:rPr>
                <w:rFonts w:hint="eastAsia" w:ascii="宋体" w:hAnsi="宋体" w:eastAsia="宋体" w:cs="宋体"/>
                <w:color w:val="auto"/>
                <w:spacing w:val="20"/>
                <w:sz w:val="24"/>
                <w:szCs w:val="24"/>
              </w:rPr>
            </w:pPr>
          </w:p>
        </w:tc>
      </w:tr>
      <w:tr w14:paraId="082CC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96" w:type="dxa"/>
            <w:tcBorders>
              <w:top w:val="single" w:color="auto" w:sz="4" w:space="0"/>
              <w:bottom w:val="single" w:color="auto" w:sz="4" w:space="0"/>
              <w:right w:val="single" w:color="auto" w:sz="4" w:space="0"/>
            </w:tcBorders>
          </w:tcPr>
          <w:p w14:paraId="7BB61637">
            <w:pPr>
              <w:tabs>
                <w:tab w:val="left" w:pos="1418"/>
              </w:tabs>
              <w:snapToGrid w:val="0"/>
              <w:spacing w:line="400" w:lineRule="exact"/>
              <w:jc w:val="center"/>
              <w:rPr>
                <w:rFonts w:hint="eastAsia" w:ascii="宋体" w:hAnsi="宋体" w:eastAsia="宋体" w:cs="宋体"/>
                <w:color w:val="auto"/>
                <w:spacing w:val="20"/>
                <w:sz w:val="24"/>
                <w:szCs w:val="24"/>
              </w:rPr>
            </w:pPr>
          </w:p>
        </w:tc>
        <w:tc>
          <w:tcPr>
            <w:tcW w:w="1431" w:type="dxa"/>
            <w:tcBorders>
              <w:top w:val="single" w:color="auto" w:sz="4" w:space="0"/>
              <w:left w:val="single" w:color="auto" w:sz="4" w:space="0"/>
              <w:bottom w:val="single" w:color="auto" w:sz="4" w:space="0"/>
              <w:right w:val="single" w:color="auto" w:sz="4" w:space="0"/>
            </w:tcBorders>
          </w:tcPr>
          <w:p w14:paraId="34F15CA6">
            <w:pPr>
              <w:tabs>
                <w:tab w:val="left" w:pos="1418"/>
              </w:tabs>
              <w:snapToGrid w:val="0"/>
              <w:spacing w:line="400" w:lineRule="exact"/>
              <w:jc w:val="center"/>
              <w:rPr>
                <w:rFonts w:hint="eastAsia" w:ascii="宋体" w:hAnsi="宋体" w:eastAsia="宋体" w:cs="宋体"/>
                <w:color w:val="auto"/>
                <w:spacing w:val="20"/>
                <w:sz w:val="24"/>
                <w:szCs w:val="24"/>
              </w:rPr>
            </w:pPr>
          </w:p>
        </w:tc>
        <w:tc>
          <w:tcPr>
            <w:tcW w:w="1086" w:type="dxa"/>
            <w:tcBorders>
              <w:top w:val="single" w:color="auto" w:sz="4" w:space="0"/>
              <w:left w:val="single" w:color="auto" w:sz="4" w:space="0"/>
              <w:bottom w:val="single" w:color="auto" w:sz="4" w:space="0"/>
              <w:right w:val="single" w:color="auto" w:sz="4" w:space="0"/>
            </w:tcBorders>
          </w:tcPr>
          <w:p w14:paraId="262D5FC0">
            <w:pPr>
              <w:tabs>
                <w:tab w:val="left" w:pos="1418"/>
              </w:tabs>
              <w:snapToGrid w:val="0"/>
              <w:spacing w:line="400" w:lineRule="exact"/>
              <w:jc w:val="center"/>
              <w:rPr>
                <w:rFonts w:hint="eastAsia" w:ascii="宋体" w:hAnsi="宋体" w:eastAsia="宋体" w:cs="宋体"/>
                <w:color w:val="auto"/>
                <w:spacing w:val="20"/>
                <w:sz w:val="24"/>
                <w:szCs w:val="24"/>
              </w:rPr>
            </w:pPr>
          </w:p>
        </w:tc>
        <w:tc>
          <w:tcPr>
            <w:tcW w:w="1450" w:type="dxa"/>
            <w:tcBorders>
              <w:top w:val="single" w:color="auto" w:sz="4" w:space="0"/>
              <w:left w:val="single" w:color="auto" w:sz="4" w:space="0"/>
              <w:bottom w:val="single" w:color="auto" w:sz="4" w:space="0"/>
              <w:right w:val="single" w:color="auto" w:sz="4" w:space="0"/>
            </w:tcBorders>
          </w:tcPr>
          <w:p w14:paraId="232B1E94">
            <w:pPr>
              <w:tabs>
                <w:tab w:val="left" w:pos="1418"/>
              </w:tabs>
              <w:snapToGrid w:val="0"/>
              <w:spacing w:line="400" w:lineRule="exact"/>
              <w:jc w:val="center"/>
              <w:rPr>
                <w:rFonts w:hint="eastAsia" w:ascii="宋体" w:hAnsi="宋体" w:eastAsia="宋体" w:cs="宋体"/>
                <w:color w:val="auto"/>
                <w:spacing w:val="20"/>
                <w:sz w:val="24"/>
                <w:szCs w:val="24"/>
              </w:rPr>
            </w:pPr>
          </w:p>
        </w:tc>
        <w:tc>
          <w:tcPr>
            <w:tcW w:w="820" w:type="dxa"/>
            <w:tcBorders>
              <w:top w:val="single" w:color="auto" w:sz="4" w:space="0"/>
              <w:left w:val="single" w:color="auto" w:sz="4" w:space="0"/>
              <w:bottom w:val="single" w:color="auto" w:sz="4" w:space="0"/>
              <w:right w:val="single" w:color="auto" w:sz="4" w:space="0"/>
            </w:tcBorders>
          </w:tcPr>
          <w:p w14:paraId="2D1E7BBA">
            <w:pPr>
              <w:tabs>
                <w:tab w:val="left" w:pos="1418"/>
              </w:tabs>
              <w:snapToGrid w:val="0"/>
              <w:spacing w:line="400" w:lineRule="exact"/>
              <w:jc w:val="center"/>
              <w:rPr>
                <w:rFonts w:hint="eastAsia" w:ascii="宋体" w:hAnsi="宋体" w:eastAsia="宋体" w:cs="宋体"/>
                <w:color w:val="auto"/>
                <w:spacing w:val="20"/>
                <w:sz w:val="24"/>
                <w:szCs w:val="24"/>
              </w:rPr>
            </w:pPr>
          </w:p>
        </w:tc>
        <w:tc>
          <w:tcPr>
            <w:tcW w:w="1086" w:type="dxa"/>
            <w:tcBorders>
              <w:top w:val="single" w:color="auto" w:sz="4" w:space="0"/>
              <w:left w:val="single" w:color="auto" w:sz="4" w:space="0"/>
              <w:bottom w:val="single" w:color="auto" w:sz="4" w:space="0"/>
              <w:right w:val="single" w:color="auto" w:sz="4" w:space="0"/>
            </w:tcBorders>
          </w:tcPr>
          <w:p w14:paraId="2082CE5C">
            <w:pPr>
              <w:tabs>
                <w:tab w:val="left" w:pos="1418"/>
              </w:tabs>
              <w:snapToGrid w:val="0"/>
              <w:spacing w:line="400" w:lineRule="exact"/>
              <w:jc w:val="center"/>
              <w:rPr>
                <w:rFonts w:hint="eastAsia" w:ascii="宋体" w:hAnsi="宋体" w:eastAsia="宋体" w:cs="宋体"/>
                <w:color w:val="auto"/>
                <w:spacing w:val="20"/>
                <w:sz w:val="24"/>
                <w:szCs w:val="24"/>
              </w:rPr>
            </w:pPr>
          </w:p>
        </w:tc>
        <w:tc>
          <w:tcPr>
            <w:tcW w:w="2194" w:type="dxa"/>
            <w:tcBorders>
              <w:top w:val="single" w:color="auto" w:sz="4" w:space="0"/>
              <w:left w:val="single" w:color="auto" w:sz="4" w:space="0"/>
              <w:bottom w:val="single" w:color="auto" w:sz="4" w:space="0"/>
            </w:tcBorders>
          </w:tcPr>
          <w:p w14:paraId="787C89ED">
            <w:pPr>
              <w:tabs>
                <w:tab w:val="left" w:pos="1418"/>
              </w:tabs>
              <w:snapToGrid w:val="0"/>
              <w:spacing w:line="400" w:lineRule="exact"/>
              <w:jc w:val="center"/>
              <w:rPr>
                <w:rFonts w:hint="eastAsia" w:ascii="宋体" w:hAnsi="宋体" w:eastAsia="宋体" w:cs="宋体"/>
                <w:color w:val="auto"/>
                <w:spacing w:val="20"/>
                <w:sz w:val="24"/>
                <w:szCs w:val="24"/>
              </w:rPr>
            </w:pPr>
          </w:p>
        </w:tc>
      </w:tr>
      <w:tr w14:paraId="74501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96" w:type="dxa"/>
            <w:tcBorders>
              <w:top w:val="single" w:color="auto" w:sz="4" w:space="0"/>
              <w:bottom w:val="single" w:color="auto" w:sz="4" w:space="0"/>
              <w:right w:val="single" w:color="auto" w:sz="4" w:space="0"/>
            </w:tcBorders>
          </w:tcPr>
          <w:p w14:paraId="6DABE805">
            <w:pPr>
              <w:tabs>
                <w:tab w:val="left" w:pos="1418"/>
              </w:tabs>
              <w:snapToGrid w:val="0"/>
              <w:spacing w:line="400" w:lineRule="exact"/>
              <w:jc w:val="center"/>
              <w:rPr>
                <w:rFonts w:hint="eastAsia" w:ascii="宋体" w:hAnsi="宋体" w:eastAsia="宋体" w:cs="宋体"/>
                <w:color w:val="auto"/>
                <w:spacing w:val="20"/>
                <w:sz w:val="24"/>
                <w:szCs w:val="24"/>
              </w:rPr>
            </w:pPr>
          </w:p>
        </w:tc>
        <w:tc>
          <w:tcPr>
            <w:tcW w:w="1431" w:type="dxa"/>
            <w:tcBorders>
              <w:top w:val="single" w:color="auto" w:sz="4" w:space="0"/>
              <w:left w:val="single" w:color="auto" w:sz="4" w:space="0"/>
              <w:bottom w:val="single" w:color="auto" w:sz="4" w:space="0"/>
              <w:right w:val="single" w:color="auto" w:sz="4" w:space="0"/>
            </w:tcBorders>
          </w:tcPr>
          <w:p w14:paraId="5A319252">
            <w:pPr>
              <w:tabs>
                <w:tab w:val="left" w:pos="1418"/>
              </w:tabs>
              <w:snapToGrid w:val="0"/>
              <w:spacing w:line="400" w:lineRule="exact"/>
              <w:jc w:val="center"/>
              <w:rPr>
                <w:rFonts w:hint="eastAsia" w:ascii="宋体" w:hAnsi="宋体" w:eastAsia="宋体" w:cs="宋体"/>
                <w:color w:val="auto"/>
                <w:spacing w:val="20"/>
                <w:sz w:val="24"/>
                <w:szCs w:val="24"/>
              </w:rPr>
            </w:pPr>
          </w:p>
        </w:tc>
        <w:tc>
          <w:tcPr>
            <w:tcW w:w="1086" w:type="dxa"/>
            <w:tcBorders>
              <w:top w:val="single" w:color="auto" w:sz="4" w:space="0"/>
              <w:left w:val="single" w:color="auto" w:sz="4" w:space="0"/>
              <w:bottom w:val="single" w:color="auto" w:sz="4" w:space="0"/>
              <w:right w:val="single" w:color="auto" w:sz="4" w:space="0"/>
            </w:tcBorders>
          </w:tcPr>
          <w:p w14:paraId="65850C88">
            <w:pPr>
              <w:tabs>
                <w:tab w:val="left" w:pos="1418"/>
              </w:tabs>
              <w:snapToGrid w:val="0"/>
              <w:spacing w:line="400" w:lineRule="exact"/>
              <w:jc w:val="center"/>
              <w:rPr>
                <w:rFonts w:hint="eastAsia" w:ascii="宋体" w:hAnsi="宋体" w:eastAsia="宋体" w:cs="宋体"/>
                <w:color w:val="auto"/>
                <w:spacing w:val="20"/>
                <w:sz w:val="24"/>
                <w:szCs w:val="24"/>
              </w:rPr>
            </w:pPr>
          </w:p>
        </w:tc>
        <w:tc>
          <w:tcPr>
            <w:tcW w:w="1450" w:type="dxa"/>
            <w:tcBorders>
              <w:top w:val="single" w:color="auto" w:sz="4" w:space="0"/>
              <w:left w:val="single" w:color="auto" w:sz="4" w:space="0"/>
              <w:bottom w:val="single" w:color="auto" w:sz="4" w:space="0"/>
              <w:right w:val="single" w:color="auto" w:sz="4" w:space="0"/>
            </w:tcBorders>
          </w:tcPr>
          <w:p w14:paraId="3B41CD3A">
            <w:pPr>
              <w:tabs>
                <w:tab w:val="left" w:pos="1418"/>
              </w:tabs>
              <w:snapToGrid w:val="0"/>
              <w:spacing w:line="400" w:lineRule="exact"/>
              <w:jc w:val="center"/>
              <w:rPr>
                <w:rFonts w:hint="eastAsia" w:ascii="宋体" w:hAnsi="宋体" w:eastAsia="宋体" w:cs="宋体"/>
                <w:color w:val="auto"/>
                <w:spacing w:val="20"/>
                <w:sz w:val="24"/>
                <w:szCs w:val="24"/>
              </w:rPr>
            </w:pPr>
          </w:p>
        </w:tc>
        <w:tc>
          <w:tcPr>
            <w:tcW w:w="820" w:type="dxa"/>
            <w:tcBorders>
              <w:top w:val="single" w:color="auto" w:sz="4" w:space="0"/>
              <w:left w:val="single" w:color="auto" w:sz="4" w:space="0"/>
              <w:bottom w:val="single" w:color="auto" w:sz="4" w:space="0"/>
              <w:right w:val="single" w:color="auto" w:sz="4" w:space="0"/>
            </w:tcBorders>
          </w:tcPr>
          <w:p w14:paraId="3C8B6DCD">
            <w:pPr>
              <w:tabs>
                <w:tab w:val="left" w:pos="1418"/>
              </w:tabs>
              <w:snapToGrid w:val="0"/>
              <w:spacing w:line="400" w:lineRule="exact"/>
              <w:jc w:val="center"/>
              <w:rPr>
                <w:rFonts w:hint="eastAsia" w:ascii="宋体" w:hAnsi="宋体" w:eastAsia="宋体" w:cs="宋体"/>
                <w:color w:val="auto"/>
                <w:spacing w:val="20"/>
                <w:sz w:val="24"/>
                <w:szCs w:val="24"/>
              </w:rPr>
            </w:pPr>
          </w:p>
        </w:tc>
        <w:tc>
          <w:tcPr>
            <w:tcW w:w="1086" w:type="dxa"/>
            <w:tcBorders>
              <w:top w:val="single" w:color="auto" w:sz="4" w:space="0"/>
              <w:left w:val="single" w:color="auto" w:sz="4" w:space="0"/>
              <w:bottom w:val="single" w:color="auto" w:sz="4" w:space="0"/>
              <w:right w:val="single" w:color="auto" w:sz="4" w:space="0"/>
            </w:tcBorders>
          </w:tcPr>
          <w:p w14:paraId="7D89CA54">
            <w:pPr>
              <w:tabs>
                <w:tab w:val="left" w:pos="1418"/>
              </w:tabs>
              <w:snapToGrid w:val="0"/>
              <w:spacing w:line="400" w:lineRule="exact"/>
              <w:jc w:val="center"/>
              <w:rPr>
                <w:rFonts w:hint="eastAsia" w:ascii="宋体" w:hAnsi="宋体" w:eastAsia="宋体" w:cs="宋体"/>
                <w:color w:val="auto"/>
                <w:spacing w:val="20"/>
                <w:sz w:val="24"/>
                <w:szCs w:val="24"/>
              </w:rPr>
            </w:pPr>
          </w:p>
        </w:tc>
        <w:tc>
          <w:tcPr>
            <w:tcW w:w="2194" w:type="dxa"/>
            <w:tcBorders>
              <w:top w:val="single" w:color="auto" w:sz="4" w:space="0"/>
              <w:left w:val="single" w:color="auto" w:sz="4" w:space="0"/>
              <w:bottom w:val="single" w:color="auto" w:sz="4" w:space="0"/>
            </w:tcBorders>
          </w:tcPr>
          <w:p w14:paraId="5C8A4F5A">
            <w:pPr>
              <w:tabs>
                <w:tab w:val="left" w:pos="1418"/>
              </w:tabs>
              <w:snapToGrid w:val="0"/>
              <w:spacing w:line="400" w:lineRule="exact"/>
              <w:jc w:val="center"/>
              <w:rPr>
                <w:rFonts w:hint="eastAsia" w:ascii="宋体" w:hAnsi="宋体" w:eastAsia="宋体" w:cs="宋体"/>
                <w:color w:val="auto"/>
                <w:spacing w:val="20"/>
                <w:sz w:val="24"/>
                <w:szCs w:val="24"/>
              </w:rPr>
            </w:pPr>
          </w:p>
        </w:tc>
      </w:tr>
      <w:tr w14:paraId="7D1D03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96" w:type="dxa"/>
            <w:tcBorders>
              <w:top w:val="single" w:color="auto" w:sz="4" w:space="0"/>
              <w:bottom w:val="single" w:color="auto" w:sz="4" w:space="0"/>
              <w:right w:val="single" w:color="auto" w:sz="4" w:space="0"/>
            </w:tcBorders>
          </w:tcPr>
          <w:p w14:paraId="4979F886">
            <w:pPr>
              <w:tabs>
                <w:tab w:val="left" w:pos="1418"/>
              </w:tabs>
              <w:snapToGrid w:val="0"/>
              <w:spacing w:line="400" w:lineRule="exact"/>
              <w:jc w:val="center"/>
              <w:rPr>
                <w:rFonts w:hint="eastAsia" w:ascii="宋体" w:hAnsi="宋体" w:eastAsia="宋体" w:cs="宋体"/>
                <w:color w:val="auto"/>
                <w:spacing w:val="20"/>
                <w:sz w:val="24"/>
                <w:szCs w:val="24"/>
              </w:rPr>
            </w:pPr>
          </w:p>
        </w:tc>
        <w:tc>
          <w:tcPr>
            <w:tcW w:w="1431" w:type="dxa"/>
            <w:tcBorders>
              <w:top w:val="single" w:color="auto" w:sz="4" w:space="0"/>
              <w:left w:val="single" w:color="auto" w:sz="4" w:space="0"/>
              <w:bottom w:val="single" w:color="auto" w:sz="4" w:space="0"/>
              <w:right w:val="single" w:color="auto" w:sz="4" w:space="0"/>
            </w:tcBorders>
          </w:tcPr>
          <w:p w14:paraId="519B950F">
            <w:pPr>
              <w:tabs>
                <w:tab w:val="left" w:pos="1418"/>
              </w:tabs>
              <w:snapToGrid w:val="0"/>
              <w:spacing w:line="400" w:lineRule="exact"/>
              <w:jc w:val="center"/>
              <w:rPr>
                <w:rFonts w:hint="eastAsia" w:ascii="宋体" w:hAnsi="宋体" w:eastAsia="宋体" w:cs="宋体"/>
                <w:color w:val="auto"/>
                <w:spacing w:val="20"/>
                <w:sz w:val="24"/>
                <w:szCs w:val="24"/>
              </w:rPr>
            </w:pPr>
          </w:p>
        </w:tc>
        <w:tc>
          <w:tcPr>
            <w:tcW w:w="1086" w:type="dxa"/>
            <w:tcBorders>
              <w:top w:val="single" w:color="auto" w:sz="4" w:space="0"/>
              <w:left w:val="single" w:color="auto" w:sz="4" w:space="0"/>
              <w:bottom w:val="single" w:color="auto" w:sz="4" w:space="0"/>
              <w:right w:val="single" w:color="auto" w:sz="4" w:space="0"/>
            </w:tcBorders>
          </w:tcPr>
          <w:p w14:paraId="44223BC3">
            <w:pPr>
              <w:tabs>
                <w:tab w:val="left" w:pos="1418"/>
              </w:tabs>
              <w:snapToGrid w:val="0"/>
              <w:spacing w:line="400" w:lineRule="exact"/>
              <w:jc w:val="center"/>
              <w:rPr>
                <w:rFonts w:hint="eastAsia" w:ascii="宋体" w:hAnsi="宋体" w:eastAsia="宋体" w:cs="宋体"/>
                <w:color w:val="auto"/>
                <w:spacing w:val="20"/>
                <w:sz w:val="24"/>
                <w:szCs w:val="24"/>
              </w:rPr>
            </w:pPr>
          </w:p>
        </w:tc>
        <w:tc>
          <w:tcPr>
            <w:tcW w:w="1450" w:type="dxa"/>
            <w:tcBorders>
              <w:top w:val="single" w:color="auto" w:sz="4" w:space="0"/>
              <w:left w:val="single" w:color="auto" w:sz="4" w:space="0"/>
              <w:bottom w:val="single" w:color="auto" w:sz="4" w:space="0"/>
              <w:right w:val="single" w:color="auto" w:sz="4" w:space="0"/>
            </w:tcBorders>
          </w:tcPr>
          <w:p w14:paraId="3B99EB17">
            <w:pPr>
              <w:tabs>
                <w:tab w:val="left" w:pos="1418"/>
              </w:tabs>
              <w:snapToGrid w:val="0"/>
              <w:spacing w:line="400" w:lineRule="exact"/>
              <w:jc w:val="center"/>
              <w:rPr>
                <w:rFonts w:hint="eastAsia" w:ascii="宋体" w:hAnsi="宋体" w:eastAsia="宋体" w:cs="宋体"/>
                <w:color w:val="auto"/>
                <w:spacing w:val="20"/>
                <w:sz w:val="24"/>
                <w:szCs w:val="24"/>
              </w:rPr>
            </w:pPr>
          </w:p>
        </w:tc>
        <w:tc>
          <w:tcPr>
            <w:tcW w:w="820" w:type="dxa"/>
            <w:tcBorders>
              <w:top w:val="single" w:color="auto" w:sz="4" w:space="0"/>
              <w:left w:val="single" w:color="auto" w:sz="4" w:space="0"/>
              <w:bottom w:val="single" w:color="auto" w:sz="4" w:space="0"/>
              <w:right w:val="single" w:color="auto" w:sz="4" w:space="0"/>
            </w:tcBorders>
          </w:tcPr>
          <w:p w14:paraId="49398DCD">
            <w:pPr>
              <w:tabs>
                <w:tab w:val="left" w:pos="1418"/>
              </w:tabs>
              <w:snapToGrid w:val="0"/>
              <w:spacing w:line="400" w:lineRule="exact"/>
              <w:jc w:val="center"/>
              <w:rPr>
                <w:rFonts w:hint="eastAsia" w:ascii="宋体" w:hAnsi="宋体" w:eastAsia="宋体" w:cs="宋体"/>
                <w:color w:val="auto"/>
                <w:spacing w:val="20"/>
                <w:sz w:val="24"/>
                <w:szCs w:val="24"/>
              </w:rPr>
            </w:pPr>
          </w:p>
        </w:tc>
        <w:tc>
          <w:tcPr>
            <w:tcW w:w="1086" w:type="dxa"/>
            <w:tcBorders>
              <w:top w:val="single" w:color="auto" w:sz="4" w:space="0"/>
              <w:left w:val="single" w:color="auto" w:sz="4" w:space="0"/>
              <w:bottom w:val="single" w:color="auto" w:sz="4" w:space="0"/>
              <w:right w:val="single" w:color="auto" w:sz="4" w:space="0"/>
            </w:tcBorders>
          </w:tcPr>
          <w:p w14:paraId="336037B2">
            <w:pPr>
              <w:tabs>
                <w:tab w:val="left" w:pos="1418"/>
              </w:tabs>
              <w:snapToGrid w:val="0"/>
              <w:spacing w:line="400" w:lineRule="exact"/>
              <w:jc w:val="center"/>
              <w:rPr>
                <w:rFonts w:hint="eastAsia" w:ascii="宋体" w:hAnsi="宋体" w:eastAsia="宋体" w:cs="宋体"/>
                <w:color w:val="auto"/>
                <w:spacing w:val="20"/>
                <w:sz w:val="24"/>
                <w:szCs w:val="24"/>
              </w:rPr>
            </w:pPr>
          </w:p>
        </w:tc>
        <w:tc>
          <w:tcPr>
            <w:tcW w:w="2194" w:type="dxa"/>
            <w:tcBorders>
              <w:top w:val="single" w:color="auto" w:sz="4" w:space="0"/>
              <w:left w:val="single" w:color="auto" w:sz="4" w:space="0"/>
              <w:bottom w:val="single" w:color="auto" w:sz="4" w:space="0"/>
            </w:tcBorders>
          </w:tcPr>
          <w:p w14:paraId="63F9E589">
            <w:pPr>
              <w:tabs>
                <w:tab w:val="left" w:pos="1418"/>
              </w:tabs>
              <w:snapToGrid w:val="0"/>
              <w:spacing w:line="400" w:lineRule="exact"/>
              <w:jc w:val="center"/>
              <w:rPr>
                <w:rFonts w:hint="eastAsia" w:ascii="宋体" w:hAnsi="宋体" w:eastAsia="宋体" w:cs="宋体"/>
                <w:color w:val="auto"/>
                <w:spacing w:val="20"/>
                <w:sz w:val="24"/>
                <w:szCs w:val="24"/>
              </w:rPr>
            </w:pPr>
          </w:p>
        </w:tc>
      </w:tr>
      <w:tr w14:paraId="2ECCB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96" w:type="dxa"/>
            <w:tcBorders>
              <w:top w:val="single" w:color="auto" w:sz="4" w:space="0"/>
              <w:bottom w:val="single" w:color="auto" w:sz="4" w:space="0"/>
              <w:right w:val="single" w:color="auto" w:sz="4" w:space="0"/>
            </w:tcBorders>
          </w:tcPr>
          <w:p w14:paraId="3DEFE4C4">
            <w:pPr>
              <w:tabs>
                <w:tab w:val="left" w:pos="1418"/>
              </w:tabs>
              <w:snapToGrid w:val="0"/>
              <w:spacing w:line="400" w:lineRule="exact"/>
              <w:jc w:val="center"/>
              <w:rPr>
                <w:rFonts w:hint="eastAsia" w:ascii="宋体" w:hAnsi="宋体" w:eastAsia="宋体" w:cs="宋体"/>
                <w:color w:val="auto"/>
                <w:spacing w:val="20"/>
                <w:sz w:val="24"/>
                <w:szCs w:val="24"/>
              </w:rPr>
            </w:pPr>
          </w:p>
        </w:tc>
        <w:tc>
          <w:tcPr>
            <w:tcW w:w="1431" w:type="dxa"/>
            <w:tcBorders>
              <w:top w:val="single" w:color="auto" w:sz="4" w:space="0"/>
              <w:left w:val="single" w:color="auto" w:sz="4" w:space="0"/>
              <w:bottom w:val="single" w:color="auto" w:sz="4" w:space="0"/>
              <w:right w:val="single" w:color="auto" w:sz="4" w:space="0"/>
            </w:tcBorders>
          </w:tcPr>
          <w:p w14:paraId="6C090F7A">
            <w:pPr>
              <w:tabs>
                <w:tab w:val="left" w:pos="1418"/>
              </w:tabs>
              <w:snapToGrid w:val="0"/>
              <w:spacing w:line="400" w:lineRule="exact"/>
              <w:jc w:val="center"/>
              <w:rPr>
                <w:rFonts w:hint="eastAsia" w:ascii="宋体" w:hAnsi="宋体" w:eastAsia="宋体" w:cs="宋体"/>
                <w:color w:val="auto"/>
                <w:spacing w:val="20"/>
                <w:sz w:val="24"/>
                <w:szCs w:val="24"/>
              </w:rPr>
            </w:pPr>
          </w:p>
        </w:tc>
        <w:tc>
          <w:tcPr>
            <w:tcW w:w="1086" w:type="dxa"/>
            <w:tcBorders>
              <w:top w:val="single" w:color="auto" w:sz="4" w:space="0"/>
              <w:left w:val="single" w:color="auto" w:sz="4" w:space="0"/>
              <w:bottom w:val="single" w:color="auto" w:sz="4" w:space="0"/>
              <w:right w:val="single" w:color="auto" w:sz="4" w:space="0"/>
            </w:tcBorders>
          </w:tcPr>
          <w:p w14:paraId="0F9D1BC0">
            <w:pPr>
              <w:tabs>
                <w:tab w:val="left" w:pos="1418"/>
              </w:tabs>
              <w:snapToGrid w:val="0"/>
              <w:spacing w:line="400" w:lineRule="exact"/>
              <w:jc w:val="center"/>
              <w:rPr>
                <w:rFonts w:hint="eastAsia" w:ascii="宋体" w:hAnsi="宋体" w:eastAsia="宋体" w:cs="宋体"/>
                <w:color w:val="auto"/>
                <w:spacing w:val="20"/>
                <w:sz w:val="24"/>
                <w:szCs w:val="24"/>
              </w:rPr>
            </w:pPr>
          </w:p>
        </w:tc>
        <w:tc>
          <w:tcPr>
            <w:tcW w:w="1450" w:type="dxa"/>
            <w:tcBorders>
              <w:top w:val="single" w:color="auto" w:sz="4" w:space="0"/>
              <w:left w:val="single" w:color="auto" w:sz="4" w:space="0"/>
              <w:bottom w:val="single" w:color="auto" w:sz="4" w:space="0"/>
              <w:right w:val="single" w:color="auto" w:sz="4" w:space="0"/>
            </w:tcBorders>
          </w:tcPr>
          <w:p w14:paraId="4BC02CEB">
            <w:pPr>
              <w:tabs>
                <w:tab w:val="left" w:pos="1418"/>
              </w:tabs>
              <w:snapToGrid w:val="0"/>
              <w:spacing w:line="400" w:lineRule="exact"/>
              <w:jc w:val="center"/>
              <w:rPr>
                <w:rFonts w:hint="eastAsia" w:ascii="宋体" w:hAnsi="宋体" w:eastAsia="宋体" w:cs="宋体"/>
                <w:color w:val="auto"/>
                <w:spacing w:val="20"/>
                <w:sz w:val="24"/>
                <w:szCs w:val="24"/>
              </w:rPr>
            </w:pPr>
          </w:p>
        </w:tc>
        <w:tc>
          <w:tcPr>
            <w:tcW w:w="820" w:type="dxa"/>
            <w:tcBorders>
              <w:top w:val="single" w:color="auto" w:sz="4" w:space="0"/>
              <w:left w:val="single" w:color="auto" w:sz="4" w:space="0"/>
              <w:bottom w:val="single" w:color="auto" w:sz="4" w:space="0"/>
              <w:right w:val="single" w:color="auto" w:sz="4" w:space="0"/>
            </w:tcBorders>
          </w:tcPr>
          <w:p w14:paraId="4D5967C7">
            <w:pPr>
              <w:tabs>
                <w:tab w:val="left" w:pos="1418"/>
              </w:tabs>
              <w:snapToGrid w:val="0"/>
              <w:spacing w:line="400" w:lineRule="exact"/>
              <w:jc w:val="center"/>
              <w:rPr>
                <w:rFonts w:hint="eastAsia" w:ascii="宋体" w:hAnsi="宋体" w:eastAsia="宋体" w:cs="宋体"/>
                <w:color w:val="auto"/>
                <w:spacing w:val="20"/>
                <w:sz w:val="24"/>
                <w:szCs w:val="24"/>
              </w:rPr>
            </w:pPr>
          </w:p>
        </w:tc>
        <w:tc>
          <w:tcPr>
            <w:tcW w:w="1086" w:type="dxa"/>
            <w:tcBorders>
              <w:top w:val="single" w:color="auto" w:sz="4" w:space="0"/>
              <w:left w:val="single" w:color="auto" w:sz="4" w:space="0"/>
              <w:bottom w:val="single" w:color="auto" w:sz="4" w:space="0"/>
              <w:right w:val="single" w:color="auto" w:sz="4" w:space="0"/>
            </w:tcBorders>
          </w:tcPr>
          <w:p w14:paraId="70BC6709">
            <w:pPr>
              <w:tabs>
                <w:tab w:val="left" w:pos="1418"/>
              </w:tabs>
              <w:snapToGrid w:val="0"/>
              <w:spacing w:line="400" w:lineRule="exact"/>
              <w:jc w:val="center"/>
              <w:rPr>
                <w:rFonts w:hint="eastAsia" w:ascii="宋体" w:hAnsi="宋体" w:eastAsia="宋体" w:cs="宋体"/>
                <w:color w:val="auto"/>
                <w:spacing w:val="20"/>
                <w:sz w:val="24"/>
                <w:szCs w:val="24"/>
              </w:rPr>
            </w:pPr>
          </w:p>
        </w:tc>
        <w:tc>
          <w:tcPr>
            <w:tcW w:w="2194" w:type="dxa"/>
            <w:tcBorders>
              <w:top w:val="single" w:color="auto" w:sz="4" w:space="0"/>
              <w:left w:val="single" w:color="auto" w:sz="4" w:space="0"/>
              <w:bottom w:val="single" w:color="auto" w:sz="4" w:space="0"/>
            </w:tcBorders>
          </w:tcPr>
          <w:p w14:paraId="0FE5C375">
            <w:pPr>
              <w:tabs>
                <w:tab w:val="left" w:pos="1418"/>
              </w:tabs>
              <w:snapToGrid w:val="0"/>
              <w:spacing w:line="400" w:lineRule="exact"/>
              <w:jc w:val="center"/>
              <w:rPr>
                <w:rFonts w:hint="eastAsia" w:ascii="宋体" w:hAnsi="宋体" w:eastAsia="宋体" w:cs="宋体"/>
                <w:color w:val="auto"/>
                <w:spacing w:val="20"/>
                <w:sz w:val="24"/>
                <w:szCs w:val="24"/>
              </w:rPr>
            </w:pPr>
          </w:p>
        </w:tc>
      </w:tr>
      <w:tr w14:paraId="41073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96" w:type="dxa"/>
            <w:tcBorders>
              <w:top w:val="single" w:color="auto" w:sz="4" w:space="0"/>
              <w:bottom w:val="single" w:color="auto" w:sz="4" w:space="0"/>
              <w:right w:val="single" w:color="auto" w:sz="4" w:space="0"/>
            </w:tcBorders>
          </w:tcPr>
          <w:p w14:paraId="6A04A2D7">
            <w:pPr>
              <w:tabs>
                <w:tab w:val="left" w:pos="1418"/>
              </w:tabs>
              <w:snapToGrid w:val="0"/>
              <w:spacing w:line="400" w:lineRule="exact"/>
              <w:jc w:val="center"/>
              <w:rPr>
                <w:rFonts w:hint="eastAsia" w:ascii="宋体" w:hAnsi="宋体" w:eastAsia="宋体" w:cs="宋体"/>
                <w:color w:val="auto"/>
                <w:spacing w:val="20"/>
                <w:sz w:val="24"/>
                <w:szCs w:val="24"/>
              </w:rPr>
            </w:pPr>
          </w:p>
        </w:tc>
        <w:tc>
          <w:tcPr>
            <w:tcW w:w="1431" w:type="dxa"/>
            <w:tcBorders>
              <w:top w:val="single" w:color="auto" w:sz="4" w:space="0"/>
              <w:left w:val="single" w:color="auto" w:sz="4" w:space="0"/>
              <w:bottom w:val="single" w:color="auto" w:sz="4" w:space="0"/>
              <w:right w:val="single" w:color="auto" w:sz="4" w:space="0"/>
            </w:tcBorders>
          </w:tcPr>
          <w:p w14:paraId="6EF1245B">
            <w:pPr>
              <w:tabs>
                <w:tab w:val="left" w:pos="1418"/>
              </w:tabs>
              <w:snapToGrid w:val="0"/>
              <w:spacing w:line="400" w:lineRule="exact"/>
              <w:jc w:val="center"/>
              <w:rPr>
                <w:rFonts w:hint="eastAsia" w:ascii="宋体" w:hAnsi="宋体" w:eastAsia="宋体" w:cs="宋体"/>
                <w:color w:val="auto"/>
                <w:spacing w:val="20"/>
                <w:sz w:val="24"/>
                <w:szCs w:val="24"/>
              </w:rPr>
            </w:pPr>
          </w:p>
        </w:tc>
        <w:tc>
          <w:tcPr>
            <w:tcW w:w="1086" w:type="dxa"/>
            <w:tcBorders>
              <w:top w:val="single" w:color="auto" w:sz="4" w:space="0"/>
              <w:left w:val="single" w:color="auto" w:sz="4" w:space="0"/>
              <w:bottom w:val="single" w:color="auto" w:sz="4" w:space="0"/>
              <w:right w:val="single" w:color="auto" w:sz="4" w:space="0"/>
            </w:tcBorders>
          </w:tcPr>
          <w:p w14:paraId="24FA8AC8">
            <w:pPr>
              <w:tabs>
                <w:tab w:val="left" w:pos="1418"/>
              </w:tabs>
              <w:snapToGrid w:val="0"/>
              <w:spacing w:line="400" w:lineRule="exact"/>
              <w:jc w:val="center"/>
              <w:rPr>
                <w:rFonts w:hint="eastAsia" w:ascii="宋体" w:hAnsi="宋体" w:eastAsia="宋体" w:cs="宋体"/>
                <w:color w:val="auto"/>
                <w:spacing w:val="20"/>
                <w:sz w:val="24"/>
                <w:szCs w:val="24"/>
              </w:rPr>
            </w:pPr>
          </w:p>
        </w:tc>
        <w:tc>
          <w:tcPr>
            <w:tcW w:w="1450" w:type="dxa"/>
            <w:tcBorders>
              <w:top w:val="single" w:color="auto" w:sz="4" w:space="0"/>
              <w:left w:val="single" w:color="auto" w:sz="4" w:space="0"/>
              <w:bottom w:val="single" w:color="auto" w:sz="4" w:space="0"/>
              <w:right w:val="single" w:color="auto" w:sz="4" w:space="0"/>
            </w:tcBorders>
          </w:tcPr>
          <w:p w14:paraId="423582E7">
            <w:pPr>
              <w:tabs>
                <w:tab w:val="left" w:pos="1418"/>
              </w:tabs>
              <w:snapToGrid w:val="0"/>
              <w:spacing w:line="400" w:lineRule="exact"/>
              <w:jc w:val="center"/>
              <w:rPr>
                <w:rFonts w:hint="eastAsia" w:ascii="宋体" w:hAnsi="宋体" w:eastAsia="宋体" w:cs="宋体"/>
                <w:color w:val="auto"/>
                <w:spacing w:val="20"/>
                <w:sz w:val="24"/>
                <w:szCs w:val="24"/>
              </w:rPr>
            </w:pPr>
          </w:p>
        </w:tc>
        <w:tc>
          <w:tcPr>
            <w:tcW w:w="820" w:type="dxa"/>
            <w:tcBorders>
              <w:top w:val="single" w:color="auto" w:sz="4" w:space="0"/>
              <w:left w:val="single" w:color="auto" w:sz="4" w:space="0"/>
              <w:bottom w:val="single" w:color="auto" w:sz="4" w:space="0"/>
              <w:right w:val="single" w:color="auto" w:sz="4" w:space="0"/>
            </w:tcBorders>
          </w:tcPr>
          <w:p w14:paraId="02F66749">
            <w:pPr>
              <w:tabs>
                <w:tab w:val="left" w:pos="1418"/>
              </w:tabs>
              <w:snapToGrid w:val="0"/>
              <w:spacing w:line="400" w:lineRule="exact"/>
              <w:jc w:val="center"/>
              <w:rPr>
                <w:rFonts w:hint="eastAsia" w:ascii="宋体" w:hAnsi="宋体" w:eastAsia="宋体" w:cs="宋体"/>
                <w:color w:val="auto"/>
                <w:spacing w:val="20"/>
                <w:sz w:val="24"/>
                <w:szCs w:val="24"/>
              </w:rPr>
            </w:pPr>
          </w:p>
        </w:tc>
        <w:tc>
          <w:tcPr>
            <w:tcW w:w="1086" w:type="dxa"/>
            <w:tcBorders>
              <w:top w:val="single" w:color="auto" w:sz="4" w:space="0"/>
              <w:left w:val="single" w:color="auto" w:sz="4" w:space="0"/>
              <w:bottom w:val="single" w:color="auto" w:sz="4" w:space="0"/>
              <w:right w:val="single" w:color="auto" w:sz="4" w:space="0"/>
            </w:tcBorders>
          </w:tcPr>
          <w:p w14:paraId="408086FD">
            <w:pPr>
              <w:tabs>
                <w:tab w:val="left" w:pos="1418"/>
              </w:tabs>
              <w:snapToGrid w:val="0"/>
              <w:spacing w:line="400" w:lineRule="exact"/>
              <w:jc w:val="center"/>
              <w:rPr>
                <w:rFonts w:hint="eastAsia" w:ascii="宋体" w:hAnsi="宋体" w:eastAsia="宋体" w:cs="宋体"/>
                <w:color w:val="auto"/>
                <w:spacing w:val="20"/>
                <w:sz w:val="24"/>
                <w:szCs w:val="24"/>
              </w:rPr>
            </w:pPr>
          </w:p>
        </w:tc>
        <w:tc>
          <w:tcPr>
            <w:tcW w:w="2194" w:type="dxa"/>
            <w:tcBorders>
              <w:top w:val="single" w:color="auto" w:sz="4" w:space="0"/>
              <w:left w:val="single" w:color="auto" w:sz="4" w:space="0"/>
              <w:bottom w:val="single" w:color="auto" w:sz="4" w:space="0"/>
            </w:tcBorders>
          </w:tcPr>
          <w:p w14:paraId="4752D1D1">
            <w:pPr>
              <w:tabs>
                <w:tab w:val="left" w:pos="1418"/>
              </w:tabs>
              <w:snapToGrid w:val="0"/>
              <w:spacing w:line="400" w:lineRule="exact"/>
              <w:jc w:val="center"/>
              <w:rPr>
                <w:rFonts w:hint="eastAsia" w:ascii="宋体" w:hAnsi="宋体" w:eastAsia="宋体" w:cs="宋体"/>
                <w:color w:val="auto"/>
                <w:spacing w:val="20"/>
                <w:sz w:val="24"/>
                <w:szCs w:val="24"/>
              </w:rPr>
            </w:pPr>
          </w:p>
        </w:tc>
      </w:tr>
      <w:tr w14:paraId="77B9B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96" w:type="dxa"/>
            <w:tcBorders>
              <w:top w:val="single" w:color="auto" w:sz="4" w:space="0"/>
              <w:bottom w:val="single" w:color="auto" w:sz="4" w:space="0"/>
              <w:right w:val="single" w:color="auto" w:sz="4" w:space="0"/>
            </w:tcBorders>
          </w:tcPr>
          <w:p w14:paraId="6EE5F53F">
            <w:pPr>
              <w:tabs>
                <w:tab w:val="left" w:pos="1418"/>
              </w:tabs>
              <w:snapToGrid w:val="0"/>
              <w:spacing w:line="400" w:lineRule="exact"/>
              <w:jc w:val="center"/>
              <w:rPr>
                <w:rFonts w:ascii="宋体" w:hAnsi="宋体"/>
                <w:color w:val="auto"/>
                <w:spacing w:val="20"/>
              </w:rPr>
            </w:pPr>
          </w:p>
        </w:tc>
        <w:tc>
          <w:tcPr>
            <w:tcW w:w="1431" w:type="dxa"/>
            <w:tcBorders>
              <w:top w:val="single" w:color="auto" w:sz="4" w:space="0"/>
              <w:left w:val="single" w:color="auto" w:sz="4" w:space="0"/>
              <w:bottom w:val="single" w:color="auto" w:sz="4" w:space="0"/>
              <w:right w:val="single" w:color="auto" w:sz="4" w:space="0"/>
            </w:tcBorders>
          </w:tcPr>
          <w:p w14:paraId="48925489">
            <w:pPr>
              <w:tabs>
                <w:tab w:val="left" w:pos="1418"/>
              </w:tabs>
              <w:snapToGrid w:val="0"/>
              <w:spacing w:line="400" w:lineRule="exact"/>
              <w:jc w:val="center"/>
              <w:rPr>
                <w:rFonts w:ascii="宋体" w:hAnsi="宋体"/>
                <w:color w:val="auto"/>
                <w:spacing w:val="20"/>
              </w:rPr>
            </w:pPr>
          </w:p>
        </w:tc>
        <w:tc>
          <w:tcPr>
            <w:tcW w:w="1086" w:type="dxa"/>
            <w:tcBorders>
              <w:top w:val="single" w:color="auto" w:sz="4" w:space="0"/>
              <w:left w:val="single" w:color="auto" w:sz="4" w:space="0"/>
              <w:bottom w:val="single" w:color="auto" w:sz="4" w:space="0"/>
              <w:right w:val="single" w:color="auto" w:sz="4" w:space="0"/>
            </w:tcBorders>
          </w:tcPr>
          <w:p w14:paraId="24D6CBBB">
            <w:pPr>
              <w:tabs>
                <w:tab w:val="left" w:pos="1418"/>
              </w:tabs>
              <w:snapToGrid w:val="0"/>
              <w:spacing w:line="400" w:lineRule="exact"/>
              <w:jc w:val="center"/>
              <w:rPr>
                <w:rFonts w:ascii="宋体" w:hAnsi="宋体"/>
                <w:color w:val="auto"/>
                <w:spacing w:val="20"/>
              </w:rPr>
            </w:pPr>
          </w:p>
        </w:tc>
        <w:tc>
          <w:tcPr>
            <w:tcW w:w="1450" w:type="dxa"/>
            <w:tcBorders>
              <w:top w:val="single" w:color="auto" w:sz="4" w:space="0"/>
              <w:left w:val="single" w:color="auto" w:sz="4" w:space="0"/>
              <w:bottom w:val="single" w:color="auto" w:sz="4" w:space="0"/>
              <w:right w:val="single" w:color="auto" w:sz="4" w:space="0"/>
            </w:tcBorders>
          </w:tcPr>
          <w:p w14:paraId="59239B4B">
            <w:pPr>
              <w:tabs>
                <w:tab w:val="left" w:pos="1418"/>
              </w:tabs>
              <w:snapToGrid w:val="0"/>
              <w:spacing w:line="400" w:lineRule="exact"/>
              <w:jc w:val="center"/>
              <w:rPr>
                <w:rFonts w:ascii="宋体" w:hAnsi="宋体"/>
                <w:color w:val="auto"/>
                <w:spacing w:val="20"/>
              </w:rPr>
            </w:pPr>
          </w:p>
        </w:tc>
        <w:tc>
          <w:tcPr>
            <w:tcW w:w="820" w:type="dxa"/>
            <w:tcBorders>
              <w:top w:val="single" w:color="auto" w:sz="4" w:space="0"/>
              <w:left w:val="single" w:color="auto" w:sz="4" w:space="0"/>
              <w:bottom w:val="single" w:color="auto" w:sz="4" w:space="0"/>
              <w:right w:val="single" w:color="auto" w:sz="4" w:space="0"/>
            </w:tcBorders>
          </w:tcPr>
          <w:p w14:paraId="2D724F4B">
            <w:pPr>
              <w:tabs>
                <w:tab w:val="left" w:pos="1418"/>
              </w:tabs>
              <w:snapToGrid w:val="0"/>
              <w:spacing w:line="400" w:lineRule="exact"/>
              <w:jc w:val="center"/>
              <w:rPr>
                <w:rFonts w:ascii="宋体" w:hAnsi="宋体"/>
                <w:color w:val="auto"/>
                <w:spacing w:val="20"/>
              </w:rPr>
            </w:pPr>
          </w:p>
        </w:tc>
        <w:tc>
          <w:tcPr>
            <w:tcW w:w="1086" w:type="dxa"/>
            <w:tcBorders>
              <w:top w:val="single" w:color="auto" w:sz="4" w:space="0"/>
              <w:left w:val="single" w:color="auto" w:sz="4" w:space="0"/>
              <w:bottom w:val="single" w:color="auto" w:sz="4" w:space="0"/>
              <w:right w:val="single" w:color="auto" w:sz="4" w:space="0"/>
            </w:tcBorders>
          </w:tcPr>
          <w:p w14:paraId="015B4A85">
            <w:pPr>
              <w:tabs>
                <w:tab w:val="left" w:pos="1418"/>
              </w:tabs>
              <w:snapToGrid w:val="0"/>
              <w:spacing w:line="400" w:lineRule="exact"/>
              <w:jc w:val="center"/>
              <w:rPr>
                <w:rFonts w:ascii="宋体" w:hAnsi="宋体"/>
                <w:color w:val="auto"/>
                <w:spacing w:val="20"/>
              </w:rPr>
            </w:pPr>
          </w:p>
        </w:tc>
        <w:tc>
          <w:tcPr>
            <w:tcW w:w="2194" w:type="dxa"/>
            <w:tcBorders>
              <w:top w:val="single" w:color="auto" w:sz="4" w:space="0"/>
              <w:left w:val="single" w:color="auto" w:sz="4" w:space="0"/>
              <w:bottom w:val="single" w:color="auto" w:sz="4" w:space="0"/>
            </w:tcBorders>
          </w:tcPr>
          <w:p w14:paraId="254C0ECB">
            <w:pPr>
              <w:tabs>
                <w:tab w:val="left" w:pos="1418"/>
              </w:tabs>
              <w:snapToGrid w:val="0"/>
              <w:spacing w:line="400" w:lineRule="exact"/>
              <w:jc w:val="center"/>
              <w:rPr>
                <w:rFonts w:ascii="宋体" w:hAnsi="宋体"/>
                <w:color w:val="auto"/>
                <w:spacing w:val="20"/>
              </w:rPr>
            </w:pPr>
          </w:p>
        </w:tc>
      </w:tr>
      <w:tr w14:paraId="2C52E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96" w:type="dxa"/>
            <w:tcBorders>
              <w:top w:val="single" w:color="auto" w:sz="4" w:space="0"/>
              <w:bottom w:val="single" w:color="auto" w:sz="4" w:space="0"/>
              <w:right w:val="single" w:color="auto" w:sz="4" w:space="0"/>
            </w:tcBorders>
          </w:tcPr>
          <w:p w14:paraId="4C8413C6">
            <w:pPr>
              <w:tabs>
                <w:tab w:val="left" w:pos="1418"/>
              </w:tabs>
              <w:snapToGrid w:val="0"/>
              <w:spacing w:line="400" w:lineRule="exact"/>
              <w:jc w:val="center"/>
              <w:rPr>
                <w:rFonts w:ascii="宋体" w:hAnsi="宋体"/>
                <w:color w:val="auto"/>
                <w:spacing w:val="20"/>
              </w:rPr>
            </w:pPr>
          </w:p>
        </w:tc>
        <w:tc>
          <w:tcPr>
            <w:tcW w:w="1431" w:type="dxa"/>
            <w:tcBorders>
              <w:top w:val="single" w:color="auto" w:sz="4" w:space="0"/>
              <w:left w:val="single" w:color="auto" w:sz="4" w:space="0"/>
              <w:bottom w:val="single" w:color="auto" w:sz="4" w:space="0"/>
              <w:right w:val="single" w:color="auto" w:sz="4" w:space="0"/>
            </w:tcBorders>
          </w:tcPr>
          <w:p w14:paraId="1DD3DC17">
            <w:pPr>
              <w:tabs>
                <w:tab w:val="left" w:pos="1418"/>
              </w:tabs>
              <w:snapToGrid w:val="0"/>
              <w:spacing w:line="400" w:lineRule="exact"/>
              <w:jc w:val="center"/>
              <w:rPr>
                <w:rFonts w:ascii="宋体" w:hAnsi="宋体"/>
                <w:color w:val="auto"/>
                <w:spacing w:val="20"/>
              </w:rPr>
            </w:pPr>
          </w:p>
        </w:tc>
        <w:tc>
          <w:tcPr>
            <w:tcW w:w="1086" w:type="dxa"/>
            <w:tcBorders>
              <w:top w:val="single" w:color="auto" w:sz="4" w:space="0"/>
              <w:left w:val="single" w:color="auto" w:sz="4" w:space="0"/>
              <w:bottom w:val="single" w:color="auto" w:sz="4" w:space="0"/>
              <w:right w:val="single" w:color="auto" w:sz="4" w:space="0"/>
            </w:tcBorders>
          </w:tcPr>
          <w:p w14:paraId="388336DF">
            <w:pPr>
              <w:tabs>
                <w:tab w:val="left" w:pos="1418"/>
              </w:tabs>
              <w:snapToGrid w:val="0"/>
              <w:spacing w:line="400" w:lineRule="exact"/>
              <w:jc w:val="center"/>
              <w:rPr>
                <w:rFonts w:ascii="宋体" w:hAnsi="宋体"/>
                <w:color w:val="auto"/>
                <w:spacing w:val="20"/>
              </w:rPr>
            </w:pPr>
          </w:p>
        </w:tc>
        <w:tc>
          <w:tcPr>
            <w:tcW w:w="1450" w:type="dxa"/>
            <w:tcBorders>
              <w:top w:val="single" w:color="auto" w:sz="4" w:space="0"/>
              <w:left w:val="single" w:color="auto" w:sz="4" w:space="0"/>
              <w:bottom w:val="single" w:color="auto" w:sz="4" w:space="0"/>
              <w:right w:val="single" w:color="auto" w:sz="4" w:space="0"/>
            </w:tcBorders>
          </w:tcPr>
          <w:p w14:paraId="789826B2">
            <w:pPr>
              <w:tabs>
                <w:tab w:val="left" w:pos="1418"/>
              </w:tabs>
              <w:snapToGrid w:val="0"/>
              <w:spacing w:line="400" w:lineRule="exact"/>
              <w:jc w:val="center"/>
              <w:rPr>
                <w:rFonts w:ascii="宋体" w:hAnsi="宋体"/>
                <w:color w:val="auto"/>
                <w:spacing w:val="20"/>
              </w:rPr>
            </w:pPr>
          </w:p>
        </w:tc>
        <w:tc>
          <w:tcPr>
            <w:tcW w:w="820" w:type="dxa"/>
            <w:tcBorders>
              <w:top w:val="single" w:color="auto" w:sz="4" w:space="0"/>
              <w:left w:val="single" w:color="auto" w:sz="4" w:space="0"/>
              <w:bottom w:val="single" w:color="auto" w:sz="4" w:space="0"/>
              <w:right w:val="single" w:color="auto" w:sz="4" w:space="0"/>
            </w:tcBorders>
          </w:tcPr>
          <w:p w14:paraId="46633553">
            <w:pPr>
              <w:tabs>
                <w:tab w:val="left" w:pos="1418"/>
              </w:tabs>
              <w:snapToGrid w:val="0"/>
              <w:spacing w:line="400" w:lineRule="exact"/>
              <w:jc w:val="center"/>
              <w:rPr>
                <w:rFonts w:ascii="宋体" w:hAnsi="宋体"/>
                <w:color w:val="auto"/>
                <w:spacing w:val="20"/>
              </w:rPr>
            </w:pPr>
          </w:p>
        </w:tc>
        <w:tc>
          <w:tcPr>
            <w:tcW w:w="1086" w:type="dxa"/>
            <w:tcBorders>
              <w:top w:val="single" w:color="auto" w:sz="4" w:space="0"/>
              <w:left w:val="single" w:color="auto" w:sz="4" w:space="0"/>
              <w:bottom w:val="single" w:color="auto" w:sz="4" w:space="0"/>
              <w:right w:val="single" w:color="auto" w:sz="4" w:space="0"/>
            </w:tcBorders>
          </w:tcPr>
          <w:p w14:paraId="7DFF0C03">
            <w:pPr>
              <w:tabs>
                <w:tab w:val="left" w:pos="1418"/>
              </w:tabs>
              <w:snapToGrid w:val="0"/>
              <w:spacing w:line="400" w:lineRule="exact"/>
              <w:jc w:val="center"/>
              <w:rPr>
                <w:rFonts w:ascii="宋体" w:hAnsi="宋体"/>
                <w:color w:val="auto"/>
                <w:spacing w:val="20"/>
              </w:rPr>
            </w:pPr>
          </w:p>
        </w:tc>
        <w:tc>
          <w:tcPr>
            <w:tcW w:w="2194" w:type="dxa"/>
            <w:tcBorders>
              <w:top w:val="single" w:color="auto" w:sz="4" w:space="0"/>
              <w:left w:val="single" w:color="auto" w:sz="4" w:space="0"/>
              <w:bottom w:val="single" w:color="auto" w:sz="4" w:space="0"/>
            </w:tcBorders>
          </w:tcPr>
          <w:p w14:paraId="266DCC5A">
            <w:pPr>
              <w:tabs>
                <w:tab w:val="left" w:pos="1418"/>
              </w:tabs>
              <w:snapToGrid w:val="0"/>
              <w:spacing w:line="400" w:lineRule="exact"/>
              <w:jc w:val="center"/>
              <w:rPr>
                <w:rFonts w:ascii="宋体" w:hAnsi="宋体"/>
                <w:color w:val="auto"/>
                <w:spacing w:val="20"/>
              </w:rPr>
            </w:pPr>
          </w:p>
        </w:tc>
      </w:tr>
      <w:tr w14:paraId="51D5D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96" w:type="dxa"/>
            <w:tcBorders>
              <w:top w:val="single" w:color="auto" w:sz="4" w:space="0"/>
              <w:bottom w:val="single" w:color="auto" w:sz="4" w:space="0"/>
              <w:right w:val="single" w:color="auto" w:sz="4" w:space="0"/>
            </w:tcBorders>
          </w:tcPr>
          <w:p w14:paraId="2810642A">
            <w:pPr>
              <w:tabs>
                <w:tab w:val="left" w:pos="1418"/>
              </w:tabs>
              <w:snapToGrid w:val="0"/>
              <w:spacing w:line="400" w:lineRule="exact"/>
              <w:jc w:val="center"/>
              <w:rPr>
                <w:rFonts w:ascii="宋体" w:hAnsi="宋体"/>
                <w:color w:val="auto"/>
                <w:spacing w:val="20"/>
              </w:rPr>
            </w:pPr>
          </w:p>
        </w:tc>
        <w:tc>
          <w:tcPr>
            <w:tcW w:w="1431" w:type="dxa"/>
            <w:tcBorders>
              <w:top w:val="single" w:color="auto" w:sz="4" w:space="0"/>
              <w:left w:val="single" w:color="auto" w:sz="4" w:space="0"/>
              <w:bottom w:val="single" w:color="auto" w:sz="4" w:space="0"/>
              <w:right w:val="single" w:color="auto" w:sz="4" w:space="0"/>
            </w:tcBorders>
          </w:tcPr>
          <w:p w14:paraId="1500E411">
            <w:pPr>
              <w:tabs>
                <w:tab w:val="left" w:pos="1418"/>
              </w:tabs>
              <w:snapToGrid w:val="0"/>
              <w:spacing w:line="400" w:lineRule="exact"/>
              <w:jc w:val="center"/>
              <w:rPr>
                <w:rFonts w:ascii="宋体" w:hAnsi="宋体"/>
                <w:color w:val="auto"/>
                <w:spacing w:val="20"/>
              </w:rPr>
            </w:pPr>
          </w:p>
        </w:tc>
        <w:tc>
          <w:tcPr>
            <w:tcW w:w="1086" w:type="dxa"/>
            <w:tcBorders>
              <w:top w:val="single" w:color="auto" w:sz="4" w:space="0"/>
              <w:left w:val="single" w:color="auto" w:sz="4" w:space="0"/>
              <w:bottom w:val="single" w:color="auto" w:sz="4" w:space="0"/>
              <w:right w:val="single" w:color="auto" w:sz="4" w:space="0"/>
            </w:tcBorders>
          </w:tcPr>
          <w:p w14:paraId="006FC867">
            <w:pPr>
              <w:tabs>
                <w:tab w:val="left" w:pos="1418"/>
              </w:tabs>
              <w:snapToGrid w:val="0"/>
              <w:spacing w:line="400" w:lineRule="exact"/>
              <w:jc w:val="center"/>
              <w:rPr>
                <w:rFonts w:ascii="宋体" w:hAnsi="宋体"/>
                <w:color w:val="auto"/>
                <w:spacing w:val="20"/>
              </w:rPr>
            </w:pPr>
          </w:p>
        </w:tc>
        <w:tc>
          <w:tcPr>
            <w:tcW w:w="1450" w:type="dxa"/>
            <w:tcBorders>
              <w:top w:val="single" w:color="auto" w:sz="4" w:space="0"/>
              <w:left w:val="single" w:color="auto" w:sz="4" w:space="0"/>
              <w:bottom w:val="single" w:color="auto" w:sz="4" w:space="0"/>
              <w:right w:val="single" w:color="auto" w:sz="4" w:space="0"/>
            </w:tcBorders>
          </w:tcPr>
          <w:p w14:paraId="7058CF58">
            <w:pPr>
              <w:tabs>
                <w:tab w:val="left" w:pos="1418"/>
              </w:tabs>
              <w:snapToGrid w:val="0"/>
              <w:spacing w:line="400" w:lineRule="exact"/>
              <w:jc w:val="center"/>
              <w:rPr>
                <w:rFonts w:ascii="宋体" w:hAnsi="宋体"/>
                <w:color w:val="auto"/>
                <w:spacing w:val="20"/>
              </w:rPr>
            </w:pPr>
          </w:p>
        </w:tc>
        <w:tc>
          <w:tcPr>
            <w:tcW w:w="820" w:type="dxa"/>
            <w:tcBorders>
              <w:top w:val="single" w:color="auto" w:sz="4" w:space="0"/>
              <w:left w:val="single" w:color="auto" w:sz="4" w:space="0"/>
              <w:bottom w:val="single" w:color="auto" w:sz="4" w:space="0"/>
              <w:right w:val="single" w:color="auto" w:sz="4" w:space="0"/>
            </w:tcBorders>
          </w:tcPr>
          <w:p w14:paraId="716621DC">
            <w:pPr>
              <w:tabs>
                <w:tab w:val="left" w:pos="1418"/>
              </w:tabs>
              <w:snapToGrid w:val="0"/>
              <w:spacing w:line="400" w:lineRule="exact"/>
              <w:jc w:val="center"/>
              <w:rPr>
                <w:rFonts w:ascii="宋体" w:hAnsi="宋体"/>
                <w:color w:val="auto"/>
                <w:spacing w:val="20"/>
              </w:rPr>
            </w:pPr>
          </w:p>
        </w:tc>
        <w:tc>
          <w:tcPr>
            <w:tcW w:w="1086" w:type="dxa"/>
            <w:tcBorders>
              <w:top w:val="single" w:color="auto" w:sz="4" w:space="0"/>
              <w:left w:val="single" w:color="auto" w:sz="4" w:space="0"/>
              <w:bottom w:val="single" w:color="auto" w:sz="4" w:space="0"/>
              <w:right w:val="single" w:color="auto" w:sz="4" w:space="0"/>
            </w:tcBorders>
          </w:tcPr>
          <w:p w14:paraId="6513596A">
            <w:pPr>
              <w:tabs>
                <w:tab w:val="left" w:pos="1418"/>
              </w:tabs>
              <w:snapToGrid w:val="0"/>
              <w:spacing w:line="400" w:lineRule="exact"/>
              <w:jc w:val="center"/>
              <w:rPr>
                <w:rFonts w:ascii="宋体" w:hAnsi="宋体"/>
                <w:color w:val="auto"/>
                <w:spacing w:val="20"/>
              </w:rPr>
            </w:pPr>
          </w:p>
        </w:tc>
        <w:tc>
          <w:tcPr>
            <w:tcW w:w="2194" w:type="dxa"/>
            <w:tcBorders>
              <w:top w:val="single" w:color="auto" w:sz="4" w:space="0"/>
              <w:left w:val="single" w:color="auto" w:sz="4" w:space="0"/>
              <w:bottom w:val="single" w:color="auto" w:sz="4" w:space="0"/>
            </w:tcBorders>
          </w:tcPr>
          <w:p w14:paraId="02121F4A">
            <w:pPr>
              <w:tabs>
                <w:tab w:val="left" w:pos="1418"/>
              </w:tabs>
              <w:snapToGrid w:val="0"/>
              <w:spacing w:line="400" w:lineRule="exact"/>
              <w:jc w:val="center"/>
              <w:rPr>
                <w:rFonts w:ascii="宋体" w:hAnsi="宋体"/>
                <w:color w:val="auto"/>
                <w:spacing w:val="20"/>
              </w:rPr>
            </w:pPr>
          </w:p>
        </w:tc>
      </w:tr>
      <w:tr w14:paraId="126A8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96" w:type="dxa"/>
            <w:tcBorders>
              <w:top w:val="single" w:color="auto" w:sz="4" w:space="0"/>
              <w:bottom w:val="single" w:color="auto" w:sz="4" w:space="0"/>
              <w:right w:val="single" w:color="auto" w:sz="4" w:space="0"/>
            </w:tcBorders>
          </w:tcPr>
          <w:p w14:paraId="1BAEDF27">
            <w:pPr>
              <w:tabs>
                <w:tab w:val="left" w:pos="1418"/>
              </w:tabs>
              <w:snapToGrid w:val="0"/>
              <w:spacing w:line="400" w:lineRule="exact"/>
              <w:jc w:val="center"/>
              <w:rPr>
                <w:rFonts w:ascii="宋体" w:hAnsi="宋体"/>
                <w:color w:val="auto"/>
                <w:spacing w:val="20"/>
              </w:rPr>
            </w:pPr>
          </w:p>
        </w:tc>
        <w:tc>
          <w:tcPr>
            <w:tcW w:w="1431" w:type="dxa"/>
            <w:tcBorders>
              <w:top w:val="single" w:color="auto" w:sz="4" w:space="0"/>
              <w:left w:val="single" w:color="auto" w:sz="4" w:space="0"/>
              <w:bottom w:val="single" w:color="auto" w:sz="4" w:space="0"/>
              <w:right w:val="single" w:color="auto" w:sz="4" w:space="0"/>
            </w:tcBorders>
          </w:tcPr>
          <w:p w14:paraId="6D4907C0">
            <w:pPr>
              <w:tabs>
                <w:tab w:val="left" w:pos="1418"/>
              </w:tabs>
              <w:snapToGrid w:val="0"/>
              <w:spacing w:line="400" w:lineRule="exact"/>
              <w:jc w:val="center"/>
              <w:rPr>
                <w:rFonts w:ascii="宋体" w:hAnsi="宋体"/>
                <w:color w:val="auto"/>
                <w:spacing w:val="20"/>
              </w:rPr>
            </w:pPr>
            <w:r>
              <w:rPr>
                <w:rFonts w:hint="eastAsia" w:ascii="宋体" w:hAnsi="宋体" w:cs="宋体"/>
                <w:color w:val="auto"/>
                <w:spacing w:val="20"/>
              </w:rPr>
              <w:t>……</w:t>
            </w:r>
          </w:p>
        </w:tc>
        <w:tc>
          <w:tcPr>
            <w:tcW w:w="1086" w:type="dxa"/>
            <w:tcBorders>
              <w:top w:val="single" w:color="auto" w:sz="4" w:space="0"/>
              <w:left w:val="single" w:color="auto" w:sz="4" w:space="0"/>
              <w:bottom w:val="single" w:color="auto" w:sz="4" w:space="0"/>
              <w:right w:val="single" w:color="auto" w:sz="4" w:space="0"/>
            </w:tcBorders>
          </w:tcPr>
          <w:p w14:paraId="0EA45ACC">
            <w:pPr>
              <w:tabs>
                <w:tab w:val="left" w:pos="1418"/>
              </w:tabs>
              <w:snapToGrid w:val="0"/>
              <w:spacing w:line="400" w:lineRule="exact"/>
              <w:jc w:val="center"/>
              <w:rPr>
                <w:rFonts w:ascii="宋体" w:hAnsi="宋体"/>
                <w:color w:val="auto"/>
                <w:spacing w:val="20"/>
              </w:rPr>
            </w:pPr>
          </w:p>
        </w:tc>
        <w:tc>
          <w:tcPr>
            <w:tcW w:w="1450" w:type="dxa"/>
            <w:tcBorders>
              <w:top w:val="single" w:color="auto" w:sz="4" w:space="0"/>
              <w:left w:val="single" w:color="auto" w:sz="4" w:space="0"/>
              <w:bottom w:val="single" w:color="auto" w:sz="4" w:space="0"/>
              <w:right w:val="single" w:color="auto" w:sz="4" w:space="0"/>
            </w:tcBorders>
          </w:tcPr>
          <w:p w14:paraId="67F497D0">
            <w:pPr>
              <w:tabs>
                <w:tab w:val="left" w:pos="1418"/>
              </w:tabs>
              <w:snapToGrid w:val="0"/>
              <w:spacing w:line="400" w:lineRule="exact"/>
              <w:jc w:val="center"/>
              <w:rPr>
                <w:rFonts w:ascii="宋体" w:hAnsi="宋体"/>
                <w:color w:val="auto"/>
                <w:spacing w:val="20"/>
              </w:rPr>
            </w:pPr>
          </w:p>
        </w:tc>
        <w:tc>
          <w:tcPr>
            <w:tcW w:w="820" w:type="dxa"/>
            <w:tcBorders>
              <w:top w:val="single" w:color="auto" w:sz="4" w:space="0"/>
              <w:left w:val="single" w:color="auto" w:sz="4" w:space="0"/>
              <w:bottom w:val="single" w:color="auto" w:sz="4" w:space="0"/>
              <w:right w:val="single" w:color="auto" w:sz="4" w:space="0"/>
            </w:tcBorders>
          </w:tcPr>
          <w:p w14:paraId="1A20E7D0">
            <w:pPr>
              <w:tabs>
                <w:tab w:val="left" w:pos="1418"/>
              </w:tabs>
              <w:snapToGrid w:val="0"/>
              <w:spacing w:line="400" w:lineRule="exact"/>
              <w:jc w:val="center"/>
              <w:rPr>
                <w:rFonts w:ascii="宋体" w:hAnsi="宋体"/>
                <w:color w:val="auto"/>
                <w:spacing w:val="20"/>
              </w:rPr>
            </w:pPr>
          </w:p>
        </w:tc>
        <w:tc>
          <w:tcPr>
            <w:tcW w:w="1086" w:type="dxa"/>
            <w:tcBorders>
              <w:top w:val="single" w:color="auto" w:sz="4" w:space="0"/>
              <w:left w:val="single" w:color="auto" w:sz="4" w:space="0"/>
              <w:bottom w:val="single" w:color="auto" w:sz="4" w:space="0"/>
              <w:right w:val="single" w:color="auto" w:sz="4" w:space="0"/>
            </w:tcBorders>
          </w:tcPr>
          <w:p w14:paraId="06FAA6F7">
            <w:pPr>
              <w:tabs>
                <w:tab w:val="left" w:pos="1418"/>
              </w:tabs>
              <w:snapToGrid w:val="0"/>
              <w:spacing w:line="400" w:lineRule="exact"/>
              <w:jc w:val="center"/>
              <w:rPr>
                <w:rFonts w:ascii="宋体" w:hAnsi="宋体"/>
                <w:color w:val="auto"/>
                <w:spacing w:val="20"/>
              </w:rPr>
            </w:pPr>
          </w:p>
        </w:tc>
        <w:tc>
          <w:tcPr>
            <w:tcW w:w="2194" w:type="dxa"/>
            <w:tcBorders>
              <w:top w:val="single" w:color="auto" w:sz="4" w:space="0"/>
              <w:left w:val="single" w:color="auto" w:sz="4" w:space="0"/>
              <w:bottom w:val="single" w:color="auto" w:sz="4" w:space="0"/>
            </w:tcBorders>
          </w:tcPr>
          <w:p w14:paraId="553CBEF2">
            <w:pPr>
              <w:tabs>
                <w:tab w:val="left" w:pos="1418"/>
              </w:tabs>
              <w:snapToGrid w:val="0"/>
              <w:spacing w:line="400" w:lineRule="exact"/>
              <w:jc w:val="center"/>
              <w:rPr>
                <w:rFonts w:ascii="宋体" w:hAnsi="宋体"/>
                <w:color w:val="auto"/>
                <w:spacing w:val="20"/>
              </w:rPr>
            </w:pPr>
          </w:p>
        </w:tc>
      </w:tr>
    </w:tbl>
    <w:p w14:paraId="3C01DAA0">
      <w:pPr>
        <w:snapToGrid w:val="0"/>
        <w:spacing w:line="360" w:lineRule="auto"/>
        <w:ind w:firstLine="576"/>
        <w:jc w:val="center"/>
        <w:rPr>
          <w:rFonts w:hint="eastAsia" w:ascii="宋体" w:hAnsi="宋体" w:cs="宋体"/>
          <w:color w:val="auto"/>
          <w:kern w:val="0"/>
          <w:sz w:val="24"/>
          <w:lang w:val="zh-CN"/>
        </w:rPr>
      </w:pPr>
    </w:p>
    <w:p w14:paraId="07A9D3FA">
      <w:pPr>
        <w:snapToGrid w:val="0"/>
        <w:spacing w:line="360" w:lineRule="auto"/>
        <w:ind w:firstLine="576"/>
        <w:jc w:val="center"/>
        <w:rPr>
          <w:rFonts w:hint="eastAsia" w:ascii="宋体" w:hAnsi="宋体" w:cs="宋体"/>
          <w:color w:val="auto"/>
          <w:kern w:val="0"/>
          <w:sz w:val="24"/>
          <w:lang w:val="zh-CN"/>
        </w:rPr>
      </w:pPr>
    </w:p>
    <w:p w14:paraId="4047B4C9">
      <w:pPr>
        <w:snapToGrid w:val="0"/>
        <w:spacing w:line="360" w:lineRule="auto"/>
        <w:ind w:firstLine="576"/>
        <w:jc w:val="center"/>
        <w:rPr>
          <w:rFonts w:hint="eastAsia" w:ascii="宋体" w:hAnsi="宋体" w:eastAsia="宋体" w:cs="宋体"/>
          <w:color w:val="auto"/>
          <w:kern w:val="0"/>
          <w:sz w:val="24"/>
          <w:lang w:val="zh-CN"/>
        </w:rPr>
      </w:pPr>
    </w:p>
    <w:p w14:paraId="69A0408D">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 xml:space="preserve"> 投标人名称(电子签名)：                              </w:t>
      </w:r>
    </w:p>
    <w:p w14:paraId="17EB2B7B">
      <w:pPr>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日期：  年  月  日</w:t>
      </w:r>
    </w:p>
    <w:p w14:paraId="3AD6C484">
      <w:pPr>
        <w:rPr>
          <w:rFonts w:hint="eastAsia" w:ascii="宋体" w:hAnsi="宋体" w:cs="宋体"/>
          <w:color w:val="auto"/>
          <w:kern w:val="0"/>
          <w:sz w:val="24"/>
          <w:lang w:val="zh-CN"/>
        </w:rPr>
      </w:pPr>
    </w:p>
    <w:p w14:paraId="6C9F6B3F">
      <w:pPr>
        <w:pStyle w:val="61"/>
        <w:rPr>
          <w:rFonts w:hint="eastAsia"/>
          <w:color w:val="auto"/>
          <w:lang w:val="zh-CN"/>
        </w:rPr>
      </w:pPr>
    </w:p>
    <w:p w14:paraId="4D3D0440">
      <w:pPr>
        <w:pStyle w:val="61"/>
        <w:rPr>
          <w:rFonts w:hint="eastAsia" w:ascii="宋体" w:hAnsi="宋体" w:cs="宋体"/>
          <w:color w:val="auto"/>
          <w:kern w:val="0"/>
          <w:sz w:val="24"/>
          <w:lang w:val="zh-CN"/>
        </w:rPr>
      </w:pPr>
    </w:p>
    <w:p w14:paraId="31EAC857">
      <w:pPr>
        <w:rPr>
          <w:rFonts w:hint="eastAsia"/>
          <w:color w:val="auto"/>
          <w:lang w:val="zh-CN"/>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6D595CDF">
      <w:pPr>
        <w:rPr>
          <w:rFonts w:hint="eastAsia" w:ascii="宋体" w:hAnsi="宋体" w:cs="宋体"/>
          <w:color w:val="auto"/>
          <w:kern w:val="0"/>
          <w:sz w:val="24"/>
          <w:lang w:val="zh-CN"/>
        </w:rPr>
      </w:pPr>
    </w:p>
    <w:p w14:paraId="2B865249">
      <w:pPr>
        <w:snapToGrid w:val="0"/>
        <w:spacing w:line="400" w:lineRule="exact"/>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lang w:eastAsia="zh-CN"/>
        </w:rPr>
        <w:t>）业绩一览表</w:t>
      </w:r>
    </w:p>
    <w:tbl>
      <w:tblPr>
        <w:tblStyle w:val="62"/>
        <w:tblW w:w="136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8"/>
        <w:gridCol w:w="2678"/>
        <w:gridCol w:w="3568"/>
        <w:gridCol w:w="2004"/>
        <w:gridCol w:w="2375"/>
        <w:gridCol w:w="1792"/>
      </w:tblGrid>
      <w:tr w14:paraId="51285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1248" w:type="dxa"/>
            <w:tcBorders>
              <w:top w:val="single" w:color="auto" w:sz="4" w:space="0"/>
              <w:left w:val="single" w:color="auto" w:sz="4" w:space="0"/>
              <w:bottom w:val="single" w:color="auto" w:sz="4" w:space="0"/>
              <w:right w:val="single" w:color="auto" w:sz="4" w:space="0"/>
            </w:tcBorders>
            <w:noWrap w:val="0"/>
            <w:vAlign w:val="center"/>
          </w:tcPr>
          <w:p w14:paraId="31AA382B">
            <w:pPr>
              <w:spacing w:line="360" w:lineRule="exact"/>
              <w:jc w:val="center"/>
              <w:rPr>
                <w:rFonts w:hint="eastAsia" w:ascii="宋体" w:hAnsi="宋体" w:cs="宋体"/>
                <w:color w:val="auto"/>
                <w:kern w:val="0"/>
                <w:sz w:val="24"/>
              </w:rPr>
            </w:pPr>
            <w:r>
              <w:rPr>
                <w:rFonts w:hint="eastAsia" w:ascii="宋体" w:hAnsi="宋体" w:cs="宋体"/>
                <w:color w:val="auto"/>
                <w:kern w:val="0"/>
                <w:sz w:val="24"/>
              </w:rPr>
              <w:t>序号</w:t>
            </w:r>
          </w:p>
        </w:tc>
        <w:tc>
          <w:tcPr>
            <w:tcW w:w="2678" w:type="dxa"/>
            <w:tcBorders>
              <w:top w:val="single" w:color="auto" w:sz="4" w:space="0"/>
              <w:left w:val="single" w:color="auto" w:sz="4" w:space="0"/>
              <w:bottom w:val="single" w:color="auto" w:sz="4" w:space="0"/>
              <w:right w:val="single" w:color="auto" w:sz="4" w:space="0"/>
            </w:tcBorders>
            <w:noWrap w:val="0"/>
            <w:vAlign w:val="center"/>
          </w:tcPr>
          <w:p w14:paraId="0023444A">
            <w:pPr>
              <w:spacing w:line="360" w:lineRule="exact"/>
              <w:jc w:val="center"/>
              <w:rPr>
                <w:rFonts w:hint="eastAsia" w:ascii="宋体" w:hAnsi="宋体" w:cs="宋体"/>
                <w:color w:val="auto"/>
                <w:kern w:val="0"/>
                <w:sz w:val="24"/>
              </w:rPr>
            </w:pPr>
            <w:r>
              <w:rPr>
                <w:rFonts w:hint="eastAsia" w:ascii="宋体" w:hAnsi="宋体" w:cs="宋体"/>
                <w:color w:val="auto"/>
                <w:kern w:val="0"/>
                <w:sz w:val="24"/>
              </w:rPr>
              <w:t>采购单位</w:t>
            </w:r>
          </w:p>
        </w:tc>
        <w:tc>
          <w:tcPr>
            <w:tcW w:w="3568" w:type="dxa"/>
            <w:tcBorders>
              <w:top w:val="single" w:color="auto" w:sz="4" w:space="0"/>
              <w:left w:val="single" w:color="auto" w:sz="4" w:space="0"/>
              <w:right w:val="single" w:color="auto" w:sz="4" w:space="0"/>
            </w:tcBorders>
            <w:noWrap w:val="0"/>
            <w:vAlign w:val="center"/>
          </w:tcPr>
          <w:p w14:paraId="39B32143">
            <w:pPr>
              <w:spacing w:line="360" w:lineRule="exact"/>
              <w:jc w:val="center"/>
              <w:rPr>
                <w:rFonts w:hint="eastAsia" w:ascii="宋体" w:hAnsi="宋体" w:cs="宋体"/>
                <w:color w:val="auto"/>
                <w:kern w:val="0"/>
                <w:sz w:val="24"/>
              </w:rPr>
            </w:pPr>
            <w:r>
              <w:rPr>
                <w:rFonts w:hint="eastAsia" w:ascii="宋体" w:hAnsi="宋体" w:cs="宋体"/>
                <w:color w:val="auto"/>
                <w:kern w:val="0"/>
                <w:sz w:val="24"/>
              </w:rPr>
              <w:t>项目名称</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2DE2403B">
            <w:pPr>
              <w:spacing w:line="360" w:lineRule="exact"/>
              <w:jc w:val="center"/>
              <w:rPr>
                <w:rFonts w:hint="eastAsia" w:ascii="宋体" w:hAnsi="宋体" w:cs="宋体"/>
                <w:color w:val="auto"/>
                <w:kern w:val="0"/>
                <w:sz w:val="24"/>
              </w:rPr>
            </w:pPr>
            <w:r>
              <w:rPr>
                <w:rFonts w:hint="eastAsia" w:ascii="宋体" w:hAnsi="宋体" w:cs="宋体"/>
                <w:color w:val="auto"/>
                <w:kern w:val="0"/>
                <w:sz w:val="24"/>
              </w:rPr>
              <w:t>合同金额</w:t>
            </w:r>
          </w:p>
          <w:p w14:paraId="5FADBFC0">
            <w:pPr>
              <w:spacing w:line="360" w:lineRule="exact"/>
              <w:jc w:val="center"/>
              <w:rPr>
                <w:rFonts w:hint="eastAsia" w:ascii="宋体" w:hAnsi="宋体" w:cs="宋体"/>
                <w:color w:val="auto"/>
                <w:kern w:val="0"/>
                <w:sz w:val="24"/>
              </w:rPr>
            </w:pPr>
            <w:r>
              <w:rPr>
                <w:rFonts w:hint="eastAsia" w:ascii="宋体" w:hAnsi="宋体" w:cs="宋体"/>
                <w:color w:val="auto"/>
                <w:kern w:val="0"/>
                <w:sz w:val="24"/>
              </w:rPr>
              <w:t>（万元）</w:t>
            </w:r>
          </w:p>
        </w:tc>
        <w:tc>
          <w:tcPr>
            <w:tcW w:w="2375" w:type="dxa"/>
            <w:tcBorders>
              <w:top w:val="single" w:color="auto" w:sz="4" w:space="0"/>
              <w:left w:val="single" w:color="auto" w:sz="4" w:space="0"/>
              <w:bottom w:val="single" w:color="auto" w:sz="4" w:space="0"/>
              <w:right w:val="single" w:color="auto" w:sz="4" w:space="0"/>
            </w:tcBorders>
            <w:noWrap w:val="0"/>
            <w:vAlign w:val="center"/>
          </w:tcPr>
          <w:p w14:paraId="144C40DC">
            <w:pPr>
              <w:spacing w:line="360" w:lineRule="exact"/>
              <w:jc w:val="center"/>
              <w:rPr>
                <w:rFonts w:hint="eastAsia" w:ascii="宋体" w:hAnsi="宋体" w:cs="宋体"/>
                <w:color w:val="auto"/>
                <w:kern w:val="0"/>
                <w:sz w:val="24"/>
              </w:rPr>
            </w:pPr>
            <w:r>
              <w:rPr>
                <w:rFonts w:hint="eastAsia" w:ascii="宋体" w:hAnsi="宋体" w:cs="宋体"/>
                <w:color w:val="auto"/>
                <w:kern w:val="0"/>
                <w:sz w:val="24"/>
              </w:rPr>
              <w:t>采购单位联系人及联系电话</w:t>
            </w:r>
          </w:p>
        </w:tc>
        <w:tc>
          <w:tcPr>
            <w:tcW w:w="1792" w:type="dxa"/>
            <w:tcBorders>
              <w:top w:val="single" w:color="auto" w:sz="4" w:space="0"/>
              <w:left w:val="single" w:color="auto" w:sz="4" w:space="0"/>
              <w:bottom w:val="single" w:color="auto" w:sz="4" w:space="0"/>
              <w:right w:val="single" w:color="auto" w:sz="4" w:space="0"/>
            </w:tcBorders>
            <w:noWrap w:val="0"/>
            <w:vAlign w:val="center"/>
          </w:tcPr>
          <w:p w14:paraId="42CC4F7F">
            <w:pPr>
              <w:spacing w:line="360" w:lineRule="exact"/>
              <w:jc w:val="center"/>
              <w:rPr>
                <w:rFonts w:hint="eastAsia" w:ascii="宋体" w:hAnsi="宋体" w:cs="宋体"/>
                <w:color w:val="auto"/>
                <w:kern w:val="0"/>
                <w:sz w:val="24"/>
              </w:rPr>
            </w:pPr>
            <w:r>
              <w:rPr>
                <w:rFonts w:hint="eastAsia" w:ascii="宋体" w:hAnsi="宋体" w:cs="宋体"/>
                <w:color w:val="auto"/>
                <w:kern w:val="0"/>
                <w:sz w:val="24"/>
              </w:rPr>
              <w:t>合同签订时间</w:t>
            </w:r>
          </w:p>
        </w:tc>
      </w:tr>
      <w:tr w14:paraId="5C13D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1248" w:type="dxa"/>
            <w:tcBorders>
              <w:top w:val="single" w:color="auto" w:sz="4" w:space="0"/>
              <w:left w:val="single" w:color="auto" w:sz="4" w:space="0"/>
              <w:bottom w:val="single" w:color="auto" w:sz="4" w:space="0"/>
              <w:right w:val="single" w:color="auto" w:sz="4" w:space="0"/>
            </w:tcBorders>
            <w:noWrap w:val="0"/>
            <w:vAlign w:val="center"/>
          </w:tcPr>
          <w:p w14:paraId="73B4AB6A">
            <w:pPr>
              <w:spacing w:line="360" w:lineRule="exact"/>
              <w:jc w:val="center"/>
              <w:rPr>
                <w:rFonts w:hint="eastAsia" w:ascii="宋体" w:hAnsi="宋体" w:cs="宋体"/>
                <w:color w:val="auto"/>
                <w:kern w:val="0"/>
                <w:sz w:val="24"/>
              </w:rPr>
            </w:pPr>
            <w:r>
              <w:rPr>
                <w:rFonts w:hint="eastAsia" w:ascii="宋体" w:hAnsi="宋体" w:cs="宋体"/>
                <w:color w:val="auto"/>
                <w:kern w:val="0"/>
                <w:sz w:val="24"/>
              </w:rPr>
              <w:t>1</w:t>
            </w:r>
          </w:p>
        </w:tc>
        <w:tc>
          <w:tcPr>
            <w:tcW w:w="2678" w:type="dxa"/>
            <w:tcBorders>
              <w:top w:val="single" w:color="auto" w:sz="4" w:space="0"/>
              <w:left w:val="single" w:color="auto" w:sz="4" w:space="0"/>
              <w:bottom w:val="single" w:color="auto" w:sz="4" w:space="0"/>
              <w:right w:val="single" w:color="auto" w:sz="4" w:space="0"/>
            </w:tcBorders>
            <w:noWrap w:val="0"/>
            <w:vAlign w:val="center"/>
          </w:tcPr>
          <w:p w14:paraId="72DB74BA">
            <w:pPr>
              <w:spacing w:line="360" w:lineRule="exact"/>
              <w:jc w:val="left"/>
              <w:rPr>
                <w:rFonts w:hint="eastAsia" w:ascii="宋体" w:hAnsi="宋体" w:cs="宋体"/>
                <w:color w:val="auto"/>
                <w:kern w:val="0"/>
                <w:sz w:val="24"/>
              </w:rPr>
            </w:pPr>
          </w:p>
        </w:tc>
        <w:tc>
          <w:tcPr>
            <w:tcW w:w="3568" w:type="dxa"/>
            <w:tcBorders>
              <w:top w:val="single" w:color="auto" w:sz="4" w:space="0"/>
              <w:left w:val="single" w:color="auto" w:sz="4" w:space="0"/>
              <w:bottom w:val="single" w:color="auto" w:sz="4" w:space="0"/>
              <w:right w:val="single" w:color="auto" w:sz="4" w:space="0"/>
            </w:tcBorders>
            <w:noWrap w:val="0"/>
            <w:vAlign w:val="center"/>
          </w:tcPr>
          <w:p w14:paraId="2DEC4898">
            <w:pPr>
              <w:spacing w:line="360" w:lineRule="exact"/>
              <w:jc w:val="left"/>
              <w:rPr>
                <w:rFonts w:hint="eastAsia" w:ascii="宋体" w:hAnsi="宋体" w:cs="宋体"/>
                <w:color w:val="auto"/>
                <w:kern w:val="0"/>
                <w:sz w:val="24"/>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14:paraId="7C9ECF9D">
            <w:pPr>
              <w:spacing w:line="360" w:lineRule="exact"/>
              <w:jc w:val="left"/>
              <w:rPr>
                <w:rFonts w:hint="eastAsia" w:ascii="宋体" w:hAnsi="宋体" w:cs="宋体"/>
                <w:color w:val="auto"/>
                <w:kern w:val="0"/>
                <w:sz w:val="24"/>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14:paraId="1289B62D">
            <w:pPr>
              <w:spacing w:line="360" w:lineRule="exact"/>
              <w:jc w:val="left"/>
              <w:rPr>
                <w:rFonts w:hint="eastAsia" w:ascii="宋体" w:hAnsi="宋体" w:cs="宋体"/>
                <w:color w:val="auto"/>
                <w:kern w:val="0"/>
                <w:sz w:val="24"/>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12178139">
            <w:pPr>
              <w:spacing w:line="360" w:lineRule="exact"/>
              <w:jc w:val="left"/>
              <w:rPr>
                <w:rFonts w:hint="eastAsia" w:ascii="宋体" w:hAnsi="宋体" w:cs="宋体"/>
                <w:color w:val="auto"/>
                <w:kern w:val="0"/>
                <w:sz w:val="24"/>
              </w:rPr>
            </w:pPr>
          </w:p>
        </w:tc>
      </w:tr>
      <w:tr w14:paraId="7B4D2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1248" w:type="dxa"/>
            <w:tcBorders>
              <w:top w:val="single" w:color="auto" w:sz="4" w:space="0"/>
              <w:left w:val="single" w:color="auto" w:sz="4" w:space="0"/>
              <w:bottom w:val="single" w:color="auto" w:sz="4" w:space="0"/>
              <w:right w:val="single" w:color="auto" w:sz="4" w:space="0"/>
            </w:tcBorders>
            <w:noWrap w:val="0"/>
            <w:vAlign w:val="center"/>
          </w:tcPr>
          <w:p w14:paraId="2417577D">
            <w:pPr>
              <w:spacing w:line="360" w:lineRule="exact"/>
              <w:jc w:val="center"/>
              <w:rPr>
                <w:rFonts w:hint="eastAsia" w:ascii="宋体" w:hAnsi="宋体" w:cs="宋体"/>
                <w:color w:val="auto"/>
                <w:kern w:val="0"/>
                <w:sz w:val="24"/>
              </w:rPr>
            </w:pPr>
            <w:r>
              <w:rPr>
                <w:rFonts w:hint="eastAsia" w:ascii="宋体" w:hAnsi="宋体" w:cs="宋体"/>
                <w:color w:val="auto"/>
                <w:kern w:val="0"/>
                <w:sz w:val="24"/>
              </w:rPr>
              <w:t>2</w:t>
            </w:r>
          </w:p>
        </w:tc>
        <w:tc>
          <w:tcPr>
            <w:tcW w:w="2678" w:type="dxa"/>
            <w:tcBorders>
              <w:top w:val="single" w:color="auto" w:sz="4" w:space="0"/>
              <w:left w:val="single" w:color="auto" w:sz="4" w:space="0"/>
              <w:bottom w:val="single" w:color="auto" w:sz="4" w:space="0"/>
              <w:right w:val="single" w:color="auto" w:sz="4" w:space="0"/>
            </w:tcBorders>
            <w:noWrap w:val="0"/>
            <w:vAlign w:val="center"/>
          </w:tcPr>
          <w:p w14:paraId="5EE49EBE">
            <w:pPr>
              <w:spacing w:line="360" w:lineRule="exact"/>
              <w:jc w:val="left"/>
              <w:rPr>
                <w:rFonts w:hint="eastAsia" w:ascii="宋体" w:hAnsi="宋体" w:cs="宋体"/>
                <w:color w:val="auto"/>
                <w:kern w:val="0"/>
                <w:sz w:val="24"/>
              </w:rPr>
            </w:pPr>
          </w:p>
        </w:tc>
        <w:tc>
          <w:tcPr>
            <w:tcW w:w="3568" w:type="dxa"/>
            <w:tcBorders>
              <w:top w:val="single" w:color="auto" w:sz="4" w:space="0"/>
              <w:left w:val="single" w:color="auto" w:sz="4" w:space="0"/>
              <w:bottom w:val="single" w:color="auto" w:sz="4" w:space="0"/>
              <w:right w:val="single" w:color="auto" w:sz="4" w:space="0"/>
            </w:tcBorders>
            <w:noWrap w:val="0"/>
            <w:vAlign w:val="center"/>
          </w:tcPr>
          <w:p w14:paraId="47564B54">
            <w:pPr>
              <w:spacing w:line="360" w:lineRule="exact"/>
              <w:jc w:val="left"/>
              <w:rPr>
                <w:rFonts w:hint="eastAsia" w:ascii="宋体" w:hAnsi="宋体" w:cs="宋体"/>
                <w:color w:val="auto"/>
                <w:kern w:val="0"/>
                <w:sz w:val="24"/>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14:paraId="7F5E75CC">
            <w:pPr>
              <w:spacing w:line="360" w:lineRule="exact"/>
              <w:jc w:val="left"/>
              <w:rPr>
                <w:rFonts w:hint="eastAsia" w:ascii="宋体" w:hAnsi="宋体" w:cs="宋体"/>
                <w:color w:val="auto"/>
                <w:kern w:val="0"/>
                <w:sz w:val="24"/>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14:paraId="3998F06D">
            <w:pPr>
              <w:spacing w:line="360" w:lineRule="exact"/>
              <w:jc w:val="left"/>
              <w:rPr>
                <w:rFonts w:hint="eastAsia" w:ascii="宋体" w:hAnsi="宋体" w:cs="宋体"/>
                <w:color w:val="auto"/>
                <w:kern w:val="0"/>
                <w:sz w:val="24"/>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1F1B61EB">
            <w:pPr>
              <w:spacing w:line="360" w:lineRule="exact"/>
              <w:jc w:val="left"/>
              <w:rPr>
                <w:rFonts w:hint="eastAsia" w:ascii="宋体" w:hAnsi="宋体" w:cs="宋体"/>
                <w:color w:val="auto"/>
                <w:kern w:val="0"/>
                <w:sz w:val="24"/>
              </w:rPr>
            </w:pPr>
          </w:p>
        </w:tc>
      </w:tr>
      <w:tr w14:paraId="15D58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1248" w:type="dxa"/>
            <w:tcBorders>
              <w:top w:val="single" w:color="auto" w:sz="4" w:space="0"/>
              <w:left w:val="single" w:color="auto" w:sz="4" w:space="0"/>
              <w:bottom w:val="single" w:color="auto" w:sz="4" w:space="0"/>
              <w:right w:val="single" w:color="auto" w:sz="4" w:space="0"/>
            </w:tcBorders>
            <w:noWrap w:val="0"/>
            <w:vAlign w:val="center"/>
          </w:tcPr>
          <w:p w14:paraId="4B363756">
            <w:pPr>
              <w:spacing w:line="360" w:lineRule="exact"/>
              <w:jc w:val="center"/>
              <w:rPr>
                <w:rFonts w:hint="eastAsia" w:ascii="宋体" w:hAnsi="宋体" w:cs="宋体"/>
                <w:color w:val="auto"/>
                <w:kern w:val="0"/>
                <w:sz w:val="24"/>
              </w:rPr>
            </w:pPr>
            <w:r>
              <w:rPr>
                <w:rFonts w:hint="eastAsia" w:ascii="宋体" w:hAnsi="宋体" w:cs="宋体"/>
                <w:color w:val="auto"/>
                <w:kern w:val="0"/>
                <w:sz w:val="24"/>
              </w:rPr>
              <w:t>3</w:t>
            </w:r>
          </w:p>
        </w:tc>
        <w:tc>
          <w:tcPr>
            <w:tcW w:w="2678" w:type="dxa"/>
            <w:tcBorders>
              <w:top w:val="single" w:color="auto" w:sz="4" w:space="0"/>
              <w:left w:val="single" w:color="auto" w:sz="4" w:space="0"/>
              <w:bottom w:val="single" w:color="auto" w:sz="4" w:space="0"/>
              <w:right w:val="single" w:color="auto" w:sz="4" w:space="0"/>
            </w:tcBorders>
            <w:noWrap w:val="0"/>
            <w:vAlign w:val="center"/>
          </w:tcPr>
          <w:p w14:paraId="5ED35B6E">
            <w:pPr>
              <w:spacing w:line="360" w:lineRule="exact"/>
              <w:jc w:val="left"/>
              <w:rPr>
                <w:rFonts w:hint="eastAsia" w:ascii="宋体" w:hAnsi="宋体" w:cs="宋体"/>
                <w:color w:val="auto"/>
                <w:kern w:val="0"/>
                <w:sz w:val="24"/>
              </w:rPr>
            </w:pPr>
          </w:p>
        </w:tc>
        <w:tc>
          <w:tcPr>
            <w:tcW w:w="3568" w:type="dxa"/>
            <w:tcBorders>
              <w:top w:val="single" w:color="auto" w:sz="4" w:space="0"/>
              <w:left w:val="single" w:color="auto" w:sz="4" w:space="0"/>
              <w:bottom w:val="single" w:color="auto" w:sz="4" w:space="0"/>
              <w:right w:val="single" w:color="auto" w:sz="4" w:space="0"/>
            </w:tcBorders>
            <w:noWrap w:val="0"/>
            <w:vAlign w:val="center"/>
          </w:tcPr>
          <w:p w14:paraId="27E695CB">
            <w:pPr>
              <w:spacing w:line="360" w:lineRule="exact"/>
              <w:jc w:val="left"/>
              <w:rPr>
                <w:rFonts w:hint="eastAsia" w:ascii="宋体" w:hAnsi="宋体" w:cs="宋体"/>
                <w:color w:val="auto"/>
                <w:kern w:val="0"/>
                <w:sz w:val="24"/>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14:paraId="73E526EA">
            <w:pPr>
              <w:spacing w:line="360" w:lineRule="exact"/>
              <w:jc w:val="left"/>
              <w:rPr>
                <w:rFonts w:hint="eastAsia" w:ascii="宋体" w:hAnsi="宋体" w:cs="宋体"/>
                <w:color w:val="auto"/>
                <w:kern w:val="0"/>
                <w:sz w:val="24"/>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14:paraId="0064DC43">
            <w:pPr>
              <w:spacing w:line="360" w:lineRule="exact"/>
              <w:jc w:val="left"/>
              <w:rPr>
                <w:rFonts w:hint="eastAsia" w:ascii="宋体" w:hAnsi="宋体" w:cs="宋体"/>
                <w:color w:val="auto"/>
                <w:kern w:val="0"/>
                <w:sz w:val="24"/>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49561A95">
            <w:pPr>
              <w:spacing w:line="360" w:lineRule="exact"/>
              <w:jc w:val="left"/>
              <w:rPr>
                <w:rFonts w:hint="eastAsia" w:ascii="宋体" w:hAnsi="宋体" w:cs="宋体"/>
                <w:color w:val="auto"/>
                <w:kern w:val="0"/>
                <w:sz w:val="24"/>
              </w:rPr>
            </w:pPr>
          </w:p>
        </w:tc>
      </w:tr>
      <w:tr w14:paraId="6C090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1248" w:type="dxa"/>
            <w:tcBorders>
              <w:top w:val="single" w:color="auto" w:sz="4" w:space="0"/>
              <w:left w:val="single" w:color="auto" w:sz="4" w:space="0"/>
              <w:bottom w:val="single" w:color="auto" w:sz="4" w:space="0"/>
              <w:right w:val="single" w:color="auto" w:sz="4" w:space="0"/>
            </w:tcBorders>
            <w:noWrap w:val="0"/>
            <w:vAlign w:val="center"/>
          </w:tcPr>
          <w:p w14:paraId="41634B8B">
            <w:pPr>
              <w:spacing w:line="360" w:lineRule="exact"/>
              <w:jc w:val="center"/>
              <w:rPr>
                <w:rFonts w:hint="eastAsia" w:ascii="宋体" w:hAnsi="宋体" w:cs="宋体"/>
                <w:color w:val="auto"/>
                <w:kern w:val="0"/>
                <w:sz w:val="24"/>
              </w:rPr>
            </w:pPr>
            <w:r>
              <w:rPr>
                <w:rFonts w:hint="eastAsia" w:ascii="宋体" w:hAnsi="宋体" w:cs="宋体"/>
                <w:color w:val="auto"/>
                <w:kern w:val="0"/>
                <w:sz w:val="24"/>
              </w:rPr>
              <w:t>4</w:t>
            </w:r>
          </w:p>
        </w:tc>
        <w:tc>
          <w:tcPr>
            <w:tcW w:w="2678" w:type="dxa"/>
            <w:tcBorders>
              <w:top w:val="single" w:color="auto" w:sz="4" w:space="0"/>
              <w:left w:val="single" w:color="auto" w:sz="4" w:space="0"/>
              <w:bottom w:val="single" w:color="auto" w:sz="4" w:space="0"/>
              <w:right w:val="single" w:color="auto" w:sz="4" w:space="0"/>
            </w:tcBorders>
            <w:noWrap w:val="0"/>
            <w:vAlign w:val="center"/>
          </w:tcPr>
          <w:p w14:paraId="48578458">
            <w:pPr>
              <w:spacing w:line="360" w:lineRule="exact"/>
              <w:jc w:val="left"/>
              <w:rPr>
                <w:rFonts w:hint="eastAsia" w:ascii="宋体" w:hAnsi="宋体" w:cs="宋体"/>
                <w:color w:val="auto"/>
                <w:kern w:val="0"/>
                <w:sz w:val="24"/>
              </w:rPr>
            </w:pPr>
          </w:p>
        </w:tc>
        <w:tc>
          <w:tcPr>
            <w:tcW w:w="3568" w:type="dxa"/>
            <w:tcBorders>
              <w:top w:val="single" w:color="auto" w:sz="4" w:space="0"/>
              <w:left w:val="single" w:color="auto" w:sz="4" w:space="0"/>
              <w:bottom w:val="single" w:color="auto" w:sz="4" w:space="0"/>
              <w:right w:val="single" w:color="auto" w:sz="4" w:space="0"/>
            </w:tcBorders>
            <w:noWrap w:val="0"/>
            <w:vAlign w:val="center"/>
          </w:tcPr>
          <w:p w14:paraId="749E7DF9">
            <w:pPr>
              <w:spacing w:line="360" w:lineRule="exact"/>
              <w:jc w:val="left"/>
              <w:rPr>
                <w:rFonts w:hint="eastAsia" w:ascii="宋体" w:hAnsi="宋体" w:cs="宋体"/>
                <w:color w:val="auto"/>
                <w:kern w:val="0"/>
                <w:sz w:val="24"/>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14:paraId="40AE28F9">
            <w:pPr>
              <w:spacing w:line="360" w:lineRule="exact"/>
              <w:jc w:val="left"/>
              <w:rPr>
                <w:rFonts w:hint="eastAsia" w:ascii="宋体" w:hAnsi="宋体" w:cs="宋体"/>
                <w:color w:val="auto"/>
                <w:kern w:val="0"/>
                <w:sz w:val="24"/>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14:paraId="59E35C5C">
            <w:pPr>
              <w:spacing w:line="360" w:lineRule="exact"/>
              <w:jc w:val="left"/>
              <w:rPr>
                <w:rFonts w:hint="eastAsia" w:ascii="宋体" w:hAnsi="宋体" w:cs="宋体"/>
                <w:color w:val="auto"/>
                <w:kern w:val="0"/>
                <w:sz w:val="24"/>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4FF81787">
            <w:pPr>
              <w:spacing w:line="360" w:lineRule="exact"/>
              <w:jc w:val="left"/>
              <w:rPr>
                <w:rFonts w:hint="eastAsia" w:ascii="宋体" w:hAnsi="宋体" w:cs="宋体"/>
                <w:color w:val="auto"/>
                <w:kern w:val="0"/>
                <w:sz w:val="24"/>
              </w:rPr>
            </w:pPr>
          </w:p>
        </w:tc>
      </w:tr>
      <w:tr w14:paraId="6E5BF1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1248" w:type="dxa"/>
            <w:tcBorders>
              <w:top w:val="single" w:color="auto" w:sz="4" w:space="0"/>
              <w:left w:val="single" w:color="auto" w:sz="4" w:space="0"/>
              <w:bottom w:val="single" w:color="auto" w:sz="4" w:space="0"/>
              <w:right w:val="single" w:color="auto" w:sz="4" w:space="0"/>
            </w:tcBorders>
            <w:noWrap w:val="0"/>
            <w:vAlign w:val="center"/>
          </w:tcPr>
          <w:p w14:paraId="34684BA1">
            <w:pPr>
              <w:spacing w:line="360" w:lineRule="exact"/>
              <w:jc w:val="center"/>
              <w:rPr>
                <w:rFonts w:hint="eastAsia" w:ascii="宋体" w:hAnsi="宋体" w:cs="宋体"/>
                <w:color w:val="auto"/>
                <w:kern w:val="0"/>
                <w:sz w:val="24"/>
              </w:rPr>
            </w:pPr>
            <w:r>
              <w:rPr>
                <w:rFonts w:hint="eastAsia" w:ascii="宋体" w:hAnsi="宋体" w:cs="宋体"/>
                <w:color w:val="auto"/>
                <w:kern w:val="0"/>
                <w:sz w:val="24"/>
              </w:rPr>
              <w:t>5</w:t>
            </w:r>
          </w:p>
        </w:tc>
        <w:tc>
          <w:tcPr>
            <w:tcW w:w="2678" w:type="dxa"/>
            <w:tcBorders>
              <w:top w:val="single" w:color="auto" w:sz="4" w:space="0"/>
              <w:left w:val="single" w:color="auto" w:sz="4" w:space="0"/>
              <w:bottom w:val="single" w:color="auto" w:sz="4" w:space="0"/>
              <w:right w:val="single" w:color="auto" w:sz="4" w:space="0"/>
            </w:tcBorders>
            <w:noWrap w:val="0"/>
            <w:vAlign w:val="center"/>
          </w:tcPr>
          <w:p w14:paraId="7A2D784E">
            <w:pPr>
              <w:spacing w:line="360" w:lineRule="exact"/>
              <w:jc w:val="left"/>
              <w:rPr>
                <w:rFonts w:hint="eastAsia" w:ascii="宋体" w:hAnsi="宋体" w:cs="宋体"/>
                <w:color w:val="auto"/>
                <w:kern w:val="0"/>
                <w:sz w:val="24"/>
              </w:rPr>
            </w:pPr>
          </w:p>
        </w:tc>
        <w:tc>
          <w:tcPr>
            <w:tcW w:w="3568" w:type="dxa"/>
            <w:tcBorders>
              <w:top w:val="single" w:color="auto" w:sz="4" w:space="0"/>
              <w:left w:val="single" w:color="auto" w:sz="4" w:space="0"/>
              <w:bottom w:val="single" w:color="auto" w:sz="4" w:space="0"/>
              <w:right w:val="single" w:color="auto" w:sz="4" w:space="0"/>
            </w:tcBorders>
            <w:noWrap w:val="0"/>
            <w:vAlign w:val="center"/>
          </w:tcPr>
          <w:p w14:paraId="3C3BBC9E">
            <w:pPr>
              <w:spacing w:line="360" w:lineRule="exact"/>
              <w:jc w:val="left"/>
              <w:rPr>
                <w:rFonts w:hint="eastAsia" w:ascii="宋体" w:hAnsi="宋体" w:cs="宋体"/>
                <w:color w:val="auto"/>
                <w:kern w:val="0"/>
                <w:sz w:val="24"/>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14:paraId="1F12E538">
            <w:pPr>
              <w:spacing w:line="360" w:lineRule="exact"/>
              <w:jc w:val="left"/>
              <w:rPr>
                <w:rFonts w:hint="eastAsia" w:ascii="宋体" w:hAnsi="宋体" w:cs="宋体"/>
                <w:color w:val="auto"/>
                <w:kern w:val="0"/>
                <w:sz w:val="24"/>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14:paraId="1CCB771C">
            <w:pPr>
              <w:spacing w:line="360" w:lineRule="exact"/>
              <w:jc w:val="left"/>
              <w:rPr>
                <w:rFonts w:hint="eastAsia" w:ascii="宋体" w:hAnsi="宋体" w:cs="宋体"/>
                <w:color w:val="auto"/>
                <w:kern w:val="0"/>
                <w:sz w:val="24"/>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11003281">
            <w:pPr>
              <w:spacing w:line="360" w:lineRule="exact"/>
              <w:jc w:val="left"/>
              <w:rPr>
                <w:rFonts w:hint="eastAsia" w:ascii="宋体" w:hAnsi="宋体" w:cs="宋体"/>
                <w:color w:val="auto"/>
                <w:kern w:val="0"/>
                <w:sz w:val="24"/>
              </w:rPr>
            </w:pPr>
          </w:p>
        </w:tc>
      </w:tr>
    </w:tbl>
    <w:p w14:paraId="0C8B2E62">
      <w:pPr>
        <w:spacing w:line="360" w:lineRule="auto"/>
        <w:jc w:val="left"/>
        <w:rPr>
          <w:rFonts w:hint="eastAsia" w:ascii="宋体" w:hAnsi="宋体" w:cs="宋体"/>
          <w:color w:val="auto"/>
          <w:kern w:val="0"/>
          <w:sz w:val="24"/>
        </w:rPr>
      </w:pPr>
    </w:p>
    <w:p w14:paraId="240FD310">
      <w:pPr>
        <w:spacing w:line="360" w:lineRule="auto"/>
        <w:jc w:val="left"/>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注：后附类似业绩的证明资料（中标通知书或者合同）</w:t>
      </w:r>
    </w:p>
    <w:p w14:paraId="5F233586">
      <w:pPr>
        <w:spacing w:line="360" w:lineRule="auto"/>
        <w:ind w:firstLine="480" w:firstLineChars="200"/>
        <w:jc w:val="left"/>
        <w:rPr>
          <w:rFonts w:hint="eastAsia" w:ascii="宋体" w:hAnsi="宋体" w:cs="宋体"/>
          <w:color w:val="auto"/>
          <w:kern w:val="0"/>
          <w:sz w:val="24"/>
          <w:lang w:val="zh-CN"/>
        </w:rPr>
      </w:pPr>
    </w:p>
    <w:p w14:paraId="22F4A4BB">
      <w:pPr>
        <w:spacing w:line="360" w:lineRule="auto"/>
        <w:ind w:firstLine="480" w:firstLineChars="200"/>
        <w:jc w:val="left"/>
        <w:rPr>
          <w:rFonts w:hint="eastAsia" w:ascii="宋体" w:hAnsi="宋体" w:cs="宋体"/>
          <w:color w:val="auto"/>
          <w:kern w:val="0"/>
          <w:sz w:val="24"/>
          <w:lang w:val="zh-CN"/>
        </w:rPr>
      </w:pPr>
    </w:p>
    <w:p w14:paraId="72F17674">
      <w:pPr>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lang w:val="zh-CN"/>
        </w:rPr>
        <w:t>投标人名称(电子签章)</w:t>
      </w:r>
      <w:r>
        <w:rPr>
          <w:rFonts w:hint="eastAsia" w:ascii="宋体" w:hAnsi="宋体" w:cs="宋体"/>
          <w:color w:val="auto"/>
          <w:kern w:val="0"/>
          <w:sz w:val="24"/>
        </w:rPr>
        <w:t xml:space="preserve">：         </w:t>
      </w:r>
    </w:p>
    <w:p w14:paraId="6DB999FE">
      <w:pPr>
        <w:pStyle w:val="25"/>
        <w:rPr>
          <w:rFonts w:hint="eastAsia" w:cs="宋体"/>
          <w:color w:val="auto"/>
          <w:kern w:val="0"/>
        </w:rPr>
        <w:sectPr>
          <w:pgSz w:w="16838" w:h="11906" w:orient="landscape"/>
          <w:pgMar w:top="1418" w:right="1276" w:bottom="1418" w:left="1247" w:header="851" w:footer="992" w:gutter="0"/>
          <w:pgNumType w:fmt="decimal"/>
          <w:cols w:space="720" w:num="1"/>
          <w:titlePg/>
          <w:docGrid w:linePitch="312" w:charSpace="0"/>
        </w:sectPr>
      </w:pPr>
      <w:r>
        <w:rPr>
          <w:rFonts w:hint="eastAsia" w:cs="宋体"/>
          <w:color w:val="auto"/>
          <w:kern w:val="0"/>
        </w:rPr>
        <w:t>日  期：</w:t>
      </w:r>
      <w:r>
        <w:rPr>
          <w:rFonts w:hint="eastAsia" w:ascii="宋体" w:hAnsi="宋体" w:eastAsia="宋体" w:cs="宋体"/>
          <w:color w:val="auto"/>
          <w:kern w:val="0"/>
          <w:sz w:val="24"/>
          <w:lang w:val="zh-CN"/>
        </w:rPr>
        <w:t xml:space="preserve">  年  月  日</w:t>
      </w:r>
    </w:p>
    <w:p w14:paraId="309C1D1E">
      <w:pPr>
        <w:rPr>
          <w:rFonts w:hint="eastAsia"/>
          <w:color w:val="auto"/>
        </w:rPr>
      </w:pPr>
    </w:p>
    <w:p w14:paraId="6B65FC1E">
      <w:pPr>
        <w:spacing w:line="360" w:lineRule="auto"/>
        <w:ind w:right="25" w:rightChars="12"/>
        <w:jc w:val="left"/>
        <w:rPr>
          <w:rFonts w:hint="eastAsia" w:ascii="宋体" w:hAnsi="宋体" w:eastAsia="宋体" w:cs="宋体"/>
          <w:b/>
          <w:color w:val="auto"/>
          <w:sz w:val="24"/>
          <w:szCs w:val="24"/>
          <w:lang w:eastAsia="zh-CN" w:bidi="ar"/>
        </w:rPr>
      </w:pPr>
      <w:r>
        <w:rPr>
          <w:rFonts w:hint="eastAsia" w:ascii="宋体" w:hAnsi="宋体" w:eastAsia="宋体" w:cs="宋体"/>
          <w:b/>
          <w:color w:val="auto"/>
          <w:sz w:val="24"/>
          <w:szCs w:val="24"/>
          <w:lang w:eastAsia="zh-CN" w:bidi="ar"/>
        </w:rPr>
        <w:t>（</w:t>
      </w:r>
      <w:r>
        <w:rPr>
          <w:rFonts w:hint="eastAsia" w:ascii="宋体" w:hAnsi="宋体" w:cs="宋体"/>
          <w:b/>
          <w:color w:val="auto"/>
          <w:sz w:val="24"/>
          <w:szCs w:val="24"/>
          <w:lang w:val="en-US" w:eastAsia="zh-CN" w:bidi="ar"/>
        </w:rPr>
        <w:t>五</w:t>
      </w:r>
      <w:r>
        <w:rPr>
          <w:rFonts w:hint="eastAsia" w:ascii="宋体" w:hAnsi="宋体" w:eastAsia="宋体" w:cs="宋体"/>
          <w:b/>
          <w:color w:val="auto"/>
          <w:sz w:val="24"/>
          <w:szCs w:val="24"/>
          <w:lang w:eastAsia="zh-CN" w:bidi="ar"/>
        </w:rPr>
        <w:t>）针对本项目第</w:t>
      </w:r>
      <w:r>
        <w:rPr>
          <w:rFonts w:hint="eastAsia" w:ascii="宋体" w:hAnsi="宋体" w:cs="宋体"/>
          <w:b/>
          <w:color w:val="auto"/>
          <w:sz w:val="24"/>
          <w:szCs w:val="24"/>
          <w:lang w:val="en-US" w:eastAsia="zh-CN" w:bidi="ar"/>
        </w:rPr>
        <w:t xml:space="preserve">三部分 </w:t>
      </w:r>
      <w:r>
        <w:rPr>
          <w:rFonts w:hint="eastAsia" w:ascii="宋体" w:hAnsi="宋体" w:eastAsia="宋体" w:cs="宋体"/>
          <w:b/>
          <w:color w:val="auto"/>
          <w:sz w:val="24"/>
          <w:szCs w:val="24"/>
          <w:lang w:eastAsia="zh-CN" w:bidi="ar"/>
        </w:rPr>
        <w:t>采购需求、第四</w:t>
      </w:r>
      <w:r>
        <w:rPr>
          <w:rFonts w:hint="eastAsia" w:ascii="宋体" w:hAnsi="宋体" w:cs="宋体"/>
          <w:b/>
          <w:color w:val="auto"/>
          <w:sz w:val="24"/>
          <w:szCs w:val="24"/>
          <w:lang w:val="en-US" w:eastAsia="zh-CN" w:bidi="ar"/>
        </w:rPr>
        <w:t xml:space="preserve">部分 </w:t>
      </w:r>
      <w:r>
        <w:rPr>
          <w:rFonts w:hint="eastAsia" w:ascii="宋体" w:hAnsi="宋体" w:eastAsia="宋体" w:cs="宋体"/>
          <w:b/>
          <w:color w:val="auto"/>
          <w:sz w:val="24"/>
          <w:szCs w:val="24"/>
          <w:lang w:eastAsia="zh-CN" w:bidi="ar"/>
        </w:rPr>
        <w:t>评分</w:t>
      </w:r>
      <w:r>
        <w:rPr>
          <w:rFonts w:hint="eastAsia" w:ascii="宋体" w:hAnsi="宋体" w:cs="宋体"/>
          <w:b/>
          <w:color w:val="auto"/>
          <w:sz w:val="24"/>
          <w:szCs w:val="24"/>
          <w:lang w:val="en-US" w:eastAsia="zh-CN" w:bidi="ar"/>
        </w:rPr>
        <w:t>办法</w:t>
      </w:r>
      <w:r>
        <w:rPr>
          <w:rFonts w:hint="eastAsia" w:ascii="宋体" w:hAnsi="宋体" w:eastAsia="宋体" w:cs="宋体"/>
          <w:b/>
          <w:color w:val="auto"/>
          <w:sz w:val="24"/>
          <w:szCs w:val="24"/>
          <w:lang w:eastAsia="zh-CN" w:bidi="ar"/>
        </w:rPr>
        <w:t>的条款拟定完整方案（格式自拟）。</w:t>
      </w:r>
    </w:p>
    <w:p w14:paraId="1F7D5DF0">
      <w:pPr>
        <w:spacing w:line="360" w:lineRule="auto"/>
        <w:ind w:right="25" w:rightChars="12"/>
        <w:jc w:val="left"/>
        <w:rPr>
          <w:color w:val="auto"/>
        </w:rPr>
      </w:pPr>
      <w:r>
        <w:rPr>
          <w:rFonts w:hint="eastAsia" w:ascii="宋体" w:hAnsi="宋体" w:eastAsia="宋体" w:cs="宋体"/>
          <w:b/>
          <w:color w:val="auto"/>
          <w:sz w:val="24"/>
          <w:szCs w:val="24"/>
          <w:lang w:eastAsia="zh-CN" w:bidi="ar"/>
        </w:rPr>
        <w:t>（</w:t>
      </w:r>
      <w:r>
        <w:rPr>
          <w:rFonts w:hint="eastAsia" w:ascii="宋体" w:hAnsi="宋体" w:cs="宋体"/>
          <w:b/>
          <w:color w:val="auto"/>
          <w:sz w:val="24"/>
          <w:szCs w:val="24"/>
          <w:lang w:val="en-US" w:eastAsia="zh-CN" w:bidi="ar"/>
        </w:rPr>
        <w:t>六</w:t>
      </w:r>
      <w:r>
        <w:rPr>
          <w:rFonts w:hint="eastAsia" w:ascii="宋体" w:hAnsi="宋体" w:eastAsia="宋体" w:cs="宋体"/>
          <w:b/>
          <w:color w:val="auto"/>
          <w:sz w:val="24"/>
          <w:szCs w:val="24"/>
          <w:lang w:eastAsia="zh-CN" w:bidi="ar"/>
        </w:rPr>
        <w:t>）</w:t>
      </w:r>
      <w:r>
        <w:rPr>
          <w:rFonts w:hint="eastAsia" w:ascii="宋体" w:hAnsi="宋体" w:cs="宋体"/>
          <w:b/>
          <w:color w:val="auto"/>
          <w:sz w:val="24"/>
          <w:szCs w:val="24"/>
          <w:lang w:eastAsia="zh-CN" w:bidi="ar"/>
        </w:rPr>
        <w:t>投标人</w:t>
      </w:r>
      <w:r>
        <w:rPr>
          <w:rFonts w:hint="eastAsia" w:ascii="宋体" w:hAnsi="宋体" w:eastAsia="宋体" w:cs="宋体"/>
          <w:b/>
          <w:color w:val="auto"/>
          <w:sz w:val="24"/>
          <w:szCs w:val="24"/>
          <w:lang w:eastAsia="zh-CN" w:bidi="ar"/>
        </w:rPr>
        <w:t>认为有需要提供的其它有关证明资料</w:t>
      </w:r>
    </w:p>
    <w:p w14:paraId="22D6E86F">
      <w:pPr>
        <w:jc w:val="center"/>
        <w:rPr>
          <w:rFonts w:hint="eastAsia" w:ascii="宋体" w:hAnsi="宋体" w:cs="宋体"/>
          <w:b/>
          <w:color w:val="auto"/>
          <w:kern w:val="0"/>
          <w:sz w:val="32"/>
          <w:szCs w:val="32"/>
          <w:lang w:val="en-US" w:eastAsia="zh-CN"/>
        </w:rPr>
      </w:pPr>
    </w:p>
    <w:p w14:paraId="62FBAB70">
      <w:pPr>
        <w:jc w:val="center"/>
        <w:rPr>
          <w:rFonts w:hint="eastAsia" w:ascii="宋体" w:hAnsi="宋体" w:cs="宋体"/>
          <w:b/>
          <w:color w:val="auto"/>
          <w:kern w:val="0"/>
          <w:sz w:val="32"/>
          <w:szCs w:val="32"/>
        </w:rPr>
      </w:pPr>
      <w:r>
        <w:rPr>
          <w:rFonts w:hint="eastAsia" w:ascii="宋体" w:hAnsi="宋体" w:cs="宋体"/>
          <w:b/>
          <w:color w:val="auto"/>
          <w:kern w:val="0"/>
          <w:sz w:val="32"/>
          <w:szCs w:val="32"/>
          <w:lang w:val="en-US" w:eastAsia="zh-CN"/>
        </w:rPr>
        <w:t>五</w:t>
      </w:r>
      <w:r>
        <w:rPr>
          <w:rFonts w:hint="eastAsia" w:ascii="宋体" w:hAnsi="宋体" w:cs="宋体"/>
          <w:b/>
          <w:color w:val="auto"/>
          <w:kern w:val="0"/>
          <w:sz w:val="32"/>
          <w:szCs w:val="32"/>
        </w:rPr>
        <w:t>、商务技术偏离表</w:t>
      </w:r>
    </w:p>
    <w:tbl>
      <w:tblPr>
        <w:tblStyle w:val="63"/>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5817"/>
        <w:gridCol w:w="1322"/>
        <w:gridCol w:w="1240"/>
      </w:tblGrid>
      <w:tr w14:paraId="3186E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39" w:type="dxa"/>
            <w:vAlign w:val="center"/>
          </w:tcPr>
          <w:p w14:paraId="79A21817">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5817" w:type="dxa"/>
            <w:vAlign w:val="center"/>
          </w:tcPr>
          <w:p w14:paraId="3F2B6861">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招标文件</w:t>
            </w:r>
            <w:r>
              <w:rPr>
                <w:rFonts w:hint="eastAsia" w:ascii="宋体" w:hAnsi="宋体" w:eastAsia="宋体" w:cs="宋体"/>
                <w:b/>
                <w:bCs/>
                <w:color w:val="auto"/>
                <w:sz w:val="24"/>
                <w:szCs w:val="24"/>
                <w:highlight w:val="none"/>
                <w:lang w:val="en-US" w:eastAsia="zh-CN"/>
              </w:rPr>
              <w:t>要求</w:t>
            </w:r>
          </w:p>
        </w:tc>
        <w:tc>
          <w:tcPr>
            <w:tcW w:w="1322" w:type="dxa"/>
            <w:vAlign w:val="center"/>
          </w:tcPr>
          <w:p w14:paraId="3FFF7731">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投标文件响应</w:t>
            </w:r>
          </w:p>
        </w:tc>
        <w:tc>
          <w:tcPr>
            <w:tcW w:w="1240" w:type="dxa"/>
            <w:vAlign w:val="center"/>
          </w:tcPr>
          <w:p w14:paraId="4BBB5058">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偏离说明</w:t>
            </w:r>
          </w:p>
        </w:tc>
      </w:tr>
      <w:tr w14:paraId="1788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39" w:type="dxa"/>
            <w:vAlign w:val="center"/>
          </w:tcPr>
          <w:p w14:paraId="169A9274">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w:t>
            </w:r>
          </w:p>
        </w:tc>
        <w:tc>
          <w:tcPr>
            <w:tcW w:w="8379" w:type="dxa"/>
            <w:gridSpan w:val="3"/>
            <w:vAlign w:val="center"/>
          </w:tcPr>
          <w:p w14:paraId="54AD1690">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商务条款部分</w:t>
            </w:r>
          </w:p>
        </w:tc>
      </w:tr>
      <w:tr w14:paraId="3D5AD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39" w:type="dxa"/>
            <w:vAlign w:val="center"/>
          </w:tcPr>
          <w:p w14:paraId="6DB7CA61">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c>
          <w:tcPr>
            <w:tcW w:w="5817" w:type="dxa"/>
            <w:vAlign w:val="center"/>
          </w:tcPr>
          <w:p w14:paraId="6E896C2C">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合同履行期限</w:t>
            </w:r>
            <w:r>
              <w:rPr>
                <w:rFonts w:hint="eastAsia" w:ascii="宋体" w:hAnsi="宋体" w:eastAsia="宋体" w:cs="宋体"/>
                <w:b w:val="0"/>
                <w:bCs w:val="0"/>
                <w:color w:val="auto"/>
                <w:sz w:val="24"/>
                <w:szCs w:val="24"/>
                <w:highlight w:val="none"/>
                <w:lang w:eastAsia="zh-CN"/>
              </w:rPr>
              <w:t>：</w:t>
            </w:r>
          </w:p>
        </w:tc>
        <w:tc>
          <w:tcPr>
            <w:tcW w:w="1322" w:type="dxa"/>
          </w:tcPr>
          <w:p w14:paraId="37D2797D">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24"/>
                <w:szCs w:val="24"/>
                <w:highlight w:val="none"/>
              </w:rPr>
            </w:pPr>
          </w:p>
        </w:tc>
        <w:tc>
          <w:tcPr>
            <w:tcW w:w="1240" w:type="dxa"/>
          </w:tcPr>
          <w:p w14:paraId="547FF73F">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24"/>
                <w:szCs w:val="24"/>
                <w:highlight w:val="none"/>
              </w:rPr>
            </w:pPr>
          </w:p>
        </w:tc>
      </w:tr>
      <w:tr w14:paraId="046D1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39" w:type="dxa"/>
            <w:vAlign w:val="center"/>
          </w:tcPr>
          <w:p w14:paraId="4A261A89">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w:t>
            </w:r>
          </w:p>
        </w:tc>
        <w:tc>
          <w:tcPr>
            <w:tcW w:w="5817" w:type="dxa"/>
            <w:vAlign w:val="center"/>
          </w:tcPr>
          <w:p w14:paraId="150D9370">
            <w:pPr>
              <w:keepNext w:val="0"/>
              <w:keepLines w:val="0"/>
              <w:pageBreakBefore w:val="0"/>
              <w:kinsoku/>
              <w:wordWrap/>
              <w:overflowPunct/>
              <w:topLinePunct w:val="0"/>
              <w:autoSpaceDE/>
              <w:autoSpaceDN/>
              <w:bidi w:val="0"/>
              <w:adjustRightInd w:val="0"/>
              <w:spacing w:line="400" w:lineRule="exact"/>
              <w:jc w:val="left"/>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付款方法和条件：</w:t>
            </w:r>
          </w:p>
        </w:tc>
        <w:tc>
          <w:tcPr>
            <w:tcW w:w="1322" w:type="dxa"/>
          </w:tcPr>
          <w:p w14:paraId="43B7CC74">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24"/>
                <w:szCs w:val="24"/>
                <w:highlight w:val="none"/>
              </w:rPr>
            </w:pPr>
          </w:p>
        </w:tc>
        <w:tc>
          <w:tcPr>
            <w:tcW w:w="1240" w:type="dxa"/>
          </w:tcPr>
          <w:p w14:paraId="717525BB">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24"/>
                <w:szCs w:val="24"/>
                <w:highlight w:val="none"/>
              </w:rPr>
            </w:pPr>
          </w:p>
        </w:tc>
      </w:tr>
      <w:tr w14:paraId="1DC4D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39" w:type="dxa"/>
            <w:vAlign w:val="center"/>
          </w:tcPr>
          <w:p w14:paraId="79B8D2C3">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w:t>
            </w:r>
          </w:p>
        </w:tc>
        <w:tc>
          <w:tcPr>
            <w:tcW w:w="5817" w:type="dxa"/>
            <w:vAlign w:val="center"/>
          </w:tcPr>
          <w:p w14:paraId="31C144C4">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授予合同：</w:t>
            </w:r>
          </w:p>
        </w:tc>
        <w:tc>
          <w:tcPr>
            <w:tcW w:w="1322" w:type="dxa"/>
          </w:tcPr>
          <w:p w14:paraId="23449698">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24"/>
                <w:szCs w:val="24"/>
                <w:highlight w:val="none"/>
              </w:rPr>
            </w:pPr>
          </w:p>
        </w:tc>
        <w:tc>
          <w:tcPr>
            <w:tcW w:w="1240" w:type="dxa"/>
          </w:tcPr>
          <w:p w14:paraId="05904B1B">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24"/>
                <w:szCs w:val="24"/>
                <w:highlight w:val="none"/>
              </w:rPr>
            </w:pPr>
          </w:p>
        </w:tc>
      </w:tr>
      <w:tr w14:paraId="76F56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39" w:type="dxa"/>
            <w:vAlign w:val="center"/>
          </w:tcPr>
          <w:p w14:paraId="05AF6197">
            <w:pPr>
              <w:keepNext w:val="0"/>
              <w:keepLines w:val="0"/>
              <w:pageBreakBefore w:val="0"/>
              <w:kinsoku/>
              <w:wordWrap/>
              <w:overflowPunct/>
              <w:topLinePunct w:val="0"/>
              <w:autoSpaceDE/>
              <w:autoSpaceDN/>
              <w:bidi w:val="0"/>
              <w:adjustRightInd w:val="0"/>
              <w:spacing w:line="400" w:lineRule="exact"/>
              <w:jc w:val="center"/>
              <w:textAlignment w:val="auto"/>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w:t>
            </w:r>
          </w:p>
        </w:tc>
        <w:tc>
          <w:tcPr>
            <w:tcW w:w="5817" w:type="dxa"/>
            <w:vAlign w:val="center"/>
          </w:tcPr>
          <w:p w14:paraId="5F38E5C2">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合同签订时间：</w:t>
            </w:r>
          </w:p>
        </w:tc>
        <w:tc>
          <w:tcPr>
            <w:tcW w:w="1322" w:type="dxa"/>
          </w:tcPr>
          <w:p w14:paraId="3B4B0D9A">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24"/>
                <w:szCs w:val="24"/>
                <w:highlight w:val="none"/>
              </w:rPr>
            </w:pPr>
          </w:p>
        </w:tc>
        <w:tc>
          <w:tcPr>
            <w:tcW w:w="1240" w:type="dxa"/>
          </w:tcPr>
          <w:p w14:paraId="70034FD5">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24"/>
                <w:szCs w:val="24"/>
                <w:highlight w:val="none"/>
              </w:rPr>
            </w:pPr>
          </w:p>
        </w:tc>
      </w:tr>
      <w:tr w14:paraId="5B11C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39" w:type="dxa"/>
            <w:vAlign w:val="center"/>
          </w:tcPr>
          <w:p w14:paraId="12DA984B">
            <w:pPr>
              <w:keepNext w:val="0"/>
              <w:keepLines w:val="0"/>
              <w:pageBreakBefore w:val="0"/>
              <w:kinsoku/>
              <w:wordWrap/>
              <w:overflowPunct/>
              <w:topLinePunct w:val="0"/>
              <w:autoSpaceDE/>
              <w:autoSpaceDN/>
              <w:bidi w:val="0"/>
              <w:adjustRightInd w:val="0"/>
              <w:spacing w:line="400" w:lineRule="exact"/>
              <w:jc w:val="center"/>
              <w:textAlignment w:val="auto"/>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5</w:t>
            </w:r>
          </w:p>
        </w:tc>
        <w:tc>
          <w:tcPr>
            <w:tcW w:w="5817" w:type="dxa"/>
            <w:vAlign w:val="center"/>
          </w:tcPr>
          <w:p w14:paraId="09DEE944">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color w:val="auto"/>
                <w:kern w:val="0"/>
                <w:sz w:val="24"/>
                <w:szCs w:val="24"/>
                <w:highlight w:val="none"/>
                <w:lang w:val="en-US" w:eastAsia="zh-CN"/>
              </w:rPr>
              <w:t>...</w:t>
            </w:r>
          </w:p>
        </w:tc>
        <w:tc>
          <w:tcPr>
            <w:tcW w:w="1322" w:type="dxa"/>
          </w:tcPr>
          <w:p w14:paraId="164082DA">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color w:val="auto"/>
                <w:kern w:val="0"/>
                <w:sz w:val="24"/>
                <w:szCs w:val="24"/>
                <w:highlight w:val="none"/>
                <w:lang w:val="en-US" w:eastAsia="zh-CN"/>
              </w:rPr>
              <w:t>...</w:t>
            </w:r>
          </w:p>
        </w:tc>
        <w:tc>
          <w:tcPr>
            <w:tcW w:w="1240" w:type="dxa"/>
          </w:tcPr>
          <w:p w14:paraId="573144CB">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color w:val="auto"/>
                <w:kern w:val="0"/>
                <w:sz w:val="24"/>
                <w:szCs w:val="24"/>
                <w:highlight w:val="none"/>
                <w:lang w:val="en-US" w:eastAsia="zh-CN"/>
              </w:rPr>
              <w:t>...</w:t>
            </w:r>
          </w:p>
        </w:tc>
      </w:tr>
      <w:tr w14:paraId="4879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39" w:type="dxa"/>
            <w:vAlign w:val="center"/>
          </w:tcPr>
          <w:p w14:paraId="0A32C8DE">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24"/>
                <w:szCs w:val="24"/>
                <w:highlight w:val="none"/>
                <w:lang w:val="en-US" w:eastAsia="zh-CN"/>
              </w:rPr>
            </w:pPr>
          </w:p>
        </w:tc>
        <w:tc>
          <w:tcPr>
            <w:tcW w:w="5817" w:type="dxa"/>
            <w:vAlign w:val="center"/>
          </w:tcPr>
          <w:p w14:paraId="69AA0F0F">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其他商务条款</w:t>
            </w:r>
          </w:p>
        </w:tc>
        <w:tc>
          <w:tcPr>
            <w:tcW w:w="1322" w:type="dxa"/>
            <w:vAlign w:val="center"/>
          </w:tcPr>
          <w:p w14:paraId="5C4149F3">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响应</w:t>
            </w:r>
          </w:p>
        </w:tc>
        <w:tc>
          <w:tcPr>
            <w:tcW w:w="1240" w:type="dxa"/>
            <w:vAlign w:val="center"/>
          </w:tcPr>
          <w:p w14:paraId="7DB4D426">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无偏离</w:t>
            </w:r>
          </w:p>
        </w:tc>
      </w:tr>
      <w:tr w14:paraId="17C9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39" w:type="dxa"/>
          </w:tcPr>
          <w:p w14:paraId="7D67CB61">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w:t>
            </w:r>
          </w:p>
        </w:tc>
        <w:tc>
          <w:tcPr>
            <w:tcW w:w="5817" w:type="dxa"/>
          </w:tcPr>
          <w:p w14:paraId="5FF17EDF">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技术条款部分</w:t>
            </w:r>
          </w:p>
        </w:tc>
        <w:tc>
          <w:tcPr>
            <w:tcW w:w="1322" w:type="dxa"/>
          </w:tcPr>
          <w:p w14:paraId="78E060F7">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24"/>
                <w:szCs w:val="24"/>
                <w:highlight w:val="none"/>
              </w:rPr>
            </w:pPr>
          </w:p>
        </w:tc>
        <w:tc>
          <w:tcPr>
            <w:tcW w:w="1240" w:type="dxa"/>
          </w:tcPr>
          <w:p w14:paraId="0A2B5DC0">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24"/>
                <w:szCs w:val="24"/>
                <w:highlight w:val="none"/>
              </w:rPr>
            </w:pPr>
          </w:p>
        </w:tc>
      </w:tr>
      <w:tr w14:paraId="287B8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39" w:type="dxa"/>
            <w:vAlign w:val="center"/>
          </w:tcPr>
          <w:p w14:paraId="52436113">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5817" w:type="dxa"/>
          </w:tcPr>
          <w:p w14:paraId="5E9185DF">
            <w:pPr>
              <w:pStyle w:val="5"/>
              <w:keepNext w:val="0"/>
              <w:keepLines w:val="0"/>
              <w:pageBreakBefore w:val="0"/>
              <w:kinsoku/>
              <w:wordWrap/>
              <w:overflowPunct/>
              <w:topLinePunct w:val="0"/>
              <w:autoSpaceDE/>
              <w:autoSpaceDN/>
              <w:bidi w:val="0"/>
              <w:adjustRightInd w:val="0"/>
              <w:spacing w:line="400" w:lineRule="exact"/>
              <w:ind w:left="0" w:leftChars="0" w:firstLine="0" w:firstLineChars="0"/>
              <w:textAlignment w:val="auto"/>
              <w:rPr>
                <w:rFonts w:hint="eastAsia" w:ascii="宋体" w:hAnsi="宋体" w:eastAsia="宋体" w:cs="宋体"/>
                <w:color w:val="auto"/>
                <w:sz w:val="24"/>
                <w:szCs w:val="24"/>
                <w:highlight w:val="none"/>
                <w:lang w:val="en-US" w:eastAsia="zh-CN"/>
              </w:rPr>
            </w:pPr>
          </w:p>
        </w:tc>
        <w:tc>
          <w:tcPr>
            <w:tcW w:w="1322" w:type="dxa"/>
          </w:tcPr>
          <w:p w14:paraId="5E2788EE">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24"/>
                <w:szCs w:val="24"/>
                <w:highlight w:val="none"/>
              </w:rPr>
            </w:pPr>
          </w:p>
        </w:tc>
        <w:tc>
          <w:tcPr>
            <w:tcW w:w="1240" w:type="dxa"/>
          </w:tcPr>
          <w:p w14:paraId="2515B681">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24"/>
                <w:szCs w:val="24"/>
                <w:highlight w:val="none"/>
              </w:rPr>
            </w:pPr>
          </w:p>
        </w:tc>
      </w:tr>
      <w:tr w14:paraId="08AE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39" w:type="dxa"/>
            <w:vAlign w:val="center"/>
          </w:tcPr>
          <w:p w14:paraId="5C1410E9">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5817" w:type="dxa"/>
          </w:tcPr>
          <w:p w14:paraId="2547C497">
            <w:pPr>
              <w:pStyle w:val="5"/>
              <w:keepNext w:val="0"/>
              <w:keepLines w:val="0"/>
              <w:pageBreakBefore w:val="0"/>
              <w:kinsoku/>
              <w:wordWrap/>
              <w:overflowPunct/>
              <w:topLinePunct w:val="0"/>
              <w:autoSpaceDE/>
              <w:autoSpaceDN/>
              <w:bidi w:val="0"/>
              <w:adjustRightInd w:val="0"/>
              <w:spacing w:line="400" w:lineRule="exact"/>
              <w:ind w:left="0" w:leftChars="0" w:firstLine="0" w:firstLineChars="0"/>
              <w:textAlignment w:val="auto"/>
              <w:rPr>
                <w:rFonts w:hint="eastAsia" w:ascii="宋体" w:hAnsi="宋体" w:eastAsia="宋体" w:cs="宋体"/>
                <w:color w:val="auto"/>
                <w:sz w:val="24"/>
                <w:szCs w:val="24"/>
                <w:highlight w:val="none"/>
                <w:lang w:eastAsia="zh-CN"/>
              </w:rPr>
            </w:pPr>
          </w:p>
        </w:tc>
        <w:tc>
          <w:tcPr>
            <w:tcW w:w="1322" w:type="dxa"/>
          </w:tcPr>
          <w:p w14:paraId="0CC3B914">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24"/>
                <w:szCs w:val="24"/>
                <w:highlight w:val="none"/>
              </w:rPr>
            </w:pPr>
          </w:p>
        </w:tc>
        <w:tc>
          <w:tcPr>
            <w:tcW w:w="1240" w:type="dxa"/>
          </w:tcPr>
          <w:p w14:paraId="7C25B331">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24"/>
                <w:szCs w:val="24"/>
                <w:highlight w:val="none"/>
              </w:rPr>
            </w:pPr>
          </w:p>
        </w:tc>
      </w:tr>
      <w:tr w14:paraId="71D6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39" w:type="dxa"/>
            <w:vAlign w:val="center"/>
          </w:tcPr>
          <w:p w14:paraId="05CC8B4D">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5817" w:type="dxa"/>
          </w:tcPr>
          <w:p w14:paraId="4A6F6443">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w:t>
            </w:r>
          </w:p>
        </w:tc>
        <w:tc>
          <w:tcPr>
            <w:tcW w:w="1322" w:type="dxa"/>
          </w:tcPr>
          <w:p w14:paraId="67CA609F">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w:t>
            </w:r>
          </w:p>
        </w:tc>
        <w:tc>
          <w:tcPr>
            <w:tcW w:w="1240" w:type="dxa"/>
          </w:tcPr>
          <w:p w14:paraId="71953396">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w:t>
            </w:r>
          </w:p>
        </w:tc>
      </w:tr>
      <w:tr w14:paraId="08972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39" w:type="dxa"/>
            <w:vAlign w:val="center"/>
          </w:tcPr>
          <w:p w14:paraId="5752CCDA">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kern w:val="0"/>
                <w:sz w:val="24"/>
                <w:szCs w:val="24"/>
                <w:highlight w:val="none"/>
                <w:lang w:val="en-US" w:eastAsia="zh-CN"/>
              </w:rPr>
            </w:pPr>
          </w:p>
        </w:tc>
        <w:tc>
          <w:tcPr>
            <w:tcW w:w="5817" w:type="dxa"/>
            <w:vAlign w:val="center"/>
          </w:tcPr>
          <w:p w14:paraId="43E06F05">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其他技术条款</w:t>
            </w:r>
          </w:p>
        </w:tc>
        <w:tc>
          <w:tcPr>
            <w:tcW w:w="1322" w:type="dxa"/>
            <w:vAlign w:val="center"/>
          </w:tcPr>
          <w:p w14:paraId="3C179086">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eastAsia="zh-CN"/>
              </w:rPr>
              <w:t>响应</w:t>
            </w:r>
          </w:p>
        </w:tc>
        <w:tc>
          <w:tcPr>
            <w:tcW w:w="1240" w:type="dxa"/>
            <w:vAlign w:val="center"/>
          </w:tcPr>
          <w:p w14:paraId="7EB80DA7">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eastAsia="zh-CN"/>
              </w:rPr>
              <w:t>无偏离</w:t>
            </w:r>
          </w:p>
        </w:tc>
      </w:tr>
    </w:tbl>
    <w:p w14:paraId="33FA5278">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66A61F6C">
      <w:pPr>
        <w:spacing w:line="360" w:lineRule="auto"/>
        <w:ind w:right="420"/>
        <w:rPr>
          <w:rFonts w:ascii="宋体" w:hAnsi="宋体" w:cs="宋体"/>
          <w:b/>
          <w:bCs/>
          <w:color w:val="auto"/>
          <w:sz w:val="32"/>
          <w:szCs w:val="32"/>
        </w:rPr>
      </w:pPr>
      <w:r>
        <w:rPr>
          <w:rFonts w:hint="eastAsia" w:ascii="宋体" w:hAnsi="宋体" w:cs="宋体"/>
          <w:color w:val="auto"/>
          <w:sz w:val="24"/>
        </w:rPr>
        <w:t>注：按本格式和要求提供。</w:t>
      </w:r>
    </w:p>
    <w:p w14:paraId="5D9A506F">
      <w:pPr>
        <w:snapToGrid w:val="0"/>
        <w:spacing w:line="360" w:lineRule="auto"/>
        <w:ind w:firstLine="576"/>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35386C04">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 投标人名称(电子签名)：                              </w:t>
      </w:r>
    </w:p>
    <w:p w14:paraId="2F5A3267">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C993EE0">
      <w:pPr>
        <w:pStyle w:val="3"/>
        <w:ind w:left="0" w:leftChars="0" w:firstLine="0" w:firstLineChars="0"/>
        <w:rPr>
          <w:color w:val="auto"/>
        </w:rPr>
      </w:pPr>
    </w:p>
    <w:p w14:paraId="73DE446D">
      <w:pPr>
        <w:ind w:firstLine="1911" w:firstLineChars="595"/>
        <w:rPr>
          <w:rFonts w:ascii="宋体" w:hAnsi="宋体" w:cs="宋体"/>
          <w:b/>
          <w:color w:val="auto"/>
          <w:kern w:val="0"/>
          <w:sz w:val="32"/>
          <w:szCs w:val="32"/>
        </w:rPr>
      </w:pPr>
      <w:r>
        <w:rPr>
          <w:rFonts w:hint="eastAsia" w:ascii="宋体" w:hAnsi="宋体" w:cs="宋体"/>
          <w:b/>
          <w:bCs/>
          <w:color w:val="auto"/>
          <w:sz w:val="32"/>
          <w:szCs w:val="32"/>
          <w:lang w:val="en-US" w:eastAsia="zh-CN"/>
        </w:rPr>
        <w:t>六</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政府采购投标人廉洁自律承诺书</w:t>
      </w:r>
    </w:p>
    <w:p w14:paraId="7A62D512">
      <w:pPr>
        <w:snapToGrid w:val="0"/>
        <w:spacing w:line="360" w:lineRule="auto"/>
        <w:rPr>
          <w:rFonts w:ascii="宋体" w:hAnsi="宋体" w:cs="宋体"/>
          <w:color w:val="auto"/>
          <w:sz w:val="24"/>
        </w:rPr>
      </w:pPr>
    </w:p>
    <w:p w14:paraId="78EF3531">
      <w:pPr>
        <w:snapToGrid w:val="0"/>
        <w:spacing w:line="360" w:lineRule="auto"/>
        <w:rPr>
          <w:rFonts w:ascii="宋体" w:hAnsi="宋体" w:cs="宋体"/>
          <w:color w:val="auto"/>
          <w:kern w:val="0"/>
          <w:sz w:val="24"/>
        </w:rPr>
      </w:pPr>
      <w:r>
        <w:rPr>
          <w:rFonts w:hint="eastAsia" w:ascii="宋体" w:hAnsi="宋体" w:cs="宋体"/>
          <w:color w:val="auto"/>
          <w:sz w:val="24"/>
          <w:lang w:eastAsia="zh-CN"/>
        </w:rPr>
        <w:t>宁海传媒集团（宁海县广播电视台）、浙江天诚工程咨询有限公司</w:t>
      </w:r>
      <w:r>
        <w:rPr>
          <w:rFonts w:hint="eastAsia" w:ascii="宋体" w:hAnsi="宋体" w:cs="宋体"/>
          <w:color w:val="auto"/>
          <w:kern w:val="0"/>
          <w:sz w:val="24"/>
          <w:lang w:val="zh-CN"/>
        </w:rPr>
        <w:t>：</w:t>
      </w:r>
    </w:p>
    <w:p w14:paraId="4427D5C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360A0DE5">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5982413D">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1F97285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36E1AECB">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063CE1EA">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167BF9C9">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570442D0">
      <w:pPr>
        <w:numPr>
          <w:ilvl w:val="0"/>
          <w:numId w:val="7"/>
        </w:numPr>
        <w:autoSpaceDE w:val="0"/>
        <w:autoSpaceDN w:val="0"/>
        <w:spacing w:line="360" w:lineRule="auto"/>
        <w:ind w:left="481" w:leftChars="229"/>
        <w:jc w:val="left"/>
        <w:rPr>
          <w:rFonts w:hint="eastAsia" w:ascii="宋体" w:hAnsi="宋体" w:cs="宋体"/>
          <w:color w:val="auto"/>
          <w:sz w:val="24"/>
          <w:lang w:val="zh-CN"/>
        </w:rPr>
      </w:pPr>
      <w:r>
        <w:rPr>
          <w:rFonts w:hint="eastAsia" w:ascii="宋体" w:hAnsi="宋体" w:cs="宋体"/>
          <w:color w:val="auto"/>
          <w:kern w:val="0"/>
          <w:sz w:val="24"/>
          <w:lang w:val="zh-CN"/>
        </w:rPr>
        <w:t>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招标投标法》</w:t>
      </w:r>
      <w:r>
        <w:rPr>
          <w:rFonts w:hint="eastAsia" w:ascii="宋体" w:hAnsi="宋体" w:cs="宋体"/>
          <w:color w:val="auto"/>
          <w:sz w:val="24"/>
          <w:lang w:val="zh-CN"/>
        </w:rPr>
        <w:t>《中</w:t>
      </w:r>
    </w:p>
    <w:p w14:paraId="0E1765A8">
      <w:pPr>
        <w:numPr>
          <w:ilvl w:val="0"/>
          <w:numId w:val="0"/>
        </w:num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sz w:val="24"/>
          <w:lang w:val="zh-CN"/>
        </w:rPr>
        <w:t>华人民共和国民法典》</w:t>
      </w:r>
      <w:r>
        <w:rPr>
          <w:rFonts w:hint="eastAsia" w:ascii="宋体" w:hAnsi="宋体" w:cs="宋体"/>
          <w:color w:val="auto"/>
          <w:kern w:val="0"/>
          <w:sz w:val="24"/>
          <w:lang w:val="zh-CN"/>
        </w:rPr>
        <w:t xml:space="preserve">等法律法规，诚实守信，合法经营，坚决抵制各种违法违纪行为。 </w:t>
      </w:r>
    </w:p>
    <w:p w14:paraId="67874729">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6C82C7E5">
      <w:pPr>
        <w:autoSpaceDE w:val="0"/>
        <w:autoSpaceDN w:val="0"/>
        <w:spacing w:line="360" w:lineRule="auto"/>
        <w:ind w:left="2"/>
        <w:jc w:val="left"/>
        <w:rPr>
          <w:rFonts w:ascii="宋体" w:hAnsi="宋体" w:cs="宋体"/>
          <w:color w:val="auto"/>
          <w:kern w:val="0"/>
          <w:sz w:val="24"/>
          <w:lang w:val="zh-CN"/>
        </w:rPr>
      </w:pPr>
    </w:p>
    <w:p w14:paraId="1AB2AB36">
      <w:pPr>
        <w:autoSpaceDE w:val="0"/>
        <w:autoSpaceDN w:val="0"/>
        <w:spacing w:line="360" w:lineRule="auto"/>
        <w:ind w:left="2"/>
        <w:jc w:val="left"/>
        <w:rPr>
          <w:rFonts w:ascii="宋体" w:hAnsi="宋体" w:cs="宋体"/>
          <w:color w:val="auto"/>
          <w:kern w:val="0"/>
          <w:sz w:val="24"/>
          <w:lang w:val="zh-CN"/>
        </w:rPr>
      </w:pPr>
    </w:p>
    <w:p w14:paraId="1BF78D85">
      <w:pPr>
        <w:autoSpaceDE w:val="0"/>
        <w:autoSpaceDN w:val="0"/>
        <w:spacing w:line="360" w:lineRule="auto"/>
        <w:ind w:left="2"/>
        <w:jc w:val="left"/>
        <w:rPr>
          <w:rFonts w:ascii="宋体" w:hAnsi="宋体" w:cs="宋体"/>
          <w:color w:val="auto"/>
          <w:kern w:val="0"/>
          <w:sz w:val="24"/>
          <w:lang w:val="zh-CN"/>
        </w:rPr>
      </w:pPr>
    </w:p>
    <w:p w14:paraId="6334ADE6">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5CEF43D6">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2469F037">
      <w:pPr>
        <w:spacing w:line="360" w:lineRule="auto"/>
        <w:jc w:val="center"/>
        <w:rPr>
          <w:rFonts w:ascii="宋体" w:hAnsi="宋体" w:cs="宋体"/>
          <w:b/>
          <w:bCs/>
          <w:color w:val="auto"/>
          <w:sz w:val="24"/>
        </w:rPr>
      </w:pPr>
    </w:p>
    <w:p w14:paraId="22A09D6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9245547">
      <w:pPr>
        <w:spacing w:line="360" w:lineRule="auto"/>
        <w:jc w:val="center"/>
        <w:rPr>
          <w:rFonts w:ascii="宋体" w:hAnsi="宋体" w:cs="宋体"/>
          <w:b/>
          <w:bCs/>
          <w:color w:val="auto"/>
          <w:sz w:val="24"/>
        </w:rPr>
        <w:sectPr>
          <w:pgSz w:w="11906" w:h="16838"/>
          <w:pgMar w:top="1276" w:right="1418" w:bottom="1247" w:left="1418" w:header="851" w:footer="992" w:gutter="0"/>
          <w:pgNumType w:fmt="decimal"/>
          <w:cols w:space="720" w:num="1"/>
          <w:titlePg/>
          <w:docGrid w:linePitch="312" w:charSpace="0"/>
        </w:sectPr>
      </w:pPr>
    </w:p>
    <w:p w14:paraId="6B718694">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033F9E2A">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5AE22D2E">
      <w:pPr>
        <w:spacing w:line="360" w:lineRule="auto"/>
        <w:jc w:val="center"/>
        <w:outlineLvl w:val="0"/>
        <w:rPr>
          <w:rFonts w:ascii="宋体" w:hAnsi="宋体" w:cs="宋体"/>
          <w:b/>
          <w:color w:val="auto"/>
          <w:kern w:val="0"/>
          <w:sz w:val="36"/>
          <w:szCs w:val="36"/>
        </w:rPr>
      </w:pPr>
    </w:p>
    <w:p w14:paraId="741F77E6">
      <w:pPr>
        <w:numPr>
          <w:ilvl w:val="0"/>
          <w:numId w:val="8"/>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13143868">
      <w:pPr>
        <w:snapToGrid w:val="0"/>
        <w:spacing w:line="360" w:lineRule="auto"/>
        <w:rPr>
          <w:rFonts w:hint="eastAsia" w:ascii="宋体" w:hAnsi="宋体" w:cs="宋体"/>
          <w:color w:val="auto"/>
          <w:sz w:val="24"/>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）中小企业声明函………………………………………………………………（页码）</w:t>
      </w:r>
    </w:p>
    <w:p w14:paraId="7539BD44">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4DBD5537">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3207C7D">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u w:val="single"/>
        </w:rPr>
        <w:t>（项目名称）</w:t>
      </w:r>
      <w:r>
        <w:rPr>
          <w:rFonts w:hint="eastAsia" w:ascii="宋体" w:hAnsi="宋体" w:cs="宋体"/>
          <w:color w:val="auto"/>
          <w:kern w:val="0"/>
          <w:sz w:val="24"/>
          <w:lang w:val="zh-CN"/>
        </w:rPr>
        <w:t>【</w:t>
      </w:r>
      <w:r>
        <w:rPr>
          <w:rFonts w:hint="eastAsia" w:ascii="宋体" w:hAnsi="宋体" w:cs="宋体"/>
          <w:color w:val="auto"/>
          <w:kern w:val="0"/>
          <w:sz w:val="24"/>
          <w:u w:val="single"/>
          <w:lang w:val="zh-CN"/>
        </w:rPr>
        <w:t>招标编号：</w:t>
      </w:r>
      <w:r>
        <w:rPr>
          <w:rFonts w:hint="eastAsia" w:ascii="宋体" w:hAnsi="宋体" w:cs="宋体"/>
          <w:color w:val="auto"/>
          <w:sz w:val="24"/>
          <w:u w:val="single"/>
        </w:rPr>
        <w:t xml:space="preserve">        </w:t>
      </w:r>
      <w:r>
        <w:rPr>
          <w:rFonts w:hint="eastAsia" w:ascii="宋体" w:hAnsi="宋体" w:cs="宋体"/>
          <w:color w:val="auto"/>
          <w:sz w:val="24"/>
        </w:rPr>
        <w:t>】的实施</w:t>
      </w:r>
      <w:r>
        <w:rPr>
          <w:rFonts w:hint="eastAsia" w:ascii="宋体" w:hAnsi="宋体" w:cs="宋体"/>
          <w:color w:val="auto"/>
          <w:kern w:val="0"/>
          <w:sz w:val="24"/>
          <w:lang w:val="zh-CN"/>
        </w:rPr>
        <w:t>。</w:t>
      </w:r>
    </w:p>
    <w:p w14:paraId="61B69CDD">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7F57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noWrap w:val="0"/>
            <w:vAlign w:val="center"/>
          </w:tcPr>
          <w:p w14:paraId="2FB99894">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noWrap w:val="0"/>
            <w:vAlign w:val="center"/>
          </w:tcPr>
          <w:p w14:paraId="443821DD">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43" w:type="dxa"/>
            <w:noWrap w:val="0"/>
            <w:vAlign w:val="top"/>
          </w:tcPr>
          <w:p w14:paraId="318B86E1">
            <w:pPr>
              <w:spacing w:line="360" w:lineRule="auto"/>
              <w:jc w:val="center"/>
              <w:rPr>
                <w:rFonts w:ascii="宋体" w:hAnsi="宋体" w:cs="宋体"/>
                <w:b/>
                <w:color w:val="auto"/>
                <w:sz w:val="24"/>
              </w:rPr>
            </w:pPr>
          </w:p>
          <w:p w14:paraId="111AD36B">
            <w:pPr>
              <w:spacing w:line="360" w:lineRule="auto"/>
              <w:jc w:val="center"/>
              <w:rPr>
                <w:rFonts w:ascii="宋体" w:hAnsi="宋体" w:cs="宋体"/>
                <w:b/>
                <w:color w:val="auto"/>
                <w:sz w:val="24"/>
              </w:rPr>
            </w:pPr>
            <w:r>
              <w:rPr>
                <w:rFonts w:hint="eastAsia" w:ascii="宋体" w:hAnsi="宋体" w:cs="宋体"/>
                <w:b/>
                <w:color w:val="auto"/>
                <w:sz w:val="24"/>
              </w:rPr>
              <w:t>产地品牌</w:t>
            </w:r>
          </w:p>
        </w:tc>
        <w:tc>
          <w:tcPr>
            <w:tcW w:w="3118" w:type="dxa"/>
            <w:noWrap w:val="0"/>
            <w:vAlign w:val="center"/>
          </w:tcPr>
          <w:p w14:paraId="33703934">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993" w:type="dxa"/>
            <w:noWrap w:val="0"/>
            <w:vAlign w:val="center"/>
          </w:tcPr>
          <w:p w14:paraId="6E11B34F">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559" w:type="dxa"/>
            <w:noWrap w:val="0"/>
            <w:vAlign w:val="center"/>
          </w:tcPr>
          <w:p w14:paraId="37F8769E">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noWrap w:val="0"/>
            <w:vAlign w:val="center"/>
          </w:tcPr>
          <w:p w14:paraId="236E1328">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3119" w:type="dxa"/>
            <w:noWrap w:val="0"/>
            <w:vAlign w:val="center"/>
          </w:tcPr>
          <w:p w14:paraId="2AA343DE">
            <w:pPr>
              <w:spacing w:line="360" w:lineRule="auto"/>
              <w:jc w:val="center"/>
              <w:rPr>
                <w:rFonts w:ascii="宋体" w:hAnsi="宋体" w:cs="宋体"/>
                <w:b/>
                <w:color w:val="auto"/>
                <w:sz w:val="24"/>
              </w:rPr>
            </w:pPr>
          </w:p>
          <w:p w14:paraId="19D8DE3D">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210A253F">
            <w:pPr>
              <w:spacing w:line="360" w:lineRule="auto"/>
              <w:jc w:val="center"/>
              <w:rPr>
                <w:rFonts w:ascii="宋体" w:hAnsi="宋体" w:cs="宋体"/>
                <w:b/>
                <w:color w:val="auto"/>
                <w:sz w:val="24"/>
              </w:rPr>
            </w:pPr>
          </w:p>
        </w:tc>
      </w:tr>
      <w:tr w14:paraId="53A0F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14:paraId="75801562">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noWrap w:val="0"/>
            <w:vAlign w:val="center"/>
          </w:tcPr>
          <w:p w14:paraId="23DF93A7">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noWrap w:val="0"/>
            <w:vAlign w:val="center"/>
          </w:tcPr>
          <w:p w14:paraId="74BF1DC7">
            <w:pPr>
              <w:snapToGrid w:val="0"/>
              <w:spacing w:line="360" w:lineRule="auto"/>
              <w:jc w:val="center"/>
              <w:rPr>
                <w:rFonts w:ascii="宋体" w:hAnsi="宋体" w:cs="宋体"/>
                <w:color w:val="auto"/>
                <w:sz w:val="24"/>
              </w:rPr>
            </w:pPr>
          </w:p>
        </w:tc>
        <w:tc>
          <w:tcPr>
            <w:tcW w:w="3118" w:type="dxa"/>
            <w:noWrap w:val="0"/>
            <w:vAlign w:val="center"/>
          </w:tcPr>
          <w:p w14:paraId="7FD53B76">
            <w:pPr>
              <w:snapToGrid w:val="0"/>
              <w:spacing w:line="360" w:lineRule="auto"/>
              <w:jc w:val="center"/>
              <w:rPr>
                <w:rFonts w:ascii="宋体" w:hAnsi="宋体" w:cs="宋体"/>
                <w:color w:val="auto"/>
                <w:sz w:val="24"/>
              </w:rPr>
            </w:pPr>
          </w:p>
        </w:tc>
        <w:tc>
          <w:tcPr>
            <w:tcW w:w="993" w:type="dxa"/>
            <w:noWrap w:val="0"/>
            <w:vAlign w:val="center"/>
          </w:tcPr>
          <w:p w14:paraId="4C83D9EB">
            <w:pPr>
              <w:snapToGrid w:val="0"/>
              <w:spacing w:line="360" w:lineRule="auto"/>
              <w:jc w:val="center"/>
              <w:rPr>
                <w:rFonts w:ascii="宋体" w:hAnsi="宋体" w:cs="宋体"/>
                <w:color w:val="auto"/>
                <w:sz w:val="24"/>
              </w:rPr>
            </w:pPr>
          </w:p>
        </w:tc>
        <w:tc>
          <w:tcPr>
            <w:tcW w:w="1559" w:type="dxa"/>
            <w:noWrap w:val="0"/>
            <w:vAlign w:val="center"/>
          </w:tcPr>
          <w:p w14:paraId="67E772EE">
            <w:pPr>
              <w:spacing w:line="360" w:lineRule="auto"/>
              <w:jc w:val="center"/>
              <w:rPr>
                <w:rFonts w:ascii="宋体" w:hAnsi="宋体" w:cs="宋体"/>
                <w:color w:val="auto"/>
                <w:sz w:val="24"/>
              </w:rPr>
            </w:pPr>
          </w:p>
        </w:tc>
        <w:tc>
          <w:tcPr>
            <w:tcW w:w="1984" w:type="dxa"/>
            <w:noWrap w:val="0"/>
            <w:vAlign w:val="center"/>
          </w:tcPr>
          <w:p w14:paraId="5196278C">
            <w:pPr>
              <w:spacing w:line="360" w:lineRule="auto"/>
              <w:jc w:val="center"/>
              <w:rPr>
                <w:rFonts w:ascii="宋体" w:hAnsi="宋体" w:cs="宋体"/>
                <w:color w:val="auto"/>
                <w:sz w:val="24"/>
              </w:rPr>
            </w:pPr>
          </w:p>
        </w:tc>
        <w:tc>
          <w:tcPr>
            <w:tcW w:w="3119" w:type="dxa"/>
            <w:noWrap w:val="0"/>
            <w:vAlign w:val="center"/>
          </w:tcPr>
          <w:p w14:paraId="625A0129">
            <w:pPr>
              <w:spacing w:line="360" w:lineRule="auto"/>
              <w:jc w:val="center"/>
              <w:rPr>
                <w:rFonts w:ascii="宋体" w:hAnsi="宋体" w:cs="宋体"/>
                <w:color w:val="auto"/>
                <w:sz w:val="24"/>
              </w:rPr>
            </w:pPr>
          </w:p>
        </w:tc>
      </w:tr>
      <w:tr w14:paraId="17CA7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397C3EEC">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noWrap w:val="0"/>
            <w:vAlign w:val="center"/>
          </w:tcPr>
          <w:p w14:paraId="2F4A6026">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noWrap w:val="0"/>
            <w:vAlign w:val="center"/>
          </w:tcPr>
          <w:p w14:paraId="617A85A8">
            <w:pPr>
              <w:snapToGrid w:val="0"/>
              <w:spacing w:line="360" w:lineRule="auto"/>
              <w:jc w:val="center"/>
              <w:rPr>
                <w:rFonts w:ascii="宋体" w:hAnsi="宋体" w:cs="宋体"/>
                <w:color w:val="auto"/>
                <w:sz w:val="24"/>
              </w:rPr>
            </w:pPr>
          </w:p>
        </w:tc>
        <w:tc>
          <w:tcPr>
            <w:tcW w:w="3118" w:type="dxa"/>
            <w:noWrap w:val="0"/>
            <w:vAlign w:val="center"/>
          </w:tcPr>
          <w:p w14:paraId="219C7CF6">
            <w:pPr>
              <w:snapToGrid w:val="0"/>
              <w:spacing w:line="360" w:lineRule="auto"/>
              <w:jc w:val="center"/>
              <w:rPr>
                <w:rFonts w:ascii="宋体" w:hAnsi="宋体" w:cs="宋体"/>
                <w:color w:val="auto"/>
                <w:sz w:val="24"/>
              </w:rPr>
            </w:pPr>
          </w:p>
        </w:tc>
        <w:tc>
          <w:tcPr>
            <w:tcW w:w="993" w:type="dxa"/>
            <w:noWrap w:val="0"/>
            <w:vAlign w:val="center"/>
          </w:tcPr>
          <w:p w14:paraId="102562E7">
            <w:pPr>
              <w:snapToGrid w:val="0"/>
              <w:spacing w:line="360" w:lineRule="auto"/>
              <w:jc w:val="center"/>
              <w:rPr>
                <w:rFonts w:ascii="宋体" w:hAnsi="宋体" w:cs="宋体"/>
                <w:color w:val="auto"/>
                <w:sz w:val="24"/>
              </w:rPr>
            </w:pPr>
          </w:p>
        </w:tc>
        <w:tc>
          <w:tcPr>
            <w:tcW w:w="1559" w:type="dxa"/>
            <w:noWrap w:val="0"/>
            <w:vAlign w:val="center"/>
          </w:tcPr>
          <w:p w14:paraId="3B1C57C2">
            <w:pPr>
              <w:spacing w:line="360" w:lineRule="auto"/>
              <w:jc w:val="center"/>
              <w:rPr>
                <w:rFonts w:ascii="宋体" w:hAnsi="宋体" w:cs="宋体"/>
                <w:color w:val="auto"/>
                <w:sz w:val="24"/>
              </w:rPr>
            </w:pPr>
          </w:p>
        </w:tc>
        <w:tc>
          <w:tcPr>
            <w:tcW w:w="1984" w:type="dxa"/>
            <w:noWrap w:val="0"/>
            <w:vAlign w:val="center"/>
          </w:tcPr>
          <w:p w14:paraId="78492F16">
            <w:pPr>
              <w:spacing w:line="360" w:lineRule="auto"/>
              <w:jc w:val="center"/>
              <w:rPr>
                <w:rFonts w:ascii="宋体" w:hAnsi="宋体" w:cs="宋体"/>
                <w:color w:val="auto"/>
                <w:sz w:val="24"/>
              </w:rPr>
            </w:pPr>
          </w:p>
        </w:tc>
        <w:tc>
          <w:tcPr>
            <w:tcW w:w="3119" w:type="dxa"/>
            <w:noWrap w:val="0"/>
            <w:vAlign w:val="center"/>
          </w:tcPr>
          <w:p w14:paraId="572D75C8">
            <w:pPr>
              <w:spacing w:line="360" w:lineRule="auto"/>
              <w:jc w:val="center"/>
              <w:rPr>
                <w:rFonts w:ascii="宋体" w:hAnsi="宋体" w:cs="宋体"/>
                <w:color w:val="auto"/>
                <w:sz w:val="24"/>
              </w:rPr>
            </w:pPr>
          </w:p>
        </w:tc>
      </w:tr>
      <w:tr w14:paraId="271D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3E499BC4">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noWrap w:val="0"/>
            <w:vAlign w:val="center"/>
          </w:tcPr>
          <w:p w14:paraId="21ABC7D2">
            <w:pPr>
              <w:snapToGrid w:val="0"/>
              <w:spacing w:line="360" w:lineRule="auto"/>
              <w:jc w:val="center"/>
              <w:rPr>
                <w:rFonts w:ascii="宋体" w:hAnsi="宋体" w:cs="宋体"/>
                <w:color w:val="auto"/>
                <w:sz w:val="24"/>
              </w:rPr>
            </w:pPr>
          </w:p>
        </w:tc>
        <w:tc>
          <w:tcPr>
            <w:tcW w:w="1843" w:type="dxa"/>
            <w:noWrap w:val="0"/>
            <w:vAlign w:val="center"/>
          </w:tcPr>
          <w:p w14:paraId="3B34265E">
            <w:pPr>
              <w:snapToGrid w:val="0"/>
              <w:spacing w:line="360" w:lineRule="auto"/>
              <w:jc w:val="center"/>
              <w:rPr>
                <w:rFonts w:ascii="宋体" w:hAnsi="宋体" w:cs="宋体"/>
                <w:color w:val="auto"/>
                <w:sz w:val="24"/>
              </w:rPr>
            </w:pPr>
          </w:p>
        </w:tc>
        <w:tc>
          <w:tcPr>
            <w:tcW w:w="3118" w:type="dxa"/>
            <w:noWrap w:val="0"/>
            <w:vAlign w:val="center"/>
          </w:tcPr>
          <w:p w14:paraId="464CB7E7">
            <w:pPr>
              <w:snapToGrid w:val="0"/>
              <w:spacing w:line="360" w:lineRule="auto"/>
              <w:jc w:val="center"/>
              <w:rPr>
                <w:rFonts w:ascii="宋体" w:hAnsi="宋体" w:cs="宋体"/>
                <w:color w:val="auto"/>
                <w:sz w:val="24"/>
              </w:rPr>
            </w:pPr>
          </w:p>
        </w:tc>
        <w:tc>
          <w:tcPr>
            <w:tcW w:w="993" w:type="dxa"/>
            <w:noWrap w:val="0"/>
            <w:vAlign w:val="center"/>
          </w:tcPr>
          <w:p w14:paraId="61D809E8">
            <w:pPr>
              <w:snapToGrid w:val="0"/>
              <w:spacing w:line="360" w:lineRule="auto"/>
              <w:jc w:val="center"/>
              <w:rPr>
                <w:rFonts w:ascii="宋体" w:hAnsi="宋体" w:cs="宋体"/>
                <w:color w:val="auto"/>
                <w:sz w:val="24"/>
              </w:rPr>
            </w:pPr>
          </w:p>
        </w:tc>
        <w:tc>
          <w:tcPr>
            <w:tcW w:w="1559" w:type="dxa"/>
            <w:noWrap w:val="0"/>
            <w:vAlign w:val="center"/>
          </w:tcPr>
          <w:p w14:paraId="4CCC32A9">
            <w:pPr>
              <w:spacing w:line="360" w:lineRule="auto"/>
              <w:jc w:val="center"/>
              <w:rPr>
                <w:rFonts w:ascii="宋体" w:hAnsi="宋体" w:cs="宋体"/>
                <w:color w:val="auto"/>
                <w:sz w:val="24"/>
              </w:rPr>
            </w:pPr>
          </w:p>
        </w:tc>
        <w:tc>
          <w:tcPr>
            <w:tcW w:w="1984" w:type="dxa"/>
            <w:noWrap w:val="0"/>
            <w:vAlign w:val="center"/>
          </w:tcPr>
          <w:p w14:paraId="1968CC2E">
            <w:pPr>
              <w:spacing w:line="360" w:lineRule="auto"/>
              <w:jc w:val="center"/>
              <w:rPr>
                <w:rFonts w:ascii="宋体" w:hAnsi="宋体" w:cs="宋体"/>
                <w:color w:val="auto"/>
                <w:sz w:val="24"/>
              </w:rPr>
            </w:pPr>
          </w:p>
        </w:tc>
        <w:tc>
          <w:tcPr>
            <w:tcW w:w="3119" w:type="dxa"/>
            <w:noWrap w:val="0"/>
            <w:vAlign w:val="center"/>
          </w:tcPr>
          <w:p w14:paraId="0BA3D6D0">
            <w:pPr>
              <w:spacing w:line="360" w:lineRule="auto"/>
              <w:jc w:val="center"/>
              <w:rPr>
                <w:rFonts w:ascii="宋体" w:hAnsi="宋体" w:cs="宋体"/>
                <w:color w:val="auto"/>
                <w:sz w:val="24"/>
              </w:rPr>
            </w:pPr>
          </w:p>
        </w:tc>
      </w:tr>
      <w:tr w14:paraId="69857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09DB0347">
            <w:pPr>
              <w:spacing w:line="360" w:lineRule="auto"/>
              <w:jc w:val="center"/>
              <w:rPr>
                <w:rFonts w:ascii="宋体" w:hAnsi="宋体" w:cs="宋体"/>
                <w:color w:val="auto"/>
                <w:sz w:val="24"/>
              </w:rPr>
            </w:pPr>
          </w:p>
        </w:tc>
        <w:tc>
          <w:tcPr>
            <w:tcW w:w="1417" w:type="dxa"/>
            <w:noWrap w:val="0"/>
            <w:vAlign w:val="center"/>
          </w:tcPr>
          <w:p w14:paraId="47BC2F8A">
            <w:pPr>
              <w:snapToGrid w:val="0"/>
              <w:spacing w:line="360" w:lineRule="auto"/>
              <w:jc w:val="center"/>
              <w:rPr>
                <w:rFonts w:ascii="宋体" w:hAnsi="宋体" w:cs="宋体"/>
                <w:color w:val="auto"/>
                <w:sz w:val="24"/>
              </w:rPr>
            </w:pPr>
          </w:p>
        </w:tc>
        <w:tc>
          <w:tcPr>
            <w:tcW w:w="1843" w:type="dxa"/>
            <w:noWrap w:val="0"/>
            <w:vAlign w:val="center"/>
          </w:tcPr>
          <w:p w14:paraId="7E136EB1">
            <w:pPr>
              <w:snapToGrid w:val="0"/>
              <w:spacing w:line="360" w:lineRule="auto"/>
              <w:jc w:val="center"/>
              <w:rPr>
                <w:rFonts w:ascii="宋体" w:hAnsi="宋体" w:cs="宋体"/>
                <w:color w:val="auto"/>
                <w:sz w:val="24"/>
              </w:rPr>
            </w:pPr>
          </w:p>
        </w:tc>
        <w:tc>
          <w:tcPr>
            <w:tcW w:w="3118" w:type="dxa"/>
            <w:noWrap w:val="0"/>
            <w:vAlign w:val="center"/>
          </w:tcPr>
          <w:p w14:paraId="41545419">
            <w:pPr>
              <w:snapToGrid w:val="0"/>
              <w:spacing w:line="360" w:lineRule="auto"/>
              <w:jc w:val="center"/>
              <w:rPr>
                <w:rFonts w:ascii="宋体" w:hAnsi="宋体" w:cs="宋体"/>
                <w:color w:val="auto"/>
                <w:sz w:val="24"/>
              </w:rPr>
            </w:pPr>
          </w:p>
        </w:tc>
        <w:tc>
          <w:tcPr>
            <w:tcW w:w="993" w:type="dxa"/>
            <w:noWrap w:val="0"/>
            <w:vAlign w:val="center"/>
          </w:tcPr>
          <w:p w14:paraId="133920D0">
            <w:pPr>
              <w:snapToGrid w:val="0"/>
              <w:spacing w:line="360" w:lineRule="auto"/>
              <w:jc w:val="center"/>
              <w:rPr>
                <w:rFonts w:ascii="宋体" w:hAnsi="宋体" w:cs="宋体"/>
                <w:color w:val="auto"/>
                <w:sz w:val="24"/>
              </w:rPr>
            </w:pPr>
          </w:p>
        </w:tc>
        <w:tc>
          <w:tcPr>
            <w:tcW w:w="1559" w:type="dxa"/>
            <w:noWrap w:val="0"/>
            <w:vAlign w:val="center"/>
          </w:tcPr>
          <w:p w14:paraId="1EC5A9C4">
            <w:pPr>
              <w:spacing w:line="360" w:lineRule="auto"/>
              <w:jc w:val="center"/>
              <w:rPr>
                <w:rFonts w:ascii="宋体" w:hAnsi="宋体" w:cs="宋体"/>
                <w:color w:val="auto"/>
                <w:sz w:val="24"/>
              </w:rPr>
            </w:pPr>
          </w:p>
        </w:tc>
        <w:tc>
          <w:tcPr>
            <w:tcW w:w="1984" w:type="dxa"/>
            <w:noWrap w:val="0"/>
            <w:vAlign w:val="center"/>
          </w:tcPr>
          <w:p w14:paraId="353549B3">
            <w:pPr>
              <w:spacing w:line="360" w:lineRule="auto"/>
              <w:jc w:val="center"/>
              <w:rPr>
                <w:rFonts w:ascii="宋体" w:hAnsi="宋体" w:cs="宋体"/>
                <w:color w:val="auto"/>
                <w:sz w:val="24"/>
              </w:rPr>
            </w:pPr>
          </w:p>
        </w:tc>
        <w:tc>
          <w:tcPr>
            <w:tcW w:w="3119" w:type="dxa"/>
            <w:noWrap w:val="0"/>
            <w:vAlign w:val="center"/>
          </w:tcPr>
          <w:p w14:paraId="601E7272">
            <w:pPr>
              <w:spacing w:line="360" w:lineRule="auto"/>
              <w:jc w:val="center"/>
              <w:rPr>
                <w:rFonts w:ascii="宋体" w:hAnsi="宋体" w:cs="宋体"/>
                <w:color w:val="auto"/>
                <w:sz w:val="24"/>
              </w:rPr>
            </w:pPr>
          </w:p>
        </w:tc>
      </w:tr>
      <w:tr w14:paraId="70DB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7C53DBAC">
            <w:pPr>
              <w:spacing w:line="360" w:lineRule="auto"/>
              <w:jc w:val="center"/>
              <w:rPr>
                <w:rFonts w:ascii="宋体" w:hAnsi="宋体" w:cs="宋体"/>
                <w:color w:val="auto"/>
                <w:sz w:val="24"/>
              </w:rPr>
            </w:pPr>
          </w:p>
        </w:tc>
        <w:tc>
          <w:tcPr>
            <w:tcW w:w="1417" w:type="dxa"/>
            <w:noWrap w:val="0"/>
            <w:vAlign w:val="center"/>
          </w:tcPr>
          <w:p w14:paraId="140767C7">
            <w:pPr>
              <w:snapToGrid w:val="0"/>
              <w:spacing w:line="360" w:lineRule="auto"/>
              <w:jc w:val="center"/>
              <w:rPr>
                <w:rFonts w:ascii="宋体" w:hAnsi="宋体" w:cs="宋体"/>
                <w:color w:val="auto"/>
                <w:sz w:val="24"/>
              </w:rPr>
            </w:pPr>
          </w:p>
        </w:tc>
        <w:tc>
          <w:tcPr>
            <w:tcW w:w="1843" w:type="dxa"/>
            <w:noWrap w:val="0"/>
            <w:vAlign w:val="center"/>
          </w:tcPr>
          <w:p w14:paraId="51019B52">
            <w:pPr>
              <w:snapToGrid w:val="0"/>
              <w:spacing w:line="360" w:lineRule="auto"/>
              <w:jc w:val="center"/>
              <w:rPr>
                <w:rFonts w:ascii="宋体" w:hAnsi="宋体" w:cs="宋体"/>
                <w:color w:val="auto"/>
                <w:sz w:val="24"/>
              </w:rPr>
            </w:pPr>
          </w:p>
        </w:tc>
        <w:tc>
          <w:tcPr>
            <w:tcW w:w="3118" w:type="dxa"/>
            <w:noWrap w:val="0"/>
            <w:vAlign w:val="center"/>
          </w:tcPr>
          <w:p w14:paraId="2B86F7A6">
            <w:pPr>
              <w:snapToGrid w:val="0"/>
              <w:spacing w:line="360" w:lineRule="auto"/>
              <w:jc w:val="center"/>
              <w:rPr>
                <w:rFonts w:ascii="宋体" w:hAnsi="宋体" w:cs="宋体"/>
                <w:color w:val="auto"/>
                <w:sz w:val="24"/>
              </w:rPr>
            </w:pPr>
          </w:p>
        </w:tc>
        <w:tc>
          <w:tcPr>
            <w:tcW w:w="993" w:type="dxa"/>
            <w:noWrap w:val="0"/>
            <w:vAlign w:val="center"/>
          </w:tcPr>
          <w:p w14:paraId="6DDE9910">
            <w:pPr>
              <w:snapToGrid w:val="0"/>
              <w:spacing w:line="360" w:lineRule="auto"/>
              <w:jc w:val="center"/>
              <w:rPr>
                <w:rFonts w:ascii="宋体" w:hAnsi="宋体" w:cs="宋体"/>
                <w:color w:val="auto"/>
                <w:sz w:val="24"/>
              </w:rPr>
            </w:pPr>
          </w:p>
        </w:tc>
        <w:tc>
          <w:tcPr>
            <w:tcW w:w="1559" w:type="dxa"/>
            <w:noWrap w:val="0"/>
            <w:vAlign w:val="center"/>
          </w:tcPr>
          <w:p w14:paraId="3941ED3E">
            <w:pPr>
              <w:spacing w:line="360" w:lineRule="auto"/>
              <w:jc w:val="center"/>
              <w:rPr>
                <w:rFonts w:ascii="宋体" w:hAnsi="宋体" w:cs="宋体"/>
                <w:color w:val="auto"/>
                <w:sz w:val="24"/>
              </w:rPr>
            </w:pPr>
          </w:p>
        </w:tc>
        <w:tc>
          <w:tcPr>
            <w:tcW w:w="1984" w:type="dxa"/>
            <w:noWrap w:val="0"/>
            <w:vAlign w:val="center"/>
          </w:tcPr>
          <w:p w14:paraId="79ECB79F">
            <w:pPr>
              <w:spacing w:line="360" w:lineRule="auto"/>
              <w:jc w:val="center"/>
              <w:rPr>
                <w:rFonts w:ascii="宋体" w:hAnsi="宋体" w:cs="宋体"/>
                <w:color w:val="auto"/>
                <w:sz w:val="24"/>
              </w:rPr>
            </w:pPr>
          </w:p>
        </w:tc>
        <w:tc>
          <w:tcPr>
            <w:tcW w:w="3119" w:type="dxa"/>
            <w:noWrap w:val="0"/>
            <w:vAlign w:val="center"/>
          </w:tcPr>
          <w:p w14:paraId="657A0D9E">
            <w:pPr>
              <w:spacing w:line="360" w:lineRule="auto"/>
              <w:jc w:val="center"/>
              <w:rPr>
                <w:rFonts w:ascii="宋体" w:hAnsi="宋体" w:cs="宋体"/>
                <w:color w:val="auto"/>
                <w:sz w:val="24"/>
              </w:rPr>
            </w:pPr>
          </w:p>
        </w:tc>
      </w:tr>
      <w:tr w14:paraId="6622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noWrap w:val="0"/>
            <w:vAlign w:val="center"/>
          </w:tcPr>
          <w:p w14:paraId="25D77699">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7655" w:type="dxa"/>
            <w:gridSpan w:val="4"/>
            <w:noWrap w:val="0"/>
            <w:vAlign w:val="center"/>
          </w:tcPr>
          <w:p w14:paraId="7C0AB98C">
            <w:pPr>
              <w:spacing w:line="360" w:lineRule="auto"/>
              <w:jc w:val="center"/>
              <w:rPr>
                <w:rFonts w:ascii="宋体" w:hAnsi="宋体" w:cs="宋体"/>
                <w:color w:val="auto"/>
                <w:sz w:val="24"/>
              </w:rPr>
            </w:pPr>
          </w:p>
        </w:tc>
      </w:tr>
      <w:tr w14:paraId="1F23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noWrap w:val="0"/>
            <w:vAlign w:val="center"/>
          </w:tcPr>
          <w:p w14:paraId="46D0D35C">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7655" w:type="dxa"/>
            <w:gridSpan w:val="4"/>
            <w:noWrap w:val="0"/>
            <w:vAlign w:val="center"/>
          </w:tcPr>
          <w:p w14:paraId="433D0393">
            <w:pPr>
              <w:spacing w:line="360" w:lineRule="auto"/>
              <w:jc w:val="center"/>
              <w:rPr>
                <w:rFonts w:ascii="宋体" w:hAnsi="宋体" w:cs="宋体"/>
                <w:color w:val="auto"/>
                <w:sz w:val="24"/>
              </w:rPr>
            </w:pPr>
          </w:p>
        </w:tc>
      </w:tr>
    </w:tbl>
    <w:p w14:paraId="3700A377">
      <w:pPr>
        <w:snapToGrid w:val="0"/>
        <w:spacing w:line="360" w:lineRule="auto"/>
        <w:rPr>
          <w:rFonts w:ascii="宋体" w:hAnsi="宋体" w:cs="宋体"/>
          <w:color w:val="auto"/>
          <w:kern w:val="0"/>
          <w:sz w:val="24"/>
          <w:lang w:val="zh-CN"/>
        </w:rPr>
      </w:pPr>
      <w:r>
        <w:rPr>
          <w:rFonts w:hint="eastAsia" w:ascii="宋体" w:hAnsi="宋体" w:cs="宋体"/>
          <w:b/>
          <w:color w:val="auto"/>
          <w:kern w:val="0"/>
          <w:sz w:val="24"/>
          <w:lang w:val="zh-CN"/>
        </w:rPr>
        <w:t>注：</w:t>
      </w: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14:paraId="2CF2ECD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7108080E">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3、特别提示：采购代理机构将对项目名称和项目编号，中标投标人名称、地址和中标金额，主要中标标的名称、品牌（如果有）、规格型号、数量、单价等予以公示。</w:t>
      </w:r>
    </w:p>
    <w:p w14:paraId="7F12E4BA">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606ED12">
      <w:pPr>
        <w:pStyle w:val="61"/>
        <w:rPr>
          <w:color w:val="auto"/>
        </w:rPr>
        <w:sectPr>
          <w:pgSz w:w="16838" w:h="11906" w:orient="landscape"/>
          <w:pgMar w:top="1418" w:right="1247" w:bottom="1418" w:left="1276" w:header="851" w:footer="992" w:gutter="0"/>
          <w:pgNumType w:fmt="decimal"/>
          <w:cols w:space="720" w:num="1"/>
          <w:titlePg/>
          <w:docGrid w:linePitch="312" w:charSpace="0"/>
        </w:sectPr>
      </w:pPr>
    </w:p>
    <w:p w14:paraId="3B63A2B6">
      <w:pPr>
        <w:pStyle w:val="694"/>
        <w:keepNext w:val="0"/>
        <w:pageBreakBefore w:val="0"/>
        <w:tabs>
          <w:tab w:val="clear" w:pos="720"/>
        </w:tabs>
        <w:snapToGrid w:val="0"/>
        <w:spacing w:before="120" w:after="120"/>
        <w:jc w:val="center"/>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二</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中小企业声明函（如果有）</w:t>
      </w:r>
    </w:p>
    <w:p w14:paraId="2C356D98">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color w:val="auto"/>
          <w:sz w:val="24"/>
          <w:lang w:val="en-US" w:eastAsia="zh-CN"/>
        </w:rPr>
        <w:t>3</w:t>
      </w:r>
      <w:r>
        <w:rPr>
          <w:rFonts w:hint="eastAsia" w:ascii="宋体" w:hAnsi="宋体" w:cs="宋体"/>
          <w:b/>
          <w:color w:val="auto"/>
          <w:sz w:val="24"/>
        </w:rPr>
        <w:t>）。]</w:t>
      </w:r>
    </w:p>
    <w:p w14:paraId="6A3C50C6">
      <w:pPr>
        <w:pStyle w:val="80"/>
        <w:rPr>
          <w:rFonts w:hint="eastAsia" w:ascii="宋体" w:hAnsi="宋体" w:cs="宋体"/>
          <w:b/>
          <w:color w:val="auto"/>
          <w:sz w:val="24"/>
        </w:rPr>
      </w:pPr>
    </w:p>
    <w:p w14:paraId="24FCADE9">
      <w:pPr>
        <w:pStyle w:val="80"/>
        <w:rPr>
          <w:rFonts w:hint="eastAsia" w:ascii="宋体" w:hAnsi="宋体" w:cs="宋体"/>
          <w:b/>
          <w:color w:val="auto"/>
          <w:sz w:val="24"/>
        </w:rPr>
      </w:pPr>
    </w:p>
    <w:p w14:paraId="5003CB4B">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6DE2BDB3">
      <w:pPr>
        <w:spacing w:line="360" w:lineRule="auto"/>
        <w:ind w:right="420" w:firstLine="3614" w:firstLineChars="1000"/>
        <w:rPr>
          <w:rFonts w:ascii="宋体" w:hAnsi="宋体" w:cs="宋体"/>
          <w:b/>
          <w:color w:val="auto"/>
          <w:kern w:val="0"/>
          <w:sz w:val="36"/>
          <w:szCs w:val="36"/>
        </w:rPr>
      </w:pPr>
    </w:p>
    <w:p w14:paraId="78C350B3">
      <w:pPr>
        <w:spacing w:line="360" w:lineRule="auto"/>
        <w:ind w:right="420" w:firstLine="3614" w:firstLineChars="1000"/>
        <w:rPr>
          <w:rFonts w:ascii="宋体" w:hAnsi="宋体" w:cs="宋体"/>
          <w:b/>
          <w:color w:val="auto"/>
          <w:kern w:val="0"/>
          <w:sz w:val="36"/>
          <w:szCs w:val="36"/>
        </w:rPr>
      </w:pPr>
    </w:p>
    <w:p w14:paraId="10C301C1">
      <w:pPr>
        <w:spacing w:line="360" w:lineRule="auto"/>
        <w:ind w:right="420" w:firstLine="3614" w:firstLineChars="1000"/>
        <w:rPr>
          <w:rFonts w:ascii="宋体" w:hAnsi="宋体" w:cs="宋体"/>
          <w:b/>
          <w:color w:val="auto"/>
          <w:kern w:val="0"/>
          <w:sz w:val="36"/>
          <w:szCs w:val="36"/>
        </w:rPr>
      </w:pPr>
    </w:p>
    <w:p w14:paraId="124026EA">
      <w:pPr>
        <w:spacing w:line="360" w:lineRule="auto"/>
        <w:ind w:right="420" w:firstLine="3614" w:firstLineChars="1000"/>
        <w:rPr>
          <w:rFonts w:ascii="宋体" w:hAnsi="宋体" w:cs="宋体"/>
          <w:b/>
          <w:color w:val="auto"/>
          <w:kern w:val="0"/>
          <w:sz w:val="36"/>
          <w:szCs w:val="36"/>
        </w:rPr>
      </w:pPr>
    </w:p>
    <w:p w14:paraId="27648543">
      <w:pPr>
        <w:spacing w:line="360" w:lineRule="auto"/>
        <w:ind w:right="420" w:firstLine="3614" w:firstLineChars="1000"/>
        <w:rPr>
          <w:rFonts w:ascii="宋体" w:hAnsi="宋体" w:cs="宋体"/>
          <w:b/>
          <w:color w:val="auto"/>
          <w:kern w:val="0"/>
          <w:sz w:val="36"/>
          <w:szCs w:val="36"/>
        </w:rPr>
      </w:pPr>
    </w:p>
    <w:p w14:paraId="46E4C1A3">
      <w:pPr>
        <w:spacing w:line="360" w:lineRule="auto"/>
        <w:ind w:right="420" w:firstLine="3614" w:firstLineChars="1000"/>
        <w:rPr>
          <w:rFonts w:ascii="宋体" w:hAnsi="宋体" w:cs="宋体"/>
          <w:b/>
          <w:color w:val="auto"/>
          <w:kern w:val="0"/>
          <w:sz w:val="36"/>
          <w:szCs w:val="36"/>
        </w:rPr>
      </w:pPr>
    </w:p>
    <w:p w14:paraId="643D2E4A">
      <w:pPr>
        <w:spacing w:line="360" w:lineRule="auto"/>
        <w:ind w:right="420" w:firstLine="3614" w:firstLineChars="1000"/>
        <w:rPr>
          <w:rFonts w:ascii="宋体" w:hAnsi="宋体" w:cs="宋体"/>
          <w:b/>
          <w:color w:val="auto"/>
          <w:kern w:val="0"/>
          <w:sz w:val="36"/>
          <w:szCs w:val="36"/>
        </w:rPr>
      </w:pPr>
    </w:p>
    <w:p w14:paraId="426970C9">
      <w:pPr>
        <w:spacing w:line="360" w:lineRule="auto"/>
        <w:ind w:right="420" w:firstLine="3614" w:firstLineChars="1000"/>
        <w:rPr>
          <w:rFonts w:ascii="宋体" w:hAnsi="宋体" w:cs="宋体"/>
          <w:b/>
          <w:color w:val="auto"/>
          <w:kern w:val="0"/>
          <w:sz w:val="36"/>
          <w:szCs w:val="36"/>
        </w:rPr>
      </w:pPr>
    </w:p>
    <w:p w14:paraId="4664D65A">
      <w:pPr>
        <w:spacing w:line="360" w:lineRule="auto"/>
        <w:ind w:right="420" w:firstLine="3614" w:firstLineChars="1000"/>
        <w:rPr>
          <w:rFonts w:ascii="宋体" w:hAnsi="宋体" w:cs="宋体"/>
          <w:b/>
          <w:color w:val="auto"/>
          <w:kern w:val="0"/>
          <w:sz w:val="36"/>
          <w:szCs w:val="36"/>
        </w:rPr>
      </w:pPr>
    </w:p>
    <w:p w14:paraId="77475D8B">
      <w:pPr>
        <w:spacing w:line="360" w:lineRule="auto"/>
        <w:ind w:right="420"/>
        <w:rPr>
          <w:rFonts w:ascii="宋体" w:hAnsi="宋体" w:cs="宋体"/>
          <w:b/>
          <w:color w:val="auto"/>
          <w:kern w:val="0"/>
          <w:sz w:val="36"/>
          <w:szCs w:val="36"/>
        </w:rPr>
      </w:pPr>
    </w:p>
    <w:p w14:paraId="27EFC0A0">
      <w:pPr>
        <w:spacing w:line="360" w:lineRule="auto"/>
        <w:ind w:right="420"/>
        <w:rPr>
          <w:rFonts w:ascii="宋体" w:hAnsi="宋体" w:cs="宋体"/>
          <w:b/>
          <w:color w:val="auto"/>
          <w:kern w:val="0"/>
          <w:sz w:val="36"/>
          <w:szCs w:val="36"/>
        </w:rPr>
      </w:pPr>
    </w:p>
    <w:p w14:paraId="1BA12EDF">
      <w:pPr>
        <w:pStyle w:val="2"/>
        <w:keepNext w:val="0"/>
        <w:keepLines w:val="0"/>
        <w:pageBreakBefore/>
        <w:widowControl/>
        <w:spacing w:before="100" w:beforeAutospacing="1" w:after="100" w:afterAutospacing="1" w:line="360" w:lineRule="auto"/>
        <w:jc w:val="center"/>
        <w:rPr>
          <w:rFonts w:ascii="宋体" w:hAnsi="宋体" w:cs="宋体"/>
          <w:color w:val="auto"/>
        </w:rPr>
      </w:pPr>
      <w:r>
        <w:rPr>
          <w:rFonts w:hint="eastAsia" w:ascii="宋体" w:hAnsi="宋体" w:cs="宋体"/>
          <w:color w:val="auto"/>
        </w:rPr>
        <w:t>附件</w:t>
      </w:r>
    </w:p>
    <w:p w14:paraId="3201B060">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504FD696">
      <w:pPr>
        <w:spacing w:line="360" w:lineRule="auto"/>
        <w:jc w:val="center"/>
        <w:rPr>
          <w:rFonts w:ascii="宋体" w:hAnsi="宋体" w:cs="宋体"/>
          <w:b/>
          <w:color w:val="auto"/>
          <w:spacing w:val="6"/>
          <w:sz w:val="32"/>
          <w:szCs w:val="32"/>
        </w:rPr>
      </w:pPr>
      <w:bookmarkStart w:id="425" w:name="OLE_LINK14"/>
      <w:bookmarkStart w:id="426" w:name="OLE_LINK13"/>
      <w:r>
        <w:rPr>
          <w:rFonts w:hint="eastAsia" w:ascii="宋体" w:hAnsi="宋体" w:cs="宋体"/>
          <w:b/>
          <w:color w:val="auto"/>
          <w:spacing w:val="6"/>
          <w:sz w:val="32"/>
          <w:szCs w:val="32"/>
        </w:rPr>
        <w:t>残疾人福利性单位声明函</w:t>
      </w:r>
    </w:p>
    <w:bookmarkEnd w:id="425"/>
    <w:bookmarkEnd w:id="426"/>
    <w:p w14:paraId="08A2A23B">
      <w:pPr>
        <w:spacing w:line="360" w:lineRule="auto"/>
        <w:rPr>
          <w:rFonts w:ascii="宋体" w:hAnsi="宋体" w:cs="宋体"/>
          <w:b/>
          <w:color w:val="auto"/>
          <w:spacing w:val="6"/>
          <w:sz w:val="30"/>
          <w:szCs w:val="30"/>
        </w:rPr>
      </w:pPr>
    </w:p>
    <w:p w14:paraId="6001A1B3">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lang w:eastAsia="zh-CN"/>
        </w:rPr>
        <w:t>宁海传媒集团（宁海县广播电视台）</w:t>
      </w:r>
      <w:r>
        <w:rPr>
          <w:rFonts w:hint="eastAsia" w:ascii="宋体" w:hAnsi="宋体" w:cs="宋体"/>
          <w:color w:val="auto"/>
          <w:sz w:val="24"/>
          <w:u w:val="single"/>
          <w:lang w:val="en-US" w:eastAsia="zh-CN"/>
        </w:rPr>
        <w:t xml:space="preserve"> </w:t>
      </w:r>
      <w:r>
        <w:rPr>
          <w:rFonts w:hint="eastAsia" w:ascii="宋体" w:hAnsi="宋体" w:cs="宋体"/>
          <w:color w:val="auto"/>
          <w:sz w:val="24"/>
        </w:rPr>
        <w:t>单位的</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lang w:eastAsia="zh-CN"/>
        </w:rPr>
        <w:t>宁海传媒集团高清电视非线性编辑系统网络核心存储设备硬件升级改造项目</w:t>
      </w:r>
      <w:r>
        <w:rPr>
          <w:rFonts w:hint="eastAsia" w:ascii="宋体" w:hAnsi="宋体" w:cs="宋体"/>
          <w:color w:val="auto"/>
          <w:sz w:val="24"/>
        </w:rPr>
        <w:t>项目采购活动提供本单位制造的货物（由本单位承担工程/提供服务），或者提供其他残疾人福利性单位制造的货物（不包括使用非残疾人福利性单位注册商标的货物）。</w:t>
      </w:r>
    </w:p>
    <w:p w14:paraId="2119BD53">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5CB24052">
      <w:pPr>
        <w:spacing w:line="360" w:lineRule="auto"/>
        <w:ind w:firstLine="480" w:firstLineChars="200"/>
        <w:rPr>
          <w:rFonts w:ascii="宋体" w:hAnsi="宋体" w:cs="宋体"/>
          <w:color w:val="auto"/>
          <w:sz w:val="24"/>
        </w:rPr>
      </w:pPr>
    </w:p>
    <w:p w14:paraId="34C8AE65">
      <w:pPr>
        <w:spacing w:line="360" w:lineRule="auto"/>
        <w:ind w:firstLine="480" w:firstLineChars="200"/>
        <w:rPr>
          <w:rFonts w:ascii="宋体" w:hAnsi="宋体" w:cs="宋体"/>
          <w:color w:val="auto"/>
          <w:sz w:val="24"/>
        </w:rPr>
      </w:pPr>
    </w:p>
    <w:p w14:paraId="7B46F024">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5B550CD7">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43493410">
      <w:pPr>
        <w:spacing w:line="360" w:lineRule="auto"/>
        <w:ind w:firstLine="480" w:firstLineChars="200"/>
        <w:rPr>
          <w:rFonts w:ascii="宋体" w:hAnsi="宋体" w:cs="宋体"/>
          <w:color w:val="auto"/>
          <w:sz w:val="24"/>
        </w:rPr>
      </w:pPr>
    </w:p>
    <w:p w14:paraId="498767C3">
      <w:pPr>
        <w:spacing w:line="360" w:lineRule="auto"/>
        <w:ind w:firstLine="420" w:firstLineChars="200"/>
        <w:rPr>
          <w:rFonts w:ascii="宋体" w:hAnsi="宋体" w:cs="宋体"/>
          <w:color w:val="auto"/>
        </w:rPr>
      </w:pPr>
    </w:p>
    <w:p w14:paraId="4377047B">
      <w:pPr>
        <w:spacing w:line="360" w:lineRule="auto"/>
        <w:ind w:firstLine="420" w:firstLineChars="200"/>
        <w:rPr>
          <w:rFonts w:ascii="宋体" w:hAnsi="宋体" w:cs="宋体"/>
          <w:color w:val="auto"/>
        </w:rPr>
      </w:pPr>
    </w:p>
    <w:p w14:paraId="47BFE91C">
      <w:pPr>
        <w:spacing w:line="360" w:lineRule="auto"/>
        <w:ind w:firstLine="420" w:firstLineChars="200"/>
        <w:rPr>
          <w:rFonts w:ascii="宋体" w:hAnsi="宋体" w:cs="宋体"/>
          <w:color w:val="auto"/>
        </w:rPr>
      </w:pPr>
    </w:p>
    <w:p w14:paraId="4105E253">
      <w:pPr>
        <w:spacing w:line="360" w:lineRule="auto"/>
        <w:ind w:firstLine="420" w:firstLineChars="200"/>
        <w:rPr>
          <w:rFonts w:ascii="宋体" w:hAnsi="宋体" w:cs="宋体"/>
          <w:color w:val="auto"/>
        </w:rPr>
      </w:pPr>
    </w:p>
    <w:p w14:paraId="68500966">
      <w:pPr>
        <w:spacing w:line="360" w:lineRule="auto"/>
        <w:rPr>
          <w:rFonts w:ascii="宋体" w:hAnsi="宋体" w:cs="宋体"/>
          <w:b/>
          <w:color w:val="auto"/>
          <w:sz w:val="24"/>
        </w:rPr>
      </w:pPr>
    </w:p>
    <w:p w14:paraId="2EC26A2C">
      <w:pPr>
        <w:spacing w:line="360" w:lineRule="auto"/>
        <w:rPr>
          <w:rFonts w:ascii="宋体" w:hAnsi="宋体" w:cs="宋体"/>
          <w:b/>
          <w:color w:val="auto"/>
          <w:sz w:val="24"/>
        </w:rPr>
      </w:pPr>
    </w:p>
    <w:p w14:paraId="76FBAC8B">
      <w:pPr>
        <w:spacing w:line="360" w:lineRule="auto"/>
        <w:rPr>
          <w:rFonts w:ascii="宋体" w:hAnsi="宋体" w:cs="宋体"/>
          <w:b/>
          <w:color w:val="auto"/>
          <w:sz w:val="24"/>
        </w:rPr>
      </w:pPr>
    </w:p>
    <w:p w14:paraId="2E7864EC">
      <w:pPr>
        <w:spacing w:line="360" w:lineRule="auto"/>
        <w:rPr>
          <w:rFonts w:ascii="宋体" w:hAnsi="宋体" w:cs="宋体"/>
          <w:b/>
          <w:color w:val="auto"/>
          <w:sz w:val="24"/>
        </w:rPr>
      </w:pPr>
    </w:p>
    <w:p w14:paraId="6C8896F3">
      <w:pPr>
        <w:spacing w:line="360" w:lineRule="auto"/>
        <w:rPr>
          <w:rFonts w:ascii="宋体" w:hAnsi="宋体" w:cs="宋体"/>
          <w:b/>
          <w:color w:val="auto"/>
          <w:sz w:val="24"/>
        </w:rPr>
      </w:pPr>
    </w:p>
    <w:p w14:paraId="324BC6CC">
      <w:pPr>
        <w:spacing w:line="360" w:lineRule="auto"/>
        <w:rPr>
          <w:rFonts w:ascii="宋体" w:hAnsi="宋体" w:cs="宋体"/>
          <w:b/>
          <w:color w:val="auto"/>
          <w:sz w:val="24"/>
        </w:rPr>
      </w:pPr>
    </w:p>
    <w:p w14:paraId="35129FF3">
      <w:pPr>
        <w:spacing w:line="360" w:lineRule="auto"/>
        <w:rPr>
          <w:rFonts w:ascii="宋体" w:hAnsi="宋体" w:cs="宋体"/>
          <w:b/>
          <w:color w:val="auto"/>
          <w:sz w:val="24"/>
        </w:rPr>
      </w:pPr>
    </w:p>
    <w:p w14:paraId="085002AF">
      <w:pPr>
        <w:spacing w:line="360" w:lineRule="auto"/>
        <w:rPr>
          <w:rFonts w:ascii="宋体" w:hAnsi="宋体" w:cs="宋体"/>
          <w:b/>
          <w:color w:val="auto"/>
          <w:sz w:val="24"/>
        </w:rPr>
      </w:pPr>
    </w:p>
    <w:p w14:paraId="5D12F65A">
      <w:pPr>
        <w:autoSpaceDE w:val="0"/>
        <w:autoSpaceDN w:val="0"/>
        <w:jc w:val="center"/>
        <w:rPr>
          <w:rFonts w:ascii="宋体" w:hAnsi="宋体" w:cs="宋体"/>
          <w:b/>
          <w:color w:val="auto"/>
          <w:spacing w:val="6"/>
          <w:sz w:val="32"/>
          <w:szCs w:val="32"/>
        </w:rPr>
      </w:pPr>
    </w:p>
    <w:p w14:paraId="2B60FE9B">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w:t>
      </w:r>
      <w:r>
        <w:rPr>
          <w:rFonts w:hint="eastAsia" w:ascii="宋体" w:hAnsi="宋体" w:cs="宋体"/>
          <w:b/>
          <w:color w:val="auto"/>
          <w:spacing w:val="6"/>
          <w:sz w:val="32"/>
          <w:szCs w:val="32"/>
          <w:lang w:val="en-US" w:eastAsia="zh-CN"/>
        </w:rPr>
        <w:t>2</w:t>
      </w:r>
      <w:r>
        <w:rPr>
          <w:rFonts w:hint="eastAsia" w:ascii="宋体" w:hAnsi="宋体" w:cs="宋体"/>
          <w:b/>
          <w:color w:val="auto"/>
          <w:spacing w:val="6"/>
          <w:sz w:val="32"/>
          <w:szCs w:val="32"/>
        </w:rPr>
        <w:t>：</w:t>
      </w:r>
      <w:r>
        <w:rPr>
          <w:rFonts w:hint="eastAsia" w:ascii="宋体" w:hAnsi="宋体" w:cs="宋体"/>
          <w:b/>
          <w:bCs/>
          <w:color w:val="auto"/>
          <w:sz w:val="32"/>
          <w:szCs w:val="32"/>
        </w:rPr>
        <w:t>业务专用章使用说明函</w:t>
      </w:r>
    </w:p>
    <w:p w14:paraId="23256A0D">
      <w:pPr>
        <w:spacing w:line="360" w:lineRule="auto"/>
        <w:rPr>
          <w:rFonts w:ascii="宋体" w:hAnsi="宋体" w:cs="宋体"/>
          <w:color w:val="auto"/>
          <w:sz w:val="24"/>
          <w:u w:val="single"/>
        </w:rPr>
      </w:pPr>
    </w:p>
    <w:p w14:paraId="530F434F">
      <w:pPr>
        <w:spacing w:line="360" w:lineRule="auto"/>
        <w:rPr>
          <w:rFonts w:ascii="宋体" w:hAnsi="宋体" w:cs="宋体"/>
          <w:color w:val="auto"/>
          <w:sz w:val="24"/>
        </w:rPr>
      </w:pPr>
      <w:r>
        <w:rPr>
          <w:rFonts w:hint="eastAsia" w:ascii="宋体" w:hAnsi="宋体" w:cs="宋体"/>
          <w:color w:val="auto"/>
          <w:sz w:val="24"/>
          <w:u w:val="single"/>
          <w:lang w:eastAsia="zh-CN"/>
        </w:rPr>
        <w:t>宁海传媒集团（宁海县广播电视台）、浙江天诚工程咨询有限公司</w:t>
      </w:r>
      <w:r>
        <w:rPr>
          <w:rFonts w:hint="eastAsia" w:ascii="宋体" w:hAnsi="宋体" w:cs="宋体"/>
          <w:color w:val="auto"/>
          <w:sz w:val="24"/>
          <w:u w:val="single"/>
        </w:rPr>
        <w:t>：</w:t>
      </w:r>
    </w:p>
    <w:p w14:paraId="3DC265D2">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u w:val="single"/>
          <w:lang w:eastAsia="zh-CN"/>
        </w:rPr>
        <w:t>宁海传媒集团高清电视非线性编辑系统网络核心存储设备硬件升级改造项目</w:t>
      </w:r>
      <w:r>
        <w:rPr>
          <w:rFonts w:hint="eastAsia" w:ascii="宋体" w:hAnsi="宋体" w:cs="宋体"/>
          <w:color w:val="auto"/>
          <w:sz w:val="24"/>
        </w:rPr>
        <w:t>【招标编号：</w:t>
      </w:r>
      <w:r>
        <w:rPr>
          <w:rFonts w:hint="eastAsia" w:ascii="宋体" w:hAnsi="宋体" w:cs="宋体"/>
          <w:color w:val="auto"/>
          <w:sz w:val="24"/>
          <w:lang w:eastAsia="zh-CN"/>
        </w:rPr>
        <w:t>ZJTC2024-026</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2F50F1C3">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25E76493">
      <w:pPr>
        <w:spacing w:line="360" w:lineRule="auto"/>
        <w:ind w:firstLine="494"/>
        <w:rPr>
          <w:rFonts w:ascii="宋体" w:hAnsi="宋体" w:cs="宋体"/>
          <w:color w:val="auto"/>
          <w:sz w:val="24"/>
        </w:rPr>
      </w:pPr>
    </w:p>
    <w:p w14:paraId="198D91C9">
      <w:pPr>
        <w:spacing w:line="360" w:lineRule="auto"/>
        <w:ind w:firstLine="494"/>
        <w:rPr>
          <w:rFonts w:ascii="宋体" w:hAnsi="宋体" w:cs="宋体"/>
          <w:color w:val="auto"/>
          <w:sz w:val="24"/>
        </w:rPr>
      </w:pPr>
    </w:p>
    <w:p w14:paraId="07AF3051">
      <w:pPr>
        <w:spacing w:line="360" w:lineRule="auto"/>
        <w:ind w:firstLine="494"/>
        <w:rPr>
          <w:rFonts w:ascii="宋体" w:hAnsi="宋体" w:cs="宋体"/>
          <w:color w:val="auto"/>
          <w:sz w:val="24"/>
        </w:rPr>
      </w:pPr>
    </w:p>
    <w:p w14:paraId="080512C5">
      <w:pPr>
        <w:spacing w:line="360" w:lineRule="auto"/>
        <w:ind w:firstLine="494"/>
        <w:rPr>
          <w:rFonts w:ascii="宋体" w:hAnsi="宋体" w:cs="宋体"/>
          <w:color w:val="auto"/>
          <w:sz w:val="24"/>
        </w:rPr>
      </w:pPr>
    </w:p>
    <w:p w14:paraId="41B8C73B">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72665DEC">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049DF79C">
      <w:pPr>
        <w:rPr>
          <w:rFonts w:ascii="宋体" w:hAnsi="宋体" w:cs="宋体"/>
          <w:color w:val="auto"/>
          <w:sz w:val="24"/>
        </w:rPr>
      </w:pPr>
      <w:r>
        <w:rPr>
          <w:rFonts w:hint="eastAsia" w:ascii="宋体" w:hAnsi="宋体" w:cs="宋体"/>
          <w:b/>
          <w:bCs/>
          <w:color w:val="auto"/>
          <w:sz w:val="24"/>
        </w:rPr>
        <w:t>附：</w:t>
      </w:r>
    </w:p>
    <w:p w14:paraId="0669AB58">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56ED8CBF">
      <w:pPr>
        <w:autoSpaceDE w:val="0"/>
        <w:autoSpaceDN w:val="0"/>
        <w:jc w:val="center"/>
        <w:rPr>
          <w:rFonts w:ascii="宋体" w:hAnsi="宋体" w:cs="宋体"/>
          <w:b/>
          <w:color w:val="auto"/>
          <w:spacing w:val="6"/>
          <w:sz w:val="32"/>
          <w:szCs w:val="32"/>
        </w:rPr>
      </w:pPr>
    </w:p>
    <w:p w14:paraId="45B988C7">
      <w:pPr>
        <w:autoSpaceDE w:val="0"/>
        <w:autoSpaceDN w:val="0"/>
        <w:jc w:val="center"/>
        <w:rPr>
          <w:rFonts w:ascii="宋体" w:hAnsi="宋体" w:cs="宋体"/>
          <w:b/>
          <w:color w:val="auto"/>
          <w:spacing w:val="6"/>
          <w:sz w:val="32"/>
          <w:szCs w:val="32"/>
        </w:rPr>
      </w:pPr>
    </w:p>
    <w:p w14:paraId="1CB81DD8">
      <w:pPr>
        <w:autoSpaceDE w:val="0"/>
        <w:autoSpaceDN w:val="0"/>
        <w:jc w:val="center"/>
        <w:rPr>
          <w:rFonts w:ascii="宋体" w:hAnsi="宋体" w:cs="宋体"/>
          <w:b/>
          <w:color w:val="auto"/>
          <w:spacing w:val="6"/>
          <w:sz w:val="32"/>
          <w:szCs w:val="32"/>
        </w:rPr>
      </w:pPr>
    </w:p>
    <w:p w14:paraId="6FBECA74">
      <w:pPr>
        <w:autoSpaceDE w:val="0"/>
        <w:autoSpaceDN w:val="0"/>
        <w:jc w:val="center"/>
        <w:rPr>
          <w:rFonts w:ascii="宋体" w:hAnsi="宋体" w:cs="宋体"/>
          <w:b/>
          <w:color w:val="auto"/>
          <w:spacing w:val="6"/>
          <w:sz w:val="32"/>
          <w:szCs w:val="32"/>
        </w:rPr>
      </w:pPr>
    </w:p>
    <w:p w14:paraId="414AD921">
      <w:pPr>
        <w:autoSpaceDE w:val="0"/>
        <w:autoSpaceDN w:val="0"/>
        <w:jc w:val="center"/>
        <w:rPr>
          <w:rFonts w:ascii="宋体" w:hAnsi="宋体" w:cs="宋体"/>
          <w:b/>
          <w:color w:val="auto"/>
          <w:spacing w:val="6"/>
          <w:sz w:val="32"/>
          <w:szCs w:val="32"/>
        </w:rPr>
      </w:pPr>
    </w:p>
    <w:p w14:paraId="75662189">
      <w:pPr>
        <w:autoSpaceDE w:val="0"/>
        <w:autoSpaceDN w:val="0"/>
        <w:jc w:val="center"/>
        <w:rPr>
          <w:rFonts w:ascii="宋体" w:hAnsi="宋体" w:cs="宋体"/>
          <w:b/>
          <w:color w:val="auto"/>
          <w:spacing w:val="6"/>
          <w:sz w:val="32"/>
          <w:szCs w:val="32"/>
        </w:rPr>
      </w:pPr>
    </w:p>
    <w:p w14:paraId="710FA98E">
      <w:pPr>
        <w:autoSpaceDE w:val="0"/>
        <w:autoSpaceDN w:val="0"/>
        <w:jc w:val="center"/>
        <w:rPr>
          <w:rFonts w:ascii="宋体" w:hAnsi="宋体" w:cs="宋体"/>
          <w:b/>
          <w:color w:val="auto"/>
          <w:spacing w:val="6"/>
          <w:sz w:val="32"/>
          <w:szCs w:val="32"/>
        </w:rPr>
      </w:pPr>
    </w:p>
    <w:p w14:paraId="6B9BEC37">
      <w:pPr>
        <w:autoSpaceDE w:val="0"/>
        <w:autoSpaceDN w:val="0"/>
        <w:jc w:val="center"/>
        <w:rPr>
          <w:rFonts w:ascii="宋体" w:hAnsi="宋体" w:cs="宋体"/>
          <w:b/>
          <w:color w:val="auto"/>
          <w:spacing w:val="6"/>
          <w:sz w:val="32"/>
          <w:szCs w:val="32"/>
        </w:rPr>
      </w:pPr>
    </w:p>
    <w:p w14:paraId="1EA5AFF7">
      <w:pPr>
        <w:autoSpaceDE w:val="0"/>
        <w:autoSpaceDN w:val="0"/>
        <w:jc w:val="center"/>
        <w:rPr>
          <w:rFonts w:ascii="宋体" w:hAnsi="宋体" w:cs="宋体"/>
          <w:b/>
          <w:color w:val="auto"/>
          <w:spacing w:val="6"/>
          <w:sz w:val="32"/>
          <w:szCs w:val="32"/>
        </w:rPr>
      </w:pPr>
    </w:p>
    <w:p w14:paraId="7B5972C4">
      <w:pPr>
        <w:autoSpaceDE w:val="0"/>
        <w:autoSpaceDN w:val="0"/>
        <w:jc w:val="center"/>
        <w:rPr>
          <w:rFonts w:ascii="宋体" w:hAnsi="宋体" w:cs="宋体"/>
          <w:b/>
          <w:color w:val="auto"/>
          <w:spacing w:val="6"/>
          <w:sz w:val="32"/>
          <w:szCs w:val="32"/>
        </w:rPr>
      </w:pPr>
    </w:p>
    <w:p w14:paraId="5943874F">
      <w:pPr>
        <w:autoSpaceDE w:val="0"/>
        <w:autoSpaceDN w:val="0"/>
        <w:jc w:val="center"/>
        <w:rPr>
          <w:rFonts w:ascii="宋体" w:hAnsi="宋体" w:cs="宋体"/>
          <w:b/>
          <w:color w:val="auto"/>
          <w:spacing w:val="6"/>
          <w:sz w:val="32"/>
          <w:szCs w:val="32"/>
        </w:rPr>
      </w:pPr>
    </w:p>
    <w:p w14:paraId="499B69E8">
      <w:pPr>
        <w:autoSpaceDE w:val="0"/>
        <w:autoSpaceDN w:val="0"/>
        <w:jc w:val="center"/>
        <w:rPr>
          <w:rFonts w:ascii="宋体" w:hAnsi="宋体" w:cs="宋体"/>
          <w:b/>
          <w:color w:val="auto"/>
          <w:spacing w:val="6"/>
          <w:sz w:val="32"/>
          <w:szCs w:val="32"/>
        </w:rPr>
      </w:pPr>
    </w:p>
    <w:p w14:paraId="471034E6">
      <w:pPr>
        <w:autoSpaceDE w:val="0"/>
        <w:autoSpaceDN w:val="0"/>
        <w:jc w:val="center"/>
        <w:rPr>
          <w:rFonts w:ascii="宋体" w:hAnsi="宋体" w:cs="宋体"/>
          <w:b/>
          <w:color w:val="auto"/>
          <w:spacing w:val="6"/>
          <w:sz w:val="32"/>
          <w:szCs w:val="32"/>
        </w:rPr>
      </w:pPr>
    </w:p>
    <w:p w14:paraId="46481EB2">
      <w:pPr>
        <w:autoSpaceDE w:val="0"/>
        <w:autoSpaceDN w:val="0"/>
        <w:jc w:val="center"/>
        <w:rPr>
          <w:rFonts w:ascii="宋体" w:hAnsi="宋体" w:cs="宋体"/>
          <w:b/>
          <w:color w:val="auto"/>
          <w:spacing w:val="6"/>
          <w:sz w:val="32"/>
          <w:szCs w:val="32"/>
        </w:rPr>
      </w:pPr>
    </w:p>
    <w:p w14:paraId="670F2EE6">
      <w:pPr>
        <w:autoSpaceDE w:val="0"/>
        <w:autoSpaceDN w:val="0"/>
        <w:jc w:val="both"/>
        <w:rPr>
          <w:rFonts w:ascii="宋体" w:hAnsi="宋体" w:cs="宋体"/>
          <w:b/>
          <w:color w:val="auto"/>
          <w:spacing w:val="6"/>
          <w:sz w:val="32"/>
          <w:szCs w:val="32"/>
        </w:rPr>
      </w:pPr>
    </w:p>
    <w:p w14:paraId="62749A03">
      <w:pPr>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附件</w:t>
      </w:r>
      <w:r>
        <w:rPr>
          <w:rFonts w:hint="eastAsia" w:ascii="宋体" w:hAnsi="宋体" w:cs="宋体"/>
          <w:b/>
          <w:color w:val="auto"/>
          <w:sz w:val="36"/>
          <w:szCs w:val="20"/>
          <w:lang w:val="en-US" w:eastAsia="zh-CN"/>
        </w:rPr>
        <w:t>3</w:t>
      </w:r>
      <w:r>
        <w:rPr>
          <w:rFonts w:hint="eastAsia" w:ascii="宋体" w:hAnsi="宋体" w:cs="宋体"/>
          <w:b/>
          <w:color w:val="auto"/>
          <w:sz w:val="36"/>
          <w:szCs w:val="20"/>
        </w:rPr>
        <w:t>：中小企业声明函</w:t>
      </w:r>
    </w:p>
    <w:p w14:paraId="38841717">
      <w:pPr>
        <w:spacing w:line="360" w:lineRule="auto"/>
        <w:jc w:val="center"/>
        <w:rPr>
          <w:rFonts w:ascii="宋体" w:hAnsi="宋体" w:cs="宋体"/>
          <w:color w:val="auto"/>
          <w:sz w:val="24"/>
          <w:u w:val="single"/>
        </w:rPr>
      </w:pPr>
    </w:p>
    <w:p w14:paraId="55FF7D14">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w:t>
      </w:r>
      <w:r>
        <w:rPr>
          <w:rFonts w:hint="eastAsia" w:ascii="宋体" w:hAnsi="宋体" w:cs="宋体"/>
          <w:b/>
          <w:color w:val="auto"/>
          <w:sz w:val="32"/>
          <w:szCs w:val="32"/>
          <w:lang w:val="en-US" w:eastAsia="zh-CN"/>
        </w:rPr>
        <w:t>货物</w:t>
      </w:r>
      <w:r>
        <w:rPr>
          <w:rFonts w:hint="eastAsia" w:ascii="宋体" w:hAnsi="宋体" w:cs="宋体"/>
          <w:b/>
          <w:color w:val="auto"/>
          <w:sz w:val="32"/>
          <w:szCs w:val="32"/>
        </w:rPr>
        <w:t>）</w:t>
      </w:r>
    </w:p>
    <w:p w14:paraId="478F0704">
      <w:pPr>
        <w:spacing w:line="360" w:lineRule="auto"/>
        <w:ind w:firstLine="600" w:firstLineChars="250"/>
        <w:jc w:val="left"/>
        <w:rPr>
          <w:rFonts w:ascii="宋体" w:hAnsi="宋体" w:cs="宋体"/>
          <w:color w:val="auto"/>
          <w:sz w:val="24"/>
        </w:rPr>
      </w:pPr>
      <w:r>
        <w:rPr>
          <w:rFonts w:hint="eastAsia" w:ascii="宋体" w:hAnsi="宋体" w:cs="宋体"/>
          <w:color w:val="auto"/>
          <w:sz w:val="24"/>
        </w:rPr>
        <w:t>本公司（联合体）郑重声明，根据《政府采购促进中小企业发展管理办法》（财库﹝2020﹞46 号）的规定，本公司（联合体）参加</w:t>
      </w:r>
      <w:r>
        <w:rPr>
          <w:rFonts w:hint="eastAsia" w:ascii="宋体" w:hAnsi="宋体" w:cs="宋体"/>
          <w:color w:val="auto"/>
          <w:sz w:val="24"/>
          <w:u w:val="single"/>
        </w:rPr>
        <w:t xml:space="preserve"> </w:t>
      </w:r>
      <w:r>
        <w:rPr>
          <w:rFonts w:hint="eastAsia" w:ascii="宋体" w:hAnsi="宋体" w:cs="宋体"/>
          <w:color w:val="auto"/>
          <w:sz w:val="24"/>
          <w:u w:val="single"/>
          <w:lang w:eastAsia="zh-CN"/>
        </w:rPr>
        <w:t>宁海传媒集团（宁海县广播电视台）</w:t>
      </w:r>
      <w:r>
        <w:rPr>
          <w:rFonts w:hint="eastAsia" w:ascii="宋体" w:hAnsi="宋体" w:cs="宋体"/>
          <w:color w:val="auto"/>
          <w:sz w:val="24"/>
          <w:u w:val="single"/>
          <w:lang w:val="en-US" w:eastAsia="zh-CN"/>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宁海传媒集团高清电视非线性编辑系统网络核心存储设备硬件升级改造项目</w:t>
      </w:r>
      <w:r>
        <w:rPr>
          <w:rFonts w:hint="eastAsia" w:ascii="宋体" w:hAnsi="宋体" w:cs="宋体"/>
          <w:color w:val="auto"/>
          <w:sz w:val="24"/>
          <w:u w:val="single"/>
        </w:rPr>
        <w:t xml:space="preserve"> </w:t>
      </w:r>
      <w:r>
        <w:rPr>
          <w:rFonts w:hint="eastAsia" w:ascii="宋体" w:hAnsi="宋体" w:cs="宋体"/>
          <w:color w:val="auto"/>
          <w:sz w:val="24"/>
        </w:rPr>
        <w:t>采购活动，服务全部由符合政策要求的中小企业承接。相关企业（含联合体中的中小企业）的具体情况如下：</w:t>
      </w:r>
    </w:p>
    <w:p w14:paraId="5D13589E">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lang w:eastAsia="zh-CN"/>
        </w:rPr>
        <w:t>宁海传媒集团高清电视非线性编辑系统网络核心存储设备硬件升级改造项目</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工业</w:t>
      </w:r>
      <w:r>
        <w:rPr>
          <w:rFonts w:hint="eastAsia" w:ascii="宋体" w:hAnsi="宋体" w:cs="宋体"/>
          <w:color w:val="auto"/>
          <w:sz w:val="24"/>
        </w:rPr>
        <w:t xml:space="preserve"> ；承接企业为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326A26B7">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773587F5">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06F586D9">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58E1EEDE">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424AD829">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6DE4226C">
      <w:pPr>
        <w:spacing w:line="360" w:lineRule="auto"/>
        <w:ind w:right="420"/>
        <w:rPr>
          <w:rFonts w:ascii="宋体" w:hAnsi="宋体" w:cs="宋体"/>
          <w:color w:val="auto"/>
          <w:sz w:val="24"/>
        </w:rPr>
      </w:pPr>
    </w:p>
    <w:p w14:paraId="5024B427">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5D2FD252">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EA779ED">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69375E3">
      <w:pPr>
        <w:pStyle w:val="3"/>
        <w:rPr>
          <w:rFonts w:ascii="宋体" w:hAnsi="宋体" w:eastAsia="宋体" w:cs="宋体"/>
          <w:color w:val="auto"/>
          <w:lang w:val="en-US"/>
        </w:rPr>
      </w:pPr>
    </w:p>
    <w:p w14:paraId="26FD7763">
      <w:pPr>
        <w:spacing w:line="360" w:lineRule="auto"/>
        <w:ind w:right="420"/>
        <w:rPr>
          <w:rFonts w:ascii="宋体" w:hAnsi="宋体" w:cs="宋体"/>
          <w:color w:val="auto"/>
        </w:rPr>
      </w:pPr>
    </w:p>
    <w:p w14:paraId="1B389555">
      <w:pPr>
        <w:spacing w:line="360" w:lineRule="auto"/>
        <w:rPr>
          <w:rFonts w:ascii="宋体" w:hAnsi="宋体" w:cs="宋体"/>
          <w:bCs/>
          <w:color w:val="auto"/>
          <w:sz w:val="24"/>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7D08B">
    <w:pPr>
      <w:pStyle w:val="40"/>
      <w:framePr w:wrap="around" w:vAnchor="text" w:hAnchor="margin" w:xAlign="right" w:y="1"/>
      <w:rPr>
        <w:rStyle w:val="72"/>
      </w:rPr>
    </w:pPr>
    <w:r>
      <w:fldChar w:fldCharType="begin"/>
    </w:r>
    <w:r>
      <w:rPr>
        <w:rStyle w:val="72"/>
      </w:rPr>
      <w:instrText xml:space="preserve">PAGE  </w:instrText>
    </w:r>
    <w:r>
      <w:fldChar w:fldCharType="end"/>
    </w:r>
  </w:p>
  <w:p w14:paraId="6E0D2C23">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748C1">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20AFEC">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5420AFEC">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655CDFD3">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7E170">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291AA6">
                          <w:pPr>
                            <w:pStyle w:val="40"/>
                          </w:pPr>
                          <w:r>
                            <w:t xml:space="preserve">第 </w:t>
                          </w:r>
                          <w:r>
                            <w:fldChar w:fldCharType="begin"/>
                          </w:r>
                          <w:r>
                            <w:instrText xml:space="preserve"> PAGE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65291AA6">
                    <w:pPr>
                      <w:pStyle w:val="40"/>
                    </w:pPr>
                    <w:r>
                      <w:t xml:space="preserve">第 </w:t>
                    </w:r>
                    <w:r>
                      <w:fldChar w:fldCharType="begin"/>
                    </w:r>
                    <w:r>
                      <w:instrText xml:space="preserve"> PAGE  \* MERGEFORMAT </w:instrText>
                    </w:r>
                    <w:r>
                      <w:fldChar w:fldCharType="separate"/>
                    </w:r>
                    <w:r>
                      <w:t>58</w:t>
                    </w:r>
                    <w:r>
                      <w:fldChar w:fldCharType="end"/>
                    </w:r>
                    <w:r>
                      <w:t xml:space="preserve"> 页</w:t>
                    </w:r>
                  </w:p>
                </w:txbxContent>
              </v:textbox>
            </v:shape>
          </w:pict>
        </mc:Fallback>
      </mc:AlternateContent>
    </w:r>
  </w:p>
  <w:p w14:paraId="2C8D278F">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F49C8">
    <w:pPr>
      <w:pStyle w:val="40"/>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E10DCC">
                          <w:pPr>
                            <w:pStyle w:val="40"/>
                          </w:pPr>
                          <w:r>
                            <w:t xml:space="preserve">第 </w:t>
                          </w:r>
                          <w:r>
                            <w:fldChar w:fldCharType="begin"/>
                          </w:r>
                          <w:r>
                            <w:instrText xml:space="preserve"> PAGE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49E10DCC">
                    <w:pPr>
                      <w:pStyle w:val="40"/>
                    </w:pPr>
                    <w:r>
                      <w:t xml:space="preserve">第 </w:t>
                    </w:r>
                    <w:r>
                      <w:fldChar w:fldCharType="begin"/>
                    </w:r>
                    <w:r>
                      <w:instrText xml:space="preserve"> PAGE  \* MERGEFORMAT </w:instrText>
                    </w:r>
                    <w:r>
                      <w:fldChar w:fldCharType="separate"/>
                    </w:r>
                    <w:r>
                      <w:t>61</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3DF71">
    <w:pPr>
      <w:pStyle w:val="40"/>
      <w:framePr w:wrap="around" w:vAnchor="text" w:hAnchor="margin" w:xAlign="right" w:y="1"/>
      <w:rPr>
        <w:rStyle w:val="72"/>
      </w:rPr>
    </w:pPr>
    <w:r>
      <w:fldChar w:fldCharType="begin"/>
    </w:r>
    <w:r>
      <w:rPr>
        <w:rStyle w:val="72"/>
      </w:rPr>
      <w:instrText xml:space="preserve">PAGE  </w:instrText>
    </w:r>
    <w:r>
      <w:fldChar w:fldCharType="end"/>
    </w:r>
  </w:p>
  <w:p w14:paraId="218C6BCB">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6C8AD">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7946A2">
                          <w:pPr>
                            <w:pStyle w:val="40"/>
                          </w:pPr>
                          <w:r>
                            <w:t xml:space="preserve">第 </w:t>
                          </w:r>
                          <w:r>
                            <w:fldChar w:fldCharType="begin"/>
                          </w:r>
                          <w:r>
                            <w:instrText xml:space="preserve"> PAGE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C7946A2">
                    <w:pPr>
                      <w:pStyle w:val="40"/>
                    </w:pPr>
                    <w:r>
                      <w:t xml:space="preserve">第 </w:t>
                    </w:r>
                    <w:r>
                      <w:fldChar w:fldCharType="begin"/>
                    </w:r>
                    <w:r>
                      <w:instrText xml:space="preserve"> PAGE  \* MERGEFORMAT </w:instrText>
                    </w:r>
                    <w:r>
                      <w:fldChar w:fldCharType="separate"/>
                    </w:r>
                    <w:r>
                      <w:t>60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06B9C">
    <w:pPr>
      <w:pStyle w:val="40"/>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B0D4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4CE72">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ADAEFA">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1ADAEFA">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28237">
    <w:pPr>
      <w:pStyle w:val="40"/>
      <w:framePr w:wrap="around" w:vAnchor="margin" w:hAnchor="text" w:y="1"/>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7FB5BC3">
                          <w:pPr>
                            <w:pStyle w:val="40"/>
                          </w:pPr>
                          <w:r>
                            <w:t xml:space="preserve">— </w:t>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GDM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wuxZFrZ6&#10;Z3mEjvJ4uzoGyJlUjqJ0SqA78YDpS33qNyWO95/nFPX47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vsRgzMQIAAGUEAAAOAAAAAAAAAAEAIAAAAB8BAABkcnMvZTJvRG9jLnhtbFBLBQYA&#10;AAAABgAGAFkBAADCBQAAAAA=&#10;">
              <v:fill on="f" focussize="0,0"/>
              <v:stroke on="f" weight="0.5pt"/>
              <v:imagedata o:title=""/>
              <o:lock v:ext="edit" aspectratio="f"/>
              <v:textbox inset="0mm,0mm,0mm,0mm" style="mso-fit-shape-to-text:t;">
                <w:txbxContent>
                  <w:p w14:paraId="37FB5BC3">
                    <w:pPr>
                      <w:pStyle w:val="40"/>
                    </w:pPr>
                    <w:r>
                      <w:t xml:space="preserve">— </w:t>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t xml:space="preserve"> </w:t>
                    </w:r>
                    <w: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20910">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460DBD">
                          <w:pPr>
                            <w:pStyle w:val="40"/>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6A460DBD">
                    <w:pPr>
                      <w:pStyle w:val="40"/>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p w14:paraId="0D195FF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3BB88">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D4C1D9">
                          <w:pPr>
                            <w:pStyle w:val="40"/>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5D4C1D9">
                    <w:pPr>
                      <w:pStyle w:val="40"/>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mc:Fallback>
      </mc:AlternateContent>
    </w:r>
  </w:p>
  <w:p w14:paraId="369B9FC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2A816">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8C824F">
                          <w:pPr>
                            <w:pStyle w:val="40"/>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08C824F">
                    <w:pPr>
                      <w:pStyle w:val="40"/>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p w14:paraId="2F77336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8C972">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940E14">
                          <w:pPr>
                            <w:pStyle w:val="40"/>
                          </w:pPr>
                          <w:r>
                            <w:t xml:space="preserve">第 </w:t>
                          </w:r>
                          <w:r>
                            <w:fldChar w:fldCharType="begin"/>
                          </w:r>
                          <w:r>
                            <w:instrText xml:space="preserve"> PAGE  \* MERGEFORMAT </w:instrText>
                          </w:r>
                          <w:r>
                            <w:fldChar w:fldCharType="separate"/>
                          </w:r>
                          <w:r>
                            <w:t>51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8940E14">
                    <w:pPr>
                      <w:pStyle w:val="40"/>
                    </w:pPr>
                    <w:r>
                      <w:t xml:space="preserve">第 </w:t>
                    </w:r>
                    <w:r>
                      <w:fldChar w:fldCharType="begin"/>
                    </w:r>
                    <w:r>
                      <w:instrText xml:space="preserve"> PAGE  \* MERGEFORMAT </w:instrText>
                    </w:r>
                    <w:r>
                      <w:fldChar w:fldCharType="separate"/>
                    </w:r>
                    <w:r>
                      <w:t>51</w:t>
                    </w:r>
                    <w:r>
                      <w:fldChar w:fldCharType="end"/>
                    </w:r>
                    <w:r>
                      <w:t xml:space="preserve"> 页</w:t>
                    </w:r>
                  </w:p>
                </w:txbxContent>
              </v:textbox>
            </v:shape>
          </w:pict>
        </mc:Fallback>
      </mc:AlternateContent>
    </w:r>
  </w:p>
  <w:p w14:paraId="0EC7533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A8030">
    <w:pPr>
      <w:pStyle w:val="41"/>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4382F">
    <w:pPr>
      <w:pStyle w:val="4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76AAD">
    <w:pPr>
      <w:pStyle w:val="4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C10C3">
    <w:pPr>
      <w:pStyle w:val="4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743CD">
    <w:pPr>
      <w:pStyle w:val="4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36143">
    <w:pPr>
      <w:pStyle w:val="41"/>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22AA5">
    <w:pPr>
      <w:pStyle w:val="4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14B4B">
    <w:pPr>
      <w:pStyle w:val="4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CB2DC">
    <w:pPr>
      <w:pStyle w:val="41"/>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BE5E0">
    <w:pPr>
      <w:pStyle w:val="4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8033E"/>
    <w:multiLevelType w:val="singleLevel"/>
    <w:tmpl w:val="8C28033E"/>
    <w:lvl w:ilvl="0" w:tentative="0">
      <w:start w:val="1"/>
      <w:numFmt w:val="decimal"/>
      <w:lvlText w:val="%1)"/>
      <w:lvlJc w:val="left"/>
      <w:pPr>
        <w:ind w:left="425" w:hanging="425"/>
      </w:pPr>
      <w:rPr>
        <w:rFonts w:hint="default"/>
      </w:rPr>
    </w:lvl>
  </w:abstractNum>
  <w:abstractNum w:abstractNumId="1">
    <w:nsid w:val="D835A48A"/>
    <w:multiLevelType w:val="singleLevel"/>
    <w:tmpl w:val="D835A48A"/>
    <w:lvl w:ilvl="0" w:tentative="0">
      <w:start w:val="27"/>
      <w:numFmt w:val="decimal"/>
      <w:suff w:val="space"/>
      <w:lvlText w:val="%1."/>
      <w:lvlJc w:val="left"/>
    </w:lvl>
  </w:abstractNum>
  <w:abstractNum w:abstractNumId="2">
    <w:nsid w:val="FA33CF2D"/>
    <w:multiLevelType w:val="singleLevel"/>
    <w:tmpl w:val="FA33CF2D"/>
    <w:lvl w:ilvl="0" w:tentative="0">
      <w:start w:val="6"/>
      <w:numFmt w:val="chineseCounting"/>
      <w:suff w:val="nothing"/>
      <w:lvlText w:val="%1、"/>
      <w:lvlJc w:val="left"/>
      <w:rPr>
        <w:rFonts w:hint="eastAsia"/>
      </w:rPr>
    </w:lvl>
  </w:abstractNum>
  <w:abstractNum w:abstractNumId="3">
    <w:nsid w:val="FC953901"/>
    <w:multiLevelType w:val="singleLevel"/>
    <w:tmpl w:val="FC953901"/>
    <w:lvl w:ilvl="0" w:tentative="0">
      <w:start w:val="2"/>
      <w:numFmt w:val="decimal"/>
      <w:lvlText w:val="%1."/>
      <w:lvlJc w:val="left"/>
      <w:pPr>
        <w:tabs>
          <w:tab w:val="left" w:pos="312"/>
        </w:tabs>
      </w:pPr>
    </w:lvl>
  </w:abstractNum>
  <w:abstractNum w:abstractNumId="4">
    <w:nsid w:val="FD36E5DB"/>
    <w:multiLevelType w:val="singleLevel"/>
    <w:tmpl w:val="FD36E5DB"/>
    <w:lvl w:ilvl="0" w:tentative="0">
      <w:start w:val="1"/>
      <w:numFmt w:val="decimal"/>
      <w:suff w:val="nothing"/>
      <w:lvlText w:val="（%1）"/>
      <w:lvlJc w:val="left"/>
    </w:lvl>
  </w:abstractNum>
  <w:abstractNum w:abstractNumId="5">
    <w:nsid w:val="201D9163"/>
    <w:multiLevelType w:val="singleLevel"/>
    <w:tmpl w:val="201D9163"/>
    <w:lvl w:ilvl="0" w:tentative="0">
      <w:start w:val="2"/>
      <w:numFmt w:val="chineseCounting"/>
      <w:suff w:val="nothing"/>
      <w:lvlText w:val="%1、"/>
      <w:lvlJc w:val="left"/>
      <w:pPr>
        <w:ind w:left="197"/>
      </w:pPr>
      <w:rPr>
        <w:rFonts w:hint="eastAsia"/>
      </w:rPr>
    </w:lvl>
  </w:abstractNum>
  <w:abstractNum w:abstractNumId="6">
    <w:nsid w:val="2C98494F"/>
    <w:multiLevelType w:val="singleLevel"/>
    <w:tmpl w:val="2C98494F"/>
    <w:lvl w:ilvl="0" w:tentative="0">
      <w:start w:val="6"/>
      <w:numFmt w:val="chineseCounting"/>
      <w:suff w:val="nothing"/>
      <w:lvlText w:val="%1、"/>
      <w:lvlJc w:val="left"/>
      <w:rPr>
        <w:rFonts w:hint="eastAsia"/>
      </w:rPr>
    </w:lvl>
  </w:abstractNum>
  <w:abstractNum w:abstractNumId="7">
    <w:nsid w:val="41892D21"/>
    <w:multiLevelType w:val="singleLevel"/>
    <w:tmpl w:val="41892D21"/>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xZGExODllZDQ3OGVkY2Y1MjBhZDFlYmM0OTZjMDIifQ=="/>
    <w:docVar w:name="KSO_WPS_MARK_KEY" w:val="bafc4ab3-67c4-4c2b-ba56-045f858731c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03"/>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3133EE"/>
    <w:rsid w:val="036634D2"/>
    <w:rsid w:val="037451CD"/>
    <w:rsid w:val="03C12181"/>
    <w:rsid w:val="03DD35E4"/>
    <w:rsid w:val="04076900"/>
    <w:rsid w:val="041A5A3B"/>
    <w:rsid w:val="042311BA"/>
    <w:rsid w:val="042B157A"/>
    <w:rsid w:val="04403F97"/>
    <w:rsid w:val="048F763B"/>
    <w:rsid w:val="049F330E"/>
    <w:rsid w:val="04AA775C"/>
    <w:rsid w:val="04AF1889"/>
    <w:rsid w:val="04F66F48"/>
    <w:rsid w:val="05251E14"/>
    <w:rsid w:val="053257CA"/>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3B293D"/>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85778B"/>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727CEB"/>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3F2FA2"/>
    <w:rsid w:val="0F4958DC"/>
    <w:rsid w:val="0F515DF7"/>
    <w:rsid w:val="0F596BA8"/>
    <w:rsid w:val="0F602582"/>
    <w:rsid w:val="0F6248D2"/>
    <w:rsid w:val="0F693536"/>
    <w:rsid w:val="0F7B0511"/>
    <w:rsid w:val="0F7B76D9"/>
    <w:rsid w:val="0F816ACD"/>
    <w:rsid w:val="0F9832DB"/>
    <w:rsid w:val="0FBF3FD2"/>
    <w:rsid w:val="0FBF7FF3"/>
    <w:rsid w:val="0FD647B6"/>
    <w:rsid w:val="106214D4"/>
    <w:rsid w:val="10646583"/>
    <w:rsid w:val="107D4B15"/>
    <w:rsid w:val="108A3C80"/>
    <w:rsid w:val="10C26171"/>
    <w:rsid w:val="10F33360"/>
    <w:rsid w:val="10FC16EA"/>
    <w:rsid w:val="110F1D40"/>
    <w:rsid w:val="11266F33"/>
    <w:rsid w:val="117805DF"/>
    <w:rsid w:val="118963A1"/>
    <w:rsid w:val="11C6522A"/>
    <w:rsid w:val="11E104CC"/>
    <w:rsid w:val="11E20309"/>
    <w:rsid w:val="11E45A57"/>
    <w:rsid w:val="12255233"/>
    <w:rsid w:val="12530213"/>
    <w:rsid w:val="127723A9"/>
    <w:rsid w:val="12862074"/>
    <w:rsid w:val="12883966"/>
    <w:rsid w:val="129E45B4"/>
    <w:rsid w:val="12D81596"/>
    <w:rsid w:val="12DD37E2"/>
    <w:rsid w:val="13072A44"/>
    <w:rsid w:val="13511DA5"/>
    <w:rsid w:val="135F4BE2"/>
    <w:rsid w:val="139B1A0A"/>
    <w:rsid w:val="139D25C7"/>
    <w:rsid w:val="13BF3CE4"/>
    <w:rsid w:val="141008D8"/>
    <w:rsid w:val="14125FE6"/>
    <w:rsid w:val="146D271E"/>
    <w:rsid w:val="14982588"/>
    <w:rsid w:val="149A5AD9"/>
    <w:rsid w:val="149B37D9"/>
    <w:rsid w:val="14A7619D"/>
    <w:rsid w:val="14F55AFC"/>
    <w:rsid w:val="150536C3"/>
    <w:rsid w:val="150C1963"/>
    <w:rsid w:val="151447A0"/>
    <w:rsid w:val="154A6454"/>
    <w:rsid w:val="15762120"/>
    <w:rsid w:val="16A8729C"/>
    <w:rsid w:val="16B33777"/>
    <w:rsid w:val="16BC70A7"/>
    <w:rsid w:val="16C6339E"/>
    <w:rsid w:val="172F2D79"/>
    <w:rsid w:val="17557BEF"/>
    <w:rsid w:val="17C074F9"/>
    <w:rsid w:val="17D349C1"/>
    <w:rsid w:val="1830729E"/>
    <w:rsid w:val="1870062C"/>
    <w:rsid w:val="18817102"/>
    <w:rsid w:val="18830A15"/>
    <w:rsid w:val="18852B28"/>
    <w:rsid w:val="188B4F58"/>
    <w:rsid w:val="188B5321"/>
    <w:rsid w:val="18D03199"/>
    <w:rsid w:val="19932372"/>
    <w:rsid w:val="19A20DD5"/>
    <w:rsid w:val="19AE03F1"/>
    <w:rsid w:val="1A071A03"/>
    <w:rsid w:val="1A1554F6"/>
    <w:rsid w:val="1A1F16AE"/>
    <w:rsid w:val="1A3B5C77"/>
    <w:rsid w:val="1A984BAD"/>
    <w:rsid w:val="1AB8220E"/>
    <w:rsid w:val="1AE4166C"/>
    <w:rsid w:val="1AF06CFB"/>
    <w:rsid w:val="1AF11B8D"/>
    <w:rsid w:val="1B11359C"/>
    <w:rsid w:val="1B2A271F"/>
    <w:rsid w:val="1B530544"/>
    <w:rsid w:val="1B713184"/>
    <w:rsid w:val="1BA209CF"/>
    <w:rsid w:val="1BAC38A3"/>
    <w:rsid w:val="1BB4777D"/>
    <w:rsid w:val="1BD75AB8"/>
    <w:rsid w:val="1BFA6342"/>
    <w:rsid w:val="1C0459C2"/>
    <w:rsid w:val="1C1B3B4A"/>
    <w:rsid w:val="1C311C5D"/>
    <w:rsid w:val="1C88086E"/>
    <w:rsid w:val="1D266CE1"/>
    <w:rsid w:val="1D3963AF"/>
    <w:rsid w:val="1D6A673C"/>
    <w:rsid w:val="1D9247AE"/>
    <w:rsid w:val="1DA05096"/>
    <w:rsid w:val="1DB567EC"/>
    <w:rsid w:val="1DF51A98"/>
    <w:rsid w:val="1E3D060F"/>
    <w:rsid w:val="1E3F7D2E"/>
    <w:rsid w:val="1E4134E4"/>
    <w:rsid w:val="1E5062B3"/>
    <w:rsid w:val="1E523514"/>
    <w:rsid w:val="1E714A66"/>
    <w:rsid w:val="1E802593"/>
    <w:rsid w:val="1E8B6156"/>
    <w:rsid w:val="1EA703CC"/>
    <w:rsid w:val="1EB7330C"/>
    <w:rsid w:val="1F0A0FF3"/>
    <w:rsid w:val="1F5771FF"/>
    <w:rsid w:val="1F660541"/>
    <w:rsid w:val="1F80596E"/>
    <w:rsid w:val="1FD52DD5"/>
    <w:rsid w:val="1FE868A9"/>
    <w:rsid w:val="20034907"/>
    <w:rsid w:val="20173E4B"/>
    <w:rsid w:val="204E48BC"/>
    <w:rsid w:val="208921B3"/>
    <w:rsid w:val="20973DEB"/>
    <w:rsid w:val="20B26522"/>
    <w:rsid w:val="20B44310"/>
    <w:rsid w:val="20DE1EDE"/>
    <w:rsid w:val="211116EB"/>
    <w:rsid w:val="211A7A85"/>
    <w:rsid w:val="21440E04"/>
    <w:rsid w:val="215664BD"/>
    <w:rsid w:val="216133FC"/>
    <w:rsid w:val="21D56769"/>
    <w:rsid w:val="21E52EF3"/>
    <w:rsid w:val="21FB5D7B"/>
    <w:rsid w:val="22015E94"/>
    <w:rsid w:val="220B1C3D"/>
    <w:rsid w:val="221D1D20"/>
    <w:rsid w:val="22334A87"/>
    <w:rsid w:val="226D06CE"/>
    <w:rsid w:val="22AC1D11"/>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D90728"/>
    <w:rsid w:val="27044A29"/>
    <w:rsid w:val="271D34C8"/>
    <w:rsid w:val="276142BF"/>
    <w:rsid w:val="27783712"/>
    <w:rsid w:val="27907362"/>
    <w:rsid w:val="27A20917"/>
    <w:rsid w:val="282007F9"/>
    <w:rsid w:val="28333E1D"/>
    <w:rsid w:val="28454BD6"/>
    <w:rsid w:val="28455253"/>
    <w:rsid w:val="28551971"/>
    <w:rsid w:val="285B1C53"/>
    <w:rsid w:val="289F7086"/>
    <w:rsid w:val="28C32028"/>
    <w:rsid w:val="28CC490F"/>
    <w:rsid w:val="28DE40AA"/>
    <w:rsid w:val="29345E77"/>
    <w:rsid w:val="294C65AD"/>
    <w:rsid w:val="29806583"/>
    <w:rsid w:val="298B3C4C"/>
    <w:rsid w:val="29A81F35"/>
    <w:rsid w:val="29F26D24"/>
    <w:rsid w:val="2A15033F"/>
    <w:rsid w:val="2A1662C1"/>
    <w:rsid w:val="2A1C7367"/>
    <w:rsid w:val="2A2815FA"/>
    <w:rsid w:val="2A6D6092"/>
    <w:rsid w:val="2A7D76B4"/>
    <w:rsid w:val="2B437463"/>
    <w:rsid w:val="2B51033E"/>
    <w:rsid w:val="2B7807EE"/>
    <w:rsid w:val="2BA50BF7"/>
    <w:rsid w:val="2BBF00EC"/>
    <w:rsid w:val="2BC37CFD"/>
    <w:rsid w:val="2BD5237F"/>
    <w:rsid w:val="2BE536CE"/>
    <w:rsid w:val="2BE758D9"/>
    <w:rsid w:val="2C09049E"/>
    <w:rsid w:val="2C0A653C"/>
    <w:rsid w:val="2C191F85"/>
    <w:rsid w:val="2C204915"/>
    <w:rsid w:val="2C556AA8"/>
    <w:rsid w:val="2CE82D6F"/>
    <w:rsid w:val="2D343236"/>
    <w:rsid w:val="2DB22469"/>
    <w:rsid w:val="2DD15014"/>
    <w:rsid w:val="2DF72DE4"/>
    <w:rsid w:val="2E0220AF"/>
    <w:rsid w:val="2E4B082A"/>
    <w:rsid w:val="2E5D4E86"/>
    <w:rsid w:val="2E5D790B"/>
    <w:rsid w:val="2E9A3C18"/>
    <w:rsid w:val="2EBA73BB"/>
    <w:rsid w:val="2EBB0FEE"/>
    <w:rsid w:val="2EC63002"/>
    <w:rsid w:val="2EDB5934"/>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4F1AFD"/>
    <w:rsid w:val="336963EB"/>
    <w:rsid w:val="33816EEB"/>
    <w:rsid w:val="33EB55CD"/>
    <w:rsid w:val="33EC4C02"/>
    <w:rsid w:val="340D2360"/>
    <w:rsid w:val="3410665D"/>
    <w:rsid w:val="34211214"/>
    <w:rsid w:val="342E63AB"/>
    <w:rsid w:val="34710D26"/>
    <w:rsid w:val="34950E68"/>
    <w:rsid w:val="34986E94"/>
    <w:rsid w:val="34AF62C9"/>
    <w:rsid w:val="34CB4388"/>
    <w:rsid w:val="34FA6E12"/>
    <w:rsid w:val="354D7158"/>
    <w:rsid w:val="358D5588"/>
    <w:rsid w:val="360109F6"/>
    <w:rsid w:val="363A3B40"/>
    <w:rsid w:val="365302AE"/>
    <w:rsid w:val="36607A0A"/>
    <w:rsid w:val="366E227C"/>
    <w:rsid w:val="366F2E0D"/>
    <w:rsid w:val="367B6A5C"/>
    <w:rsid w:val="368F7F2B"/>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D231BC"/>
    <w:rsid w:val="3B2349B7"/>
    <w:rsid w:val="3B261358"/>
    <w:rsid w:val="3B616CFF"/>
    <w:rsid w:val="3B6259F6"/>
    <w:rsid w:val="3B976654"/>
    <w:rsid w:val="3BC01EFC"/>
    <w:rsid w:val="3BCA786A"/>
    <w:rsid w:val="3BD31E2F"/>
    <w:rsid w:val="3BF15831"/>
    <w:rsid w:val="3C105946"/>
    <w:rsid w:val="3C1D466B"/>
    <w:rsid w:val="3C471448"/>
    <w:rsid w:val="3C5F759A"/>
    <w:rsid w:val="3C6C525A"/>
    <w:rsid w:val="3CCE23CB"/>
    <w:rsid w:val="3CD17D17"/>
    <w:rsid w:val="3D3C7F39"/>
    <w:rsid w:val="3D440F09"/>
    <w:rsid w:val="3D4504A0"/>
    <w:rsid w:val="3D8734BB"/>
    <w:rsid w:val="3D9A11D4"/>
    <w:rsid w:val="3DA16D89"/>
    <w:rsid w:val="3DA364BE"/>
    <w:rsid w:val="3DE041CB"/>
    <w:rsid w:val="3DEA6FC7"/>
    <w:rsid w:val="3E0D48F6"/>
    <w:rsid w:val="3E1868B4"/>
    <w:rsid w:val="3E377251"/>
    <w:rsid w:val="3E42664B"/>
    <w:rsid w:val="3E5A7334"/>
    <w:rsid w:val="3E7B5D6B"/>
    <w:rsid w:val="3E843E66"/>
    <w:rsid w:val="3E8F51FE"/>
    <w:rsid w:val="3E926F87"/>
    <w:rsid w:val="3E9A59DE"/>
    <w:rsid w:val="3EAF4836"/>
    <w:rsid w:val="3EC33DFA"/>
    <w:rsid w:val="3EE9243E"/>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823115"/>
    <w:rsid w:val="449101DD"/>
    <w:rsid w:val="44D75F3A"/>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463EEE"/>
    <w:rsid w:val="4951495E"/>
    <w:rsid w:val="495F5B3E"/>
    <w:rsid w:val="496F77D7"/>
    <w:rsid w:val="497654FD"/>
    <w:rsid w:val="49B64211"/>
    <w:rsid w:val="49E56AF9"/>
    <w:rsid w:val="49F6167F"/>
    <w:rsid w:val="4A064FA0"/>
    <w:rsid w:val="4A16615C"/>
    <w:rsid w:val="4A4424D7"/>
    <w:rsid w:val="4AB24087"/>
    <w:rsid w:val="4AB82D0F"/>
    <w:rsid w:val="4AEB7664"/>
    <w:rsid w:val="4AFD7C19"/>
    <w:rsid w:val="4B0567D1"/>
    <w:rsid w:val="4B236AAE"/>
    <w:rsid w:val="4B65492A"/>
    <w:rsid w:val="4B707271"/>
    <w:rsid w:val="4B9739F7"/>
    <w:rsid w:val="4BEE2503"/>
    <w:rsid w:val="4C245A30"/>
    <w:rsid w:val="4CB02D78"/>
    <w:rsid w:val="4CB6685F"/>
    <w:rsid w:val="4CC367FE"/>
    <w:rsid w:val="4D016AF6"/>
    <w:rsid w:val="4D077F3C"/>
    <w:rsid w:val="4D123355"/>
    <w:rsid w:val="4D2A3B31"/>
    <w:rsid w:val="4D312C52"/>
    <w:rsid w:val="4D8F03FF"/>
    <w:rsid w:val="4D905305"/>
    <w:rsid w:val="4D964A72"/>
    <w:rsid w:val="4D9C1254"/>
    <w:rsid w:val="4E793892"/>
    <w:rsid w:val="4E800872"/>
    <w:rsid w:val="4EC569ED"/>
    <w:rsid w:val="4ED50EA1"/>
    <w:rsid w:val="4EEC050C"/>
    <w:rsid w:val="4F104EC3"/>
    <w:rsid w:val="4F47354A"/>
    <w:rsid w:val="4F5812ED"/>
    <w:rsid w:val="4F6D4A83"/>
    <w:rsid w:val="4F832F67"/>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736C36"/>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0595A"/>
    <w:rsid w:val="5657423F"/>
    <w:rsid w:val="566B6D1E"/>
    <w:rsid w:val="56F063E2"/>
    <w:rsid w:val="57032A2C"/>
    <w:rsid w:val="570F5219"/>
    <w:rsid w:val="572873E6"/>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3E3E65"/>
    <w:rsid w:val="595E1678"/>
    <w:rsid w:val="596D5BD4"/>
    <w:rsid w:val="597E3DD8"/>
    <w:rsid w:val="59F80043"/>
    <w:rsid w:val="5A09252F"/>
    <w:rsid w:val="5A0B2778"/>
    <w:rsid w:val="5A2A7C7B"/>
    <w:rsid w:val="5A3E2560"/>
    <w:rsid w:val="5A5D3B6E"/>
    <w:rsid w:val="5A637A76"/>
    <w:rsid w:val="5A6D33BA"/>
    <w:rsid w:val="5A792B1F"/>
    <w:rsid w:val="5A874767"/>
    <w:rsid w:val="5AA71877"/>
    <w:rsid w:val="5AA85BE2"/>
    <w:rsid w:val="5AAD6F28"/>
    <w:rsid w:val="5AD63A24"/>
    <w:rsid w:val="5B2E1A1D"/>
    <w:rsid w:val="5B3E7362"/>
    <w:rsid w:val="5B6913DB"/>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C15D2C"/>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894E77"/>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06FB3"/>
    <w:rsid w:val="643E143A"/>
    <w:rsid w:val="64491666"/>
    <w:rsid w:val="648B6EEF"/>
    <w:rsid w:val="64C158BF"/>
    <w:rsid w:val="64CE2EAA"/>
    <w:rsid w:val="64EC5C24"/>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CC7ED1"/>
    <w:rsid w:val="69FD55B8"/>
    <w:rsid w:val="6A0B1C62"/>
    <w:rsid w:val="6A2406C8"/>
    <w:rsid w:val="6A815C41"/>
    <w:rsid w:val="6ADE0BD1"/>
    <w:rsid w:val="6AE96859"/>
    <w:rsid w:val="6B147746"/>
    <w:rsid w:val="6B24787C"/>
    <w:rsid w:val="6B3022B4"/>
    <w:rsid w:val="6B573233"/>
    <w:rsid w:val="6B5B6274"/>
    <w:rsid w:val="6B935D53"/>
    <w:rsid w:val="6C196F71"/>
    <w:rsid w:val="6C226FCB"/>
    <w:rsid w:val="6C31226F"/>
    <w:rsid w:val="6C552F0B"/>
    <w:rsid w:val="6C8C67B7"/>
    <w:rsid w:val="6C9D744C"/>
    <w:rsid w:val="6CA300F4"/>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2D49D9"/>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846F32"/>
    <w:rsid w:val="73C0646E"/>
    <w:rsid w:val="742222F5"/>
    <w:rsid w:val="74476126"/>
    <w:rsid w:val="746E5888"/>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CC0CB0"/>
    <w:rsid w:val="78E172CC"/>
    <w:rsid w:val="78EA1D1F"/>
    <w:rsid w:val="7904172F"/>
    <w:rsid w:val="790F7E27"/>
    <w:rsid w:val="791008B0"/>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670C01"/>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25702D"/>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4"/>
    <w:autoRedefine/>
    <w:qFormat/>
    <w:uiPriority w:val="0"/>
    <w:pPr>
      <w:shd w:val="clear" w:color="auto" w:fill="000080"/>
    </w:pPr>
  </w:style>
  <w:style w:type="paragraph" w:styleId="19">
    <w:name w:val="annotation text"/>
    <w:basedOn w:val="1"/>
    <w:link w:val="345"/>
    <w:autoRedefine/>
    <w:qFormat/>
    <w:uiPriority w:val="99"/>
    <w:pPr>
      <w:jc w:val="left"/>
    </w:pPr>
  </w:style>
  <w:style w:type="paragraph" w:styleId="20">
    <w:name w:val="Salutation"/>
    <w:basedOn w:val="1"/>
    <w:next w:val="1"/>
    <w:link w:val="299"/>
    <w:autoRedefine/>
    <w:qFormat/>
    <w:uiPriority w:val="0"/>
    <w:rPr>
      <w:rFonts w:ascii="仿宋_GB2312" w:eastAsia="仿宋_GB2312"/>
      <w:sz w:val="28"/>
      <w:szCs w:val="20"/>
    </w:rPr>
  </w:style>
  <w:style w:type="paragraph" w:styleId="21">
    <w:name w:val="Body Text 3"/>
    <w:basedOn w:val="1"/>
    <w:link w:val="331"/>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toc 4"/>
    <w:basedOn w:val="1"/>
    <w:next w:val="1"/>
    <w:autoRedefine/>
    <w:qFormat/>
    <w:uiPriority w:val="0"/>
    <w:pPr>
      <w:ind w:left="1260" w:leftChars="600"/>
    </w:pPr>
  </w:style>
  <w:style w:type="paragraph" w:styleId="25">
    <w:name w:val="Body Text Indent"/>
    <w:basedOn w:val="1"/>
    <w:next w:val="1"/>
    <w:link w:val="266"/>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7"/>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3"/>
    <w:autoRedefine/>
    <w:qFormat/>
    <w:uiPriority w:val="0"/>
    <w:pPr>
      <w:ind w:left="100" w:leftChars="2500"/>
    </w:pPr>
    <w:rPr>
      <w:rFonts w:ascii="宋体"/>
      <w:sz w:val="24"/>
      <w:szCs w:val="21"/>
      <w:lang w:val="zh-CN"/>
    </w:rPr>
  </w:style>
  <w:style w:type="paragraph" w:styleId="37">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2"/>
    <w:autoRedefine/>
    <w:qFormat/>
    <w:uiPriority w:val="0"/>
    <w:rPr>
      <w:lang w:val="zh-CN"/>
    </w:rPr>
  </w:style>
  <w:style w:type="paragraph" w:styleId="39">
    <w:name w:val="Balloon Text"/>
    <w:basedOn w:val="1"/>
    <w:link w:val="190"/>
    <w:autoRedefine/>
    <w:qFormat/>
    <w:uiPriority w:val="0"/>
    <w:rPr>
      <w:sz w:val="18"/>
      <w:szCs w:val="18"/>
    </w:rPr>
  </w:style>
  <w:style w:type="paragraph" w:styleId="40">
    <w:name w:val="footer"/>
    <w:basedOn w:val="1"/>
    <w:link w:val="384"/>
    <w:autoRedefine/>
    <w:qFormat/>
    <w:uiPriority w:val="99"/>
    <w:pPr>
      <w:tabs>
        <w:tab w:val="center" w:pos="4153"/>
        <w:tab w:val="right" w:pos="8306"/>
      </w:tabs>
      <w:snapToGrid w:val="0"/>
      <w:jc w:val="left"/>
    </w:pPr>
    <w:rPr>
      <w:sz w:val="18"/>
      <w:szCs w:val="18"/>
    </w:rPr>
  </w:style>
  <w:style w:type="paragraph" w:styleId="41">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6"/>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3"/>
    <w:autoRedefine/>
    <w:qFormat/>
    <w:uiPriority w:val="0"/>
    <w:pPr>
      <w:spacing w:after="120" w:line="480" w:lineRule="auto"/>
    </w:pPr>
  </w:style>
  <w:style w:type="paragraph" w:styleId="56">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8"/>
    <w:autoRedefine/>
    <w:qFormat/>
    <w:uiPriority w:val="0"/>
    <w:rPr>
      <w:b/>
      <w:bCs/>
    </w:rPr>
  </w:style>
  <w:style w:type="paragraph" w:styleId="60">
    <w:name w:val="Body Text First Indent"/>
    <w:basedOn w:val="23"/>
    <w:link w:val="322"/>
    <w:autoRedefine/>
    <w:qFormat/>
    <w:uiPriority w:val="0"/>
    <w:pPr>
      <w:ind w:firstLine="420"/>
    </w:pPr>
    <w:rPr>
      <w:rFonts w:hAnsi="Calibri" w:cs="Times New Roman"/>
      <w:snapToGrid/>
      <w:szCs w:val="20"/>
    </w:rPr>
  </w:style>
  <w:style w:type="paragraph" w:styleId="61">
    <w:name w:val="Body Text First Indent 2"/>
    <w:basedOn w:val="25"/>
    <w:next w:val="1"/>
    <w:link w:val="123"/>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1"/>
    <w:basedOn w:val="32"/>
    <w:next w:val="1"/>
    <w:autoRedefine/>
    <w:qFormat/>
    <w:uiPriority w:val="0"/>
    <w:pPr>
      <w:ind w:left="0" w:leftChars="0" w:firstLine="480" w:firstLineChars="200"/>
    </w:pPr>
    <w:rPr>
      <w:rFonts w:ascii="仿宋_GB2312" w:hAnsi="Courier New" w:eastAsia="仿宋_GB2312"/>
      <w:kern w:val="28"/>
      <w:sz w:val="24"/>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paragraph" w:customStyle="1" w:styleId="82">
    <w:name w:val="Default"/>
    <w:next w:val="83"/>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autoRedefine/>
    <w:qFormat/>
    <w:uiPriority w:val="0"/>
    <w:pPr>
      <w:wordWrap w:val="0"/>
      <w:ind w:left="2550"/>
      <w:jc w:val="both"/>
    </w:pPr>
    <w:rPr>
      <w:rFonts w:asciiTheme="minorHAnsi" w:hAnsiTheme="minorHAnsi" w:eastAsiaTheme="minorEastAsia" w:cstheme="minorBidi"/>
      <w:sz w:val="21"/>
      <w:szCs w:val="22"/>
      <w:lang w:val="en-US" w:eastAsia="zh-CN" w:bidi="ar-SA"/>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Char1"/>
    <w:link w:val="59"/>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首行缩进 2 Char"/>
    <w:link w:val="61"/>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69"/>
    <w:autoRedefine/>
    <w:qFormat/>
    <w:uiPriority w:val="0"/>
    <w:rPr>
      <w:rFonts w:ascii="Arial" w:hAnsi="Arial" w:eastAsia="黑体" w:cs="Arial"/>
      <w:snapToGrid w:val="0"/>
      <w:kern w:val="0"/>
      <w:szCs w:val="21"/>
    </w:rPr>
  </w:style>
  <w:style w:type="character" w:customStyle="1" w:styleId="127">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Char"/>
    <w:link w:val="46"/>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Char"/>
    <w:link w:val="8"/>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3"/>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Char"/>
    <w:link w:val="36"/>
    <w:autoRedefine/>
    <w:qFormat/>
    <w:uiPriority w:val="0"/>
    <w:rPr>
      <w:rFonts w:ascii="宋体"/>
      <w:kern w:val="2"/>
      <w:sz w:val="24"/>
      <w:szCs w:val="21"/>
      <w:lang w:val="zh-CN"/>
    </w:rPr>
  </w:style>
  <w:style w:type="character" w:customStyle="1" w:styleId="184">
    <w:name w:val="标题 9 Char"/>
    <w:link w:val="11"/>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Char"/>
    <w:link w:val="39"/>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Char1"/>
    <w:link w:val="18"/>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69"/>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Char"/>
    <w:link w:val="30"/>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6"/>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Char"/>
    <w:link w:val="16"/>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82"/>
    <w:autoRedefine/>
    <w:qFormat/>
    <w:uiPriority w:val="0"/>
    <w:rPr>
      <w:rFonts w:ascii="仿宋_GB2312"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5"/>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2"/>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58"/>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7"/>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0"/>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6"/>
    <w:autoRedefine/>
    <w:qFormat/>
    <w:uiPriority w:val="0"/>
    <w:rPr>
      <w:rFonts w:ascii="黑体" w:hAnsi="Courier New" w:eastAsia="黑体"/>
    </w:rPr>
  </w:style>
  <w:style w:type="character" w:customStyle="1" w:styleId="303">
    <w:name w:val="正文文本 2 Char1"/>
    <w:link w:val="55"/>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6"/>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9"/>
    <w:autoRedefine/>
    <w:qFormat/>
    <w:uiPriority w:val="0"/>
    <w:rPr>
      <w:b/>
      <w:bCs/>
      <w:kern w:val="2"/>
      <w:sz w:val="24"/>
      <w:szCs w:val="24"/>
    </w:rPr>
  </w:style>
  <w:style w:type="character" w:customStyle="1" w:styleId="309">
    <w:name w:val="正文文本缩进 2 Char"/>
    <w:link w:val="37"/>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49"/>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60"/>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6"/>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1"/>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autoRedefine/>
    <w:qFormat/>
    <w:uiPriority w:val="99"/>
    <w:rPr>
      <w:kern w:val="2"/>
      <w:sz w:val="21"/>
      <w:szCs w:val="24"/>
    </w:rPr>
  </w:style>
  <w:style w:type="character" w:customStyle="1" w:styleId="346">
    <w:name w:val="签名 Char"/>
    <w:link w:val="42"/>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2"/>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0"/>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1"/>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69"/>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5"/>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69"/>
    <w:autoRedefine/>
    <w:qFormat/>
    <w:uiPriority w:val="0"/>
    <w:rPr>
      <w:rFonts w:ascii="Arial" w:hAnsi="Arial" w:eastAsia="黑体" w:cs="Arial"/>
      <w:snapToGrid w:val="0"/>
      <w:kern w:val="0"/>
      <w:szCs w:val="21"/>
    </w:rPr>
  </w:style>
  <w:style w:type="character" w:customStyle="1" w:styleId="433">
    <w:name w:val="hui"/>
    <w:basedOn w:val="69"/>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4"/>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7"/>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2"/>
    <w:next w:val="82"/>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2"/>
    <w:next w:val="82"/>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2"/>
    <w:autoRedefine/>
    <w:qFormat/>
    <w:uiPriority w:val="0"/>
    <w:pPr>
      <w:tabs>
        <w:tab w:val="left" w:pos="840"/>
      </w:tabs>
      <w:adjustRightInd/>
      <w:ind w:left="840" w:hanging="420"/>
    </w:pPr>
  </w:style>
  <w:style w:type="paragraph" w:customStyle="1" w:styleId="627">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8"/>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9"/>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30"/>
    <w:autoRedefine/>
    <w:qFormat/>
    <w:uiPriority w:val="0"/>
    <w:rPr>
      <w:b w:val="0"/>
      <w:sz w:val="20"/>
    </w:rPr>
  </w:style>
  <w:style w:type="paragraph" w:customStyle="1" w:styleId="894">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autoRedefine/>
    <w:qFormat/>
    <w:uiPriority w:val="0"/>
    <w:pPr>
      <w:tabs>
        <w:tab w:val="left" w:pos="1080"/>
      </w:tabs>
      <w:ind w:left="1080" w:hanging="1080"/>
    </w:pPr>
  </w:style>
  <w:style w:type="paragraph" w:customStyle="1" w:styleId="897">
    <w:name w:val="数字标题1"/>
    <w:basedOn w:val="2"/>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4"/>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38"/>
    <w:autoRedefine/>
    <w:qFormat/>
    <w:uiPriority w:val="0"/>
    <w:rPr>
      <w:kern w:val="2"/>
      <w:sz w:val="21"/>
      <w:szCs w:val="24"/>
      <w:lang w:val="zh-CN"/>
    </w:rPr>
  </w:style>
  <w:style w:type="character" w:customStyle="1" w:styleId="933">
    <w:name w:val="无间隔 Char"/>
    <w:link w:val="484"/>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9"/>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列出段落21"/>
    <w:basedOn w:val="1"/>
    <w:autoRedefine/>
    <w:qFormat/>
    <w:uiPriority w:val="0"/>
    <w:pPr>
      <w:spacing w:line="400" w:lineRule="exact"/>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37586</Words>
  <Characters>41461</Characters>
  <Lines>281</Lines>
  <Paragraphs>79</Paragraphs>
  <TotalTime>37</TotalTime>
  <ScaleCrop>false</ScaleCrop>
  <LinksUpToDate>false</LinksUpToDate>
  <CharactersWithSpaces>44311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CQQ</cp:lastModifiedBy>
  <cp:lastPrinted>2024-08-22T07:26:26Z</cp:lastPrinted>
  <dcterms:modified xsi:type="dcterms:W3CDTF">2024-08-22T07:26:28Z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BB471CB4B212418F9539B8B0A1DED304</vt:lpwstr>
  </property>
</Properties>
</file>