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BD1CB">
      <w:pPr>
        <w:shd w:val="clear" w:color="auto" w:fill="FFFFFF"/>
        <w:tabs>
          <w:tab w:val="left" w:pos="4500"/>
        </w:tabs>
        <w:snapToGrid w:val="0"/>
        <w:spacing w:line="360" w:lineRule="auto"/>
        <w:textAlignment w:val="bottom"/>
        <w:rPr>
          <w:rFonts w:ascii="宋体" w:hAnsi="宋体" w:cs="宋体"/>
          <w:b/>
          <w:bCs/>
          <w:color w:val="auto"/>
          <w:spacing w:val="6"/>
          <w:sz w:val="52"/>
          <w:szCs w:val="52"/>
          <w:highlight w:val="none"/>
        </w:rPr>
      </w:pPr>
      <w:r>
        <w:rPr>
          <w:rFonts w:hint="eastAsia" w:eastAsia="宋体"/>
          <w:b/>
          <w:bCs/>
          <w:color w:val="auto"/>
          <w:sz w:val="48"/>
          <w:szCs w:val="48"/>
          <w:highlight w:val="none"/>
          <w:lang w:eastAsia="zh-CN"/>
        </w:rPr>
        <w:drawing>
          <wp:inline distT="0" distB="0" distL="114300" distR="114300">
            <wp:extent cx="1609725" cy="1418590"/>
            <wp:effectExtent l="0" t="0" r="9525" b="10160"/>
            <wp:docPr id="15" name="图片 15" descr="acad6a001491df2c9cd3bd9f411f8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cad6a001491df2c9cd3bd9f411f8e5"/>
                    <pic:cNvPicPr>
                      <a:picLocks noChangeAspect="1"/>
                    </pic:cNvPicPr>
                  </pic:nvPicPr>
                  <pic:blipFill>
                    <a:blip r:embed="rId15"/>
                    <a:stretch>
                      <a:fillRect/>
                    </a:stretch>
                  </pic:blipFill>
                  <pic:spPr>
                    <a:xfrm>
                      <a:off x="0" y="0"/>
                      <a:ext cx="1609725" cy="1418590"/>
                    </a:xfrm>
                    <a:prstGeom prst="rect">
                      <a:avLst/>
                    </a:prstGeom>
                  </pic:spPr>
                </pic:pic>
              </a:graphicData>
            </a:graphic>
          </wp:inline>
        </w:drawing>
      </w:r>
    </w:p>
    <w:p w14:paraId="039F9748">
      <w:pPr>
        <w:shd w:val="clear" w:color="auto" w:fill="FFFFFF"/>
        <w:tabs>
          <w:tab w:val="left" w:pos="4500"/>
        </w:tabs>
        <w:snapToGrid w:val="0"/>
        <w:spacing w:line="360" w:lineRule="auto"/>
        <w:jc w:val="center"/>
        <w:textAlignment w:val="bottom"/>
        <w:rPr>
          <w:rFonts w:hint="eastAsia" w:ascii="宋体" w:hAnsi="宋体" w:cs="宋体"/>
          <w:b/>
          <w:bCs/>
          <w:color w:val="auto"/>
          <w:sz w:val="60"/>
          <w:szCs w:val="60"/>
          <w:highlight w:val="none"/>
          <w:lang w:eastAsia="zh-CN"/>
        </w:rPr>
      </w:pPr>
      <w:r>
        <w:rPr>
          <w:rFonts w:hint="eastAsia" w:ascii="宋体" w:hAnsi="宋体" w:cs="宋体"/>
          <w:b/>
          <w:bCs/>
          <w:color w:val="auto"/>
          <w:sz w:val="60"/>
          <w:szCs w:val="60"/>
          <w:highlight w:val="none"/>
          <w:lang w:eastAsia="zh-CN"/>
        </w:rPr>
        <w:t>2024年台州市区交通标线</w:t>
      </w:r>
    </w:p>
    <w:p w14:paraId="23A671A5">
      <w:pPr>
        <w:shd w:val="clear" w:color="auto" w:fill="FFFFFF"/>
        <w:tabs>
          <w:tab w:val="left" w:pos="4500"/>
        </w:tabs>
        <w:snapToGrid w:val="0"/>
        <w:spacing w:line="360" w:lineRule="auto"/>
        <w:jc w:val="center"/>
        <w:textAlignment w:val="bottom"/>
        <w:rPr>
          <w:rFonts w:hint="eastAsia" w:ascii="宋体" w:hAnsi="宋体" w:cs="宋体"/>
          <w:b/>
          <w:bCs/>
          <w:color w:val="auto"/>
          <w:sz w:val="64"/>
          <w:szCs w:val="64"/>
          <w:highlight w:val="none"/>
          <w:lang w:eastAsia="zh-CN"/>
        </w:rPr>
      </w:pPr>
      <w:r>
        <w:rPr>
          <w:rFonts w:hint="eastAsia" w:ascii="宋体" w:hAnsi="宋体" w:cs="宋体"/>
          <w:b/>
          <w:bCs/>
          <w:color w:val="auto"/>
          <w:sz w:val="60"/>
          <w:szCs w:val="60"/>
          <w:highlight w:val="none"/>
          <w:lang w:eastAsia="zh-CN"/>
        </w:rPr>
        <w:t>采购项目</w:t>
      </w:r>
    </w:p>
    <w:p w14:paraId="27ADE848">
      <w:pPr>
        <w:shd w:val="clear" w:color="auto" w:fill="FFFFFF"/>
        <w:tabs>
          <w:tab w:val="left" w:pos="4500"/>
        </w:tabs>
        <w:snapToGrid w:val="0"/>
        <w:spacing w:line="360" w:lineRule="auto"/>
        <w:jc w:val="both"/>
        <w:textAlignment w:val="bottom"/>
        <w:rPr>
          <w:rFonts w:ascii="宋体" w:hAnsi="宋体" w:cs="宋体"/>
          <w:b/>
          <w:bCs/>
          <w:color w:val="auto"/>
          <w:sz w:val="72"/>
          <w:szCs w:val="72"/>
          <w:highlight w:val="none"/>
        </w:rPr>
      </w:pPr>
    </w:p>
    <w:p w14:paraId="6370D9A9">
      <w:pPr>
        <w:shd w:val="clear" w:color="auto" w:fill="FFFFFF"/>
        <w:tabs>
          <w:tab w:val="left" w:pos="4500"/>
        </w:tabs>
        <w:snapToGrid w:val="0"/>
        <w:spacing w:line="360" w:lineRule="auto"/>
        <w:jc w:val="center"/>
        <w:textAlignment w:val="bottom"/>
        <w:rPr>
          <w:rFonts w:ascii="宋体" w:hAnsi="宋体" w:cs="宋体"/>
          <w:b/>
          <w:bCs/>
          <w:color w:val="auto"/>
          <w:sz w:val="72"/>
          <w:szCs w:val="72"/>
          <w:highlight w:val="none"/>
        </w:rPr>
      </w:pPr>
      <w:r>
        <w:rPr>
          <w:rFonts w:hint="eastAsia" w:ascii="宋体" w:hAnsi="宋体" w:cs="宋体"/>
          <w:b/>
          <w:bCs/>
          <w:color w:val="auto"/>
          <w:sz w:val="72"/>
          <w:szCs w:val="72"/>
          <w:highlight w:val="none"/>
        </w:rPr>
        <w:t>公开采购文件</w:t>
      </w:r>
    </w:p>
    <w:p w14:paraId="7DADC523">
      <w:pPr>
        <w:widowControl/>
        <w:spacing w:line="360" w:lineRule="auto"/>
        <w:ind w:right="-2"/>
        <w:jc w:val="center"/>
        <w:rPr>
          <w:rFonts w:ascii="宋体" w:hAnsi="宋体"/>
          <w:b/>
          <w:color w:val="auto"/>
          <w:sz w:val="36"/>
          <w:highlight w:val="none"/>
        </w:rPr>
      </w:pPr>
      <w:r>
        <w:rPr>
          <w:rFonts w:hint="eastAsia" w:ascii="宋体" w:hAnsi="宋体"/>
          <w:b/>
          <w:color w:val="auto"/>
          <w:sz w:val="36"/>
          <w:highlight w:val="none"/>
        </w:rPr>
        <w:t>（线上电子招投标）</w:t>
      </w:r>
    </w:p>
    <w:p w14:paraId="2BC7DED1">
      <w:pPr>
        <w:shd w:val="clear" w:color="auto" w:fill="FFFFFF"/>
        <w:snapToGrid w:val="0"/>
        <w:spacing w:line="360" w:lineRule="auto"/>
        <w:textAlignment w:val="bottom"/>
        <w:rPr>
          <w:rFonts w:ascii="宋体" w:hAnsi="宋体" w:cs="宋体"/>
          <w:b/>
          <w:bCs/>
          <w:color w:val="auto"/>
          <w:sz w:val="48"/>
          <w:szCs w:val="48"/>
          <w:highlight w:val="none"/>
        </w:rPr>
      </w:pPr>
      <w:r>
        <w:rPr>
          <w:rFonts w:ascii="宋体" w:hAnsi="宋体" w:cs="宋体"/>
          <w:color w:val="auto"/>
          <w:sz w:val="48"/>
          <w:szCs w:val="48"/>
          <w:highlight w:val="none"/>
        </w:rPr>
        <mc:AlternateContent>
          <mc:Choice Requires="wps">
            <w:drawing>
              <wp:anchor distT="0" distB="0" distL="114300" distR="114300" simplePos="0" relativeHeight="251660288" behindDoc="0" locked="0" layoutInCell="0" allowOverlap="1">
                <wp:simplePos x="0" y="0"/>
                <wp:positionH relativeFrom="column">
                  <wp:posOffset>4191000</wp:posOffset>
                </wp:positionH>
                <wp:positionV relativeFrom="paragraph">
                  <wp:posOffset>72390</wp:posOffset>
                </wp:positionV>
                <wp:extent cx="635" cy="0"/>
                <wp:effectExtent l="0" t="4445" r="0" b="5080"/>
                <wp:wrapSquare wrapText="bothSides"/>
                <wp:docPr id="8" name="直接连接符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30pt;margin-top:5.7pt;height:0pt;width:0.05pt;mso-wrap-distance-bottom:0pt;mso-wrap-distance-left:9pt;mso-wrap-distance-right:9pt;mso-wrap-distance-top:0pt;z-index:251660288;mso-width-relative:page;mso-height-relative:page;" filled="f" stroked="t" coordsize="21600,21600" o:allowincell="f" o:gfxdata="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Le&#10;bdQAAAAJAQAADwAAAAAAAAABACAAAAAiAAAAZHJzL2Rvd25yZXYueG1sUEsBAhQAFAAAAAgAh07i&#10;QO1gfiXtAQAA4gMAAA4AAAAAAAAAAQAgAAAAIwEAAGRycy9lMm9Eb2MueG1sUEsFBgAAAAAGAAYA&#10;WQEAAIIFAAAAAA==&#10;">
                <v:fill on="f" focussize="0,0"/>
                <v:stroke color="#000000" joinstyle="round"/>
                <v:imagedata o:title=""/>
                <o:lock v:ext="edit" aspectratio="f"/>
                <w10:wrap type="square"/>
              </v:line>
            </w:pict>
          </mc:Fallback>
        </mc:AlternateContent>
      </w:r>
    </w:p>
    <w:p w14:paraId="7D58F398">
      <w:pPr>
        <w:spacing w:line="360" w:lineRule="auto"/>
        <w:ind w:left="-210" w:leftChars="-100" w:right="-57" w:firstLine="1200" w:firstLineChars="400"/>
        <w:rPr>
          <w:rFonts w:hint="eastAsia"/>
          <w:color w:val="auto"/>
          <w:sz w:val="30"/>
          <w:szCs w:val="30"/>
          <w:highlight w:val="none"/>
        </w:rPr>
      </w:pPr>
    </w:p>
    <w:p w14:paraId="497E9A27">
      <w:pPr>
        <w:spacing w:line="360" w:lineRule="auto"/>
        <w:ind w:left="-210" w:leftChars="-100" w:right="-57" w:firstLine="1200" w:firstLineChars="400"/>
        <w:rPr>
          <w:rFonts w:hint="eastAsia" w:asciiTheme="minorEastAsia" w:hAnsiTheme="minorEastAsia" w:eastAsiaTheme="minorEastAsia"/>
          <w:color w:val="auto"/>
          <w:sz w:val="30"/>
          <w:szCs w:val="30"/>
          <w:highlight w:val="none"/>
          <w:lang w:eastAsia="zh-CN"/>
        </w:rPr>
      </w:pPr>
      <w:r>
        <w:rPr>
          <w:rFonts w:hint="eastAsia"/>
          <w:color w:val="auto"/>
          <w:sz w:val="30"/>
          <w:szCs w:val="30"/>
          <w:highlight w:val="none"/>
        </w:rPr>
        <w:t>项</w:t>
      </w:r>
      <w:r>
        <w:rPr>
          <w:rFonts w:hint="eastAsia" w:asciiTheme="minorEastAsia" w:hAnsiTheme="minorEastAsia" w:eastAsiaTheme="minorEastAsia"/>
          <w:color w:val="auto"/>
          <w:sz w:val="30"/>
          <w:szCs w:val="30"/>
          <w:highlight w:val="none"/>
        </w:rPr>
        <w:t>目</w:t>
      </w:r>
      <w:r>
        <w:rPr>
          <w:rFonts w:asciiTheme="minorEastAsia" w:hAnsiTheme="minorEastAsia" w:eastAsiaTheme="minorEastAsia"/>
          <w:color w:val="auto"/>
          <w:sz w:val="30"/>
          <w:szCs w:val="30"/>
          <w:highlight w:val="none"/>
        </w:rPr>
        <w:t>编号：</w:t>
      </w:r>
      <w:r>
        <w:rPr>
          <w:rFonts w:hint="eastAsia" w:asciiTheme="minorEastAsia" w:hAnsiTheme="minorEastAsia" w:eastAsiaTheme="minorEastAsia"/>
          <w:color w:val="auto"/>
          <w:sz w:val="30"/>
          <w:szCs w:val="30"/>
          <w:highlight w:val="none"/>
          <w:lang w:eastAsia="zh-CN"/>
        </w:rPr>
        <w:t>ZGTZZB2024-0811</w:t>
      </w:r>
    </w:p>
    <w:p w14:paraId="0B149D9F">
      <w:pPr>
        <w:spacing w:line="360" w:lineRule="auto"/>
        <w:ind w:left="-210" w:leftChars="-100" w:right="-57" w:firstLine="1200" w:firstLineChars="400"/>
        <w:rPr>
          <w:rFonts w:hint="eastAsia" w:eastAsia="宋体"/>
          <w:color w:val="auto"/>
          <w:sz w:val="30"/>
          <w:szCs w:val="30"/>
          <w:highlight w:val="none"/>
          <w:lang w:eastAsia="zh-CN"/>
        </w:rPr>
      </w:pPr>
      <w:r>
        <w:rPr>
          <w:color w:val="auto"/>
          <w:sz w:val="30"/>
          <w:szCs w:val="30"/>
          <w:highlight w:val="none"/>
        </w:rPr>
        <w:t>采购人：</w:t>
      </w:r>
      <w:r>
        <w:rPr>
          <w:rFonts w:hint="eastAsia" w:asciiTheme="minorEastAsia" w:hAnsiTheme="minorEastAsia" w:eastAsiaTheme="minorEastAsia"/>
          <w:color w:val="auto"/>
          <w:sz w:val="30"/>
          <w:szCs w:val="30"/>
          <w:highlight w:val="none"/>
          <w:lang w:eastAsia="zh-CN"/>
        </w:rPr>
        <w:t>台州市公安局交通警察局</w:t>
      </w:r>
    </w:p>
    <w:p w14:paraId="6307DB78">
      <w:pPr>
        <w:spacing w:line="360" w:lineRule="auto"/>
        <w:ind w:left="-210" w:leftChars="-100" w:right="-57" w:firstLine="1200" w:firstLineChars="400"/>
        <w:rPr>
          <w:color w:val="auto"/>
          <w:sz w:val="30"/>
          <w:szCs w:val="30"/>
          <w:highlight w:val="none"/>
        </w:rPr>
      </w:pPr>
      <w:r>
        <w:rPr>
          <w:rFonts w:hint="eastAsia"/>
          <w:color w:val="auto"/>
          <w:sz w:val="30"/>
          <w:szCs w:val="30"/>
          <w:highlight w:val="none"/>
        </w:rPr>
        <w:t>采购代理机构</w:t>
      </w:r>
      <w:r>
        <w:rPr>
          <w:color w:val="auto"/>
          <w:sz w:val="30"/>
          <w:szCs w:val="30"/>
          <w:highlight w:val="none"/>
        </w:rPr>
        <w:t>：中冠工程管理咨询有限公司</w:t>
      </w:r>
    </w:p>
    <w:p w14:paraId="3342590E">
      <w:pPr>
        <w:spacing w:line="360" w:lineRule="auto"/>
        <w:ind w:left="-210" w:leftChars="-100" w:right="-57" w:firstLine="1200" w:firstLineChars="400"/>
        <w:rPr>
          <w:color w:val="auto"/>
          <w:sz w:val="30"/>
          <w:szCs w:val="30"/>
          <w:highlight w:val="none"/>
        </w:rPr>
      </w:pPr>
      <w:r>
        <w:rPr>
          <w:color w:val="auto"/>
          <w:sz w:val="30"/>
          <w:szCs w:val="30"/>
          <w:highlight w:val="none"/>
        </w:rPr>
        <w:t>二〇</w:t>
      </w:r>
      <w:r>
        <w:rPr>
          <w:rFonts w:hint="eastAsia"/>
          <w:color w:val="auto"/>
          <w:sz w:val="30"/>
          <w:szCs w:val="30"/>
          <w:highlight w:val="none"/>
        </w:rPr>
        <w:t>二四</w:t>
      </w:r>
      <w:r>
        <w:rPr>
          <w:color w:val="auto"/>
          <w:sz w:val="30"/>
          <w:szCs w:val="30"/>
          <w:highlight w:val="none"/>
        </w:rPr>
        <w:t>年</w:t>
      </w:r>
      <w:r>
        <w:rPr>
          <w:rFonts w:hint="eastAsia"/>
          <w:color w:val="auto"/>
          <w:sz w:val="30"/>
          <w:szCs w:val="30"/>
          <w:highlight w:val="none"/>
          <w:u w:val="single"/>
          <w:lang w:val="en-US" w:eastAsia="zh-CN"/>
        </w:rPr>
        <w:t xml:space="preserve">  十  </w:t>
      </w:r>
      <w:r>
        <w:rPr>
          <w:color w:val="auto"/>
          <w:sz w:val="30"/>
          <w:szCs w:val="30"/>
          <w:highlight w:val="none"/>
        </w:rPr>
        <w:t>月</w:t>
      </w:r>
    </w:p>
    <w:p w14:paraId="79F9503E">
      <w:pPr>
        <w:shd w:val="clear" w:color="auto" w:fill="FFFFFF"/>
        <w:snapToGrid w:val="0"/>
        <w:spacing w:line="480" w:lineRule="auto"/>
        <w:ind w:firstLine="425"/>
        <w:textAlignment w:val="bottom"/>
        <w:rPr>
          <w:rFonts w:ascii="宋体" w:hAnsi="宋体" w:cs="宋体"/>
          <w:b/>
          <w:bCs/>
          <w:color w:val="auto"/>
          <w:sz w:val="30"/>
          <w:szCs w:val="30"/>
          <w:highlight w:val="none"/>
        </w:rPr>
      </w:pPr>
    </w:p>
    <w:p w14:paraId="58CB8BBC">
      <w:pPr>
        <w:pageBreakBefore/>
        <w:shd w:val="clear" w:color="auto" w:fill="FFFFFF"/>
        <w:snapToGrid w:val="0"/>
        <w:spacing w:line="360" w:lineRule="auto"/>
        <w:jc w:val="center"/>
        <w:rPr>
          <w:rFonts w:ascii="宋体" w:hAnsi="宋体" w:cs="宋体"/>
          <w:b/>
          <w:bCs/>
          <w:color w:val="auto"/>
          <w:sz w:val="24"/>
          <w:highlight w:val="none"/>
        </w:rPr>
        <w:sectPr>
          <w:footerReference r:id="rId4" w:type="first"/>
          <w:footerReference r:id="rId3" w:type="default"/>
          <w:pgSz w:w="12240" w:h="15840"/>
          <w:pgMar w:top="1440" w:right="1800" w:bottom="1440" w:left="1800" w:header="720" w:footer="720" w:gutter="0"/>
          <w:pgBorders>
            <w:top w:val="none" w:sz="0" w:space="0"/>
            <w:left w:val="none" w:sz="0" w:space="0"/>
            <w:bottom w:val="none" w:sz="0" w:space="0"/>
            <w:right w:val="none" w:sz="0" w:space="0"/>
          </w:pgBorders>
          <w:pgNumType w:fmt="decimal"/>
          <w:cols w:space="720" w:num="1"/>
        </w:sectPr>
      </w:pPr>
    </w:p>
    <w:p w14:paraId="6B48DDA1">
      <w:pPr>
        <w:spacing w:line="600" w:lineRule="auto"/>
        <w:jc w:val="center"/>
        <w:rPr>
          <w:rFonts w:ascii="宋体" w:hAnsi="宋体"/>
          <w:b/>
          <w:bCs/>
          <w:color w:val="auto"/>
          <w:sz w:val="44"/>
          <w:szCs w:val="44"/>
          <w:highlight w:val="none"/>
        </w:rPr>
      </w:pPr>
      <w:r>
        <w:rPr>
          <w:rFonts w:ascii="宋体" w:hAnsi="宋体"/>
          <w:b/>
          <w:bCs/>
          <w:color w:val="auto"/>
          <w:sz w:val="44"/>
          <w:szCs w:val="44"/>
          <w:highlight w:val="none"/>
        </w:rPr>
        <w:t>目录</w:t>
      </w:r>
    </w:p>
    <w:p w14:paraId="336FA5CB">
      <w:pPr>
        <w:pStyle w:val="21"/>
        <w:spacing w:line="600" w:lineRule="auto"/>
        <w:rPr>
          <w:b/>
          <w:bCs/>
          <w:color w:val="auto"/>
          <w:highlight w:val="none"/>
        </w:rPr>
      </w:pPr>
    </w:p>
    <w:p w14:paraId="7E359B71">
      <w:pPr>
        <w:pStyle w:val="33"/>
        <w:tabs>
          <w:tab w:val="right" w:leader="dot" w:pos="8306"/>
          <w:tab w:val="clear" w:pos="8789"/>
        </w:tabs>
        <w:spacing w:line="720" w:lineRule="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TOC \o "1-1" \h \u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HYPERLINK \l _Toc6474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t>第一部分  采购公告</w:t>
      </w:r>
      <w:r>
        <w:rPr>
          <w:rFonts w:hint="eastAsia" w:ascii="宋体" w:hAnsi="宋体" w:eastAsia="宋体" w:cs="宋体"/>
          <w:b/>
          <w:bCs w:val="0"/>
          <w:color w:val="auto"/>
          <w:sz w:val="28"/>
          <w:szCs w:val="28"/>
          <w:highlight w:val="none"/>
        </w:rPr>
        <w:tab/>
      </w: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PAGEREF _Toc6474 \h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t>1</w:t>
      </w:r>
      <w:r>
        <w:rPr>
          <w:rFonts w:hint="eastAsia" w:ascii="宋体" w:hAnsi="宋体" w:eastAsia="宋体" w:cs="宋体"/>
          <w:b/>
          <w:bCs w:val="0"/>
          <w:color w:val="auto"/>
          <w:sz w:val="28"/>
          <w:szCs w:val="28"/>
          <w:highlight w:val="none"/>
        </w:rPr>
        <w:fldChar w:fldCharType="end"/>
      </w:r>
      <w:r>
        <w:rPr>
          <w:rFonts w:hint="eastAsia" w:ascii="宋体" w:hAnsi="宋体" w:eastAsia="宋体" w:cs="宋体"/>
          <w:b/>
          <w:bCs w:val="0"/>
          <w:color w:val="auto"/>
          <w:sz w:val="28"/>
          <w:szCs w:val="28"/>
          <w:highlight w:val="none"/>
        </w:rPr>
        <w:fldChar w:fldCharType="end"/>
      </w:r>
    </w:p>
    <w:p w14:paraId="13609D10">
      <w:pPr>
        <w:pStyle w:val="33"/>
        <w:tabs>
          <w:tab w:val="right" w:leader="dot" w:pos="8306"/>
          <w:tab w:val="clear" w:pos="8789"/>
        </w:tabs>
        <w:spacing w:line="720" w:lineRule="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HYPERLINK \l _Toc13292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t>第二部分  投标资料表</w:t>
      </w:r>
      <w:r>
        <w:rPr>
          <w:rFonts w:hint="eastAsia" w:ascii="宋体" w:hAnsi="宋体" w:eastAsia="宋体" w:cs="宋体"/>
          <w:b/>
          <w:bCs w:val="0"/>
          <w:color w:val="auto"/>
          <w:sz w:val="28"/>
          <w:szCs w:val="28"/>
          <w:highlight w:val="none"/>
        </w:rPr>
        <w:tab/>
      </w:r>
      <w:r>
        <w:rPr>
          <w:rFonts w:hint="eastAsia" w:ascii="宋体" w:hAnsi="宋体" w:cs="宋体"/>
          <w:b/>
          <w:bCs w:val="0"/>
          <w:color w:val="auto"/>
          <w:sz w:val="28"/>
          <w:szCs w:val="28"/>
          <w:highlight w:val="none"/>
          <w:lang w:val="en-US" w:eastAsia="zh-CN"/>
        </w:rPr>
        <w:t>6</w:t>
      </w:r>
      <w:r>
        <w:rPr>
          <w:rFonts w:hint="eastAsia" w:ascii="宋体" w:hAnsi="宋体" w:eastAsia="宋体" w:cs="宋体"/>
          <w:b/>
          <w:bCs w:val="0"/>
          <w:color w:val="auto"/>
          <w:sz w:val="28"/>
          <w:szCs w:val="28"/>
          <w:highlight w:val="none"/>
        </w:rPr>
        <w:fldChar w:fldCharType="end"/>
      </w:r>
    </w:p>
    <w:p w14:paraId="60AA07DC">
      <w:pPr>
        <w:pStyle w:val="33"/>
        <w:tabs>
          <w:tab w:val="right" w:leader="dot" w:pos="8306"/>
          <w:tab w:val="clear" w:pos="8789"/>
        </w:tabs>
        <w:spacing w:line="720" w:lineRule="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HYPERLINK \l _Toc17817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t>第三部分  投标须知</w:t>
      </w:r>
      <w:r>
        <w:rPr>
          <w:rFonts w:hint="eastAsia" w:ascii="宋体" w:hAnsi="宋体" w:eastAsia="宋体" w:cs="宋体"/>
          <w:b/>
          <w:bCs w:val="0"/>
          <w:color w:val="auto"/>
          <w:sz w:val="28"/>
          <w:szCs w:val="28"/>
          <w:highlight w:val="none"/>
        </w:rPr>
        <w:tab/>
      </w: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PAGEREF _Toc17817 \h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t>11</w:t>
      </w:r>
      <w:r>
        <w:rPr>
          <w:rFonts w:hint="eastAsia" w:ascii="宋体" w:hAnsi="宋体" w:eastAsia="宋体" w:cs="宋体"/>
          <w:b/>
          <w:bCs w:val="0"/>
          <w:color w:val="auto"/>
          <w:sz w:val="28"/>
          <w:szCs w:val="28"/>
          <w:highlight w:val="none"/>
        </w:rPr>
        <w:fldChar w:fldCharType="end"/>
      </w:r>
      <w:r>
        <w:rPr>
          <w:rFonts w:hint="eastAsia" w:ascii="宋体" w:hAnsi="宋体" w:eastAsia="宋体" w:cs="宋体"/>
          <w:b/>
          <w:bCs w:val="0"/>
          <w:color w:val="auto"/>
          <w:sz w:val="28"/>
          <w:szCs w:val="28"/>
          <w:highlight w:val="none"/>
        </w:rPr>
        <w:fldChar w:fldCharType="end"/>
      </w:r>
    </w:p>
    <w:p w14:paraId="667ABF0C">
      <w:pPr>
        <w:pStyle w:val="33"/>
        <w:tabs>
          <w:tab w:val="right" w:leader="dot" w:pos="8306"/>
          <w:tab w:val="clear" w:pos="8789"/>
        </w:tabs>
        <w:spacing w:line="720" w:lineRule="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HYPERLINK \l _Toc3915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t xml:space="preserve">第四部分 </w:t>
      </w:r>
      <w:r>
        <w:rPr>
          <w:rFonts w:hint="eastAsia" w:ascii="宋体" w:hAnsi="宋体" w:eastAsia="宋体" w:cs="宋体"/>
          <w:b/>
          <w:bCs w:val="0"/>
          <w:color w:val="auto"/>
          <w:sz w:val="28"/>
          <w:szCs w:val="28"/>
          <w:highlight w:val="none"/>
          <w:lang w:val="en-US" w:eastAsia="zh-CN"/>
        </w:rPr>
        <w:t xml:space="preserve"> </w:t>
      </w:r>
      <w:r>
        <w:rPr>
          <w:rFonts w:hint="eastAsia" w:ascii="宋体" w:hAnsi="宋体" w:eastAsia="宋体" w:cs="宋体"/>
          <w:b/>
          <w:bCs w:val="0"/>
          <w:color w:val="auto"/>
          <w:sz w:val="28"/>
          <w:szCs w:val="28"/>
          <w:highlight w:val="none"/>
        </w:rPr>
        <w:t>评标办法及评分标准</w:t>
      </w:r>
      <w:r>
        <w:rPr>
          <w:rFonts w:hint="eastAsia" w:ascii="宋体" w:hAnsi="宋体" w:eastAsia="宋体" w:cs="宋体"/>
          <w:b/>
          <w:bCs w:val="0"/>
          <w:color w:val="auto"/>
          <w:sz w:val="28"/>
          <w:szCs w:val="28"/>
          <w:highlight w:val="none"/>
        </w:rPr>
        <w:tab/>
      </w: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PAGEREF _Toc3915 \h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t>25</w:t>
      </w:r>
      <w:r>
        <w:rPr>
          <w:rFonts w:hint="eastAsia" w:ascii="宋体" w:hAnsi="宋体" w:eastAsia="宋体" w:cs="宋体"/>
          <w:b/>
          <w:bCs w:val="0"/>
          <w:color w:val="auto"/>
          <w:sz w:val="28"/>
          <w:szCs w:val="28"/>
          <w:highlight w:val="none"/>
        </w:rPr>
        <w:fldChar w:fldCharType="end"/>
      </w:r>
      <w:r>
        <w:rPr>
          <w:rFonts w:hint="eastAsia" w:ascii="宋体" w:hAnsi="宋体" w:eastAsia="宋体" w:cs="宋体"/>
          <w:b/>
          <w:bCs w:val="0"/>
          <w:color w:val="auto"/>
          <w:sz w:val="28"/>
          <w:szCs w:val="28"/>
          <w:highlight w:val="none"/>
        </w:rPr>
        <w:fldChar w:fldCharType="end"/>
      </w:r>
    </w:p>
    <w:p w14:paraId="0488388E">
      <w:pPr>
        <w:pStyle w:val="33"/>
        <w:tabs>
          <w:tab w:val="right" w:leader="dot" w:pos="8306"/>
          <w:tab w:val="clear" w:pos="8789"/>
        </w:tabs>
        <w:spacing w:line="720" w:lineRule="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HYPERLINK \l _Toc2999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t>第五部分  采购内容及要求</w:t>
      </w:r>
      <w:r>
        <w:rPr>
          <w:rFonts w:hint="eastAsia" w:ascii="宋体" w:hAnsi="宋体" w:eastAsia="宋体" w:cs="宋体"/>
          <w:b/>
          <w:bCs w:val="0"/>
          <w:color w:val="auto"/>
          <w:sz w:val="28"/>
          <w:szCs w:val="28"/>
          <w:highlight w:val="none"/>
        </w:rPr>
        <w:tab/>
      </w:r>
      <w:r>
        <w:rPr>
          <w:rFonts w:hint="eastAsia" w:ascii="宋体" w:hAnsi="宋体" w:cs="宋体"/>
          <w:b/>
          <w:bCs w:val="0"/>
          <w:color w:val="auto"/>
          <w:sz w:val="28"/>
          <w:szCs w:val="28"/>
          <w:highlight w:val="none"/>
          <w:lang w:val="en-US" w:eastAsia="zh-CN"/>
        </w:rPr>
        <w:t>32</w:t>
      </w:r>
      <w:r>
        <w:rPr>
          <w:rFonts w:hint="eastAsia" w:ascii="宋体" w:hAnsi="宋体" w:eastAsia="宋体" w:cs="宋体"/>
          <w:b/>
          <w:bCs w:val="0"/>
          <w:color w:val="auto"/>
          <w:sz w:val="28"/>
          <w:szCs w:val="28"/>
          <w:highlight w:val="none"/>
        </w:rPr>
        <w:fldChar w:fldCharType="end"/>
      </w:r>
    </w:p>
    <w:p w14:paraId="6A528D47">
      <w:pPr>
        <w:pStyle w:val="33"/>
        <w:tabs>
          <w:tab w:val="right" w:leader="dot" w:pos="8306"/>
          <w:tab w:val="clear" w:pos="8789"/>
        </w:tabs>
        <w:spacing w:line="720" w:lineRule="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HYPERLINK \l _Toc21037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t xml:space="preserve">第六部分 </w:t>
      </w:r>
      <w:r>
        <w:rPr>
          <w:rFonts w:hint="eastAsia" w:ascii="宋体" w:hAnsi="宋体" w:eastAsia="宋体" w:cs="宋体"/>
          <w:b/>
          <w:bCs w:val="0"/>
          <w:color w:val="auto"/>
          <w:sz w:val="28"/>
          <w:szCs w:val="28"/>
          <w:highlight w:val="none"/>
          <w:lang w:val="en-US" w:eastAsia="zh-CN"/>
        </w:rPr>
        <w:t xml:space="preserve"> </w:t>
      </w:r>
      <w:r>
        <w:rPr>
          <w:rFonts w:hint="eastAsia" w:ascii="宋体" w:hAnsi="宋体" w:eastAsia="宋体" w:cs="宋体"/>
          <w:b/>
          <w:bCs w:val="0"/>
          <w:color w:val="auto"/>
          <w:sz w:val="28"/>
          <w:szCs w:val="28"/>
          <w:highlight w:val="none"/>
        </w:rPr>
        <w:t>拟签订的合同文本</w:t>
      </w:r>
      <w:r>
        <w:rPr>
          <w:rFonts w:hint="eastAsia" w:ascii="宋体" w:hAnsi="宋体" w:eastAsia="宋体" w:cs="宋体"/>
          <w:b/>
          <w:bCs w:val="0"/>
          <w:color w:val="auto"/>
          <w:sz w:val="28"/>
          <w:szCs w:val="28"/>
          <w:highlight w:val="none"/>
        </w:rPr>
        <w:tab/>
      </w:r>
      <w:r>
        <w:rPr>
          <w:rFonts w:hint="eastAsia" w:ascii="宋体" w:hAnsi="宋体" w:cs="宋体"/>
          <w:b/>
          <w:bCs w:val="0"/>
          <w:color w:val="auto"/>
          <w:sz w:val="28"/>
          <w:szCs w:val="28"/>
          <w:highlight w:val="none"/>
          <w:lang w:val="en-US" w:eastAsia="zh-CN"/>
        </w:rPr>
        <w:t>4</w:t>
      </w:r>
      <w:r>
        <w:rPr>
          <w:rFonts w:hint="eastAsia" w:ascii="宋体" w:hAnsi="宋体" w:eastAsia="宋体" w:cs="宋体"/>
          <w:b/>
          <w:bCs w:val="0"/>
          <w:color w:val="auto"/>
          <w:sz w:val="28"/>
          <w:szCs w:val="28"/>
          <w:highlight w:val="none"/>
        </w:rPr>
        <w:fldChar w:fldCharType="end"/>
      </w:r>
      <w:r>
        <w:rPr>
          <w:rFonts w:hint="eastAsia" w:ascii="宋体" w:hAnsi="宋体" w:cs="宋体"/>
          <w:b/>
          <w:bCs w:val="0"/>
          <w:color w:val="auto"/>
          <w:sz w:val="28"/>
          <w:szCs w:val="28"/>
          <w:highlight w:val="none"/>
          <w:lang w:val="en-US" w:eastAsia="zh-CN"/>
        </w:rPr>
        <w:t>1</w:t>
      </w:r>
    </w:p>
    <w:p w14:paraId="5009E3F4">
      <w:pPr>
        <w:pStyle w:val="33"/>
        <w:tabs>
          <w:tab w:val="right" w:leader="dot" w:pos="8306"/>
          <w:tab w:val="clear" w:pos="8789"/>
        </w:tabs>
        <w:spacing w:line="720" w:lineRule="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HYPERLINK \l _Toc6437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t>第七部分  格式与表格</w:t>
      </w:r>
      <w:r>
        <w:rPr>
          <w:rFonts w:hint="eastAsia" w:ascii="宋体" w:hAnsi="宋体" w:eastAsia="宋体" w:cs="宋体"/>
          <w:b/>
          <w:bCs w:val="0"/>
          <w:color w:val="auto"/>
          <w:sz w:val="28"/>
          <w:szCs w:val="28"/>
          <w:highlight w:val="none"/>
        </w:rPr>
        <w:tab/>
      </w:r>
      <w:r>
        <w:rPr>
          <w:rFonts w:hint="eastAsia" w:ascii="宋体" w:hAnsi="宋体" w:cs="宋体"/>
          <w:b/>
          <w:bCs w:val="0"/>
          <w:color w:val="auto"/>
          <w:sz w:val="28"/>
          <w:szCs w:val="28"/>
          <w:highlight w:val="none"/>
          <w:lang w:val="en-US" w:eastAsia="zh-CN"/>
        </w:rPr>
        <w:t>6</w:t>
      </w:r>
      <w:r>
        <w:rPr>
          <w:rFonts w:hint="eastAsia" w:ascii="宋体" w:hAnsi="宋体" w:eastAsia="宋体" w:cs="宋体"/>
          <w:b/>
          <w:bCs w:val="0"/>
          <w:color w:val="auto"/>
          <w:sz w:val="28"/>
          <w:szCs w:val="28"/>
          <w:highlight w:val="none"/>
        </w:rPr>
        <w:fldChar w:fldCharType="end"/>
      </w:r>
      <w:r>
        <w:rPr>
          <w:rFonts w:hint="eastAsia" w:ascii="宋体" w:hAnsi="宋体" w:cs="宋体"/>
          <w:b/>
          <w:bCs w:val="0"/>
          <w:color w:val="auto"/>
          <w:sz w:val="28"/>
          <w:szCs w:val="28"/>
          <w:highlight w:val="none"/>
          <w:lang w:val="en-US" w:eastAsia="zh-CN"/>
        </w:rPr>
        <w:t>2</w:t>
      </w:r>
    </w:p>
    <w:p w14:paraId="203B2D9D">
      <w:pPr>
        <w:spacing w:line="720" w:lineRule="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fldChar w:fldCharType="end"/>
      </w:r>
    </w:p>
    <w:p w14:paraId="0F0DEEA0">
      <w:pPr>
        <w:pStyle w:val="21"/>
        <w:rPr>
          <w:color w:val="auto"/>
          <w:highlight w:val="none"/>
        </w:rPr>
      </w:pPr>
    </w:p>
    <w:p w14:paraId="68C18BED">
      <w:pPr>
        <w:rPr>
          <w:color w:val="auto"/>
          <w:highlight w:val="none"/>
        </w:rPr>
      </w:pPr>
    </w:p>
    <w:p w14:paraId="0EE59ADB">
      <w:pPr>
        <w:pStyle w:val="21"/>
        <w:rPr>
          <w:color w:val="auto"/>
          <w:highlight w:val="none"/>
        </w:rPr>
      </w:pPr>
    </w:p>
    <w:p w14:paraId="4318FEE8">
      <w:pPr>
        <w:rPr>
          <w:color w:val="auto"/>
          <w:highlight w:val="none"/>
        </w:rPr>
      </w:pPr>
    </w:p>
    <w:p w14:paraId="1F3E6CEB">
      <w:pPr>
        <w:pStyle w:val="21"/>
        <w:rPr>
          <w:color w:val="auto"/>
          <w:highlight w:val="none"/>
        </w:rPr>
      </w:pPr>
    </w:p>
    <w:p w14:paraId="2B88AE1A">
      <w:pPr>
        <w:rPr>
          <w:color w:val="auto"/>
          <w:highlight w:val="none"/>
        </w:rPr>
      </w:pPr>
    </w:p>
    <w:p w14:paraId="6821AE90">
      <w:pPr>
        <w:pStyle w:val="21"/>
        <w:rPr>
          <w:color w:val="auto"/>
          <w:highlight w:val="none"/>
        </w:rPr>
      </w:pPr>
    </w:p>
    <w:p w14:paraId="0CE5B306">
      <w:pPr>
        <w:rPr>
          <w:color w:val="auto"/>
          <w:highlight w:val="none"/>
        </w:rPr>
      </w:pPr>
    </w:p>
    <w:p w14:paraId="287B4C42">
      <w:pPr>
        <w:pStyle w:val="21"/>
        <w:rPr>
          <w:color w:val="auto"/>
          <w:highlight w:val="none"/>
        </w:rPr>
      </w:pPr>
    </w:p>
    <w:p w14:paraId="0E81E8A5">
      <w:pPr>
        <w:rPr>
          <w:color w:val="auto"/>
          <w:highlight w:val="none"/>
        </w:rPr>
        <w:sectPr>
          <w:footerReference r:id="rId5" w:type="default"/>
          <w:pgSz w:w="11906" w:h="16838"/>
          <w:pgMar w:top="1440" w:right="1361"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23D13A9">
      <w:pPr>
        <w:pageBreakBefore/>
        <w:shd w:val="clear" w:color="auto" w:fill="FFFFFF"/>
        <w:snapToGrid w:val="0"/>
        <w:spacing w:line="500" w:lineRule="exact"/>
        <w:ind w:left="105"/>
        <w:jc w:val="center"/>
        <w:outlineLvl w:val="0"/>
        <w:rPr>
          <w:rFonts w:ascii="宋体" w:hAnsi="宋体" w:cs="宋体"/>
          <w:b/>
          <w:bCs/>
          <w:color w:val="auto"/>
          <w:sz w:val="32"/>
          <w:szCs w:val="32"/>
          <w:highlight w:val="none"/>
        </w:rPr>
      </w:pPr>
      <w:bookmarkStart w:id="0" w:name="_Toc8375"/>
      <w:bookmarkStart w:id="1" w:name="_Toc18128"/>
      <w:bookmarkStart w:id="2" w:name="_Toc12459"/>
      <w:bookmarkStart w:id="3" w:name="_Toc25290"/>
      <w:bookmarkStart w:id="4" w:name="_Toc11758"/>
      <w:bookmarkStart w:id="5" w:name="_Toc1038"/>
      <w:bookmarkStart w:id="6" w:name="_Toc6474"/>
      <w:r>
        <w:rPr>
          <w:rFonts w:hint="eastAsia" w:ascii="宋体" w:hAnsi="宋体" w:cs="宋体"/>
          <w:b/>
          <w:bCs/>
          <w:color w:val="auto"/>
          <w:sz w:val="32"/>
          <w:szCs w:val="32"/>
          <w:highlight w:val="none"/>
        </w:rPr>
        <w:t>第一部分  采购公告</w:t>
      </w:r>
      <w:bookmarkEnd w:id="0"/>
      <w:bookmarkEnd w:id="1"/>
      <w:bookmarkEnd w:id="2"/>
      <w:bookmarkEnd w:id="3"/>
      <w:bookmarkEnd w:id="4"/>
      <w:bookmarkEnd w:id="5"/>
      <w:bookmarkEnd w:id="6"/>
    </w:p>
    <w:p w14:paraId="7F92B67A">
      <w:pPr>
        <w:pBdr>
          <w:top w:val="single" w:color="auto" w:sz="4" w:space="1"/>
          <w:left w:val="single" w:color="auto" w:sz="4" w:space="4"/>
          <w:bottom w:val="single" w:color="auto" w:sz="4" w:space="1"/>
          <w:right w:val="single" w:color="auto" w:sz="4" w:space="4"/>
        </w:pBdr>
        <w:spacing w:line="380" w:lineRule="exact"/>
        <w:rPr>
          <w:rFonts w:asciiTheme="minorEastAsia" w:hAnsiTheme="minorEastAsia" w:eastAsiaTheme="minorEastAsia"/>
          <w:color w:val="auto"/>
          <w:sz w:val="24"/>
          <w:highlight w:val="none"/>
        </w:rPr>
      </w:pPr>
      <w:bookmarkStart w:id="7" w:name="_Hlk51884093"/>
      <w:bookmarkStart w:id="8" w:name="_Toc262312595"/>
      <w:bookmarkStart w:id="9" w:name="_Toc263083249"/>
      <w:r>
        <w:rPr>
          <w:rFonts w:hint="eastAsia" w:asciiTheme="minorEastAsia" w:hAnsiTheme="minorEastAsia" w:eastAsiaTheme="minorEastAsia"/>
          <w:color w:val="auto"/>
          <w:szCs w:val="21"/>
          <w:highlight w:val="none"/>
        </w:rPr>
        <w:t>项</w:t>
      </w:r>
      <w:r>
        <w:rPr>
          <w:rFonts w:hint="eastAsia" w:asciiTheme="minorEastAsia" w:hAnsiTheme="minorEastAsia" w:eastAsiaTheme="minorEastAsia"/>
          <w:color w:val="auto"/>
          <w:sz w:val="24"/>
          <w:highlight w:val="none"/>
        </w:rPr>
        <w:t>目概况</w:t>
      </w:r>
    </w:p>
    <w:p w14:paraId="05EE13A4">
      <w:pPr>
        <w:pBdr>
          <w:top w:val="single" w:color="auto" w:sz="4" w:space="1"/>
          <w:left w:val="single" w:color="auto" w:sz="4" w:space="4"/>
          <w:bottom w:val="single" w:color="auto" w:sz="4" w:space="1"/>
          <w:right w:val="single" w:color="auto" w:sz="4" w:space="4"/>
        </w:pBdr>
        <w:spacing w:line="38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2024年台州市区交通标线采购项目</w:t>
      </w:r>
      <w:r>
        <w:rPr>
          <w:rFonts w:hint="eastAsia" w:asciiTheme="minorEastAsia" w:hAnsiTheme="minorEastAsia" w:eastAsiaTheme="minorEastAsia"/>
          <w:color w:val="auto"/>
          <w:sz w:val="24"/>
          <w:highlight w:val="none"/>
        </w:rPr>
        <w:t>的潜在投标人应在</w:t>
      </w:r>
      <w:r>
        <w:rPr>
          <w:rFonts w:hint="eastAsia" w:asciiTheme="minorEastAsia" w:hAnsiTheme="minorEastAsia" w:eastAsiaTheme="minorEastAsia"/>
          <w:color w:val="auto"/>
          <w:sz w:val="24"/>
          <w:highlight w:val="none"/>
          <w:u w:val="single"/>
        </w:rPr>
        <w:t>政采云平台</w:t>
      </w:r>
      <w:r>
        <w:rPr>
          <w:rFonts w:hint="eastAsia" w:asciiTheme="minorEastAsia" w:hAnsiTheme="minorEastAsia" w:eastAsiaTheme="minorEastAsia"/>
          <w:color w:val="auto"/>
          <w:sz w:val="24"/>
          <w:highlight w:val="none"/>
        </w:rPr>
        <w:t>获取采购文件，并于</w:t>
      </w:r>
      <w:r>
        <w:rPr>
          <w:rFonts w:asciiTheme="minorEastAsia" w:hAnsiTheme="minorEastAsia" w:eastAsiaTheme="minorEastAsia"/>
          <w:color w:val="auto"/>
          <w:sz w:val="24"/>
          <w:highlight w:val="none"/>
        </w:rPr>
        <w:t>202</w:t>
      </w:r>
      <w:r>
        <w:rPr>
          <w:rFonts w:hint="eastAsia" w:asciiTheme="minorEastAsia" w:hAnsiTheme="minorEastAsia" w:eastAsiaTheme="minorEastAsia"/>
          <w:color w:val="auto"/>
          <w:sz w:val="24"/>
          <w:highlight w:val="none"/>
        </w:rPr>
        <w:t>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color w:val="auto"/>
          <w:sz w:val="24"/>
          <w:highlight w:val="none"/>
          <w:u w:val="single"/>
          <w:lang w:val="en-US" w:eastAsia="zh-CN"/>
        </w:rPr>
        <w:t>11</w:t>
      </w:r>
      <w:r>
        <w:rPr>
          <w:rFonts w:hint="eastAsia" w:asciiTheme="minorEastAsia" w:hAnsiTheme="minorEastAsia" w:eastAsiaTheme="minorEastAsia"/>
          <w:color w:val="auto"/>
          <w:sz w:val="24"/>
          <w:highlight w:val="none"/>
          <w:u w:val="single"/>
          <w:lang w:eastAsia="zh-CN"/>
        </w:rPr>
        <w:t>月</w:t>
      </w:r>
      <w:r>
        <w:rPr>
          <w:rFonts w:hint="eastAsia" w:asciiTheme="minorEastAsia" w:hAnsiTheme="minorEastAsia" w:eastAsiaTheme="minorEastAsia"/>
          <w:color w:val="auto"/>
          <w:sz w:val="24"/>
          <w:highlight w:val="none"/>
          <w:u w:val="single"/>
          <w:lang w:val="en-US" w:eastAsia="zh-CN"/>
        </w:rPr>
        <w:t>08</w:t>
      </w:r>
      <w:r>
        <w:rPr>
          <w:rFonts w:hint="eastAsia" w:asciiTheme="minorEastAsia" w:hAnsiTheme="minorEastAsia" w:eastAsiaTheme="minorEastAsia"/>
          <w:color w:val="auto"/>
          <w:sz w:val="24"/>
          <w:highlight w:val="none"/>
          <w:u w:val="single"/>
          <w:lang w:eastAsia="zh-CN"/>
        </w:rPr>
        <w:t>日</w:t>
      </w:r>
      <w:r>
        <w:rPr>
          <w:rFonts w:hint="eastAsia" w:asciiTheme="minorEastAsia" w:hAnsiTheme="minorEastAsia" w:eastAsiaTheme="minorEastAsia"/>
          <w:bCs/>
          <w:color w:val="auto"/>
          <w:sz w:val="24"/>
          <w:highlight w:val="none"/>
          <w:u w:val="single"/>
        </w:rPr>
        <w:t>09点00分（</w:t>
      </w:r>
      <w:r>
        <w:rPr>
          <w:rFonts w:hint="eastAsia" w:asciiTheme="minorEastAsia" w:hAnsiTheme="minorEastAsia" w:eastAsiaTheme="minorEastAsia"/>
          <w:bCs/>
          <w:color w:val="auto"/>
          <w:sz w:val="24"/>
          <w:highlight w:val="none"/>
        </w:rPr>
        <w:t>北京时间）前递交投标文件</w:t>
      </w:r>
      <w:r>
        <w:rPr>
          <w:rFonts w:hint="eastAsia" w:asciiTheme="minorEastAsia" w:hAnsiTheme="minorEastAsia" w:eastAsiaTheme="minorEastAsia"/>
          <w:color w:val="auto"/>
          <w:sz w:val="24"/>
          <w:highlight w:val="none"/>
        </w:rPr>
        <w:t>。</w:t>
      </w:r>
    </w:p>
    <w:p w14:paraId="33A46A69">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一、项目基本情况</w:t>
      </w:r>
    </w:p>
    <w:p w14:paraId="6FA8CF45">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lang w:eastAsia="zh-CN"/>
        </w:rPr>
      </w:pPr>
      <w:r>
        <w:rPr>
          <w:rFonts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ZGTZZB2024-0811</w:t>
      </w:r>
    </w:p>
    <w:p w14:paraId="68AAD6E4">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lang w:eastAsia="zh-CN"/>
        </w:rPr>
      </w:pPr>
      <w:r>
        <w:rPr>
          <w:rFonts w:cs="宋体" w:asciiTheme="minorEastAsia" w:hAnsiTheme="minorEastAsia" w:eastAsiaTheme="minorEastAsia"/>
          <w:color w:val="auto"/>
          <w:sz w:val="24"/>
          <w:highlight w:val="none"/>
        </w:rPr>
        <w:t>项目名称：</w:t>
      </w:r>
      <w:r>
        <w:rPr>
          <w:rFonts w:hint="eastAsia" w:cs="宋体" w:asciiTheme="minorEastAsia" w:hAnsiTheme="minorEastAsia" w:eastAsiaTheme="minorEastAsia"/>
          <w:color w:val="auto"/>
          <w:sz w:val="24"/>
          <w:highlight w:val="none"/>
          <w:lang w:eastAsia="zh-CN"/>
        </w:rPr>
        <w:t>2024年台州市区交通标线采购项目</w:t>
      </w:r>
    </w:p>
    <w:p w14:paraId="3A6C6EEE">
      <w:pPr>
        <w:widowControl/>
        <w:spacing w:line="380" w:lineRule="exact"/>
        <w:ind w:firstLine="480" w:firstLineChars="200"/>
        <w:contextualSpacing/>
        <w:jc w:val="left"/>
        <w:rPr>
          <w:rFonts w:hint="default" w:cs="宋体" w:asciiTheme="minorEastAsia" w:hAnsiTheme="minorEastAsia" w:eastAsiaTheme="minorEastAsia"/>
          <w:color w:val="auto"/>
          <w:sz w:val="24"/>
          <w:highlight w:val="none"/>
          <w:lang w:val="en-US"/>
        </w:rPr>
      </w:pPr>
      <w:r>
        <w:rPr>
          <w:rFonts w:cs="宋体" w:asciiTheme="minorEastAsia" w:hAnsiTheme="minorEastAsia" w:eastAsiaTheme="minorEastAsia"/>
          <w:color w:val="auto"/>
          <w:sz w:val="24"/>
          <w:highlight w:val="none"/>
        </w:rPr>
        <w:t>预算金额</w:t>
      </w:r>
      <w:r>
        <w:rPr>
          <w:rFonts w:hint="eastAsia" w:cs="宋体" w:asciiTheme="minorEastAsia" w:hAnsiTheme="minorEastAsia" w:eastAsiaTheme="minorEastAsia"/>
          <w:color w:val="auto"/>
          <w:sz w:val="24"/>
          <w:highlight w:val="none"/>
        </w:rPr>
        <w:t>（元）</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4000000</w:t>
      </w:r>
    </w:p>
    <w:p w14:paraId="77C05EE2">
      <w:pPr>
        <w:widowControl/>
        <w:spacing w:line="380" w:lineRule="exact"/>
        <w:ind w:firstLine="480" w:firstLineChars="200"/>
        <w:contextualSpacing/>
        <w:jc w:val="left"/>
        <w:rPr>
          <w:rFonts w:hint="default" w:cs="宋体" w:asciiTheme="minorEastAsia" w:hAnsiTheme="minorEastAsia" w:eastAsiaTheme="minorEastAsia"/>
          <w:color w:val="auto"/>
          <w:sz w:val="24"/>
          <w:highlight w:val="none"/>
          <w:lang w:val="en-US"/>
        </w:rPr>
      </w:pPr>
      <w:r>
        <w:rPr>
          <w:rFonts w:cs="宋体" w:asciiTheme="minorEastAsia" w:hAnsiTheme="minorEastAsia" w:eastAsiaTheme="minorEastAsia"/>
          <w:color w:val="auto"/>
          <w:sz w:val="24"/>
          <w:highlight w:val="none"/>
        </w:rPr>
        <w:t>最高限价</w:t>
      </w:r>
      <w:r>
        <w:rPr>
          <w:rFonts w:hint="eastAsia" w:cs="宋体" w:asciiTheme="minorEastAsia" w:hAnsiTheme="minorEastAsia" w:eastAsiaTheme="minorEastAsia"/>
          <w:color w:val="auto"/>
          <w:sz w:val="24"/>
          <w:highlight w:val="none"/>
        </w:rPr>
        <w:t>（元）</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4000000</w:t>
      </w:r>
    </w:p>
    <w:p w14:paraId="14D5722B">
      <w:pPr>
        <w:widowControl/>
        <w:spacing w:line="380" w:lineRule="exact"/>
        <w:ind w:firstLine="480" w:firstLineChars="200"/>
        <w:contextualSpacing/>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采购需求：</w:t>
      </w:r>
      <w:r>
        <w:rPr>
          <w:rFonts w:hint="eastAsia" w:cs="宋体" w:asciiTheme="minorEastAsia" w:hAnsiTheme="minorEastAsia" w:eastAsiaTheme="minorEastAsia"/>
          <w:color w:val="auto"/>
          <w:sz w:val="24"/>
          <w:highlight w:val="none"/>
        </w:rPr>
        <w:t>详见采购文件第五部分“采购内容及要求”</w:t>
      </w:r>
    </w:p>
    <w:p w14:paraId="641DE99D">
      <w:pPr>
        <w:pStyle w:val="43"/>
        <w:spacing w:before="0" w:beforeAutospacing="0" w:after="0" w:afterAutospacing="0" w:line="380" w:lineRule="exact"/>
        <w:ind w:firstLine="482" w:firstLineChars="200"/>
        <w:contextualSpacing/>
        <w:rPr>
          <w:rFonts w:hint="eastAsia" w:asciiTheme="minorEastAsia" w:hAnsiTheme="minorEastAsia" w:eastAsiaTheme="minorEastAsia"/>
          <w:b/>
          <w:bCs/>
          <w:color w:val="auto"/>
          <w:kern w:val="2"/>
          <w:highlight w:val="none"/>
        </w:rPr>
      </w:pPr>
    </w:p>
    <w:p w14:paraId="224E6891">
      <w:pPr>
        <w:pStyle w:val="43"/>
        <w:spacing w:before="0" w:beforeAutospacing="0" w:after="0" w:afterAutospacing="0" w:line="380" w:lineRule="exact"/>
        <w:ind w:firstLine="482" w:firstLineChars="200"/>
        <w:contextualSpacing/>
        <w:rPr>
          <w:rFonts w:asciiTheme="minorEastAsia" w:hAnsiTheme="minorEastAsia" w:eastAsiaTheme="minorEastAsia"/>
          <w:b/>
          <w:bCs/>
          <w:color w:val="auto"/>
          <w:kern w:val="2"/>
          <w:highlight w:val="none"/>
        </w:rPr>
      </w:pPr>
      <w:r>
        <w:rPr>
          <w:rFonts w:hint="eastAsia" w:asciiTheme="minorEastAsia" w:hAnsiTheme="minorEastAsia" w:eastAsiaTheme="minorEastAsia"/>
          <w:b/>
          <w:bCs/>
          <w:color w:val="auto"/>
          <w:kern w:val="2"/>
          <w:highlight w:val="none"/>
        </w:rPr>
        <w:t>标项一：</w:t>
      </w:r>
    </w:p>
    <w:p w14:paraId="4C80D2F5">
      <w:pPr>
        <w:pStyle w:val="43"/>
        <w:spacing w:before="0" w:beforeAutospacing="0" w:after="0" w:afterAutospacing="0" w:line="380" w:lineRule="exact"/>
        <w:ind w:firstLine="480" w:firstLineChars="200"/>
        <w:contextualSpacing/>
        <w:rPr>
          <w:rFonts w:hint="eastAsia" w:asciiTheme="minorEastAsia" w:hAnsiTheme="minorEastAsia" w:eastAsiaTheme="minorEastAsia"/>
          <w:color w:val="auto"/>
          <w:kern w:val="2"/>
          <w:highlight w:val="none"/>
          <w:lang w:eastAsia="zh-CN"/>
        </w:rPr>
      </w:pPr>
      <w:r>
        <w:rPr>
          <w:rFonts w:hint="eastAsia" w:asciiTheme="minorEastAsia" w:hAnsiTheme="minorEastAsia" w:eastAsiaTheme="minorEastAsia"/>
          <w:color w:val="auto"/>
          <w:kern w:val="2"/>
          <w:highlight w:val="none"/>
        </w:rPr>
        <w:t>标项名称：2024年台州市区交通标线采购项目</w:t>
      </w:r>
    </w:p>
    <w:p w14:paraId="0E013935">
      <w:pPr>
        <w:pStyle w:val="43"/>
        <w:spacing w:before="0" w:beforeAutospacing="0" w:after="0" w:afterAutospacing="0" w:line="380" w:lineRule="exact"/>
        <w:ind w:firstLine="480" w:firstLineChars="200"/>
        <w:contextualSpacing/>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数量：1</w:t>
      </w:r>
      <w:r>
        <w:rPr>
          <w:rFonts w:hint="eastAsia" w:asciiTheme="minorEastAsia" w:hAnsiTheme="minorEastAsia" w:eastAsiaTheme="minorEastAsia"/>
          <w:color w:val="auto"/>
          <w:kern w:val="2"/>
          <w:highlight w:val="none"/>
          <w:lang w:val="en-US" w:eastAsia="zh-CN"/>
        </w:rPr>
        <w:t>批</w:t>
      </w:r>
    </w:p>
    <w:p w14:paraId="2EA6DBC9">
      <w:pPr>
        <w:widowControl/>
        <w:spacing w:line="380" w:lineRule="exact"/>
        <w:ind w:firstLine="420" w:firstLineChars="200"/>
        <w:contextualSpacing/>
        <w:jc w:val="left"/>
        <w:rPr>
          <w:rFonts w:hint="default" w:cs="宋体" w:asciiTheme="minorEastAsia" w:hAnsiTheme="minorEastAsia" w:eastAsiaTheme="minorEastAsia"/>
          <w:color w:val="auto"/>
          <w:sz w:val="24"/>
          <w:highlight w:val="none"/>
          <w:lang w:val="en-US"/>
        </w:rPr>
      </w:pPr>
      <w:r>
        <w:rPr>
          <w:rFonts w:hint="eastAsia" w:asciiTheme="minorEastAsia" w:hAnsiTheme="minorEastAsia" w:eastAsiaTheme="minorEastAsia"/>
          <w:color w:val="auto"/>
          <w:kern w:val="2"/>
          <w:highlight w:val="none"/>
        </w:rPr>
        <w:t>预算金额（元）：</w:t>
      </w:r>
      <w:r>
        <w:rPr>
          <w:rFonts w:hint="eastAsia" w:cs="宋体" w:asciiTheme="minorEastAsia" w:hAnsiTheme="minorEastAsia" w:eastAsiaTheme="minorEastAsia"/>
          <w:color w:val="auto"/>
          <w:sz w:val="24"/>
          <w:highlight w:val="none"/>
          <w:lang w:val="en-US" w:eastAsia="zh-CN"/>
        </w:rPr>
        <w:t>4000000</w:t>
      </w:r>
    </w:p>
    <w:p w14:paraId="6FE74426">
      <w:pPr>
        <w:widowControl/>
        <w:spacing w:line="380" w:lineRule="exact"/>
        <w:ind w:firstLine="480" w:firstLineChars="200"/>
        <w:contextualSpacing/>
        <w:jc w:val="left"/>
        <w:rPr>
          <w:rFonts w:hint="default" w:cs="宋体" w:asciiTheme="minorEastAsia" w:hAnsiTheme="minorEastAsia" w:eastAsiaTheme="minorEastAsia"/>
          <w:color w:val="auto"/>
          <w:sz w:val="24"/>
          <w:highlight w:val="none"/>
          <w:lang w:val="en-US"/>
        </w:rPr>
      </w:pPr>
      <w:r>
        <w:rPr>
          <w:rFonts w:cs="宋体" w:asciiTheme="minorEastAsia" w:hAnsiTheme="minorEastAsia" w:eastAsiaTheme="minorEastAsia"/>
          <w:color w:val="auto"/>
          <w:sz w:val="24"/>
          <w:highlight w:val="none"/>
        </w:rPr>
        <w:t>最高限价</w:t>
      </w:r>
      <w:r>
        <w:rPr>
          <w:rFonts w:hint="eastAsia" w:cs="宋体" w:asciiTheme="minorEastAsia" w:hAnsiTheme="minorEastAsia" w:eastAsiaTheme="minorEastAsia"/>
          <w:color w:val="auto"/>
          <w:sz w:val="24"/>
          <w:highlight w:val="none"/>
        </w:rPr>
        <w:t>（元</w:t>
      </w:r>
      <w:r>
        <w:rPr>
          <w:rFonts w:hint="eastAsia" w:asciiTheme="minorEastAsia" w:hAnsiTheme="minorEastAsia" w:eastAsiaTheme="minorEastAsia"/>
          <w:color w:val="auto"/>
          <w:kern w:val="2"/>
          <w:highlight w:val="none"/>
        </w:rPr>
        <w:t>）：</w:t>
      </w:r>
      <w:r>
        <w:rPr>
          <w:rFonts w:hint="eastAsia" w:cs="宋体" w:asciiTheme="minorEastAsia" w:hAnsiTheme="minorEastAsia" w:eastAsiaTheme="minorEastAsia"/>
          <w:color w:val="auto"/>
          <w:sz w:val="24"/>
          <w:highlight w:val="none"/>
          <w:lang w:val="en-US" w:eastAsia="zh-CN"/>
        </w:rPr>
        <w:t>4000000</w:t>
      </w:r>
    </w:p>
    <w:p w14:paraId="4D324B3B">
      <w:pPr>
        <w:pStyle w:val="43"/>
        <w:spacing w:before="0" w:beforeAutospacing="0" w:after="0" w:afterAutospacing="0" w:line="380" w:lineRule="exact"/>
        <w:ind w:firstLine="480" w:firstLineChars="200"/>
        <w:contextualSpacing/>
        <w:rPr>
          <w:rFonts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简要规格描述或项目基本概况介绍、用途：具体内容详见采购文件第五部分“采购内容及要求”。</w:t>
      </w:r>
    </w:p>
    <w:p w14:paraId="0836F290">
      <w:pPr>
        <w:pStyle w:val="43"/>
        <w:spacing w:before="0" w:beforeAutospacing="0" w:after="0" w:afterAutospacing="0" w:line="380" w:lineRule="exact"/>
        <w:ind w:firstLine="482" w:firstLineChars="200"/>
        <w:contextualSpacing/>
        <w:rPr>
          <w:rFonts w:hint="eastAsia" w:cs="Times New Roman" w:asciiTheme="minorEastAsia" w:hAnsiTheme="minorEastAsia" w:eastAsiaTheme="minorEastAsia"/>
          <w:color w:val="auto"/>
          <w:sz w:val="24"/>
          <w:highlight w:val="none"/>
          <w:lang w:val="en-US" w:eastAsia="zh-CN"/>
        </w:rPr>
      </w:pPr>
      <w:r>
        <w:rPr>
          <w:rFonts w:hint="eastAsia" w:ascii="宋体" w:hAnsi="宋体" w:cs="宋体" w:eastAsiaTheme="minorEastAsia"/>
          <w:b/>
          <w:color w:val="auto"/>
          <w:sz w:val="24"/>
          <w:highlight w:val="none"/>
          <w:lang w:eastAsia="zh-CN"/>
        </w:rPr>
        <w:t>项目地点</w:t>
      </w:r>
      <w:r>
        <w:rPr>
          <w:rFonts w:asciiTheme="minorEastAsia" w:hAnsiTheme="minorEastAsia" w:eastAsiaTheme="minorEastAsia"/>
          <w:color w:val="auto"/>
          <w:kern w:val="2"/>
          <w:highlight w:val="none"/>
        </w:rPr>
        <w:t>：</w:t>
      </w:r>
      <w:r>
        <w:rPr>
          <w:rFonts w:hint="eastAsia" w:cs="Times New Roman" w:asciiTheme="minorEastAsia" w:hAnsiTheme="minorEastAsia" w:eastAsiaTheme="minorEastAsia"/>
          <w:color w:val="auto"/>
          <w:sz w:val="24"/>
          <w:highlight w:val="none"/>
        </w:rPr>
        <w:t>椒江区域、黄岩区域、路桥区域、台州湾产业集聚区管委会区域、台州经济开发区管委会区域内的道路</w:t>
      </w:r>
      <w:r>
        <w:rPr>
          <w:rFonts w:hint="eastAsia" w:cs="Times New Roman" w:asciiTheme="minorEastAsia" w:hAnsiTheme="minorEastAsia" w:eastAsiaTheme="minorEastAsia"/>
          <w:color w:val="auto"/>
          <w:sz w:val="24"/>
          <w:highlight w:val="none"/>
          <w:lang w:val="en-US" w:eastAsia="zh-CN"/>
        </w:rPr>
        <w:t>。</w:t>
      </w:r>
    </w:p>
    <w:p w14:paraId="0F8F9CD5">
      <w:pPr>
        <w:pStyle w:val="40"/>
        <w:rPr>
          <w:rFonts w:hint="default"/>
          <w:color w:val="auto"/>
          <w:highlight w:val="none"/>
          <w:lang w:val="en-US" w:eastAsia="zh-CN"/>
        </w:rPr>
      </w:pPr>
      <w:r>
        <w:rPr>
          <w:rFonts w:hint="eastAsia"/>
          <w:color w:val="auto"/>
          <w:highlight w:val="none"/>
          <w:lang w:val="en-US" w:eastAsia="zh-CN"/>
        </w:rPr>
        <w:t xml:space="preserve"> </w:t>
      </w:r>
      <w:r>
        <w:rPr>
          <w:rFonts w:hint="eastAsia" w:ascii="宋体" w:hAnsi="宋体" w:cs="宋体" w:eastAsiaTheme="minorEastAsia"/>
          <w:b/>
          <w:smallCaps w:val="0"/>
          <w:color w:val="auto"/>
          <w:kern w:val="0"/>
          <w:sz w:val="24"/>
          <w:szCs w:val="24"/>
          <w:highlight w:val="none"/>
          <w:lang w:val="en-US" w:eastAsia="zh-CN" w:bidi="ar-SA"/>
        </w:rPr>
        <w:t xml:space="preserve"> 交货期：</w:t>
      </w:r>
      <w:r>
        <w:rPr>
          <w:rFonts w:hint="eastAsia" w:ascii="宋体" w:hAnsi="宋体" w:cs="宋体" w:eastAsiaTheme="minorEastAsia"/>
          <w:b w:val="0"/>
          <w:bCs/>
          <w:smallCaps w:val="0"/>
          <w:color w:val="auto"/>
          <w:kern w:val="0"/>
          <w:sz w:val="24"/>
          <w:szCs w:val="24"/>
          <w:highlight w:val="none"/>
          <w:lang w:val="en-US" w:eastAsia="zh-CN" w:bidi="ar-SA"/>
        </w:rPr>
        <w:t>自合同签订之日起180天。</w:t>
      </w:r>
    </w:p>
    <w:p w14:paraId="5DB9C895">
      <w:pPr>
        <w:pStyle w:val="43"/>
        <w:spacing w:before="0" w:beforeAutospacing="0" w:after="0" w:afterAutospacing="0" w:line="380" w:lineRule="exact"/>
        <w:ind w:firstLine="480" w:firstLineChars="200"/>
        <w:contextualSpacing/>
        <w:rPr>
          <w:rFonts w:asciiTheme="minorEastAsia" w:hAnsiTheme="minorEastAsia" w:eastAsiaTheme="minorEastAsia"/>
          <w:color w:val="auto"/>
          <w:kern w:val="2"/>
          <w:highlight w:val="none"/>
        </w:rPr>
      </w:pPr>
      <w:r>
        <w:rPr>
          <w:rFonts w:asciiTheme="minorEastAsia" w:hAnsiTheme="minorEastAsia" w:eastAsiaTheme="minorEastAsia"/>
          <w:color w:val="auto"/>
          <w:kern w:val="2"/>
          <w:highlight w:val="none"/>
        </w:rPr>
        <w:t>本项目（</w:t>
      </w:r>
      <w:r>
        <w:rPr>
          <w:rFonts w:hint="eastAsia" w:cs="宋体" w:asciiTheme="minorEastAsia" w:hAnsiTheme="minorEastAsia" w:eastAsiaTheme="minorEastAsia"/>
          <w:color w:val="auto"/>
          <w:sz w:val="24"/>
          <w:highlight w:val="none"/>
        </w:rPr>
        <w:t>否</w:t>
      </w:r>
      <w:r>
        <w:rPr>
          <w:rFonts w:asciiTheme="minorEastAsia" w:hAnsiTheme="minorEastAsia" w:eastAsiaTheme="minorEastAsia"/>
          <w:color w:val="auto"/>
          <w:kern w:val="2"/>
          <w:highlight w:val="none"/>
        </w:rPr>
        <w:t>）接受联合体投标。</w:t>
      </w:r>
    </w:p>
    <w:p w14:paraId="1B5F2244">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本项目（</w:t>
      </w:r>
      <w:r>
        <w:rPr>
          <w:rFonts w:hint="eastAsia" w:cs="宋体" w:asciiTheme="minorEastAsia" w:hAnsiTheme="minorEastAsia" w:eastAsiaTheme="minorEastAsia"/>
          <w:color w:val="auto"/>
          <w:sz w:val="24"/>
          <w:highlight w:val="none"/>
        </w:rPr>
        <w:t>否</w:t>
      </w:r>
      <w:r>
        <w:rPr>
          <w:rFonts w:cs="宋体" w:asciiTheme="minorEastAsia" w:hAnsiTheme="minorEastAsia" w:eastAsiaTheme="minorEastAsia"/>
          <w:color w:val="auto"/>
          <w:sz w:val="24"/>
          <w:highlight w:val="none"/>
        </w:rPr>
        <w:t>）接受</w:t>
      </w:r>
      <w:r>
        <w:rPr>
          <w:rFonts w:hint="eastAsia" w:cs="宋体" w:asciiTheme="minorEastAsia" w:hAnsiTheme="minorEastAsia" w:eastAsiaTheme="minorEastAsia"/>
          <w:color w:val="auto"/>
          <w:sz w:val="24"/>
          <w:highlight w:val="none"/>
        </w:rPr>
        <w:t>分包。</w:t>
      </w:r>
    </w:p>
    <w:p w14:paraId="16299F32">
      <w:pPr>
        <w:widowControl/>
        <w:spacing w:line="380" w:lineRule="exact"/>
        <w:contextualSpacing/>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二、申请人的资格要求</w:t>
      </w:r>
    </w:p>
    <w:p w14:paraId="2B7FEF14">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满足《中华人民共和国政府采购法》第二十二条规定；未被“信用中国”（www.creditchina.gov.cn)、中国政府采购网（www.ccgp.gov.cn）列入失信被执行人、重大税收违法</w:t>
      </w:r>
      <w:r>
        <w:rPr>
          <w:rFonts w:hint="eastAsia" w:cs="宋体" w:asciiTheme="minorEastAsia" w:hAnsiTheme="minorEastAsia" w:eastAsiaTheme="minorEastAsia"/>
          <w:color w:val="auto"/>
          <w:sz w:val="24"/>
          <w:highlight w:val="none"/>
        </w:rPr>
        <w:t>失信主体</w:t>
      </w:r>
      <w:r>
        <w:rPr>
          <w:rFonts w:cs="宋体" w:asciiTheme="minorEastAsia" w:hAnsiTheme="minorEastAsia" w:eastAsiaTheme="minorEastAsia"/>
          <w:color w:val="auto"/>
          <w:sz w:val="24"/>
          <w:highlight w:val="none"/>
        </w:rPr>
        <w:t>、政府采购严重违法失信行为记录名单。</w:t>
      </w:r>
    </w:p>
    <w:p w14:paraId="0A24901B">
      <w:pPr>
        <w:widowControl/>
        <w:spacing w:line="380" w:lineRule="exact"/>
        <w:ind w:firstLine="480" w:firstLineChars="200"/>
        <w:contextualSpacing/>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4"/>
          <w:highlight w:val="none"/>
        </w:rPr>
        <w:t>2、落实政府采购政策需满足的资格要求：</w:t>
      </w:r>
      <w:r>
        <w:rPr>
          <w:rFonts w:hint="eastAsia" w:cs="宋体" w:asciiTheme="minorEastAsia" w:hAnsiTheme="minorEastAsia" w:eastAsiaTheme="minorEastAsia"/>
          <w:color w:val="auto"/>
          <w:sz w:val="24"/>
          <w:highlight w:val="none"/>
          <w:lang w:eastAsia="zh-CN"/>
        </w:rPr>
        <w:t>无</w:t>
      </w:r>
      <w:r>
        <w:rPr>
          <w:rFonts w:hint="eastAsia" w:cs="宋体" w:asciiTheme="minorEastAsia" w:hAnsiTheme="minorEastAsia" w:eastAsiaTheme="minorEastAsia"/>
          <w:b/>
          <w:bCs/>
          <w:color w:val="auto"/>
          <w:sz w:val="24"/>
          <w:highlight w:val="none"/>
        </w:rPr>
        <w:t xml:space="preserve"> </w:t>
      </w:r>
    </w:p>
    <w:p w14:paraId="55A22A5B">
      <w:pPr>
        <w:widowControl/>
        <w:spacing w:line="380" w:lineRule="exact"/>
        <w:ind w:firstLine="480" w:firstLineChars="200"/>
        <w:contextualSpacing/>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3、</w:t>
      </w:r>
      <w:r>
        <w:rPr>
          <w:rFonts w:cs="宋体" w:asciiTheme="minorEastAsia" w:hAnsiTheme="minorEastAsia" w:eastAsiaTheme="minorEastAsia"/>
          <w:b w:val="0"/>
          <w:bCs w:val="0"/>
          <w:color w:val="auto"/>
          <w:sz w:val="24"/>
          <w:highlight w:val="none"/>
        </w:rPr>
        <w:t>本项目的特定资格要求</w:t>
      </w:r>
      <w:r>
        <w:rPr>
          <w:rFonts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sz w:val="24"/>
          <w:highlight w:val="none"/>
          <w:lang w:eastAsia="zh-CN"/>
        </w:rPr>
        <w:t>具有</w:t>
      </w:r>
      <w:r>
        <w:rPr>
          <w:rFonts w:hint="eastAsia" w:cs="宋体" w:asciiTheme="minorEastAsia" w:hAnsiTheme="minorEastAsia" w:eastAsiaTheme="minorEastAsia"/>
          <w:b/>
          <w:bCs/>
          <w:color w:val="auto"/>
          <w:sz w:val="24"/>
          <w:highlight w:val="none"/>
        </w:rPr>
        <w:t>公路交通工程专业承包资质（公路安全设施分项）</w:t>
      </w:r>
      <w:r>
        <w:rPr>
          <w:rFonts w:hint="eastAsia" w:cs="宋体" w:asciiTheme="minorEastAsia" w:hAnsiTheme="minorEastAsia" w:eastAsiaTheme="minorEastAsia"/>
          <w:b/>
          <w:bCs/>
          <w:color w:val="auto"/>
          <w:sz w:val="24"/>
          <w:highlight w:val="none"/>
          <w:lang w:eastAsia="zh-CN"/>
        </w:rPr>
        <w:t>资质。</w:t>
      </w:r>
    </w:p>
    <w:p w14:paraId="2C23C19F">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695AAB">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三、获取采购文件</w:t>
      </w:r>
    </w:p>
    <w:p w14:paraId="64B67856">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时间：</w:t>
      </w:r>
      <w:r>
        <w:rPr>
          <w:rFonts w:cs="宋体" w:asciiTheme="minorEastAsia" w:hAnsiTheme="minorEastAsia" w:eastAsiaTheme="minorEastAsia"/>
          <w:color w:val="auto"/>
          <w:sz w:val="24"/>
          <w:highlight w:val="none"/>
        </w:rPr>
        <w:t>/至202</w:t>
      </w: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val="en-US" w:eastAsia="zh-CN"/>
        </w:rPr>
        <w:t>11</w:t>
      </w:r>
      <w:r>
        <w:rPr>
          <w:rFonts w:hint="eastAsia" w:asciiTheme="minorEastAsia" w:hAnsiTheme="minorEastAsia" w:eastAsiaTheme="minorEastAsia"/>
          <w:color w:val="auto"/>
          <w:sz w:val="24"/>
          <w:highlight w:val="none"/>
          <w:lang w:eastAsia="zh-CN"/>
        </w:rPr>
        <w:t>月</w:t>
      </w:r>
      <w:r>
        <w:rPr>
          <w:rFonts w:hint="eastAsia" w:asciiTheme="minorEastAsia" w:hAnsiTheme="minorEastAsia" w:eastAsiaTheme="minorEastAsia"/>
          <w:color w:val="auto"/>
          <w:sz w:val="24"/>
          <w:highlight w:val="none"/>
          <w:lang w:val="en-US" w:eastAsia="zh-CN"/>
        </w:rPr>
        <w:t>08</w:t>
      </w:r>
      <w:r>
        <w:rPr>
          <w:rFonts w:hint="eastAsia" w:asciiTheme="minorEastAsia" w:hAnsiTheme="minorEastAsia" w:eastAsiaTheme="minorEastAsia"/>
          <w:color w:val="auto"/>
          <w:sz w:val="24"/>
          <w:highlight w:val="none"/>
          <w:lang w:eastAsia="zh-CN"/>
        </w:rPr>
        <w:t>日</w:t>
      </w:r>
      <w:r>
        <w:rPr>
          <w:rFonts w:cs="宋体" w:asciiTheme="minorEastAsia" w:hAnsiTheme="minorEastAsia" w:eastAsiaTheme="minorEastAsia"/>
          <w:color w:val="auto"/>
          <w:sz w:val="24"/>
          <w:highlight w:val="none"/>
        </w:rPr>
        <w:t xml:space="preserve"> ，每天上午00:00至12:00 ，下午12:00至23:59（北京时间，线上获取法定节假日均可，线下获取文件法定节假日除外）</w:t>
      </w:r>
    </w:p>
    <w:p w14:paraId="489BA14D">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地点（网址）：</w:t>
      </w:r>
      <w:r>
        <w:rPr>
          <w:rFonts w:hint="eastAsia" w:cs="宋体" w:asciiTheme="minorEastAsia" w:hAnsiTheme="minorEastAsia" w:eastAsiaTheme="minorEastAsia"/>
          <w:color w:val="auto"/>
          <w:sz w:val="24"/>
          <w:highlight w:val="none"/>
        </w:rPr>
        <w:t>政采云平台（</w:t>
      </w:r>
      <w:r>
        <w:rPr>
          <w:rFonts w:cs="宋体" w:asciiTheme="minorEastAsia" w:hAnsiTheme="minorEastAsia" w:eastAsiaTheme="minorEastAsia"/>
          <w:color w:val="auto"/>
          <w:sz w:val="24"/>
          <w:highlight w:val="none"/>
        </w:rPr>
        <w:t>https://www.zcygov.cn/）</w:t>
      </w:r>
    </w:p>
    <w:p w14:paraId="260E8B0C">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方式：</w:t>
      </w:r>
      <w:r>
        <w:rPr>
          <w:rFonts w:hint="eastAsia" w:cs="宋体" w:asciiTheme="minorEastAsia" w:hAnsiTheme="minorEastAsia" w:eastAsiaTheme="minorEastAsia"/>
          <w:color w:val="auto"/>
          <w:sz w:val="24"/>
          <w:highlight w:val="none"/>
        </w:rPr>
        <w:t>本项目采购文件实行“政府采购云平台”在线获取，不提供采购文件纸质版。供应商获取采购文件前应先完成“政府采购云平台”的账号注册；</w:t>
      </w:r>
    </w:p>
    <w:p w14:paraId="6ADB3454">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潜在供应商登陆政采云平台，在线申请获取采购文件（进入“项目采购”应用，在获取采购文件菜单中选择项目，申请获取采购文件；仅需浏览采购文件的供应商可点击“游客，浏览采购文件”直接下载采购文件浏览）；</w:t>
      </w:r>
    </w:p>
    <w:p w14:paraId="123A7E44">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4943DDE3">
      <w:pPr>
        <w:widowControl/>
        <w:spacing w:line="380" w:lineRule="exact"/>
        <w:ind w:firstLine="590" w:firstLineChars="245"/>
        <w:contextualSpacing/>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注：请供应商按上述要求获取采购文件，未依法获取采购文件的供应商不得对本项目提起质疑、投诉，不得参加本项目的投标活动；如未在“政采云”系统内完成相关流程，引起的投标无效责任自负。</w:t>
      </w:r>
    </w:p>
    <w:p w14:paraId="54FFF9C5">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售价（元）：0</w:t>
      </w:r>
    </w:p>
    <w:p w14:paraId="5BEB6F71">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四、提交投标文件截止时间、开标时间和地点</w:t>
      </w:r>
    </w:p>
    <w:p w14:paraId="7282DD97">
      <w:pPr>
        <w:widowControl/>
        <w:spacing w:line="380" w:lineRule="exact"/>
        <w:ind w:firstLine="482"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提交投标文件截止时间：</w:t>
      </w:r>
      <w:r>
        <w:rPr>
          <w:rFonts w:hint="eastAsia" w:cs="宋体" w:asciiTheme="minorEastAsia" w:hAnsiTheme="minorEastAsia" w:eastAsiaTheme="minorEastAsia"/>
          <w:color w:val="auto"/>
          <w:sz w:val="24"/>
          <w:highlight w:val="none"/>
        </w:rPr>
        <w:t>2024</w:t>
      </w:r>
      <w:r>
        <w:rPr>
          <w:rFonts w:cs="宋体"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val="en-US" w:eastAsia="zh-CN"/>
        </w:rPr>
        <w:t>11</w:t>
      </w:r>
      <w:r>
        <w:rPr>
          <w:rFonts w:hint="eastAsia" w:asciiTheme="minorEastAsia" w:hAnsiTheme="minorEastAsia" w:eastAsiaTheme="minorEastAsia"/>
          <w:color w:val="auto"/>
          <w:sz w:val="24"/>
          <w:highlight w:val="none"/>
          <w:lang w:eastAsia="zh-CN"/>
        </w:rPr>
        <w:t>月</w:t>
      </w:r>
      <w:r>
        <w:rPr>
          <w:rFonts w:hint="eastAsia" w:asciiTheme="minorEastAsia" w:hAnsiTheme="minorEastAsia" w:eastAsiaTheme="minorEastAsia"/>
          <w:color w:val="auto"/>
          <w:sz w:val="24"/>
          <w:highlight w:val="none"/>
          <w:lang w:val="en-US" w:eastAsia="zh-CN"/>
        </w:rPr>
        <w:t>08</w:t>
      </w:r>
      <w:r>
        <w:rPr>
          <w:rFonts w:hint="eastAsia" w:asciiTheme="minorEastAsia" w:hAnsiTheme="minorEastAsia" w:eastAsiaTheme="minorEastAsia"/>
          <w:color w:val="auto"/>
          <w:sz w:val="24"/>
          <w:highlight w:val="none"/>
          <w:lang w:eastAsia="zh-CN"/>
        </w:rPr>
        <w:t>日</w:t>
      </w:r>
      <w:r>
        <w:rPr>
          <w:rFonts w:cs="宋体" w:asciiTheme="minorEastAsia" w:hAnsiTheme="minorEastAsia" w:eastAsiaTheme="minorEastAsia"/>
          <w:color w:val="auto"/>
          <w:sz w:val="24"/>
          <w:highlight w:val="none"/>
        </w:rPr>
        <w:t>09:00</w:t>
      </w:r>
      <w:r>
        <w:rPr>
          <w:rFonts w:hint="eastAsia" w:cs="宋体" w:asciiTheme="minorEastAsia" w:hAnsiTheme="minorEastAsia" w:eastAsiaTheme="minorEastAsia"/>
          <w:color w:val="auto"/>
          <w:sz w:val="24"/>
          <w:highlight w:val="none"/>
          <w:lang w:val="en-US" w:eastAsia="zh-CN"/>
        </w:rPr>
        <w:t>:00</w:t>
      </w:r>
      <w:r>
        <w:rPr>
          <w:rFonts w:cs="宋体" w:asciiTheme="minorEastAsia" w:hAnsiTheme="minorEastAsia" w:eastAsiaTheme="minorEastAsia"/>
          <w:color w:val="auto"/>
          <w:sz w:val="24"/>
          <w:highlight w:val="none"/>
        </w:rPr>
        <w:t>（北京时间）</w:t>
      </w:r>
    </w:p>
    <w:p w14:paraId="3768FCFF">
      <w:pPr>
        <w:widowControl/>
        <w:spacing w:line="380" w:lineRule="exact"/>
        <w:ind w:firstLine="482"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b/>
          <w:color w:val="auto"/>
          <w:sz w:val="24"/>
          <w:highlight w:val="none"/>
        </w:rPr>
        <w:t>投标地点（网址）：</w:t>
      </w:r>
      <w:r>
        <w:rPr>
          <w:rFonts w:hint="eastAsia" w:cs="宋体" w:asciiTheme="minorEastAsia" w:hAnsiTheme="minorEastAsia" w:eastAsiaTheme="minorEastAsia"/>
          <w:color w:val="auto"/>
          <w:sz w:val="24"/>
          <w:highlight w:val="none"/>
        </w:rPr>
        <w:t>通过政采云平台（</w:t>
      </w:r>
      <w:r>
        <w:rPr>
          <w:rFonts w:cs="宋体" w:asciiTheme="minorEastAsia" w:hAnsiTheme="minorEastAsia" w:eastAsiaTheme="minorEastAsia"/>
          <w:color w:val="auto"/>
          <w:sz w:val="24"/>
          <w:highlight w:val="none"/>
        </w:rPr>
        <w:t xml:space="preserve">www.zcygov.cn）实行在线投标响应（电子投标） </w:t>
      </w:r>
      <w:r>
        <w:rPr>
          <w:rFonts w:hint="eastAsia" w:cs="宋体" w:asciiTheme="minorEastAsia" w:hAnsiTheme="minorEastAsia" w:eastAsiaTheme="minorEastAsia"/>
          <w:color w:val="auto"/>
          <w:sz w:val="24"/>
          <w:highlight w:val="none"/>
        </w:rPr>
        <w:t>。</w:t>
      </w:r>
    </w:p>
    <w:p w14:paraId="3EF385C8">
      <w:pPr>
        <w:widowControl/>
        <w:spacing w:line="380" w:lineRule="exact"/>
        <w:ind w:firstLine="472" w:firstLineChars="196"/>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b/>
          <w:color w:val="auto"/>
          <w:sz w:val="24"/>
          <w:highlight w:val="none"/>
        </w:rPr>
        <w:t>开标时间：</w:t>
      </w:r>
      <w:r>
        <w:rPr>
          <w:rFonts w:hint="eastAsia" w:cs="宋体" w:asciiTheme="minorEastAsia" w:hAnsiTheme="minorEastAsia" w:eastAsiaTheme="minorEastAsia"/>
          <w:color w:val="auto"/>
          <w:sz w:val="24"/>
          <w:highlight w:val="none"/>
        </w:rPr>
        <w:t>2024</w:t>
      </w:r>
      <w:r>
        <w:rPr>
          <w:rFonts w:cs="宋体"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val="en-US" w:eastAsia="zh-CN"/>
        </w:rPr>
        <w:t>11</w:t>
      </w:r>
      <w:r>
        <w:rPr>
          <w:rFonts w:hint="eastAsia" w:asciiTheme="minorEastAsia" w:hAnsiTheme="minorEastAsia" w:eastAsiaTheme="minorEastAsia"/>
          <w:color w:val="auto"/>
          <w:sz w:val="24"/>
          <w:highlight w:val="none"/>
          <w:lang w:eastAsia="zh-CN"/>
        </w:rPr>
        <w:t>月</w:t>
      </w:r>
      <w:r>
        <w:rPr>
          <w:rFonts w:hint="eastAsia" w:asciiTheme="minorEastAsia" w:hAnsiTheme="minorEastAsia" w:eastAsiaTheme="minorEastAsia"/>
          <w:color w:val="auto"/>
          <w:sz w:val="24"/>
          <w:highlight w:val="none"/>
          <w:lang w:val="en-US" w:eastAsia="zh-CN"/>
        </w:rPr>
        <w:t>08</w:t>
      </w:r>
      <w:r>
        <w:rPr>
          <w:rFonts w:hint="eastAsia" w:asciiTheme="minorEastAsia" w:hAnsiTheme="minorEastAsia" w:eastAsiaTheme="minorEastAsia"/>
          <w:color w:val="auto"/>
          <w:sz w:val="24"/>
          <w:highlight w:val="none"/>
          <w:lang w:eastAsia="zh-CN"/>
        </w:rPr>
        <w:t>日</w:t>
      </w:r>
      <w:r>
        <w:rPr>
          <w:rFonts w:cs="宋体" w:asciiTheme="minorEastAsia" w:hAnsiTheme="minorEastAsia" w:eastAsiaTheme="minorEastAsia"/>
          <w:color w:val="auto"/>
          <w:sz w:val="24"/>
          <w:highlight w:val="none"/>
        </w:rPr>
        <w:t>09:00</w:t>
      </w:r>
      <w:r>
        <w:rPr>
          <w:rFonts w:hint="eastAsia" w:cs="宋体" w:asciiTheme="minorEastAsia" w:hAnsiTheme="minorEastAsia" w:eastAsiaTheme="minorEastAsia"/>
          <w:color w:val="auto"/>
          <w:sz w:val="24"/>
          <w:highlight w:val="none"/>
          <w:lang w:val="en-US" w:eastAsia="zh-CN"/>
        </w:rPr>
        <w:t>:00</w:t>
      </w:r>
      <w:r>
        <w:rPr>
          <w:rFonts w:cs="宋体" w:asciiTheme="minorEastAsia" w:hAnsiTheme="minorEastAsia" w:eastAsiaTheme="minorEastAsia"/>
          <w:color w:val="auto"/>
          <w:sz w:val="24"/>
          <w:highlight w:val="none"/>
        </w:rPr>
        <w:t xml:space="preserve"> </w:t>
      </w:r>
    </w:p>
    <w:p w14:paraId="4B7BBF0A">
      <w:pPr>
        <w:widowControl/>
        <w:spacing w:line="380" w:lineRule="exact"/>
        <w:ind w:firstLine="479" w:firstLineChars="199"/>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b/>
          <w:color w:val="auto"/>
          <w:sz w:val="24"/>
          <w:highlight w:val="none"/>
        </w:rPr>
        <w:t>开标地点（网址）：</w:t>
      </w:r>
      <w:r>
        <w:rPr>
          <w:rFonts w:hint="eastAsia" w:cs="宋体" w:asciiTheme="minorEastAsia" w:hAnsiTheme="minorEastAsia" w:eastAsiaTheme="minorEastAsia"/>
          <w:color w:val="auto"/>
          <w:sz w:val="24"/>
          <w:highlight w:val="none"/>
        </w:rPr>
        <w:t>通过政采云平台（</w:t>
      </w:r>
      <w:r>
        <w:rPr>
          <w:rFonts w:cs="宋体" w:asciiTheme="minorEastAsia" w:hAnsiTheme="minorEastAsia" w:eastAsiaTheme="minorEastAsia"/>
          <w:color w:val="auto"/>
          <w:sz w:val="24"/>
          <w:highlight w:val="none"/>
        </w:rPr>
        <w:t>www.zcygov.cn）实行在线</w:t>
      </w:r>
      <w:r>
        <w:rPr>
          <w:rFonts w:hint="eastAsia" w:cs="宋体" w:asciiTheme="minorEastAsia" w:hAnsiTheme="minorEastAsia" w:eastAsiaTheme="minorEastAsia"/>
          <w:color w:val="auto"/>
          <w:sz w:val="24"/>
          <w:highlight w:val="none"/>
          <w:lang w:eastAsia="zh-CN"/>
        </w:rPr>
        <w:t>开</w:t>
      </w:r>
      <w:r>
        <w:rPr>
          <w:rFonts w:cs="宋体" w:asciiTheme="minorEastAsia" w:hAnsiTheme="minorEastAsia" w:eastAsiaTheme="minorEastAsia"/>
          <w:color w:val="auto"/>
          <w:sz w:val="24"/>
          <w:highlight w:val="none"/>
        </w:rPr>
        <w:t>标</w:t>
      </w:r>
      <w:r>
        <w:rPr>
          <w:rFonts w:hint="eastAsia" w:cs="宋体" w:asciiTheme="minorEastAsia" w:hAnsiTheme="minorEastAsia" w:eastAsiaTheme="minorEastAsia"/>
          <w:bCs/>
          <w:color w:val="auto"/>
          <w:sz w:val="24"/>
          <w:highlight w:val="none"/>
        </w:rPr>
        <w:t>。</w:t>
      </w:r>
    </w:p>
    <w:p w14:paraId="11E4753C">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五、公告期限</w:t>
      </w:r>
    </w:p>
    <w:p w14:paraId="6F812EAA">
      <w:pPr>
        <w:widowControl/>
        <w:spacing w:line="380" w:lineRule="exact"/>
        <w:ind w:firstLine="480" w:firstLineChars="200"/>
        <w:contextualSpacing/>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自本公告发布之日起5个工作日。</w:t>
      </w:r>
    </w:p>
    <w:p w14:paraId="6E4F84F9">
      <w:pPr>
        <w:widowControl/>
        <w:spacing w:line="380" w:lineRule="exact"/>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六、其他补充事宜</w:t>
      </w:r>
    </w:p>
    <w:p w14:paraId="595E863C">
      <w:pPr>
        <w:widowControl/>
        <w:spacing w:line="380" w:lineRule="exact"/>
        <w:ind w:firstLine="480" w:firstLineChars="200"/>
        <w:contextualSpacing/>
        <w:rPr>
          <w:rFonts w:cs="宋体" w:asciiTheme="minorEastAsia" w:hAnsiTheme="minorEastAsia" w:eastAsiaTheme="minorEastAsia"/>
          <w:color w:val="auto"/>
          <w:sz w:val="24"/>
          <w:highlight w:val="none"/>
        </w:rPr>
      </w:pPr>
      <w:bookmarkStart w:id="10" w:name="_Toc28359085"/>
      <w:bookmarkStart w:id="11" w:name="_Toc35393796"/>
      <w:bookmarkStart w:id="12" w:name="_Toc28359008"/>
      <w:bookmarkStart w:id="13" w:name="_Toc35393627"/>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供应商认为采购文件使自己的权益受到损害的，可以自获取采购文件之日或者采购文件公告期限届满之日起</w:t>
      </w:r>
      <w:r>
        <w:rPr>
          <w:rFonts w:hint="eastAsia" w:cs="宋体" w:asciiTheme="minorEastAsia" w:hAnsiTheme="minorEastAsia" w:eastAsiaTheme="minorEastAsia"/>
          <w:b/>
          <w:color w:val="auto"/>
          <w:sz w:val="24"/>
          <w:highlight w:val="none"/>
        </w:rPr>
        <w:t>（公告期限届满后获取采购文件的，以公告期限届满之日为准）</w:t>
      </w:r>
      <w:r>
        <w:rPr>
          <w:rFonts w:cs="宋体" w:asciiTheme="minorEastAsia" w:hAnsiTheme="minorEastAsia" w:eastAsiaTheme="minorEastAsia"/>
          <w:color w:val="auto"/>
          <w:sz w:val="24"/>
          <w:highlight w:val="none"/>
        </w:rPr>
        <w:t>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8932A44">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其他事项：</w:t>
      </w:r>
    </w:p>
    <w:bookmarkEnd w:id="10"/>
    <w:bookmarkEnd w:id="11"/>
    <w:bookmarkEnd w:id="12"/>
    <w:bookmarkEnd w:id="13"/>
    <w:p w14:paraId="3E52EB14">
      <w:pPr>
        <w:snapToGrid w:val="0"/>
        <w:spacing w:line="3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（1）需要落实的政府采购政策：</w:t>
      </w:r>
      <w:r>
        <w:rPr>
          <w:rFonts w:cs="宋体" w:asciiTheme="minorEastAsia" w:hAnsiTheme="minorEastAsia" w:eastAsiaTheme="minorEastAsia"/>
          <w:color w:val="auto"/>
          <w:sz w:val="24"/>
          <w:highlight w:val="none"/>
        </w:rPr>
        <w:t>《关于促进残疾人就业政府采购政策的通知》（财库</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201</w:t>
      </w:r>
      <w:r>
        <w:rPr>
          <w:rFonts w:hint="eastAsia" w:cs="宋体" w:asciiTheme="minorEastAsia" w:hAnsiTheme="minorEastAsia" w:eastAsiaTheme="minorEastAsia"/>
          <w:color w:val="auto"/>
          <w:sz w:val="24"/>
          <w:highlight w:val="none"/>
        </w:rPr>
        <w:t>7〕</w:t>
      </w:r>
      <w:r>
        <w:rPr>
          <w:rFonts w:cs="宋体" w:asciiTheme="minorEastAsia" w:hAnsiTheme="minorEastAsia" w:eastAsiaTheme="minorEastAsia"/>
          <w:color w:val="auto"/>
          <w:sz w:val="24"/>
          <w:highlight w:val="none"/>
        </w:rPr>
        <w:t>141号）、《</w:t>
      </w:r>
      <w:r>
        <w:rPr>
          <w:rFonts w:hint="eastAsia" w:cs="宋体" w:asciiTheme="minorEastAsia" w:hAnsiTheme="minorEastAsia" w:eastAsiaTheme="minorEastAsia"/>
          <w:color w:val="auto"/>
          <w:sz w:val="24"/>
          <w:highlight w:val="none"/>
        </w:rPr>
        <w:t>政府采购促进中小企业发展管理办法</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（财库〔2020〕46号）</w:t>
      </w:r>
      <w:r>
        <w:rPr>
          <w:rFonts w:cs="宋体" w:asciiTheme="minorEastAsia" w:hAnsiTheme="minorEastAsia" w:eastAsiaTheme="minorEastAsia"/>
          <w:color w:val="auto"/>
          <w:sz w:val="24"/>
          <w:highlight w:val="none"/>
        </w:rPr>
        <w:t>、《关于政府采购支持监狱企业发展有关问题的通知》（财库</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2014</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68号）、《关于调整优化节能产品、环境标志产品政府采购执行机制的通知》（财库〔2019〕9号）</w:t>
      </w:r>
      <w:r>
        <w:rPr>
          <w:rFonts w:hint="eastAsia" w:cs="宋体" w:asciiTheme="minorEastAsia" w:hAnsiTheme="minorEastAsia" w:eastAsiaTheme="minorEastAsia"/>
          <w:color w:val="auto"/>
          <w:sz w:val="24"/>
          <w:highlight w:val="none"/>
        </w:rPr>
        <w:t>。</w:t>
      </w:r>
    </w:p>
    <w:p w14:paraId="651C5C57">
      <w:pPr>
        <w:snapToGrid w:val="0"/>
        <w:spacing w:line="3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（2）电子招投标的说明：</w:t>
      </w:r>
    </w:p>
    <w:p w14:paraId="676194CC">
      <w:pPr>
        <w:snapToGrid w:val="0"/>
        <w:spacing w:line="3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①电子招投标：本项目以数据电文形式，依托“政府采购云平台（www.zcygov.cn）”进行招投标活动，不接受纸质投标文件；</w:t>
      </w:r>
    </w:p>
    <w:p w14:paraId="682488B8">
      <w:pPr>
        <w:snapToGrid w:val="0"/>
        <w:spacing w:line="3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          </w:t>
      </w:r>
    </w:p>
    <w:p w14:paraId="43C11CDF">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③采购文件的获取：使用账号登录或者使用CA登录政采云平台；进入“项目采购”应用，在获取采购文件菜单中选择项目，获取采购文件； </w:t>
      </w:r>
    </w:p>
    <w:p w14:paraId="50D5D78F">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④投标文件的制作：在“政采云电子交易客户端”中完成“填写基本信息”、“导入投标文件”、“标书关联”、“标书检查”、“电子签名”、“生成电子标书”等操作；</w:t>
      </w:r>
    </w:p>
    <w:p w14:paraId="03CE6ACE">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⑤采购人、采购代理机构将依托政采云平台完成本项目的电子交易活动，平台不接受未按上述方式获取采购文件的供应商进行投标活动；</w:t>
      </w:r>
    </w:p>
    <w:p w14:paraId="5398BE6E">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⑥对未按上述方式获取采购文件的供应商对该文件提出的质疑，采购人或采购代理机构将不予处理；</w:t>
      </w:r>
    </w:p>
    <w:p w14:paraId="3653AD44">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⑦不提供采购文件纸质版；</w:t>
      </w:r>
    </w:p>
    <w:p w14:paraId="7C7F588E">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⑧投标文件的传输递交：投标人在投标截止时间前将加密的投标文件上传至政府采购云平台，并在投标截止时间前递交备份投标文件1份。备份投标文件的制作、递交详见采购文件第二部分“</w:t>
      </w:r>
      <w:r>
        <w:rPr>
          <w:rFonts w:cs="宋体" w:asciiTheme="minorEastAsia" w:hAnsiTheme="minorEastAsia" w:eastAsiaTheme="minorEastAsia"/>
          <w:color w:val="auto"/>
          <w:sz w:val="24"/>
          <w:highlight w:val="none"/>
        </w:rPr>
        <w:t>投标资料表</w:t>
      </w:r>
      <w:r>
        <w:rPr>
          <w:rFonts w:hint="eastAsia" w:cs="宋体" w:asciiTheme="minorEastAsia" w:hAnsiTheme="minorEastAsia" w:eastAsiaTheme="minorEastAsia"/>
          <w:color w:val="auto"/>
          <w:sz w:val="24"/>
          <w:highlight w:val="none"/>
        </w:rPr>
        <w:t>”第9条；</w:t>
      </w:r>
    </w:p>
    <w:p w14:paraId="07AB1272">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⑨投标文件的解密：投标人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14:paraId="4AAE9958">
      <w:pPr>
        <w:widowControl/>
        <w:spacing w:line="38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⑩具体操作指南：详见政采云平台“服务中心-帮助文档-项目采购-操作流程-电子招投标-政府采购项目电子交易管理操作指南-供应商”。</w:t>
      </w:r>
    </w:p>
    <w:p w14:paraId="75149B66">
      <w:pPr>
        <w:snapToGrid w:val="0"/>
        <w:spacing w:line="380" w:lineRule="exact"/>
        <w:outlineLvl w:val="1"/>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七、对本次采购提出询问、质疑、投诉，请按以下方式联系</w:t>
      </w:r>
    </w:p>
    <w:p w14:paraId="4F145ACE">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1、采购人信息</w:t>
      </w:r>
    </w:p>
    <w:p w14:paraId="668290F9">
      <w:pPr>
        <w:spacing w:line="380" w:lineRule="exact"/>
        <w:ind w:firstLine="480" w:firstLineChars="200"/>
        <w:contextualSpacing/>
        <w:rPr>
          <w:rFonts w:hint="eastAsia" w:cs="Arial"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rPr>
        <w:t>名称：</w:t>
      </w:r>
      <w:r>
        <w:rPr>
          <w:rFonts w:hint="eastAsia" w:cs="Arial" w:asciiTheme="minorEastAsia" w:hAnsiTheme="minorEastAsia" w:eastAsiaTheme="minorEastAsia"/>
          <w:color w:val="auto"/>
          <w:sz w:val="24"/>
          <w:highlight w:val="none"/>
          <w:lang w:eastAsia="zh-CN"/>
        </w:rPr>
        <w:t>台州市公安局交通警察局</w:t>
      </w:r>
    </w:p>
    <w:p w14:paraId="12AD8714">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地址：台州市椒江区机场北路451号</w:t>
      </w:r>
    </w:p>
    <w:p w14:paraId="5347DC2A">
      <w:pPr>
        <w:spacing w:line="380" w:lineRule="exact"/>
        <w:ind w:firstLine="480" w:firstLineChars="200"/>
        <w:contextualSpacing/>
        <w:rPr>
          <w:rFonts w:hint="eastAsia" w:cs="Arial"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rPr>
        <w:t>项目联系人（询问）：</w:t>
      </w:r>
      <w:r>
        <w:rPr>
          <w:rFonts w:hint="eastAsia" w:cs="Arial" w:asciiTheme="minorEastAsia" w:hAnsiTheme="minorEastAsia" w:eastAsiaTheme="minorEastAsia"/>
          <w:color w:val="auto"/>
          <w:sz w:val="24"/>
          <w:highlight w:val="none"/>
          <w:lang w:eastAsia="zh-CN"/>
        </w:rPr>
        <w:t>黄警官</w:t>
      </w:r>
      <w:r>
        <w:rPr>
          <w:rFonts w:hint="eastAsia" w:cs="Arial" w:asciiTheme="minorEastAsia" w:hAnsiTheme="minorEastAsia" w:eastAsiaTheme="minorEastAsia"/>
          <w:color w:val="auto"/>
          <w:sz w:val="24"/>
          <w:highlight w:val="none"/>
          <w:lang w:val="en-US" w:eastAsia="zh-CN"/>
        </w:rPr>
        <w:t xml:space="preserve"> </w:t>
      </w:r>
    </w:p>
    <w:p w14:paraId="120811EC">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项目联系方式（询问）：</w:t>
      </w:r>
      <w:r>
        <w:rPr>
          <w:rFonts w:hint="eastAsia" w:cs="Arial" w:asciiTheme="minorEastAsia" w:hAnsiTheme="minorEastAsia" w:eastAsiaTheme="minorEastAsia"/>
          <w:color w:val="auto"/>
          <w:sz w:val="24"/>
          <w:highlight w:val="none"/>
          <w:lang w:val="en-US" w:eastAsia="zh-CN"/>
        </w:rPr>
        <w:t>13676678205</w:t>
      </w:r>
      <w:r>
        <w:rPr>
          <w:rFonts w:hint="eastAsia" w:cs="Arial" w:asciiTheme="minorEastAsia" w:hAnsiTheme="minorEastAsia" w:eastAsiaTheme="minorEastAsia"/>
          <w:color w:val="auto"/>
          <w:sz w:val="24"/>
          <w:highlight w:val="none"/>
        </w:rPr>
        <w:t xml:space="preserve"> </w:t>
      </w:r>
    </w:p>
    <w:p w14:paraId="7C6775E9">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质疑联系人：杨警官</w:t>
      </w:r>
    </w:p>
    <w:p w14:paraId="15922D59">
      <w:pPr>
        <w:spacing w:line="380" w:lineRule="exact"/>
        <w:ind w:firstLine="480" w:firstLineChars="200"/>
        <w:contextualSpacing/>
        <w:rPr>
          <w:rFonts w:hint="eastAsia" w:cs="Arial"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rPr>
        <w:t>质疑联系方式：0576-88212750</w:t>
      </w:r>
      <w:r>
        <w:rPr>
          <w:rFonts w:hint="eastAsia" w:cs="Arial" w:asciiTheme="minorEastAsia" w:hAnsiTheme="minorEastAsia" w:eastAsiaTheme="minorEastAsia"/>
          <w:color w:val="auto"/>
          <w:sz w:val="24"/>
          <w:highlight w:val="none"/>
          <w:lang w:val="en-US" w:eastAsia="zh-CN"/>
        </w:rPr>
        <w:t xml:space="preserve"> </w:t>
      </w:r>
    </w:p>
    <w:p w14:paraId="101CBD5D">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2、采购代理机构信息</w:t>
      </w:r>
    </w:p>
    <w:p w14:paraId="2549ED45">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名称：中冠工程管理咨询有限公司</w:t>
      </w:r>
    </w:p>
    <w:p w14:paraId="1D0AF13C">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地址：浙江省台州市椒江区东海大道378号4楼</w:t>
      </w:r>
    </w:p>
    <w:p w14:paraId="2D3BCB30">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项目联系人（询问）：戴艳燕、陈金泉、王莎莎</w:t>
      </w:r>
    </w:p>
    <w:p w14:paraId="26408915">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项目联系方式（询问）：0576-81810227、18968407875</w:t>
      </w:r>
    </w:p>
    <w:p w14:paraId="72B2A810">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质疑联系人：唐虹波</w:t>
      </w:r>
    </w:p>
    <w:p w14:paraId="087C81D8">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质疑联系方式：</w:t>
      </w:r>
      <w:r>
        <w:rPr>
          <w:rFonts w:cs="Arial" w:asciiTheme="minorEastAsia" w:hAnsiTheme="minorEastAsia" w:eastAsiaTheme="minorEastAsia"/>
          <w:color w:val="auto"/>
          <w:sz w:val="24"/>
          <w:highlight w:val="none"/>
        </w:rPr>
        <w:t>0576-81810270</w:t>
      </w:r>
    </w:p>
    <w:p w14:paraId="1CBC512D">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3、同级政府采购监督管理部门</w:t>
      </w:r>
    </w:p>
    <w:p w14:paraId="2023495A">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名称：台州市财政局政府采购监管处</w:t>
      </w:r>
    </w:p>
    <w:p w14:paraId="7C9B7760">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地址：浙江省台州市椒江区纬一路</w:t>
      </w:r>
      <w:r>
        <w:rPr>
          <w:rFonts w:cs="Arial" w:asciiTheme="minorEastAsia" w:hAnsiTheme="minorEastAsia" w:eastAsiaTheme="minorEastAsia"/>
          <w:color w:val="auto"/>
          <w:sz w:val="24"/>
          <w:highlight w:val="none"/>
        </w:rPr>
        <w:t>66号</w:t>
      </w:r>
    </w:p>
    <w:p w14:paraId="255FD231">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联系人：陈老师、李老师</w:t>
      </w:r>
    </w:p>
    <w:p w14:paraId="57124DD1">
      <w:pPr>
        <w:spacing w:line="380" w:lineRule="exact"/>
        <w:ind w:firstLine="480" w:firstLineChars="200"/>
        <w:contextualSpacing/>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监督投诉电话：</w:t>
      </w:r>
      <w:r>
        <w:rPr>
          <w:rFonts w:cs="Arial" w:asciiTheme="minorEastAsia" w:hAnsiTheme="minorEastAsia" w:eastAsiaTheme="minorEastAsia"/>
          <w:color w:val="auto"/>
          <w:sz w:val="24"/>
          <w:highlight w:val="none"/>
        </w:rPr>
        <w:t xml:space="preserve">0576-88206705 、88206731  </w:t>
      </w:r>
    </w:p>
    <w:p w14:paraId="788F8DC9">
      <w:pPr>
        <w:pStyle w:val="14"/>
        <w:ind w:firstLine="0" w:firstLineChars="0"/>
        <w:jc w:val="center"/>
        <w:rPr>
          <w:rFonts w:asciiTheme="minorEastAsia" w:hAnsiTheme="minorEastAsia" w:eastAsiaTheme="minorEastAsia"/>
          <w:b/>
          <w:color w:val="auto"/>
          <w:sz w:val="24"/>
          <w:highlight w:val="none"/>
        </w:rPr>
      </w:pPr>
    </w:p>
    <w:p w14:paraId="52B6C9E7">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w:t>
      </w:r>
      <w:r>
        <w:rPr>
          <w:rFonts w:hint="eastAsia" w:cs="宋体" w:asciiTheme="minorEastAsia" w:hAnsiTheme="minorEastAsia" w:eastAsiaTheme="minorEastAsia"/>
          <w:b/>
          <w:color w:val="auto"/>
          <w:sz w:val="24"/>
          <w:highlight w:val="none"/>
        </w:rPr>
        <w:t>中标人如有融资需求，可使用以下服务</w:t>
      </w:r>
    </w:p>
    <w:p w14:paraId="0192026B">
      <w:pPr>
        <w:pStyle w:val="14"/>
        <w:ind w:firstLine="0" w:firstLineChars="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政采贷联系方式</w:t>
      </w:r>
    </w:p>
    <w:tbl>
      <w:tblPr>
        <w:tblStyle w:val="4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479"/>
        <w:gridCol w:w="1600"/>
        <w:gridCol w:w="3748"/>
      </w:tblGrid>
      <w:tr w14:paraId="5736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shd w:val="clear" w:color="auto" w:fill="EEECE1" w:themeFill="background2"/>
            <w:vAlign w:val="center"/>
          </w:tcPr>
          <w:p w14:paraId="3F8D979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银行</w:t>
            </w:r>
          </w:p>
        </w:tc>
        <w:tc>
          <w:tcPr>
            <w:tcW w:w="1479" w:type="dxa"/>
            <w:shd w:val="clear" w:color="auto" w:fill="EEECE1" w:themeFill="background2"/>
            <w:vAlign w:val="center"/>
          </w:tcPr>
          <w:p w14:paraId="795062F0">
            <w:pPr>
              <w:keepNext w:val="0"/>
              <w:keepLines w:val="0"/>
              <w:suppressLineNumbers w:val="0"/>
              <w:spacing w:before="0" w:beforeAutospacing="0" w:after="0" w:afterAutospacing="0"/>
              <w:ind w:left="0" w:right="0"/>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贷款年利率</w:t>
            </w:r>
          </w:p>
        </w:tc>
        <w:tc>
          <w:tcPr>
            <w:tcW w:w="1600" w:type="dxa"/>
            <w:shd w:val="clear" w:color="auto" w:fill="EEECE1" w:themeFill="background2"/>
            <w:vAlign w:val="center"/>
          </w:tcPr>
          <w:p w14:paraId="318130B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联系人</w:t>
            </w:r>
          </w:p>
        </w:tc>
        <w:tc>
          <w:tcPr>
            <w:tcW w:w="3748" w:type="dxa"/>
            <w:shd w:val="clear" w:color="auto" w:fill="EEECE1" w:themeFill="background2"/>
            <w:vAlign w:val="center"/>
          </w:tcPr>
          <w:p w14:paraId="5B344E3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联系电话</w:t>
            </w:r>
          </w:p>
        </w:tc>
      </w:tr>
      <w:tr w14:paraId="2BA8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42D11E8A">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中国工商银行</w:t>
            </w:r>
          </w:p>
        </w:tc>
        <w:tc>
          <w:tcPr>
            <w:tcW w:w="1479" w:type="dxa"/>
            <w:vAlign w:val="center"/>
          </w:tcPr>
          <w:p w14:paraId="5F8A008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3.8%起</w:t>
            </w:r>
          </w:p>
        </w:tc>
        <w:tc>
          <w:tcPr>
            <w:tcW w:w="1600" w:type="dxa"/>
            <w:vAlign w:val="center"/>
          </w:tcPr>
          <w:p w14:paraId="7F5EEE8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卢嘉诚</w:t>
            </w:r>
          </w:p>
        </w:tc>
        <w:tc>
          <w:tcPr>
            <w:tcW w:w="3748" w:type="dxa"/>
            <w:vAlign w:val="center"/>
          </w:tcPr>
          <w:p w14:paraId="2F9FCAAD">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13867658508</w:t>
            </w:r>
          </w:p>
        </w:tc>
      </w:tr>
      <w:tr w14:paraId="4F42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5ADD361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中国农业银行</w:t>
            </w:r>
          </w:p>
        </w:tc>
        <w:tc>
          <w:tcPr>
            <w:tcW w:w="1479" w:type="dxa"/>
            <w:vAlign w:val="center"/>
          </w:tcPr>
          <w:p w14:paraId="39298FB7">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3.8%起</w:t>
            </w:r>
          </w:p>
        </w:tc>
        <w:tc>
          <w:tcPr>
            <w:tcW w:w="1600" w:type="dxa"/>
            <w:vAlign w:val="center"/>
          </w:tcPr>
          <w:p w14:paraId="61EA66C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龚盛</w:t>
            </w:r>
          </w:p>
        </w:tc>
        <w:tc>
          <w:tcPr>
            <w:tcW w:w="3748" w:type="dxa"/>
            <w:vAlign w:val="center"/>
          </w:tcPr>
          <w:p w14:paraId="5C4C88C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15858682216</w:t>
            </w:r>
          </w:p>
        </w:tc>
      </w:tr>
      <w:tr w14:paraId="3F285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2CB67E1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中国建设银行</w:t>
            </w:r>
          </w:p>
        </w:tc>
        <w:tc>
          <w:tcPr>
            <w:tcW w:w="1479" w:type="dxa"/>
            <w:vAlign w:val="center"/>
          </w:tcPr>
          <w:p w14:paraId="39D25E3D">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3.8%起</w:t>
            </w:r>
          </w:p>
        </w:tc>
        <w:tc>
          <w:tcPr>
            <w:tcW w:w="1600" w:type="dxa"/>
            <w:vAlign w:val="center"/>
          </w:tcPr>
          <w:p w14:paraId="0AEC6AAD">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梅晶晶</w:t>
            </w:r>
          </w:p>
        </w:tc>
        <w:tc>
          <w:tcPr>
            <w:tcW w:w="3748" w:type="dxa"/>
            <w:vAlign w:val="center"/>
          </w:tcPr>
          <w:p w14:paraId="6F11890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88525339、13736585303</w:t>
            </w:r>
          </w:p>
        </w:tc>
      </w:tr>
      <w:tr w14:paraId="6AF9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1E09DE7C">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中国银行</w:t>
            </w:r>
          </w:p>
        </w:tc>
        <w:tc>
          <w:tcPr>
            <w:tcW w:w="1479" w:type="dxa"/>
            <w:vAlign w:val="center"/>
          </w:tcPr>
          <w:p w14:paraId="35C14AA7">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3.75%起</w:t>
            </w:r>
          </w:p>
        </w:tc>
        <w:tc>
          <w:tcPr>
            <w:tcW w:w="1600" w:type="dxa"/>
            <w:vAlign w:val="center"/>
          </w:tcPr>
          <w:p w14:paraId="1B4F22E2">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王海</w:t>
            </w:r>
          </w:p>
        </w:tc>
        <w:tc>
          <w:tcPr>
            <w:tcW w:w="3748" w:type="dxa"/>
            <w:vAlign w:val="center"/>
          </w:tcPr>
          <w:p w14:paraId="341BC754">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default" w:asciiTheme="minorEastAsia" w:hAnsiTheme="minorEastAsia" w:eastAsiaTheme="minorEastAsia"/>
                <w:color w:val="auto"/>
                <w:kern w:val="0"/>
                <w:sz w:val="24"/>
                <w:highlight w:val="none"/>
              </w:rPr>
              <w:t>13857677798</w:t>
            </w:r>
          </w:p>
        </w:tc>
      </w:tr>
      <w:tr w14:paraId="6FAE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3A2C0094">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浦发银行台州分行</w:t>
            </w:r>
          </w:p>
        </w:tc>
        <w:tc>
          <w:tcPr>
            <w:tcW w:w="1479" w:type="dxa"/>
            <w:vAlign w:val="center"/>
          </w:tcPr>
          <w:p w14:paraId="1C40C364">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4.05%起</w:t>
            </w:r>
          </w:p>
        </w:tc>
        <w:tc>
          <w:tcPr>
            <w:tcW w:w="1600" w:type="dxa"/>
            <w:vAlign w:val="center"/>
          </w:tcPr>
          <w:p w14:paraId="6AC92B0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王渊</w:t>
            </w:r>
          </w:p>
        </w:tc>
        <w:tc>
          <w:tcPr>
            <w:tcW w:w="3748" w:type="dxa"/>
            <w:vAlign w:val="center"/>
          </w:tcPr>
          <w:p w14:paraId="500746A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13616676319</w:t>
            </w:r>
          </w:p>
        </w:tc>
      </w:tr>
      <w:tr w14:paraId="43559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2F2DA24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浦发银行椒江分行</w:t>
            </w:r>
          </w:p>
        </w:tc>
        <w:tc>
          <w:tcPr>
            <w:tcW w:w="1479" w:type="dxa"/>
            <w:vAlign w:val="center"/>
          </w:tcPr>
          <w:p w14:paraId="43412461">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4.05%起</w:t>
            </w:r>
          </w:p>
        </w:tc>
        <w:tc>
          <w:tcPr>
            <w:tcW w:w="1600" w:type="dxa"/>
            <w:vAlign w:val="center"/>
          </w:tcPr>
          <w:p w14:paraId="259262FD">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孙瑞华</w:t>
            </w:r>
          </w:p>
        </w:tc>
        <w:tc>
          <w:tcPr>
            <w:tcW w:w="3748" w:type="dxa"/>
            <w:vAlign w:val="center"/>
          </w:tcPr>
          <w:p w14:paraId="1F256A6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13857688081</w:t>
            </w:r>
          </w:p>
        </w:tc>
      </w:tr>
      <w:tr w14:paraId="011A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2E436C0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交通银行台州分行</w:t>
            </w:r>
          </w:p>
        </w:tc>
        <w:tc>
          <w:tcPr>
            <w:tcW w:w="1479" w:type="dxa"/>
            <w:vAlign w:val="center"/>
          </w:tcPr>
          <w:p w14:paraId="3CB2189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3.75%起</w:t>
            </w:r>
          </w:p>
        </w:tc>
        <w:tc>
          <w:tcPr>
            <w:tcW w:w="1600" w:type="dxa"/>
            <w:vAlign w:val="center"/>
          </w:tcPr>
          <w:p w14:paraId="43BBB9CD">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周翔宇</w:t>
            </w:r>
          </w:p>
        </w:tc>
        <w:tc>
          <w:tcPr>
            <w:tcW w:w="3748" w:type="dxa"/>
            <w:vAlign w:val="center"/>
          </w:tcPr>
          <w:p w14:paraId="32067D7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13867697018</w:t>
            </w:r>
          </w:p>
        </w:tc>
      </w:tr>
      <w:tr w14:paraId="697B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5D5ECBF4">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招商银行台州分行</w:t>
            </w:r>
          </w:p>
        </w:tc>
        <w:tc>
          <w:tcPr>
            <w:tcW w:w="1479" w:type="dxa"/>
            <w:vAlign w:val="center"/>
          </w:tcPr>
          <w:p w14:paraId="646150B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4.32%起</w:t>
            </w:r>
          </w:p>
        </w:tc>
        <w:tc>
          <w:tcPr>
            <w:tcW w:w="1600" w:type="dxa"/>
            <w:vAlign w:val="center"/>
          </w:tcPr>
          <w:p w14:paraId="4E6B41C6">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王海玲</w:t>
            </w:r>
          </w:p>
        </w:tc>
        <w:tc>
          <w:tcPr>
            <w:tcW w:w="3748" w:type="dxa"/>
            <w:vAlign w:val="center"/>
          </w:tcPr>
          <w:p w14:paraId="7DD61556">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13566413827</w:t>
            </w:r>
          </w:p>
        </w:tc>
      </w:tr>
      <w:tr w14:paraId="3ACC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5F976CAC">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浙商银行台州分行</w:t>
            </w:r>
          </w:p>
        </w:tc>
        <w:tc>
          <w:tcPr>
            <w:tcW w:w="1479" w:type="dxa"/>
            <w:vAlign w:val="center"/>
          </w:tcPr>
          <w:p w14:paraId="7112F45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5.01%起</w:t>
            </w:r>
          </w:p>
        </w:tc>
        <w:tc>
          <w:tcPr>
            <w:tcW w:w="1600" w:type="dxa"/>
            <w:vAlign w:val="center"/>
          </w:tcPr>
          <w:p w14:paraId="0ABC801A">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章涉漪</w:t>
            </w:r>
          </w:p>
        </w:tc>
        <w:tc>
          <w:tcPr>
            <w:tcW w:w="3748" w:type="dxa"/>
            <w:vAlign w:val="center"/>
          </w:tcPr>
          <w:p w14:paraId="394C52E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81880185、13606681262</w:t>
            </w:r>
          </w:p>
        </w:tc>
      </w:tr>
      <w:tr w14:paraId="4C47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47AF680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中信银行台州分行</w:t>
            </w:r>
          </w:p>
        </w:tc>
        <w:tc>
          <w:tcPr>
            <w:tcW w:w="1479" w:type="dxa"/>
            <w:vAlign w:val="center"/>
          </w:tcPr>
          <w:p w14:paraId="435AE536">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4.15%起</w:t>
            </w:r>
          </w:p>
        </w:tc>
        <w:tc>
          <w:tcPr>
            <w:tcW w:w="1600" w:type="dxa"/>
            <w:vAlign w:val="center"/>
          </w:tcPr>
          <w:p w14:paraId="5ED7F8D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陈金园</w:t>
            </w:r>
          </w:p>
        </w:tc>
        <w:tc>
          <w:tcPr>
            <w:tcW w:w="3748" w:type="dxa"/>
            <w:vAlign w:val="center"/>
          </w:tcPr>
          <w:p w14:paraId="203CC17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13586052161</w:t>
            </w:r>
          </w:p>
        </w:tc>
      </w:tr>
      <w:tr w14:paraId="5ED1D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7C51EFB0">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华夏银行台州分行</w:t>
            </w:r>
          </w:p>
        </w:tc>
        <w:tc>
          <w:tcPr>
            <w:tcW w:w="1479" w:type="dxa"/>
            <w:vAlign w:val="center"/>
          </w:tcPr>
          <w:p w14:paraId="7DF5F20C">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4.5%起</w:t>
            </w:r>
          </w:p>
        </w:tc>
        <w:tc>
          <w:tcPr>
            <w:tcW w:w="1600" w:type="dxa"/>
            <w:vAlign w:val="center"/>
          </w:tcPr>
          <w:p w14:paraId="58E83BCD">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邱明达</w:t>
            </w:r>
          </w:p>
        </w:tc>
        <w:tc>
          <w:tcPr>
            <w:tcW w:w="3748" w:type="dxa"/>
            <w:vAlign w:val="center"/>
          </w:tcPr>
          <w:p w14:paraId="6991AF0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81871518、13736252233</w:t>
            </w:r>
          </w:p>
        </w:tc>
      </w:tr>
      <w:tr w14:paraId="1C5E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3177F164">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泰隆银行开发区支行</w:t>
            </w:r>
          </w:p>
        </w:tc>
        <w:tc>
          <w:tcPr>
            <w:tcW w:w="1479" w:type="dxa"/>
            <w:vAlign w:val="center"/>
          </w:tcPr>
          <w:p w14:paraId="77520426">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5.6%起</w:t>
            </w:r>
          </w:p>
        </w:tc>
        <w:tc>
          <w:tcPr>
            <w:tcW w:w="1600" w:type="dxa"/>
            <w:vAlign w:val="center"/>
          </w:tcPr>
          <w:p w14:paraId="35C4EC1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梁宛莉</w:t>
            </w:r>
          </w:p>
        </w:tc>
        <w:tc>
          <w:tcPr>
            <w:tcW w:w="3748" w:type="dxa"/>
            <w:vAlign w:val="center"/>
          </w:tcPr>
          <w:p w14:paraId="1C6AE0FA">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13306869100</w:t>
            </w:r>
          </w:p>
        </w:tc>
      </w:tr>
      <w:tr w14:paraId="4602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681B7B6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民泰银行椒江支行</w:t>
            </w:r>
          </w:p>
        </w:tc>
        <w:tc>
          <w:tcPr>
            <w:tcW w:w="1479" w:type="dxa"/>
            <w:vAlign w:val="center"/>
          </w:tcPr>
          <w:p w14:paraId="7FCA7CBD">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5.8%起</w:t>
            </w:r>
          </w:p>
        </w:tc>
        <w:tc>
          <w:tcPr>
            <w:tcW w:w="1600" w:type="dxa"/>
            <w:vAlign w:val="center"/>
          </w:tcPr>
          <w:p w14:paraId="3D3E44CC">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陈慧珠</w:t>
            </w:r>
          </w:p>
        </w:tc>
        <w:tc>
          <w:tcPr>
            <w:tcW w:w="3748" w:type="dxa"/>
            <w:vAlign w:val="center"/>
          </w:tcPr>
          <w:p w14:paraId="19B8B81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13857699669</w:t>
            </w:r>
          </w:p>
        </w:tc>
      </w:tr>
      <w:tr w14:paraId="5DF5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251FAFE4">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绍兴银行台州分行</w:t>
            </w:r>
          </w:p>
        </w:tc>
        <w:tc>
          <w:tcPr>
            <w:tcW w:w="1479" w:type="dxa"/>
            <w:vAlign w:val="center"/>
          </w:tcPr>
          <w:p w14:paraId="3036A29C">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5.1%起</w:t>
            </w:r>
          </w:p>
        </w:tc>
        <w:tc>
          <w:tcPr>
            <w:tcW w:w="1600" w:type="dxa"/>
            <w:vAlign w:val="center"/>
          </w:tcPr>
          <w:p w14:paraId="35294884">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郭庭斌</w:t>
            </w:r>
          </w:p>
        </w:tc>
        <w:tc>
          <w:tcPr>
            <w:tcW w:w="3748" w:type="dxa"/>
            <w:vAlign w:val="center"/>
          </w:tcPr>
          <w:p w14:paraId="47A65334">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15958633119</w:t>
            </w:r>
          </w:p>
        </w:tc>
      </w:tr>
      <w:tr w14:paraId="7317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412C5CE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温州银行台州分行</w:t>
            </w:r>
          </w:p>
        </w:tc>
        <w:tc>
          <w:tcPr>
            <w:tcW w:w="1479" w:type="dxa"/>
            <w:vAlign w:val="center"/>
          </w:tcPr>
          <w:p w14:paraId="39D70F8D">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4.55%起</w:t>
            </w:r>
          </w:p>
        </w:tc>
        <w:tc>
          <w:tcPr>
            <w:tcW w:w="1600" w:type="dxa"/>
            <w:vAlign w:val="center"/>
          </w:tcPr>
          <w:p w14:paraId="5E342CC2">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王晓波</w:t>
            </w:r>
          </w:p>
        </w:tc>
        <w:tc>
          <w:tcPr>
            <w:tcW w:w="3748" w:type="dxa"/>
            <w:vAlign w:val="center"/>
          </w:tcPr>
          <w:p w14:paraId="2F75801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15824005475</w:t>
            </w:r>
          </w:p>
        </w:tc>
      </w:tr>
      <w:tr w14:paraId="0985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1E4CB19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平安银行台州分行</w:t>
            </w:r>
          </w:p>
        </w:tc>
        <w:tc>
          <w:tcPr>
            <w:tcW w:w="1479" w:type="dxa"/>
            <w:vAlign w:val="center"/>
          </w:tcPr>
          <w:p w14:paraId="746FF9E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6.53%起</w:t>
            </w:r>
          </w:p>
        </w:tc>
        <w:tc>
          <w:tcPr>
            <w:tcW w:w="1600" w:type="dxa"/>
            <w:vAlign w:val="center"/>
          </w:tcPr>
          <w:p w14:paraId="5641668A">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李俊丽</w:t>
            </w:r>
          </w:p>
        </w:tc>
        <w:tc>
          <w:tcPr>
            <w:tcW w:w="3748" w:type="dxa"/>
            <w:vAlign w:val="center"/>
          </w:tcPr>
          <w:p w14:paraId="24156C77">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15906861035</w:t>
            </w:r>
          </w:p>
        </w:tc>
      </w:tr>
      <w:tr w14:paraId="24F1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24C37A8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宁波银行台州分行</w:t>
            </w:r>
          </w:p>
        </w:tc>
        <w:tc>
          <w:tcPr>
            <w:tcW w:w="1479" w:type="dxa"/>
            <w:vAlign w:val="center"/>
          </w:tcPr>
          <w:p w14:paraId="543A7BA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4.35%起</w:t>
            </w:r>
          </w:p>
        </w:tc>
        <w:tc>
          <w:tcPr>
            <w:tcW w:w="1600" w:type="dxa"/>
            <w:vAlign w:val="center"/>
          </w:tcPr>
          <w:p w14:paraId="1381A5D8">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戴莉丽</w:t>
            </w:r>
          </w:p>
        </w:tc>
        <w:tc>
          <w:tcPr>
            <w:tcW w:w="3748" w:type="dxa"/>
            <w:vAlign w:val="center"/>
          </w:tcPr>
          <w:p w14:paraId="082BB701">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13566627207</w:t>
            </w:r>
          </w:p>
        </w:tc>
      </w:tr>
      <w:tr w14:paraId="13FA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3ED97967">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金华银行台州分行</w:t>
            </w:r>
          </w:p>
        </w:tc>
        <w:tc>
          <w:tcPr>
            <w:tcW w:w="1479" w:type="dxa"/>
            <w:vAlign w:val="center"/>
          </w:tcPr>
          <w:p w14:paraId="3C6683B6">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4.05%起</w:t>
            </w:r>
          </w:p>
        </w:tc>
        <w:tc>
          <w:tcPr>
            <w:tcW w:w="1600" w:type="dxa"/>
            <w:vAlign w:val="center"/>
          </w:tcPr>
          <w:p w14:paraId="2E795CD6">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金雪婷</w:t>
            </w:r>
          </w:p>
        </w:tc>
        <w:tc>
          <w:tcPr>
            <w:tcW w:w="3748" w:type="dxa"/>
            <w:vAlign w:val="center"/>
          </w:tcPr>
          <w:p w14:paraId="75B18B9C">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81886670、15968661569</w:t>
            </w:r>
          </w:p>
        </w:tc>
      </w:tr>
      <w:tr w14:paraId="6371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650F439D">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台州银行</w:t>
            </w:r>
          </w:p>
        </w:tc>
        <w:tc>
          <w:tcPr>
            <w:tcW w:w="1479" w:type="dxa"/>
            <w:vAlign w:val="center"/>
          </w:tcPr>
          <w:p w14:paraId="0E8C2CDD">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5.6%起</w:t>
            </w:r>
          </w:p>
        </w:tc>
        <w:tc>
          <w:tcPr>
            <w:tcW w:w="1600" w:type="dxa"/>
            <w:vAlign w:val="center"/>
          </w:tcPr>
          <w:p w14:paraId="7EC26E31">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洪婷</w:t>
            </w:r>
          </w:p>
        </w:tc>
        <w:tc>
          <w:tcPr>
            <w:tcW w:w="3748" w:type="dxa"/>
            <w:vAlign w:val="center"/>
          </w:tcPr>
          <w:p w14:paraId="43F98BA1">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15858624999</w:t>
            </w:r>
          </w:p>
        </w:tc>
      </w:tr>
      <w:tr w14:paraId="00C0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4F23927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邮储银行台州分行</w:t>
            </w:r>
          </w:p>
        </w:tc>
        <w:tc>
          <w:tcPr>
            <w:tcW w:w="1479" w:type="dxa"/>
            <w:vAlign w:val="center"/>
          </w:tcPr>
          <w:p w14:paraId="7794661E">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3.85%起</w:t>
            </w:r>
          </w:p>
        </w:tc>
        <w:tc>
          <w:tcPr>
            <w:tcW w:w="1600" w:type="dxa"/>
            <w:vAlign w:val="center"/>
          </w:tcPr>
          <w:p w14:paraId="4EDBCE4B">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董庆</w:t>
            </w:r>
          </w:p>
        </w:tc>
        <w:tc>
          <w:tcPr>
            <w:tcW w:w="3748" w:type="dxa"/>
            <w:vAlign w:val="center"/>
          </w:tcPr>
          <w:p w14:paraId="49F0280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81888982、18957683757</w:t>
            </w:r>
          </w:p>
        </w:tc>
      </w:tr>
    </w:tbl>
    <w:p w14:paraId="4EC865FD">
      <w:pPr>
        <w:pStyle w:val="14"/>
        <w:ind w:firstLine="482"/>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合同履约保函联系方式</w:t>
      </w:r>
    </w:p>
    <w:tbl>
      <w:tblPr>
        <w:tblStyle w:val="49"/>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3"/>
        <w:gridCol w:w="2857"/>
        <w:gridCol w:w="1353"/>
        <w:gridCol w:w="1784"/>
      </w:tblGrid>
      <w:tr w14:paraId="1417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shd w:val="clear" w:color="auto" w:fill="DDD9C4" w:themeFill="background2" w:themeFillShade="E6"/>
            <w:vAlign w:val="center"/>
          </w:tcPr>
          <w:p w14:paraId="43763C6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保险公司名称</w:t>
            </w:r>
          </w:p>
        </w:tc>
        <w:tc>
          <w:tcPr>
            <w:tcW w:w="2857" w:type="dxa"/>
            <w:shd w:val="clear" w:color="auto" w:fill="DDD9C4" w:themeFill="background2" w:themeFillShade="E6"/>
            <w:vAlign w:val="center"/>
          </w:tcPr>
          <w:p w14:paraId="7731FF15">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保费率</w:t>
            </w:r>
          </w:p>
        </w:tc>
        <w:tc>
          <w:tcPr>
            <w:tcW w:w="1353" w:type="dxa"/>
            <w:shd w:val="clear" w:color="auto" w:fill="DDD9C4" w:themeFill="background2" w:themeFillShade="E6"/>
            <w:vAlign w:val="center"/>
          </w:tcPr>
          <w:p w14:paraId="32F5A913">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联系人</w:t>
            </w:r>
          </w:p>
        </w:tc>
        <w:tc>
          <w:tcPr>
            <w:tcW w:w="1784" w:type="dxa"/>
            <w:shd w:val="clear" w:color="auto" w:fill="DDD9C4" w:themeFill="background2" w:themeFillShade="E6"/>
            <w:vAlign w:val="center"/>
          </w:tcPr>
          <w:p w14:paraId="58F55AD6">
            <w:pPr>
              <w:keepNext w:val="0"/>
              <w:keepLines w:val="0"/>
              <w:suppressLineNumbers w:val="0"/>
              <w:spacing w:before="0" w:beforeAutospacing="0" w:after="0" w:afterAutospacing="0"/>
              <w:ind w:left="0" w:right="0" w:firstLine="240"/>
              <w:jc w:val="center"/>
              <w:rPr>
                <w:rFonts w:hint="default"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联系电话</w:t>
            </w:r>
          </w:p>
        </w:tc>
      </w:tr>
      <w:tr w14:paraId="6EC2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7FC1042B">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中国人寿财产保险股份有限公司台州中心支公司</w:t>
            </w:r>
          </w:p>
        </w:tc>
        <w:tc>
          <w:tcPr>
            <w:tcW w:w="2857" w:type="dxa"/>
            <w:vAlign w:val="center"/>
          </w:tcPr>
          <w:p w14:paraId="502C0399">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年费率1%，最低保费500元</w:t>
            </w:r>
          </w:p>
        </w:tc>
        <w:tc>
          <w:tcPr>
            <w:tcW w:w="1353" w:type="dxa"/>
            <w:vAlign w:val="center"/>
          </w:tcPr>
          <w:p w14:paraId="01CD94EC">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徐凌</w:t>
            </w:r>
          </w:p>
        </w:tc>
        <w:tc>
          <w:tcPr>
            <w:tcW w:w="1784" w:type="dxa"/>
            <w:vAlign w:val="center"/>
          </w:tcPr>
          <w:p w14:paraId="26F9BCAD">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13905168070</w:t>
            </w:r>
          </w:p>
        </w:tc>
      </w:tr>
      <w:tr w14:paraId="20DA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7F0DCE2F">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永诚财产保险股份有限公司台州分公司</w:t>
            </w:r>
          </w:p>
        </w:tc>
        <w:tc>
          <w:tcPr>
            <w:tcW w:w="2857" w:type="dxa"/>
            <w:vAlign w:val="center"/>
          </w:tcPr>
          <w:p w14:paraId="120BCDC0">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年费率1%，最低保费1000元</w:t>
            </w:r>
          </w:p>
        </w:tc>
        <w:tc>
          <w:tcPr>
            <w:tcW w:w="1353" w:type="dxa"/>
            <w:vAlign w:val="center"/>
          </w:tcPr>
          <w:p w14:paraId="5127458D">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尹刚强</w:t>
            </w:r>
          </w:p>
        </w:tc>
        <w:tc>
          <w:tcPr>
            <w:tcW w:w="1784" w:type="dxa"/>
            <w:vAlign w:val="center"/>
          </w:tcPr>
          <w:p w14:paraId="5D7D16CA">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13750668184</w:t>
            </w:r>
          </w:p>
        </w:tc>
      </w:tr>
      <w:tr w14:paraId="1727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1BD719FB">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华泰财产保险有限公司台州中心支公司</w:t>
            </w:r>
          </w:p>
        </w:tc>
        <w:tc>
          <w:tcPr>
            <w:tcW w:w="2857" w:type="dxa"/>
            <w:vAlign w:val="center"/>
          </w:tcPr>
          <w:p w14:paraId="7AE3B883">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年费率0.5%，最低保费1000元</w:t>
            </w:r>
          </w:p>
        </w:tc>
        <w:tc>
          <w:tcPr>
            <w:tcW w:w="1353" w:type="dxa"/>
            <w:vAlign w:val="center"/>
          </w:tcPr>
          <w:p w14:paraId="7072DB01">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王灵芳</w:t>
            </w:r>
          </w:p>
        </w:tc>
        <w:tc>
          <w:tcPr>
            <w:tcW w:w="1784" w:type="dxa"/>
            <w:vAlign w:val="center"/>
          </w:tcPr>
          <w:p w14:paraId="2E588348">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88869818、13586123199</w:t>
            </w:r>
          </w:p>
        </w:tc>
      </w:tr>
      <w:tr w14:paraId="5EC3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4EE90F93">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中国大地财产保险股份有限公司台州中心支公司</w:t>
            </w:r>
          </w:p>
        </w:tc>
        <w:tc>
          <w:tcPr>
            <w:tcW w:w="2857" w:type="dxa"/>
            <w:vAlign w:val="center"/>
          </w:tcPr>
          <w:p w14:paraId="182DDA24">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年费率1.5%，最低保费1000元</w:t>
            </w:r>
          </w:p>
        </w:tc>
        <w:tc>
          <w:tcPr>
            <w:tcW w:w="1353" w:type="dxa"/>
            <w:vAlign w:val="center"/>
          </w:tcPr>
          <w:p w14:paraId="5F04431C">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徐小明</w:t>
            </w:r>
          </w:p>
        </w:tc>
        <w:tc>
          <w:tcPr>
            <w:tcW w:w="1784" w:type="dxa"/>
            <w:vAlign w:val="center"/>
          </w:tcPr>
          <w:p w14:paraId="25600990">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88552788、13968603112</w:t>
            </w:r>
          </w:p>
        </w:tc>
      </w:tr>
      <w:tr w14:paraId="395E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2C5E5EE8">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阳光保险台州中心支公司</w:t>
            </w:r>
          </w:p>
        </w:tc>
        <w:tc>
          <w:tcPr>
            <w:tcW w:w="2857" w:type="dxa"/>
            <w:vAlign w:val="center"/>
          </w:tcPr>
          <w:p w14:paraId="3D5C85CA">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年费率1%，最低保费500元</w:t>
            </w:r>
          </w:p>
        </w:tc>
        <w:tc>
          <w:tcPr>
            <w:tcW w:w="1353" w:type="dxa"/>
            <w:vAlign w:val="center"/>
          </w:tcPr>
          <w:p w14:paraId="62E59279">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林高明</w:t>
            </w:r>
          </w:p>
        </w:tc>
        <w:tc>
          <w:tcPr>
            <w:tcW w:w="1784" w:type="dxa"/>
            <w:vAlign w:val="center"/>
          </w:tcPr>
          <w:p w14:paraId="7E3EEB1D">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15888682693</w:t>
            </w:r>
          </w:p>
        </w:tc>
      </w:tr>
      <w:tr w14:paraId="30B2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7FBF299A">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中华联合财产保险股份有限公司台州中心支公司</w:t>
            </w:r>
          </w:p>
        </w:tc>
        <w:tc>
          <w:tcPr>
            <w:tcW w:w="2857" w:type="dxa"/>
            <w:vAlign w:val="center"/>
          </w:tcPr>
          <w:p w14:paraId="0F634CCB">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年费率2%，最低保费500元</w:t>
            </w:r>
          </w:p>
        </w:tc>
        <w:tc>
          <w:tcPr>
            <w:tcW w:w="1353" w:type="dxa"/>
            <w:vAlign w:val="center"/>
          </w:tcPr>
          <w:p w14:paraId="70E92131">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王仙高</w:t>
            </w:r>
          </w:p>
        </w:tc>
        <w:tc>
          <w:tcPr>
            <w:tcW w:w="1784" w:type="dxa"/>
            <w:vAlign w:val="center"/>
          </w:tcPr>
          <w:p w14:paraId="6F7BDAE6">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13858600221</w:t>
            </w:r>
          </w:p>
        </w:tc>
      </w:tr>
      <w:tr w14:paraId="7AF9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1566AF6E">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中国人民财产保险股份有限公司台州中心支公司</w:t>
            </w:r>
          </w:p>
        </w:tc>
        <w:tc>
          <w:tcPr>
            <w:tcW w:w="2857" w:type="dxa"/>
            <w:vAlign w:val="center"/>
          </w:tcPr>
          <w:p w14:paraId="5485395F">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年费率0.3%，最低保费1000元</w:t>
            </w:r>
          </w:p>
        </w:tc>
        <w:tc>
          <w:tcPr>
            <w:tcW w:w="1353" w:type="dxa"/>
            <w:vAlign w:val="center"/>
          </w:tcPr>
          <w:p w14:paraId="29A3245A">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王仙春</w:t>
            </w:r>
          </w:p>
        </w:tc>
        <w:tc>
          <w:tcPr>
            <w:tcW w:w="1784" w:type="dxa"/>
            <w:vAlign w:val="center"/>
          </w:tcPr>
          <w:p w14:paraId="6449FF4E">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13515769179</w:t>
            </w:r>
          </w:p>
        </w:tc>
      </w:tr>
      <w:tr w14:paraId="325D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3682F1F9">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永安财产保险股份有限公司台州中心支公司</w:t>
            </w:r>
          </w:p>
        </w:tc>
        <w:tc>
          <w:tcPr>
            <w:tcW w:w="2857" w:type="dxa"/>
            <w:vAlign w:val="center"/>
          </w:tcPr>
          <w:p w14:paraId="797ABEFE">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年费率0.3%，最低保费1000</w:t>
            </w:r>
          </w:p>
        </w:tc>
        <w:tc>
          <w:tcPr>
            <w:tcW w:w="1353" w:type="dxa"/>
            <w:vAlign w:val="center"/>
          </w:tcPr>
          <w:p w14:paraId="64871D18">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王春宇</w:t>
            </w:r>
          </w:p>
        </w:tc>
        <w:tc>
          <w:tcPr>
            <w:tcW w:w="1784" w:type="dxa"/>
            <w:vAlign w:val="center"/>
          </w:tcPr>
          <w:p w14:paraId="40616FB2">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13676675331</w:t>
            </w:r>
          </w:p>
        </w:tc>
      </w:tr>
    </w:tbl>
    <w:p w14:paraId="0297F9FA">
      <w:pPr>
        <w:spacing w:line="276" w:lineRule="auto"/>
        <w:ind w:firstLine="843" w:firstLineChars="350"/>
        <w:jc w:val="center"/>
        <w:rPr>
          <w:rFonts w:cs="宋体" w:asciiTheme="minorEastAsia" w:hAnsiTheme="minorEastAsia" w:eastAsiaTheme="minorEastAsia"/>
          <w:b/>
          <w:color w:val="auto"/>
          <w:sz w:val="24"/>
          <w:highlight w:val="none"/>
        </w:rPr>
      </w:pPr>
    </w:p>
    <w:p w14:paraId="4A928C93">
      <w:pPr>
        <w:spacing w:line="276" w:lineRule="auto"/>
        <w:ind w:firstLine="843" w:firstLineChars="35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预付款保函联系方式</w:t>
      </w:r>
    </w:p>
    <w:tbl>
      <w:tblPr>
        <w:tblStyle w:val="49"/>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1"/>
        <w:gridCol w:w="2971"/>
        <w:gridCol w:w="1147"/>
        <w:gridCol w:w="1768"/>
      </w:tblGrid>
      <w:tr w14:paraId="4EA0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71" w:type="dxa"/>
            <w:vAlign w:val="center"/>
          </w:tcPr>
          <w:p w14:paraId="74CA72B3">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保险公司名称</w:t>
            </w:r>
          </w:p>
        </w:tc>
        <w:tc>
          <w:tcPr>
            <w:tcW w:w="2971" w:type="dxa"/>
            <w:vAlign w:val="center"/>
          </w:tcPr>
          <w:p w14:paraId="2405CCA6">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保费率</w:t>
            </w:r>
          </w:p>
        </w:tc>
        <w:tc>
          <w:tcPr>
            <w:tcW w:w="1147" w:type="dxa"/>
            <w:vAlign w:val="center"/>
          </w:tcPr>
          <w:p w14:paraId="6516B356">
            <w:pPr>
              <w:keepNext w:val="0"/>
              <w:keepLines w:val="0"/>
              <w:suppressLineNumbers w:val="0"/>
              <w:spacing w:before="0" w:beforeAutospacing="0" w:after="0" w:afterAutospacing="0" w:line="276" w:lineRule="auto"/>
              <w:ind w:left="0" w:right="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联系人</w:t>
            </w:r>
          </w:p>
        </w:tc>
        <w:tc>
          <w:tcPr>
            <w:tcW w:w="1768" w:type="dxa"/>
            <w:vAlign w:val="center"/>
          </w:tcPr>
          <w:p w14:paraId="5030C4C5">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联系电话</w:t>
            </w:r>
          </w:p>
        </w:tc>
      </w:tr>
      <w:tr w14:paraId="2135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1" w:type="dxa"/>
            <w:vAlign w:val="center"/>
          </w:tcPr>
          <w:p w14:paraId="64F6A844">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中国人寿财产保险股份有限公司台州中心支公司</w:t>
            </w:r>
          </w:p>
        </w:tc>
        <w:tc>
          <w:tcPr>
            <w:tcW w:w="2971" w:type="dxa"/>
            <w:vAlign w:val="center"/>
          </w:tcPr>
          <w:p w14:paraId="17EBBDF0">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年费率3%，最低保费500元</w:t>
            </w:r>
          </w:p>
        </w:tc>
        <w:tc>
          <w:tcPr>
            <w:tcW w:w="1147" w:type="dxa"/>
            <w:vAlign w:val="center"/>
          </w:tcPr>
          <w:p w14:paraId="4B7B5569">
            <w:pPr>
              <w:keepNext w:val="0"/>
              <w:keepLines w:val="0"/>
              <w:suppressLineNumbers w:val="0"/>
              <w:spacing w:before="0" w:beforeAutospacing="0" w:after="0" w:afterAutospacing="0" w:line="276" w:lineRule="auto"/>
              <w:ind w:left="0" w:right="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徐凌</w:t>
            </w:r>
          </w:p>
        </w:tc>
        <w:tc>
          <w:tcPr>
            <w:tcW w:w="1768" w:type="dxa"/>
            <w:vAlign w:val="center"/>
          </w:tcPr>
          <w:p w14:paraId="32FD4BF5">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13905168070</w:t>
            </w:r>
          </w:p>
        </w:tc>
      </w:tr>
      <w:tr w14:paraId="58D6D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1" w:type="dxa"/>
            <w:vAlign w:val="center"/>
          </w:tcPr>
          <w:p w14:paraId="3B61B892">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阳光保险台州中心支公司</w:t>
            </w:r>
          </w:p>
        </w:tc>
        <w:tc>
          <w:tcPr>
            <w:tcW w:w="2971" w:type="dxa"/>
            <w:vAlign w:val="center"/>
          </w:tcPr>
          <w:p w14:paraId="7643EA60">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年费率1%，最低保费500元</w:t>
            </w:r>
          </w:p>
        </w:tc>
        <w:tc>
          <w:tcPr>
            <w:tcW w:w="1147" w:type="dxa"/>
            <w:vAlign w:val="center"/>
          </w:tcPr>
          <w:p w14:paraId="68FFE38C">
            <w:pPr>
              <w:keepNext w:val="0"/>
              <w:keepLines w:val="0"/>
              <w:suppressLineNumbers w:val="0"/>
              <w:spacing w:before="0" w:beforeAutospacing="0" w:after="0" w:afterAutospacing="0" w:line="276" w:lineRule="auto"/>
              <w:ind w:left="0" w:right="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林高明</w:t>
            </w:r>
          </w:p>
        </w:tc>
        <w:tc>
          <w:tcPr>
            <w:tcW w:w="1768" w:type="dxa"/>
            <w:vAlign w:val="center"/>
          </w:tcPr>
          <w:p w14:paraId="76FE42EA">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15888682693</w:t>
            </w:r>
          </w:p>
        </w:tc>
      </w:tr>
      <w:tr w14:paraId="5AB2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171" w:type="dxa"/>
            <w:vAlign w:val="center"/>
          </w:tcPr>
          <w:p w14:paraId="3697A6E4">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天安财产保险股份有限公司台州中心支公司</w:t>
            </w:r>
          </w:p>
        </w:tc>
        <w:tc>
          <w:tcPr>
            <w:tcW w:w="2971" w:type="dxa"/>
            <w:vAlign w:val="center"/>
          </w:tcPr>
          <w:p w14:paraId="2D394557">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年费率1%-2%，最低保费500元</w:t>
            </w:r>
          </w:p>
        </w:tc>
        <w:tc>
          <w:tcPr>
            <w:tcW w:w="1147" w:type="dxa"/>
            <w:vAlign w:val="center"/>
          </w:tcPr>
          <w:p w14:paraId="12C465A9">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罗赛</w:t>
            </w:r>
          </w:p>
        </w:tc>
        <w:tc>
          <w:tcPr>
            <w:tcW w:w="1768" w:type="dxa"/>
            <w:vAlign w:val="center"/>
          </w:tcPr>
          <w:p w14:paraId="26D0E4B6">
            <w:pPr>
              <w:keepNext w:val="0"/>
              <w:keepLines w:val="0"/>
              <w:suppressLineNumbers w:val="0"/>
              <w:spacing w:before="0" w:beforeAutospacing="0" w:after="0" w:afterAutospacing="0" w:line="276" w:lineRule="auto"/>
              <w:ind w:left="0" w:right="0" w:firstLine="240"/>
              <w:jc w:val="center"/>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13736605643</w:t>
            </w:r>
          </w:p>
        </w:tc>
      </w:tr>
    </w:tbl>
    <w:p w14:paraId="0CF4B654">
      <w:pPr>
        <w:spacing w:line="400" w:lineRule="exact"/>
        <w:contextualSpacing/>
        <w:jc w:val="left"/>
        <w:rPr>
          <w:rFonts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若对项目采购电子交易系统操作有疑问，可登录政采云（https://www.zcygov.cn/），点击右侧咨询小采，获取采小蜜智能服务管家帮助，或拨打政采云服务热线</w:t>
      </w:r>
      <w:r>
        <w:rPr>
          <w:rFonts w:cs="Arial" w:asciiTheme="minorEastAsia" w:hAnsiTheme="minorEastAsia" w:eastAsiaTheme="minorEastAsia"/>
          <w:b/>
          <w:color w:val="auto"/>
          <w:sz w:val="24"/>
          <w:highlight w:val="none"/>
        </w:rPr>
        <w:t>95763</w:t>
      </w:r>
      <w:r>
        <w:rPr>
          <w:rFonts w:hint="eastAsia" w:cs="Arial" w:asciiTheme="minorEastAsia" w:hAnsiTheme="minorEastAsia" w:eastAsiaTheme="minorEastAsia"/>
          <w:b/>
          <w:color w:val="auto"/>
          <w:sz w:val="24"/>
          <w:highlight w:val="none"/>
        </w:rPr>
        <w:t>获取热线服务帮助。</w:t>
      </w:r>
    </w:p>
    <w:p w14:paraId="082D328F">
      <w:pPr>
        <w:spacing w:line="400" w:lineRule="exact"/>
        <w:ind w:firstLine="482" w:firstLineChars="200"/>
        <w:contextualSpacing/>
        <w:jc w:val="left"/>
        <w:rPr>
          <w:rFonts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CA问题联系电话（人工）：汇信CA400-888-4636；天谷CA400-087-8198。</w:t>
      </w:r>
      <w:bookmarkEnd w:id="7"/>
    </w:p>
    <w:p w14:paraId="054B1D3C">
      <w:pPr>
        <w:spacing w:line="360" w:lineRule="auto"/>
        <w:rPr>
          <w:color w:val="auto"/>
          <w:szCs w:val="21"/>
          <w:highlight w:val="none"/>
        </w:rPr>
        <w:sectPr>
          <w:headerReference r:id="rId6" w:type="default"/>
          <w:footerReference r:id="rId7" w:type="default"/>
          <w:pgSz w:w="11907" w:h="16840"/>
          <w:pgMar w:top="1134" w:right="1531" w:bottom="1191" w:left="1361" w:header="284" w:footer="705" w:gutter="0"/>
          <w:pgBorders>
            <w:top w:val="none" w:sz="0" w:space="0"/>
            <w:left w:val="none" w:sz="0" w:space="0"/>
            <w:bottom w:val="none" w:sz="0" w:space="0"/>
            <w:right w:val="none" w:sz="0" w:space="0"/>
          </w:pgBorders>
          <w:pgNumType w:fmt="decimal" w:start="1"/>
          <w:cols w:space="720" w:num="1"/>
          <w:docGrid w:linePitch="285" w:charSpace="0"/>
        </w:sectPr>
      </w:pPr>
    </w:p>
    <w:bookmarkEnd w:id="8"/>
    <w:bookmarkEnd w:id="9"/>
    <w:p w14:paraId="20105D0A">
      <w:pPr>
        <w:pageBreakBefore/>
        <w:shd w:val="clear" w:color="auto" w:fill="FFFFFF"/>
        <w:snapToGrid w:val="0"/>
        <w:spacing w:line="360" w:lineRule="auto"/>
        <w:ind w:left="105"/>
        <w:jc w:val="center"/>
        <w:outlineLvl w:val="0"/>
        <w:rPr>
          <w:rFonts w:ascii="Times New Roman" w:hAnsi="Times New Roman"/>
          <w:color w:val="auto"/>
          <w:sz w:val="36"/>
          <w:szCs w:val="36"/>
          <w:highlight w:val="none"/>
        </w:rPr>
      </w:pPr>
      <w:bookmarkStart w:id="14" w:name="_Toc11440"/>
      <w:bookmarkStart w:id="15" w:name="_Toc32413"/>
      <w:bookmarkStart w:id="16" w:name="_Toc3692"/>
      <w:bookmarkStart w:id="17" w:name="_Toc22671"/>
      <w:bookmarkStart w:id="18" w:name="_Toc18266"/>
      <w:bookmarkStart w:id="19" w:name="_Toc13292"/>
      <w:r>
        <w:rPr>
          <w:rFonts w:hint="eastAsia" w:cs="宋体" w:asciiTheme="minorEastAsia" w:hAnsiTheme="minorEastAsia" w:eastAsiaTheme="minorEastAsia"/>
          <w:b/>
          <w:bCs/>
          <w:color w:val="auto"/>
          <w:sz w:val="32"/>
          <w:szCs w:val="32"/>
          <w:highlight w:val="none"/>
        </w:rPr>
        <w:t xml:space="preserve">第二部分  </w:t>
      </w:r>
      <w:bookmarkEnd w:id="14"/>
      <w:bookmarkEnd w:id="15"/>
      <w:bookmarkEnd w:id="16"/>
      <w:bookmarkEnd w:id="17"/>
      <w:bookmarkEnd w:id="18"/>
      <w:bookmarkStart w:id="20" w:name="_Toc53870597"/>
      <w:bookmarkStart w:id="21" w:name="_Toc8189"/>
      <w:bookmarkStart w:id="22" w:name="_Toc5551"/>
      <w:bookmarkStart w:id="23" w:name="_Toc14033"/>
      <w:bookmarkStart w:id="24" w:name="_Toc354996695"/>
      <w:bookmarkStart w:id="25" w:name="_Toc233618971"/>
      <w:bookmarkStart w:id="26" w:name="_Toc32345"/>
      <w:r>
        <w:rPr>
          <w:rFonts w:hint="eastAsia" w:cs="宋体" w:asciiTheme="minorEastAsia" w:hAnsiTheme="minorEastAsia" w:eastAsiaTheme="minorEastAsia"/>
          <w:b/>
          <w:bCs/>
          <w:color w:val="auto"/>
          <w:sz w:val="32"/>
          <w:szCs w:val="32"/>
          <w:highlight w:val="none"/>
        </w:rPr>
        <w:t>投标资料表</w:t>
      </w:r>
      <w:bookmarkEnd w:id="19"/>
      <w:bookmarkEnd w:id="20"/>
    </w:p>
    <w:tbl>
      <w:tblPr>
        <w:tblStyle w:val="48"/>
        <w:tblW w:w="969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23"/>
        <w:gridCol w:w="1475"/>
        <w:gridCol w:w="7399"/>
      </w:tblGrid>
      <w:tr w14:paraId="569ED1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823" w:type="dxa"/>
            <w:tcBorders>
              <w:bottom w:val="single" w:color="auto" w:sz="4" w:space="0"/>
            </w:tcBorders>
            <w:shd w:val="clear" w:color="auto" w:fill="DDD9C4" w:themeFill="background2" w:themeFillShade="E6"/>
            <w:vAlign w:val="center"/>
          </w:tcPr>
          <w:p w14:paraId="563D77A3">
            <w:pPr>
              <w:keepNext w:val="0"/>
              <w:keepLines w:val="0"/>
              <w:suppressLineNumbers w:val="0"/>
              <w:spacing w:before="0" w:beforeAutospacing="0" w:after="0" w:afterAutospacing="0" w:line="360" w:lineRule="exact"/>
              <w:ind w:left="-108" w:right="-113"/>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序号</w:t>
            </w:r>
          </w:p>
        </w:tc>
        <w:tc>
          <w:tcPr>
            <w:tcW w:w="8874" w:type="dxa"/>
            <w:gridSpan w:val="2"/>
            <w:tcBorders>
              <w:bottom w:val="single" w:color="auto" w:sz="4" w:space="0"/>
            </w:tcBorders>
            <w:shd w:val="clear" w:color="auto" w:fill="DDD9C4" w:themeFill="background2" w:themeFillShade="E6"/>
            <w:vAlign w:val="center"/>
          </w:tcPr>
          <w:p w14:paraId="67E2838C">
            <w:pPr>
              <w:keepNext w:val="0"/>
              <w:keepLines w:val="0"/>
              <w:suppressLineNumbers w:val="0"/>
              <w:spacing w:before="0" w:beforeAutospacing="0" w:after="0" w:afterAutospacing="0" w:line="360" w:lineRule="exact"/>
              <w:ind w:left="0"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内         容</w:t>
            </w:r>
          </w:p>
        </w:tc>
      </w:tr>
      <w:tr w14:paraId="4766B7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Merge w:val="restart"/>
            <w:vAlign w:val="center"/>
          </w:tcPr>
          <w:p w14:paraId="19D827BE">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p>
        </w:tc>
        <w:tc>
          <w:tcPr>
            <w:tcW w:w="8874" w:type="dxa"/>
            <w:gridSpan w:val="2"/>
            <w:vAlign w:val="center"/>
          </w:tcPr>
          <w:p w14:paraId="318F3A16">
            <w:pPr>
              <w:keepNext w:val="0"/>
              <w:keepLines w:val="0"/>
              <w:suppressLineNumbers w:val="0"/>
              <w:tabs>
                <w:tab w:val="left" w:pos="1580"/>
                <w:tab w:val="left" w:pos="3436"/>
                <w:tab w:val="left" w:pos="5512"/>
              </w:tabs>
              <w:spacing w:before="0" w:beforeAutospacing="0" w:after="0" w:afterAutospacing="0" w:line="440" w:lineRule="exact"/>
              <w:ind w:left="21" w:right="0"/>
              <w:contextualSpacing/>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采购人：</w:t>
            </w:r>
            <w:r>
              <w:rPr>
                <w:rFonts w:hint="eastAsia" w:cs="Arial" w:asciiTheme="minorEastAsia" w:hAnsiTheme="minorEastAsia" w:eastAsiaTheme="minorEastAsia"/>
                <w:color w:val="auto"/>
                <w:sz w:val="24"/>
                <w:highlight w:val="none"/>
                <w:lang w:eastAsia="zh-CN"/>
              </w:rPr>
              <w:t>台州市公安局交通警察局</w:t>
            </w:r>
          </w:p>
          <w:p w14:paraId="1FC1AB28">
            <w:pPr>
              <w:keepNext w:val="0"/>
              <w:keepLines w:val="0"/>
              <w:suppressLineNumbers w:val="0"/>
              <w:tabs>
                <w:tab w:val="left" w:pos="1580"/>
                <w:tab w:val="left" w:pos="3436"/>
                <w:tab w:val="left" w:pos="5512"/>
              </w:tabs>
              <w:spacing w:before="0" w:beforeAutospacing="0" w:after="0" w:afterAutospacing="0" w:line="440" w:lineRule="exact"/>
              <w:ind w:left="21" w:right="0"/>
              <w:contextualSpacing/>
              <w:rPr>
                <w:rFonts w:hint="default" w:cs="Times New Roman"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联系人：黄警官</w:t>
            </w:r>
            <w:r>
              <w:rPr>
                <w:rFonts w:hint="eastAsia" w:cs="Arial"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联</w:t>
            </w:r>
            <w:r>
              <w:rPr>
                <w:rFonts w:hint="eastAsia" w:cs="Times New Roman" w:asciiTheme="minorEastAsia" w:hAnsiTheme="minorEastAsia" w:eastAsiaTheme="minorEastAsia"/>
                <w:color w:val="auto"/>
                <w:sz w:val="24"/>
                <w:highlight w:val="none"/>
              </w:rPr>
              <w:t>系电话：</w:t>
            </w:r>
            <w:r>
              <w:rPr>
                <w:rFonts w:hint="eastAsia" w:cs="Arial" w:asciiTheme="minorEastAsia" w:hAnsiTheme="minorEastAsia" w:eastAsiaTheme="minorEastAsia"/>
                <w:color w:val="auto"/>
                <w:sz w:val="24"/>
                <w:highlight w:val="none"/>
                <w:lang w:val="en-US" w:eastAsia="zh-CN"/>
              </w:rPr>
              <w:t>13676678205</w:t>
            </w:r>
            <w:r>
              <w:rPr>
                <w:rFonts w:hint="eastAsia" w:cs="Times New Roman" w:asciiTheme="minorEastAsia" w:hAnsiTheme="minorEastAsia" w:eastAsiaTheme="minorEastAsia"/>
                <w:color w:val="auto"/>
                <w:sz w:val="24"/>
                <w:highlight w:val="none"/>
                <w:lang w:val="en-US" w:eastAsia="zh-CN"/>
              </w:rPr>
              <w:t xml:space="preserve">  </w:t>
            </w:r>
          </w:p>
          <w:p w14:paraId="57A1ABE7">
            <w:pPr>
              <w:keepNext w:val="0"/>
              <w:keepLines w:val="0"/>
              <w:suppressLineNumbers w:val="0"/>
              <w:tabs>
                <w:tab w:val="left" w:pos="1580"/>
                <w:tab w:val="left" w:pos="3436"/>
                <w:tab w:val="left" w:pos="5512"/>
              </w:tabs>
              <w:spacing w:before="0" w:beforeAutospacing="0" w:after="0" w:afterAutospacing="0" w:line="440" w:lineRule="exact"/>
              <w:ind w:left="21" w:right="0"/>
              <w:contextualSpacing/>
              <w:rPr>
                <w:rFonts w:hint="eastAsia" w:ascii="宋体" w:hAnsi="宋体" w:cs="Arial"/>
                <w:color w:val="auto"/>
                <w:sz w:val="24"/>
                <w:highlight w:val="none"/>
                <w:lang w:eastAsia="zh-CN"/>
              </w:rPr>
            </w:pPr>
            <w:r>
              <w:rPr>
                <w:rFonts w:hint="eastAsia" w:cs="Times New Roman" w:asciiTheme="minorEastAsia" w:hAnsiTheme="minorEastAsia" w:eastAsiaTheme="minorEastAsia"/>
                <w:color w:val="auto"/>
                <w:sz w:val="24"/>
                <w:highlight w:val="none"/>
              </w:rPr>
              <w:t>地址：台州市椒江区机场北路451</w:t>
            </w:r>
            <w:r>
              <w:rPr>
                <w:rFonts w:hint="eastAsia" w:ascii="宋体" w:hAnsi="宋体" w:cs="Arial"/>
                <w:color w:val="auto"/>
                <w:sz w:val="24"/>
                <w:highlight w:val="none"/>
              </w:rPr>
              <w:t>号</w:t>
            </w:r>
          </w:p>
        </w:tc>
      </w:tr>
      <w:tr w14:paraId="5E3324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Merge w:val="continue"/>
            <w:vAlign w:val="center"/>
          </w:tcPr>
          <w:p w14:paraId="2B1966DD">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p>
        </w:tc>
        <w:tc>
          <w:tcPr>
            <w:tcW w:w="8874" w:type="dxa"/>
            <w:gridSpan w:val="2"/>
            <w:vAlign w:val="center"/>
          </w:tcPr>
          <w:p w14:paraId="4F12CD38">
            <w:pPr>
              <w:keepNext w:val="0"/>
              <w:keepLines w:val="0"/>
              <w:suppressLineNumbers w:val="0"/>
              <w:tabs>
                <w:tab w:val="left" w:pos="1580"/>
                <w:tab w:val="left" w:pos="3436"/>
                <w:tab w:val="left" w:pos="5512"/>
              </w:tabs>
              <w:spacing w:before="0" w:beforeAutospacing="0" w:after="0" w:afterAutospacing="0" w:line="440" w:lineRule="exact"/>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w:t>
            </w:r>
            <w:r>
              <w:rPr>
                <w:rFonts w:hint="default" w:asciiTheme="minorEastAsia" w:hAnsiTheme="minorEastAsia" w:eastAsiaTheme="minorEastAsia"/>
                <w:color w:val="auto"/>
                <w:sz w:val="24"/>
                <w:highlight w:val="none"/>
              </w:rPr>
              <w:t>代理机构：中冠工程管理咨询有限公司</w:t>
            </w:r>
          </w:p>
          <w:p w14:paraId="05A5AE57">
            <w:pPr>
              <w:keepNext w:val="0"/>
              <w:keepLines w:val="0"/>
              <w:suppressLineNumbers w:val="0"/>
              <w:tabs>
                <w:tab w:val="left" w:pos="1300"/>
              </w:tabs>
              <w:spacing w:before="0" w:beforeAutospacing="0" w:after="0" w:afterAutospacing="0" w:line="440" w:lineRule="exact"/>
              <w:ind w:left="21"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rPr>
              <w:t>戴艳燕、陈金泉、王莎莎</w:t>
            </w:r>
          </w:p>
          <w:p w14:paraId="5901E6DE">
            <w:pPr>
              <w:keepNext w:val="0"/>
              <w:keepLines w:val="0"/>
              <w:suppressLineNumbers w:val="0"/>
              <w:spacing w:before="0" w:beforeAutospacing="0" w:after="0" w:afterAutospacing="0" w:line="440" w:lineRule="exact"/>
              <w:ind w:left="0" w:right="0"/>
              <w:contextualSpacing/>
              <w:rPr>
                <w:rFonts w:hint="default" w:cs="Arial"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电话：</w:t>
            </w:r>
            <w:r>
              <w:rPr>
                <w:rFonts w:hint="default" w:cs="Arial" w:asciiTheme="minorEastAsia" w:hAnsiTheme="minorEastAsia" w:eastAsiaTheme="minorEastAsia"/>
                <w:color w:val="auto"/>
                <w:sz w:val="24"/>
                <w:highlight w:val="none"/>
              </w:rPr>
              <w:t>0576-81810227、18968407875</w:t>
            </w:r>
            <w:r>
              <w:rPr>
                <w:rFonts w:hint="eastAsia" w:asciiTheme="minorEastAsia" w:hAnsiTheme="minorEastAsia" w:eastAsiaTheme="minorEastAsia"/>
                <w:color w:val="auto"/>
                <w:sz w:val="24"/>
                <w:highlight w:val="none"/>
              </w:rPr>
              <w:t xml:space="preserve">  </w:t>
            </w:r>
          </w:p>
          <w:p w14:paraId="293C28E1">
            <w:pPr>
              <w:keepNext w:val="0"/>
              <w:keepLines w:val="0"/>
              <w:suppressLineNumbers w:val="0"/>
              <w:spacing w:before="0" w:beforeAutospacing="0" w:after="0" w:afterAutospacing="0" w:line="440" w:lineRule="exact"/>
              <w:ind w:left="0" w:right="0"/>
              <w:contextualSpacing/>
              <w:rPr>
                <w:rFonts w:hint="default"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地址：浙江省台州市椒江区东海大道</w:t>
            </w:r>
            <w:r>
              <w:rPr>
                <w:rFonts w:hint="default" w:cs="Arial" w:asciiTheme="minorEastAsia" w:hAnsiTheme="minorEastAsia" w:eastAsiaTheme="minorEastAsia"/>
                <w:color w:val="auto"/>
                <w:sz w:val="24"/>
                <w:highlight w:val="none"/>
              </w:rPr>
              <w:t>378号4楼</w:t>
            </w:r>
          </w:p>
        </w:tc>
      </w:tr>
      <w:tr w14:paraId="677F7A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10119E2E">
            <w:pPr>
              <w:keepNext w:val="0"/>
              <w:keepLines w:val="0"/>
              <w:suppressLineNumbers w:val="0"/>
              <w:spacing w:before="0" w:beforeAutospacing="0" w:after="0" w:afterAutospacing="0" w:line="360" w:lineRule="exact"/>
              <w:ind w:left="0"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p>
        </w:tc>
        <w:tc>
          <w:tcPr>
            <w:tcW w:w="8874" w:type="dxa"/>
            <w:gridSpan w:val="2"/>
            <w:tcBorders>
              <w:top w:val="single" w:color="auto" w:sz="4" w:space="0"/>
              <w:bottom w:val="single" w:color="auto" w:sz="2" w:space="0"/>
            </w:tcBorders>
            <w:vAlign w:val="center"/>
          </w:tcPr>
          <w:p w14:paraId="54BDA103">
            <w:pPr>
              <w:keepNext w:val="0"/>
              <w:keepLines w:val="0"/>
              <w:suppressLineNumbers w:val="0"/>
              <w:spacing w:before="0" w:beforeAutospacing="0" w:after="0" w:afterAutospacing="0" w:line="440" w:lineRule="exact"/>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经批准的本次采购人式：公开招标</w:t>
            </w:r>
          </w:p>
        </w:tc>
      </w:tr>
      <w:tr w14:paraId="2E7AFF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4A18D600">
            <w:pPr>
              <w:keepNext w:val="0"/>
              <w:keepLines w:val="0"/>
              <w:suppressLineNumbers w:val="0"/>
              <w:spacing w:before="0" w:beforeAutospacing="0" w:after="0" w:afterAutospacing="0" w:line="360" w:lineRule="exact"/>
              <w:ind w:left="0"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p>
        </w:tc>
        <w:tc>
          <w:tcPr>
            <w:tcW w:w="8874" w:type="dxa"/>
            <w:gridSpan w:val="2"/>
            <w:tcBorders>
              <w:top w:val="single" w:color="auto" w:sz="4" w:space="0"/>
              <w:bottom w:val="single" w:color="auto" w:sz="2" w:space="0"/>
            </w:tcBorders>
            <w:vAlign w:val="center"/>
          </w:tcPr>
          <w:p w14:paraId="0C917EC4">
            <w:pPr>
              <w:keepNext w:val="0"/>
              <w:keepLines w:val="0"/>
              <w:suppressLineNumbers w:val="0"/>
              <w:spacing w:before="0" w:beforeAutospacing="0" w:after="0" w:afterAutospacing="0" w:line="440" w:lineRule="exact"/>
              <w:ind w:left="0" w:right="0"/>
              <w:contextualSpacing/>
              <w:rPr>
                <w:rFonts w:hint="default" w:cs="Arial" w:asciiTheme="minorEastAsia" w:hAnsiTheme="minorEastAsia" w:eastAsiaTheme="minorEastAsia"/>
                <w:bCs/>
                <w:color w:val="auto"/>
                <w:sz w:val="24"/>
                <w:highlight w:val="none"/>
              </w:rPr>
            </w:pPr>
            <w:r>
              <w:rPr>
                <w:rFonts w:hint="eastAsia" w:cs="Arial" w:asciiTheme="minorEastAsia" w:hAnsiTheme="minorEastAsia" w:eastAsiaTheme="minorEastAsia"/>
                <w:bCs/>
                <w:color w:val="auto"/>
                <w:sz w:val="24"/>
                <w:highlight w:val="none"/>
              </w:rPr>
              <w:t>投标人</w:t>
            </w:r>
            <w:r>
              <w:rPr>
                <w:rFonts w:hint="default" w:cs="Arial" w:asciiTheme="minorEastAsia" w:hAnsiTheme="minorEastAsia" w:eastAsiaTheme="minorEastAsia"/>
                <w:bCs/>
                <w:color w:val="auto"/>
                <w:sz w:val="24"/>
                <w:highlight w:val="none"/>
              </w:rPr>
              <w:t>的资格要求：</w:t>
            </w:r>
            <w:r>
              <w:rPr>
                <w:rFonts w:hint="eastAsia" w:asciiTheme="minorEastAsia" w:hAnsiTheme="minorEastAsia" w:eastAsiaTheme="minorEastAsia"/>
                <w:color w:val="auto"/>
                <w:sz w:val="24"/>
                <w:highlight w:val="none"/>
              </w:rPr>
              <w:t>详见“第一部分 采购</w:t>
            </w:r>
            <w:r>
              <w:rPr>
                <w:rFonts w:hint="default" w:asciiTheme="minorEastAsia" w:hAnsiTheme="minorEastAsia" w:eastAsiaTheme="minorEastAsia"/>
                <w:color w:val="auto"/>
                <w:sz w:val="24"/>
                <w:highlight w:val="none"/>
              </w:rPr>
              <w:t>公告</w:t>
            </w:r>
            <w:r>
              <w:rPr>
                <w:rFonts w:hint="eastAsia" w:asciiTheme="minorEastAsia" w:hAnsiTheme="minorEastAsia" w:eastAsiaTheme="minorEastAsia"/>
                <w:color w:val="auto"/>
                <w:sz w:val="24"/>
                <w:highlight w:val="none"/>
              </w:rPr>
              <w:t>”。</w:t>
            </w:r>
          </w:p>
        </w:tc>
      </w:tr>
      <w:tr w14:paraId="43F489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0CCD7DBE">
            <w:pPr>
              <w:keepNext w:val="0"/>
              <w:keepLines w:val="0"/>
              <w:suppressLineNumbers w:val="0"/>
              <w:spacing w:before="0" w:beforeAutospacing="0" w:after="0" w:afterAutospacing="0" w:line="360" w:lineRule="exact"/>
              <w:ind w:left="0"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p>
        </w:tc>
        <w:tc>
          <w:tcPr>
            <w:tcW w:w="8874" w:type="dxa"/>
            <w:gridSpan w:val="2"/>
            <w:tcBorders>
              <w:top w:val="single" w:color="auto" w:sz="4" w:space="0"/>
              <w:bottom w:val="single" w:color="auto" w:sz="2" w:space="0"/>
            </w:tcBorders>
            <w:vAlign w:val="center"/>
          </w:tcPr>
          <w:p w14:paraId="3B457DC5">
            <w:pPr>
              <w:keepNext w:val="0"/>
              <w:keepLines w:val="0"/>
              <w:suppressLineNumbers w:val="0"/>
              <w:spacing w:before="0" w:beforeAutospacing="0" w:after="0" w:afterAutospacing="0" w:line="440" w:lineRule="exact"/>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资格审查：本项目采用资格后审。</w:t>
            </w:r>
          </w:p>
        </w:tc>
      </w:tr>
      <w:tr w14:paraId="53E303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758A3A3D">
            <w:pPr>
              <w:keepNext w:val="0"/>
              <w:keepLines w:val="0"/>
              <w:suppressLineNumbers w:val="0"/>
              <w:tabs>
                <w:tab w:val="left" w:pos="1580"/>
                <w:tab w:val="left" w:pos="3436"/>
                <w:tab w:val="left" w:pos="5512"/>
              </w:tabs>
              <w:spacing w:before="0" w:beforeAutospacing="0" w:after="0" w:afterAutospacing="0" w:line="360" w:lineRule="exact"/>
              <w:ind w:left="21"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w:t>
            </w:r>
          </w:p>
        </w:tc>
        <w:tc>
          <w:tcPr>
            <w:tcW w:w="8874" w:type="dxa"/>
            <w:gridSpan w:val="2"/>
            <w:vAlign w:val="center"/>
          </w:tcPr>
          <w:p w14:paraId="085968F8">
            <w:pPr>
              <w:keepNext w:val="0"/>
              <w:keepLines w:val="0"/>
              <w:suppressLineNumbers w:val="0"/>
              <w:spacing w:before="0" w:beforeAutospacing="0" w:after="0" w:afterAutospacing="0" w:line="440" w:lineRule="exact"/>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商务条款资料部分：见“第五部分 采购内容及要求”</w:t>
            </w:r>
          </w:p>
        </w:tc>
      </w:tr>
      <w:tr w14:paraId="59E1AA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4F418963">
            <w:pPr>
              <w:keepNext w:val="0"/>
              <w:keepLines w:val="0"/>
              <w:suppressLineNumbers w:val="0"/>
              <w:tabs>
                <w:tab w:val="left" w:pos="1580"/>
                <w:tab w:val="left" w:pos="3436"/>
                <w:tab w:val="left" w:pos="5512"/>
              </w:tabs>
              <w:spacing w:before="0" w:beforeAutospacing="0" w:after="0" w:afterAutospacing="0" w:line="360" w:lineRule="exact"/>
              <w:ind w:left="21"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p>
        </w:tc>
        <w:tc>
          <w:tcPr>
            <w:tcW w:w="8874" w:type="dxa"/>
            <w:gridSpan w:val="2"/>
            <w:vAlign w:val="center"/>
          </w:tcPr>
          <w:p w14:paraId="7EFB3FCD">
            <w:pPr>
              <w:keepNext w:val="0"/>
              <w:keepLines w:val="0"/>
              <w:suppressLineNumbers w:val="0"/>
              <w:spacing w:before="0" w:beforeAutospacing="0" w:after="0" w:afterAutospacing="0" w:line="440" w:lineRule="exact"/>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投标报价：</w:t>
            </w:r>
          </w:p>
          <w:p w14:paraId="64378E83">
            <w:pPr>
              <w:pStyle w:val="21"/>
              <w:keepNext w:val="0"/>
              <w:keepLines w:val="0"/>
              <w:numPr>
                <w:ilvl w:val="0"/>
                <w:numId w:val="6"/>
              </w:numPr>
              <w:suppressLineNumbers w:val="0"/>
              <w:spacing w:before="0" w:beforeAutospacing="0" w:after="0" w:afterAutospacing="0" w:line="440" w:lineRule="exact"/>
              <w:ind w:left="0" w:right="0" w:firstLine="0"/>
              <w:jc w:val="left"/>
              <w:rPr>
                <w:rFonts w:hint="eastAsia" w:asciiTheme="minorEastAsia" w:hAnsiTheme="minorEastAsia" w:eastAsiaTheme="minorEastAsia"/>
                <w:b/>
                <w:bCs w:val="0"/>
                <w:color w:val="auto"/>
                <w:sz w:val="24"/>
                <w:highlight w:val="none"/>
                <w:lang w:val="en-US" w:eastAsia="zh-CN"/>
              </w:rPr>
            </w:pPr>
            <w:r>
              <w:rPr>
                <w:rFonts w:hint="eastAsia" w:asciiTheme="minorEastAsia" w:hAnsiTheme="minorEastAsia" w:eastAsiaTheme="minorEastAsia"/>
                <w:b/>
                <w:color w:val="auto"/>
                <w:sz w:val="24"/>
                <w:highlight w:val="none"/>
              </w:rPr>
              <w:t>最高限价：本项目按结算率报价</w:t>
            </w:r>
            <w:r>
              <w:rPr>
                <w:rFonts w:hint="eastAsia" w:asciiTheme="minorEastAsia" w:hAnsiTheme="minorEastAsia" w:eastAsiaTheme="minorEastAsia"/>
                <w:b/>
                <w:bCs w:val="0"/>
                <w:color w:val="auto"/>
                <w:sz w:val="24"/>
                <w:highlight w:val="none"/>
                <w:lang w:val="en-US" w:eastAsia="zh-CN"/>
              </w:rPr>
              <w:t>。每项产品的最终结算单价不得超过采购需求上限单价（最终结算单价=采购需求上限单价*结算率）。</w:t>
            </w:r>
          </w:p>
          <w:p w14:paraId="2A992BC8">
            <w:pPr>
              <w:pStyle w:val="21"/>
              <w:keepNext w:val="0"/>
              <w:keepLines w:val="0"/>
              <w:suppressLineNumbers w:val="0"/>
              <w:spacing w:before="0" w:beforeAutospacing="0" w:after="0" w:afterAutospacing="0" w:line="440" w:lineRule="exact"/>
              <w:ind w:left="0" w:right="0"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投标报价包含实现本项目的所有功能及安全保障工作所需费用，其应包括（但不限于）材料、设备、劳务、人员工资、奖金、各种加班费、食宿与交通、手续审批、安全、管理、质保、保险、利润、税金、验收费用、招标代理服务费、政策性文件规定及合同包含的所有风险、责任等所有费用（即整个项目直至履约完成，采购人不再另行支付费用）全部费用已包含在开标一览表的投标总报价中。</w:t>
            </w:r>
          </w:p>
          <w:p w14:paraId="2F1CACFB">
            <w:pPr>
              <w:pStyle w:val="21"/>
              <w:keepNext w:val="0"/>
              <w:keepLines w:val="0"/>
              <w:suppressLineNumbers w:val="0"/>
              <w:spacing w:before="0" w:beforeAutospacing="0" w:after="0" w:afterAutospacing="0" w:line="440" w:lineRule="exact"/>
              <w:ind w:left="0" w:right="0" w:firstLine="0"/>
              <w:jc w:val="left"/>
              <w:rPr>
                <w:rFonts w:hint="default"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3、不论中标结果如何，投标人均应自行承担所有与投标有关的全部费用。</w:t>
            </w:r>
          </w:p>
        </w:tc>
      </w:tr>
      <w:tr w14:paraId="6530C8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6" w:hRule="atLeast"/>
          <w:jc w:val="center"/>
        </w:trPr>
        <w:tc>
          <w:tcPr>
            <w:tcW w:w="823" w:type="dxa"/>
            <w:vAlign w:val="center"/>
          </w:tcPr>
          <w:p w14:paraId="59DD2703">
            <w:pPr>
              <w:keepNext w:val="0"/>
              <w:keepLines w:val="0"/>
              <w:suppressLineNumbers w:val="0"/>
              <w:tabs>
                <w:tab w:val="left" w:pos="1580"/>
                <w:tab w:val="left" w:pos="3436"/>
                <w:tab w:val="left" w:pos="5512"/>
              </w:tabs>
              <w:spacing w:before="0" w:beforeAutospacing="0" w:after="0" w:afterAutospacing="0" w:line="360" w:lineRule="exact"/>
              <w:ind w:left="21" w:right="0"/>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w:t>
            </w:r>
          </w:p>
        </w:tc>
        <w:tc>
          <w:tcPr>
            <w:tcW w:w="8874" w:type="dxa"/>
            <w:gridSpan w:val="2"/>
            <w:vAlign w:val="center"/>
          </w:tcPr>
          <w:p w14:paraId="72E7446B">
            <w:pPr>
              <w:keepNext w:val="0"/>
              <w:keepLines w:val="0"/>
              <w:suppressLineNumbers w:val="0"/>
              <w:autoSpaceDE w:val="0"/>
              <w:autoSpaceDN w:val="0"/>
              <w:snapToGrid w:val="0"/>
              <w:spacing w:before="0" w:beforeAutospacing="0" w:after="0" w:afterAutospacing="0" w:line="440" w:lineRule="exact"/>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投标有效期：开标之日起90日历天。</w:t>
            </w:r>
          </w:p>
        </w:tc>
      </w:tr>
      <w:tr w14:paraId="5AF024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bottom w:val="single" w:color="auto" w:sz="2" w:space="0"/>
            </w:tcBorders>
            <w:vAlign w:val="center"/>
          </w:tcPr>
          <w:p w14:paraId="7615EEFC">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8</w:t>
            </w:r>
          </w:p>
        </w:tc>
        <w:tc>
          <w:tcPr>
            <w:tcW w:w="8874" w:type="dxa"/>
            <w:gridSpan w:val="2"/>
            <w:vAlign w:val="center"/>
          </w:tcPr>
          <w:p w14:paraId="56C607EC">
            <w:pPr>
              <w:keepNext w:val="0"/>
              <w:keepLines w:val="0"/>
              <w:suppressLineNumbers w:val="0"/>
              <w:spacing w:before="0" w:beforeAutospacing="0" w:after="0" w:afterAutospacing="0" w:line="440" w:lineRule="exact"/>
              <w:ind w:left="0" w:right="0"/>
              <w:jc w:val="left"/>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投标文件的制作和投标：</w:t>
            </w:r>
          </w:p>
          <w:p w14:paraId="278A25D2">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请投标供应商在投标前仔细阅读“政府采购项目电子交易操作指南”。</w:t>
            </w:r>
          </w:p>
          <w:p w14:paraId="5321AD83">
            <w:pPr>
              <w:pStyle w:val="21"/>
              <w:keepNext w:val="0"/>
              <w:keepLines w:val="0"/>
              <w:suppressLineNumbers w:val="0"/>
              <w:spacing w:before="0" w:beforeAutospacing="0" w:after="0" w:afterAutospacing="0" w:line="440" w:lineRule="exact"/>
              <w:ind w:left="105" w:leftChars="5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w:t>
            </w:r>
            <w:r>
              <w:rPr>
                <w:rFonts w:hint="default" w:cs="Times New Roman" w:asciiTheme="minorEastAsia" w:hAnsiTheme="minorEastAsia" w:eastAsiaTheme="minorEastAsia"/>
                <w:color w:val="auto"/>
                <w:sz w:val="24"/>
                <w:szCs w:val="24"/>
                <w:highlight w:val="none"/>
              </w:rPr>
              <w:t>投标文件的制作：投标供应商按照本项目</w:t>
            </w:r>
            <w:r>
              <w:rPr>
                <w:rFonts w:hint="eastAsia" w:cs="Times New Roman" w:asciiTheme="minorEastAsia" w:hAnsiTheme="minorEastAsia" w:eastAsiaTheme="minorEastAsia"/>
                <w:color w:val="auto"/>
                <w:sz w:val="24"/>
                <w:szCs w:val="24"/>
                <w:highlight w:val="none"/>
              </w:rPr>
              <w:t>采购</w:t>
            </w:r>
            <w:r>
              <w:rPr>
                <w:rFonts w:hint="default" w:cs="Times New Roman" w:asciiTheme="minorEastAsia" w:hAnsiTheme="minorEastAsia" w:eastAsiaTheme="minorEastAsia"/>
                <w:color w:val="auto"/>
                <w:sz w:val="24"/>
                <w:szCs w:val="24"/>
                <w:highlight w:val="none"/>
              </w:rPr>
              <w:t>文件和政采云平台的要求,通过“政采云电子交易客户端”编制、加密并递交投标文件（下载网址：https://zfcg.czt.zj.gov.cn/download/index.html）。</w:t>
            </w:r>
          </w:p>
          <w:p w14:paraId="2A6689A9">
            <w:pPr>
              <w:pStyle w:val="21"/>
              <w:keepNext w:val="0"/>
              <w:keepLines w:val="0"/>
              <w:suppressLineNumbers w:val="0"/>
              <w:spacing w:before="0" w:beforeAutospacing="0" w:after="0" w:afterAutospacing="0" w:line="440" w:lineRule="exact"/>
              <w:ind w:left="105" w:leftChars="5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2</w:t>
            </w:r>
            <w:r>
              <w:rPr>
                <w:rFonts w:hint="eastAsia" w:cs="Times New Roman" w:asciiTheme="minorEastAsia" w:hAnsiTheme="minorEastAsia" w:eastAsiaTheme="minorEastAsia"/>
                <w:color w:val="auto"/>
                <w:sz w:val="24"/>
                <w:szCs w:val="24"/>
                <w:highlight w:val="none"/>
              </w:rPr>
              <w:t>、</w:t>
            </w:r>
            <w:r>
              <w:rPr>
                <w:rFonts w:hint="default" w:cs="Times New Roman" w:asciiTheme="minorEastAsia" w:hAnsiTheme="minorEastAsia" w:eastAsiaTheme="minorEastAsia"/>
                <w:color w:val="auto"/>
                <w:sz w:val="24"/>
                <w:szCs w:val="24"/>
                <w:highlight w:val="none"/>
              </w:rPr>
              <w:t>投标：投标供应商应当在投标截止时间前完成投标文件的传输递交，逾期上传的投标文件恕不接受。补充或者修改投标文件的，应当先行撤回原文件，补充、修改后重新传输递交。投标截止时间前未完成上传的，视为撤回投标文件。</w:t>
            </w:r>
          </w:p>
          <w:p w14:paraId="597F884F">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3</w:t>
            </w:r>
            <w:r>
              <w:rPr>
                <w:rFonts w:hint="eastAsia" w:cs="Times New Roman" w:asciiTheme="minorEastAsia" w:hAnsiTheme="minorEastAsia" w:eastAsiaTheme="minorEastAsia"/>
                <w:color w:val="auto"/>
                <w:sz w:val="24"/>
                <w:szCs w:val="24"/>
                <w:highlight w:val="none"/>
              </w:rPr>
              <w:t>、</w:t>
            </w:r>
            <w:r>
              <w:rPr>
                <w:rFonts w:hint="default" w:cs="Times New Roman" w:asciiTheme="minorEastAsia" w:hAnsiTheme="minorEastAsia" w:eastAsiaTheme="minorEastAsia"/>
                <w:color w:val="auto"/>
                <w:sz w:val="24"/>
                <w:szCs w:val="24"/>
                <w:highlight w:val="none"/>
              </w:rPr>
              <w:t>投标文件解密：投标供应商应在开标后30分钟内完成解密。</w:t>
            </w:r>
          </w:p>
          <w:p w14:paraId="0D8F3E2A">
            <w:pPr>
              <w:pStyle w:val="21"/>
              <w:keepNext w:val="0"/>
              <w:keepLines w:val="0"/>
              <w:suppressLineNumbers w:val="0"/>
              <w:spacing w:before="0" w:beforeAutospacing="0" w:after="0" w:afterAutospacing="0" w:line="440" w:lineRule="exact"/>
              <w:ind w:left="0" w:right="0" w:firstLine="0"/>
              <w:jc w:val="left"/>
              <w:rPr>
                <w:rFonts w:hint="default" w:asciiTheme="minorEastAsia" w:hAnsiTheme="minorEastAsia" w:eastAsiaTheme="minorEastAsia"/>
                <w:color w:val="auto"/>
                <w:kern w:val="0"/>
                <w:sz w:val="24"/>
                <w:szCs w:val="24"/>
                <w:highlight w:val="none"/>
              </w:rPr>
            </w:pPr>
            <w:r>
              <w:rPr>
                <w:rFonts w:hint="eastAsia" w:cs="Times New Roman" w:asciiTheme="minorEastAsia" w:hAnsiTheme="minorEastAsia" w:eastAsiaTheme="minorEastAsia"/>
                <w:color w:val="auto"/>
                <w:sz w:val="24"/>
                <w:szCs w:val="24"/>
                <w:highlight w:val="none"/>
              </w:rPr>
              <w:t>4、中标供应商中标后需提供纸质投标文件给采购人作为备案存档，纸质投标文件系电子投标文件纸质版，两者内容应一致；数量为：资格证明文件2份；资格及商务技术文件2份；报价文件2份。</w:t>
            </w:r>
          </w:p>
        </w:tc>
      </w:tr>
      <w:tr w14:paraId="1BAA44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bottom w:val="single" w:color="auto" w:sz="2" w:space="0"/>
            </w:tcBorders>
            <w:vAlign w:val="center"/>
          </w:tcPr>
          <w:p w14:paraId="2337BEED">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9</w:t>
            </w:r>
          </w:p>
        </w:tc>
        <w:tc>
          <w:tcPr>
            <w:tcW w:w="8874" w:type="dxa"/>
            <w:gridSpan w:val="2"/>
            <w:vAlign w:val="center"/>
          </w:tcPr>
          <w:p w14:paraId="5AC69954">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投标文件组成与份数：</w:t>
            </w:r>
          </w:p>
          <w:p w14:paraId="3BA8B1DB">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1、上传到政府采购云平台的电子加密投标文件（含资格证明文件、技术商务文件、报价文件）1份。</w:t>
            </w:r>
          </w:p>
          <w:p w14:paraId="06162001">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2、电子备份投标文件（含资格证明文件、技术商务文件、报价文件）1份。备份投标文件是通过政采云电子交易客户端制作投标文件产生的备份文件，请投标供应商自行妥善保管。</w:t>
            </w:r>
          </w:p>
          <w:p w14:paraId="3D31E6D1">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（1）使用前提：投标供应商自行在线解密操作失败无法按时寻求技术人员帮助解密，或者投标供应商寻求技术人员帮助仍无法按时完成解密。</w:t>
            </w:r>
          </w:p>
          <w:p w14:paraId="0820B754">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（2）递交截止时间：同投标截止时间。</w:t>
            </w:r>
          </w:p>
          <w:p w14:paraId="3E8207A4">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（3）投递邮箱：</w:t>
            </w:r>
            <w:r>
              <w:rPr>
                <w:rFonts w:hint="default"/>
                <w:color w:val="auto"/>
                <w:highlight w:val="none"/>
              </w:rPr>
              <w:fldChar w:fldCharType="begin"/>
            </w:r>
            <w:r>
              <w:rPr>
                <w:rFonts w:hint="default"/>
                <w:color w:val="auto"/>
                <w:highlight w:val="none"/>
              </w:rPr>
              <w:instrText xml:space="preserve"> HYPERLINK "mailto:zgtzfgs@163.com" </w:instrText>
            </w:r>
            <w:r>
              <w:rPr>
                <w:rFonts w:hint="default"/>
                <w:color w:val="auto"/>
                <w:highlight w:val="none"/>
              </w:rPr>
              <w:fldChar w:fldCharType="separate"/>
            </w:r>
            <w:r>
              <w:rPr>
                <w:rFonts w:hint="eastAsia" w:cs="Times New Roman" w:asciiTheme="minorEastAsia" w:hAnsiTheme="minorEastAsia" w:eastAsiaTheme="minorEastAsia"/>
                <w:b/>
                <w:color w:val="auto"/>
                <w:sz w:val="24"/>
                <w:szCs w:val="24"/>
                <w:highlight w:val="none"/>
              </w:rPr>
              <w:t>zgtzfgs@163.com</w:t>
            </w:r>
            <w:r>
              <w:rPr>
                <w:rFonts w:hint="eastAsia" w:cs="Times New Roman" w:asciiTheme="minorEastAsia" w:hAnsiTheme="minorEastAsia" w:eastAsiaTheme="minorEastAsia"/>
                <w:b/>
                <w:color w:val="auto"/>
                <w:sz w:val="24"/>
                <w:szCs w:val="24"/>
                <w:highlight w:val="none"/>
              </w:rPr>
              <w:fldChar w:fldCharType="end"/>
            </w:r>
            <w:r>
              <w:rPr>
                <w:rFonts w:hint="eastAsia" w:cs="Times New Roman" w:asciiTheme="minorEastAsia" w:hAnsiTheme="minorEastAsia" w:eastAsiaTheme="minorEastAsia"/>
                <w:b/>
                <w:color w:val="auto"/>
                <w:sz w:val="24"/>
                <w:szCs w:val="24"/>
                <w:highlight w:val="none"/>
              </w:rPr>
              <w:t>。</w:t>
            </w:r>
          </w:p>
          <w:p w14:paraId="3EDF8126">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（4）备份投标文件由供应商自行确定是否提交，因备份投标文件未加密而造成失密等情况，采购代理机构概不负责。未在系统上提交投标文件而仅提交备份投标文件的，其投标无效。</w:t>
            </w:r>
          </w:p>
        </w:tc>
      </w:tr>
      <w:tr w14:paraId="043A89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2" w:hRule="atLeast"/>
          <w:jc w:val="center"/>
        </w:trPr>
        <w:tc>
          <w:tcPr>
            <w:tcW w:w="823" w:type="dxa"/>
            <w:tcBorders>
              <w:top w:val="single" w:color="auto" w:sz="2" w:space="0"/>
            </w:tcBorders>
            <w:vAlign w:val="center"/>
          </w:tcPr>
          <w:p w14:paraId="4D3CA0A8">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10</w:t>
            </w:r>
          </w:p>
        </w:tc>
        <w:tc>
          <w:tcPr>
            <w:tcW w:w="8874" w:type="dxa"/>
            <w:gridSpan w:val="2"/>
            <w:tcBorders>
              <w:top w:val="single" w:color="auto" w:sz="2" w:space="0"/>
            </w:tcBorders>
            <w:vAlign w:val="center"/>
          </w:tcPr>
          <w:p w14:paraId="2CCE08C0">
            <w:pPr>
              <w:keepNext w:val="0"/>
              <w:keepLines w:val="0"/>
              <w:suppressLineNumbers w:val="0"/>
              <w:autoSpaceDE w:val="0"/>
              <w:autoSpaceDN w:val="0"/>
              <w:snapToGrid w:val="0"/>
              <w:spacing w:before="0" w:beforeAutospacing="0" w:after="0" w:afterAutospacing="0" w:line="440" w:lineRule="exact"/>
              <w:ind w:left="0" w:right="0"/>
              <w:contextualSpacing/>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采购公告与中标公告发布网站：</w:t>
            </w:r>
            <w:r>
              <w:rPr>
                <w:rFonts w:hint="eastAsia" w:cs="Arial" w:asciiTheme="minorEastAsia" w:hAnsiTheme="minorEastAsia" w:eastAsiaTheme="minorEastAsia"/>
                <w:color w:val="auto"/>
                <w:sz w:val="24"/>
                <w:highlight w:val="none"/>
              </w:rPr>
              <w:t>浙江政府采购网（</w:t>
            </w:r>
            <w:r>
              <w:rPr>
                <w:rFonts w:hint="eastAsia" w:cs="宋体" w:asciiTheme="minorEastAsia" w:hAnsiTheme="minorEastAsia" w:eastAsiaTheme="minorEastAsia"/>
                <w:color w:val="auto"/>
                <w:sz w:val="24"/>
                <w:highlight w:val="none"/>
              </w:rPr>
              <w:t>www.zcygov.cn</w:t>
            </w:r>
            <w:r>
              <w:rPr>
                <w:rFonts w:hint="eastAsia" w:cs="Arial" w:asciiTheme="minorEastAsia" w:hAnsiTheme="minorEastAsia" w:eastAsiaTheme="minorEastAsia"/>
                <w:color w:val="auto"/>
                <w:sz w:val="24"/>
                <w:highlight w:val="none"/>
              </w:rPr>
              <w:t>）。</w:t>
            </w:r>
          </w:p>
        </w:tc>
      </w:tr>
      <w:tr w14:paraId="1E528B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90" w:hRule="atLeast"/>
          <w:jc w:val="center"/>
        </w:trPr>
        <w:tc>
          <w:tcPr>
            <w:tcW w:w="823" w:type="dxa"/>
            <w:tcBorders>
              <w:top w:val="single" w:color="auto" w:sz="2" w:space="0"/>
            </w:tcBorders>
            <w:vAlign w:val="center"/>
          </w:tcPr>
          <w:p w14:paraId="5EF6782D">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11</w:t>
            </w:r>
          </w:p>
        </w:tc>
        <w:tc>
          <w:tcPr>
            <w:tcW w:w="8874" w:type="dxa"/>
            <w:gridSpan w:val="2"/>
            <w:tcBorders>
              <w:top w:val="single" w:color="auto" w:sz="2" w:space="0"/>
            </w:tcBorders>
            <w:vAlign w:val="center"/>
          </w:tcPr>
          <w:p w14:paraId="13515472">
            <w:pPr>
              <w:keepNext w:val="0"/>
              <w:keepLines w:val="0"/>
              <w:suppressLineNumbers w:val="0"/>
              <w:autoSpaceDE w:val="0"/>
              <w:autoSpaceDN w:val="0"/>
              <w:snapToGrid w:val="0"/>
              <w:spacing w:before="0" w:beforeAutospacing="0" w:after="0" w:afterAutospacing="0" w:line="440" w:lineRule="exact"/>
              <w:ind w:left="0" w:right="0"/>
              <w:contextualSpacing/>
              <w:jc w:val="left"/>
              <w:rPr>
                <w:rFonts w:hint="default" w:asciiTheme="minorEastAsia" w:hAnsiTheme="minorEastAsia" w:eastAsiaTheme="minorEastAsia"/>
                <w:color w:val="auto"/>
                <w:sz w:val="24"/>
                <w:highlight w:val="none"/>
              </w:rPr>
            </w:pPr>
            <w:r>
              <w:rPr>
                <w:rFonts w:hint="eastAsia" w:ascii="宋体" w:hAnsi="宋体" w:cs="宋体"/>
                <w:color w:val="auto"/>
                <w:sz w:val="24"/>
                <w:highlight w:val="none"/>
              </w:rPr>
              <w:t>信用信息查询渠道</w:t>
            </w:r>
            <w:r>
              <w:rPr>
                <w:rFonts w:hint="eastAsia" w:asciiTheme="minorEastAsia" w:hAnsiTheme="minorEastAsia" w:eastAsiaTheme="minorEastAsia"/>
                <w:color w:val="auto"/>
                <w:sz w:val="24"/>
                <w:highlight w:val="none"/>
              </w:rPr>
              <w:t>：</w:t>
            </w:r>
            <w:r>
              <w:rPr>
                <w:rFonts w:hint="default" w:asciiTheme="minorEastAsia" w:hAnsiTheme="minorEastAsia" w:eastAsiaTheme="minorEastAsia"/>
                <w:color w:val="auto"/>
                <w:sz w:val="24"/>
                <w:highlight w:val="none"/>
              </w:rPr>
              <w:t>信用中国网站（www.creditchina.gov.cn）、中国政府采购网（www.ccgp.gov.cn）</w:t>
            </w:r>
            <w:r>
              <w:rPr>
                <w:rFonts w:hint="eastAsia" w:asciiTheme="minorEastAsia" w:hAnsiTheme="minorEastAsia" w:eastAsiaTheme="minorEastAsia"/>
                <w:color w:val="auto"/>
                <w:sz w:val="24"/>
                <w:highlight w:val="none"/>
              </w:rPr>
              <w:t>。</w:t>
            </w:r>
          </w:p>
        </w:tc>
      </w:tr>
      <w:tr w14:paraId="2A9A79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461A9188">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cs="宋体"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12</w:t>
            </w:r>
          </w:p>
        </w:tc>
        <w:tc>
          <w:tcPr>
            <w:tcW w:w="8874" w:type="dxa"/>
            <w:gridSpan w:val="2"/>
            <w:vAlign w:val="center"/>
          </w:tcPr>
          <w:p w14:paraId="4CA94756">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1、踏勘现场时间及地点：不组织，各投标单位根据自己需要，自行前往勘察现场和周围环境，所产生的费用由投标单位自理。</w:t>
            </w:r>
          </w:p>
          <w:p w14:paraId="752D6D23">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2、节能产品、环保产品：无要求；</w:t>
            </w:r>
          </w:p>
          <w:p w14:paraId="4300E18C">
            <w:pPr>
              <w:pStyle w:val="21"/>
              <w:keepNext w:val="0"/>
              <w:keepLines w:val="0"/>
              <w:suppressLineNumbers w:val="0"/>
              <w:spacing w:before="0" w:beforeAutospacing="0" w:after="0" w:afterAutospacing="0" w:line="444" w:lineRule="exact"/>
              <w:ind w:left="0" w:right="0" w:firstLine="0"/>
              <w:jc w:val="left"/>
              <w:rPr>
                <w:rFonts w:hint="default" w:cs="Times New Roman" w:asciiTheme="minorEastAsia" w:hAnsiTheme="minorEastAsia" w:eastAsiaTheme="minorEastAsia"/>
                <w:b/>
                <w:bCs/>
                <w:color w:val="auto"/>
                <w:sz w:val="24"/>
                <w:szCs w:val="24"/>
                <w:highlight w:val="none"/>
              </w:rPr>
            </w:pPr>
            <w:r>
              <w:rPr>
                <w:rFonts w:hint="default" w:cs="Times New Roman" w:asciiTheme="minorEastAsia" w:hAnsiTheme="minorEastAsia" w:eastAsiaTheme="minorEastAsia"/>
                <w:b/>
                <w:bCs/>
                <w:color w:val="auto"/>
                <w:sz w:val="24"/>
                <w:szCs w:val="24"/>
                <w:highlight w:val="none"/>
              </w:rPr>
              <w:t>3、样品：</w:t>
            </w:r>
            <w:r>
              <w:rPr>
                <w:rFonts w:hint="eastAsia" w:cs="Times New Roman" w:asciiTheme="minorEastAsia" w:hAnsiTheme="minorEastAsia" w:eastAsiaTheme="minorEastAsia"/>
                <w:b/>
                <w:bCs/>
                <w:color w:val="auto"/>
                <w:sz w:val="24"/>
                <w:szCs w:val="24"/>
                <w:highlight w:val="none"/>
                <w:lang w:eastAsia="zh-CN"/>
              </w:rPr>
              <w:t>有</w:t>
            </w:r>
            <w:r>
              <w:rPr>
                <w:rFonts w:hint="default" w:cs="Times New Roman" w:asciiTheme="minorEastAsia" w:hAnsiTheme="minorEastAsia" w:eastAsiaTheme="minorEastAsia"/>
                <w:b/>
                <w:bCs/>
                <w:color w:val="auto"/>
                <w:sz w:val="24"/>
                <w:szCs w:val="24"/>
                <w:highlight w:val="none"/>
              </w:rPr>
              <w:t>；</w:t>
            </w:r>
          </w:p>
          <w:p w14:paraId="0B9CE90D">
            <w:pPr>
              <w:pStyle w:val="21"/>
              <w:keepNext w:val="0"/>
              <w:keepLines w:val="0"/>
              <w:suppressLineNumbers w:val="0"/>
              <w:spacing w:before="0" w:beforeAutospacing="0" w:after="0" w:afterAutospacing="0" w:line="440" w:lineRule="exact"/>
              <w:ind w:left="0" w:right="0"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lang w:eastAsia="zh-CN"/>
              </w:rPr>
              <w:t>（</w:t>
            </w:r>
            <w:r>
              <w:rPr>
                <w:rFonts w:hint="eastAsia" w:cs="Times New Roman" w:asciiTheme="minorEastAsia" w:hAnsiTheme="minorEastAsia" w:eastAsiaTheme="minorEastAsia"/>
                <w:color w:val="auto"/>
                <w:sz w:val="24"/>
                <w:szCs w:val="24"/>
                <w:highlight w:val="none"/>
                <w:lang w:val="en-US" w:eastAsia="zh-CN"/>
              </w:rPr>
              <w:t>1</w:t>
            </w:r>
            <w:r>
              <w:rPr>
                <w:rFonts w:hint="eastAsia" w:cs="Times New Roman" w:asciiTheme="minorEastAsia" w:hAnsiTheme="minorEastAsia" w:eastAsiaTheme="minorEastAsia"/>
                <w:color w:val="auto"/>
                <w:sz w:val="24"/>
                <w:szCs w:val="24"/>
                <w:highlight w:val="none"/>
                <w:lang w:eastAsia="zh-CN"/>
              </w:rPr>
              <w:t>）递交方式：</w:t>
            </w:r>
            <w:r>
              <w:rPr>
                <w:rFonts w:hint="eastAsia" w:cs="Times New Roman" w:asciiTheme="minorEastAsia" w:hAnsiTheme="minorEastAsia" w:eastAsiaTheme="minorEastAsia"/>
                <w:color w:val="auto"/>
                <w:sz w:val="24"/>
                <w:szCs w:val="24"/>
                <w:highlight w:val="none"/>
              </w:rPr>
              <w:t>样品递交时间为开标当天</w:t>
            </w:r>
            <w:r>
              <w:rPr>
                <w:rFonts w:hint="eastAsia" w:cs="Times New Roman" w:asciiTheme="minorEastAsia" w:hAnsiTheme="minorEastAsia" w:eastAsiaTheme="minorEastAsia"/>
                <w:color w:val="auto"/>
                <w:sz w:val="24"/>
                <w:szCs w:val="24"/>
                <w:highlight w:val="none"/>
                <w:lang w:val="en-US" w:eastAsia="zh-CN"/>
              </w:rPr>
              <w:t>8:00-9：00</w:t>
            </w:r>
            <w:r>
              <w:rPr>
                <w:rFonts w:hint="eastAsia" w:cs="Times New Roman" w:asciiTheme="minorEastAsia" w:hAnsiTheme="minorEastAsia" w:eastAsiaTheme="minorEastAsia"/>
                <w:color w:val="auto"/>
                <w:sz w:val="24"/>
                <w:szCs w:val="24"/>
                <w:highlight w:val="none"/>
              </w:rPr>
              <w:t>（投标人应提前留足时间，逾期送达将予以拒收）。</w:t>
            </w:r>
          </w:p>
          <w:p w14:paraId="339388A6">
            <w:pPr>
              <w:pStyle w:val="21"/>
              <w:keepNext w:val="0"/>
              <w:keepLines w:val="0"/>
              <w:suppressLineNumbers w:val="0"/>
              <w:spacing w:before="0" w:beforeAutospacing="0" w:after="0" w:afterAutospacing="0" w:line="440" w:lineRule="exact"/>
              <w:ind w:left="0" w:right="0"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递交地点：台州市市府大道777号台州市公共资源交易中心(电信大楼南面)</w:t>
            </w:r>
            <w:r>
              <w:rPr>
                <w:rFonts w:hint="eastAsia" w:cs="Times New Roman" w:asciiTheme="minorEastAsia" w:hAnsiTheme="minorEastAsia" w:eastAsiaTheme="minorEastAsia"/>
                <w:color w:val="auto"/>
                <w:sz w:val="24"/>
                <w:szCs w:val="24"/>
                <w:highlight w:val="none"/>
                <w:lang w:eastAsia="zh-CN"/>
              </w:rPr>
              <w:t>一楼西大门</w:t>
            </w:r>
            <w:r>
              <w:rPr>
                <w:rFonts w:hint="eastAsia" w:cs="Times New Roman" w:asciiTheme="minorEastAsia" w:hAnsiTheme="minorEastAsia" w:eastAsiaTheme="minorEastAsia"/>
                <w:color w:val="auto"/>
                <w:sz w:val="24"/>
                <w:szCs w:val="24"/>
                <w:highlight w:val="none"/>
              </w:rPr>
              <w:t>。</w:t>
            </w:r>
          </w:p>
          <w:p w14:paraId="2EBBA6D6">
            <w:pPr>
              <w:pStyle w:val="21"/>
              <w:keepNext w:val="0"/>
              <w:keepLines w:val="0"/>
              <w:suppressLineNumbers w:val="0"/>
              <w:spacing w:before="0" w:beforeAutospacing="0" w:after="0" w:afterAutospacing="0" w:line="440" w:lineRule="exact"/>
              <w:ind w:left="0" w:right="0"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lang w:eastAsia="zh-CN"/>
              </w:rPr>
              <w:t>（</w:t>
            </w:r>
            <w:r>
              <w:rPr>
                <w:rFonts w:hint="eastAsia" w:cs="Times New Roman" w:asciiTheme="minorEastAsia" w:hAnsiTheme="minorEastAsia" w:eastAsiaTheme="minorEastAsia"/>
                <w:color w:val="auto"/>
                <w:sz w:val="24"/>
                <w:szCs w:val="24"/>
                <w:highlight w:val="none"/>
                <w:lang w:val="en-US" w:eastAsia="zh-CN"/>
              </w:rPr>
              <w:t>2</w:t>
            </w:r>
            <w:r>
              <w:rPr>
                <w:rFonts w:hint="eastAsia" w:cs="Times New Roman" w:asciiTheme="minorEastAsia" w:hAnsiTheme="minorEastAsia" w:eastAsiaTheme="minorEastAsia"/>
                <w:color w:val="auto"/>
                <w:sz w:val="24"/>
                <w:szCs w:val="24"/>
                <w:highlight w:val="none"/>
                <w:lang w:eastAsia="zh-CN"/>
              </w:rPr>
              <w:t>）接收联系</w:t>
            </w:r>
            <w:r>
              <w:rPr>
                <w:rFonts w:hint="eastAsia" w:cs="Times New Roman" w:asciiTheme="minorEastAsia" w:hAnsiTheme="minorEastAsia" w:eastAsiaTheme="minorEastAsia"/>
                <w:color w:val="auto"/>
                <w:sz w:val="24"/>
                <w:szCs w:val="24"/>
                <w:highlight w:val="none"/>
              </w:rPr>
              <w:t>人：</w:t>
            </w:r>
            <w:r>
              <w:rPr>
                <w:rFonts w:hint="eastAsia" w:cs="Times New Roman" w:asciiTheme="minorEastAsia" w:hAnsiTheme="minorEastAsia" w:eastAsiaTheme="minorEastAsia"/>
                <w:color w:val="auto"/>
                <w:sz w:val="24"/>
                <w:szCs w:val="24"/>
                <w:highlight w:val="none"/>
                <w:lang w:eastAsia="zh-CN"/>
              </w:rPr>
              <w:t>王莎莎</w:t>
            </w:r>
            <w:r>
              <w:rPr>
                <w:rFonts w:hint="eastAsia" w:cs="Times New Roman" w:asciiTheme="minorEastAsia" w:hAnsiTheme="minorEastAsia" w:eastAsiaTheme="minorEastAsia"/>
                <w:color w:val="auto"/>
                <w:sz w:val="24"/>
                <w:szCs w:val="24"/>
                <w:highlight w:val="none"/>
                <w:lang w:val="en-US" w:eastAsia="zh-CN"/>
              </w:rPr>
              <w:t xml:space="preserve">  18968407875</w:t>
            </w:r>
            <w:r>
              <w:rPr>
                <w:rFonts w:hint="eastAsia" w:cs="Times New Roman" w:asciiTheme="minorEastAsia" w:hAnsiTheme="minorEastAsia" w:eastAsiaTheme="minorEastAsia"/>
                <w:color w:val="auto"/>
                <w:sz w:val="24"/>
                <w:szCs w:val="24"/>
                <w:highlight w:val="none"/>
              </w:rPr>
              <w:t>。</w:t>
            </w:r>
          </w:p>
          <w:p w14:paraId="7AA68725">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（3）样品一套内容如下：</w:t>
            </w:r>
          </w:p>
          <w:p w14:paraId="77CC2C77">
            <w:pPr>
              <w:pStyle w:val="21"/>
              <w:keepNext w:val="0"/>
              <w:keepLines w:val="0"/>
              <w:suppressLineNumbers w:val="0"/>
              <w:spacing w:before="0" w:beforeAutospacing="0" w:after="0" w:afterAutospacing="0" w:line="440" w:lineRule="exact"/>
              <w:ind w:left="0" w:right="0" w:firstLine="0"/>
              <w:jc w:val="left"/>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1、铝板上画0.5米长15公分宽的</w:t>
            </w:r>
            <w:r>
              <w:rPr>
                <w:rFonts w:hint="eastAsia" w:cs="Times New Roman" w:asciiTheme="minorEastAsia" w:hAnsiTheme="minorEastAsia" w:eastAsiaTheme="minorEastAsia"/>
                <w:color w:val="auto"/>
                <w:sz w:val="24"/>
                <w:szCs w:val="24"/>
                <w:highlight w:val="none"/>
                <w:lang w:val="en-US" w:eastAsia="zh-CN"/>
              </w:rPr>
              <w:t>普通热熔振荡标线（白色）；</w:t>
            </w:r>
          </w:p>
          <w:p w14:paraId="17634B46">
            <w:pPr>
              <w:pStyle w:val="21"/>
              <w:keepNext w:val="0"/>
              <w:keepLines w:val="0"/>
              <w:suppressLineNumbers w:val="0"/>
              <w:spacing w:before="0" w:beforeAutospacing="0" w:after="0" w:afterAutospacing="0" w:line="440" w:lineRule="exact"/>
              <w:ind w:left="0" w:right="0" w:firstLine="0"/>
              <w:jc w:val="left"/>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2、铝板上画0.5米长15公分宽</w:t>
            </w:r>
            <w:r>
              <w:rPr>
                <w:rFonts w:hint="eastAsia" w:cs="Times New Roman" w:asciiTheme="minorEastAsia" w:hAnsiTheme="minorEastAsia" w:eastAsiaTheme="minorEastAsia"/>
                <w:color w:val="auto"/>
                <w:sz w:val="24"/>
                <w:szCs w:val="24"/>
                <w:highlight w:val="none"/>
                <w:lang w:val="en-US" w:eastAsia="zh-CN"/>
              </w:rPr>
              <w:t>普通热熔标线（白色）；</w:t>
            </w:r>
          </w:p>
          <w:p w14:paraId="6863DF08">
            <w:pPr>
              <w:pStyle w:val="21"/>
              <w:keepNext w:val="0"/>
              <w:keepLines w:val="0"/>
              <w:suppressLineNumbers w:val="0"/>
              <w:spacing w:before="0" w:beforeAutospacing="0" w:after="0" w:afterAutospacing="0" w:line="440" w:lineRule="exact"/>
              <w:ind w:left="0" w:right="0" w:firstLine="0"/>
              <w:jc w:val="left"/>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3、铝板上画0.5米长15公分宽</w:t>
            </w:r>
            <w:r>
              <w:rPr>
                <w:rFonts w:hint="eastAsia" w:cs="Times New Roman" w:asciiTheme="minorEastAsia" w:hAnsiTheme="minorEastAsia" w:eastAsiaTheme="minorEastAsia"/>
                <w:color w:val="auto"/>
                <w:sz w:val="24"/>
                <w:szCs w:val="24"/>
                <w:highlight w:val="none"/>
                <w:lang w:val="en-US" w:eastAsia="zh-CN"/>
              </w:rPr>
              <w:t>普通热熔标线（黄色）；</w:t>
            </w:r>
          </w:p>
          <w:p w14:paraId="11195D29">
            <w:pPr>
              <w:pStyle w:val="21"/>
              <w:keepNext w:val="0"/>
              <w:keepLines w:val="0"/>
              <w:suppressLineNumbers w:val="0"/>
              <w:spacing w:before="0" w:beforeAutospacing="0" w:after="0" w:afterAutospacing="0" w:line="440" w:lineRule="exact"/>
              <w:ind w:left="0" w:right="0" w:firstLine="0"/>
              <w:jc w:val="left"/>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（4）样品要求如下：</w:t>
            </w:r>
          </w:p>
          <w:p w14:paraId="6E13C638">
            <w:pPr>
              <w:pStyle w:val="21"/>
              <w:keepNext w:val="0"/>
              <w:keepLines w:val="0"/>
              <w:suppressLineNumbers w:val="0"/>
              <w:spacing w:before="0" w:beforeAutospacing="0" w:after="0" w:afterAutospacing="0" w:line="440" w:lineRule="exact"/>
              <w:ind w:left="0" w:right="0" w:firstLine="0"/>
              <w:jc w:val="left"/>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①密封包装要求：外包装上需写明项目名称、采购编号、及投标公司全称。包装封口应由法定代表人或授权委托代表签字（或签章）。评标时，对已提交样品，由监督拆封外包装后随机编号，包装内样品不得体现或影射投标人的信息，否则按无效标处理，专家评审小组按编号评分。涉及检测报告、照片等佐证材料的样品，采用先打分后核实的方式；</w:t>
            </w:r>
          </w:p>
          <w:p w14:paraId="2BC33AA6">
            <w:pPr>
              <w:pStyle w:val="21"/>
              <w:keepNext w:val="0"/>
              <w:keepLines w:val="0"/>
              <w:suppressLineNumbers w:val="0"/>
              <w:spacing w:before="0" w:beforeAutospacing="0" w:after="0" w:afterAutospacing="0" w:line="440" w:lineRule="exact"/>
              <w:ind w:left="0" w:right="0" w:firstLine="0"/>
              <w:jc w:val="left"/>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zh-CN" w:eastAsia="zh-CN"/>
              </w:rPr>
              <w:t>▲</w:t>
            </w:r>
            <w:r>
              <w:rPr>
                <w:rFonts w:hint="eastAsia" w:cs="Times New Roman" w:asciiTheme="minorEastAsia" w:hAnsiTheme="minorEastAsia" w:eastAsiaTheme="minorEastAsia"/>
                <w:color w:val="auto"/>
                <w:sz w:val="24"/>
                <w:szCs w:val="24"/>
                <w:highlight w:val="none"/>
                <w:lang w:val="en-US" w:eastAsia="zh-CN"/>
              </w:rPr>
              <w:t>②样品的</w:t>
            </w:r>
            <w:r>
              <w:rPr>
                <w:rFonts w:hint="eastAsia" w:cs="Times New Roman" w:asciiTheme="minorEastAsia" w:hAnsiTheme="minorEastAsia" w:eastAsiaTheme="minorEastAsia"/>
                <w:color w:val="auto"/>
                <w:sz w:val="24"/>
                <w:szCs w:val="24"/>
                <w:highlight w:val="none"/>
                <w:lang w:val="zh-CN" w:eastAsia="zh-CN"/>
              </w:rPr>
              <w:t>技术规范要求同本项目供货要求，见采购文件“第五部分</w:t>
            </w:r>
            <w:r>
              <w:rPr>
                <w:rFonts w:hint="eastAsia" w:cs="Times New Roman" w:asciiTheme="minorEastAsia" w:hAnsiTheme="minorEastAsia" w:eastAsiaTheme="minorEastAsia"/>
                <w:color w:val="auto"/>
                <w:sz w:val="24"/>
                <w:szCs w:val="24"/>
                <w:highlight w:val="none"/>
                <w:lang w:val="en-US" w:eastAsia="zh-CN"/>
              </w:rPr>
              <w:t xml:space="preserve"> 采购内容及要求</w:t>
            </w:r>
            <w:r>
              <w:rPr>
                <w:rFonts w:hint="eastAsia" w:cs="Times New Roman" w:asciiTheme="minorEastAsia" w:hAnsiTheme="minorEastAsia" w:eastAsiaTheme="minorEastAsia"/>
                <w:color w:val="auto"/>
                <w:sz w:val="24"/>
                <w:szCs w:val="24"/>
                <w:highlight w:val="none"/>
                <w:lang w:val="zh-CN" w:eastAsia="zh-CN"/>
              </w:rPr>
              <w:t>”，</w:t>
            </w:r>
            <w:r>
              <w:rPr>
                <w:rFonts w:hint="eastAsia" w:cs="Times New Roman" w:asciiTheme="minorEastAsia" w:hAnsiTheme="minorEastAsia" w:eastAsiaTheme="minorEastAsia"/>
                <w:b/>
                <w:bCs/>
                <w:color w:val="auto"/>
                <w:sz w:val="24"/>
                <w:szCs w:val="24"/>
                <w:highlight w:val="none"/>
                <w:lang w:val="zh-CN" w:eastAsia="zh-CN"/>
              </w:rPr>
              <w:t>随样品递交一份样品清单明细表</w:t>
            </w:r>
            <w:r>
              <w:rPr>
                <w:rFonts w:hint="eastAsia" w:ascii="Times New Roman" w:hAnsi="Times New Roman" w:cs="Times New Roman"/>
                <w:color w:val="auto"/>
                <w:sz w:val="24"/>
                <w:szCs w:val="24"/>
                <w:highlight w:val="none"/>
                <w:lang w:val="zh-CN" w:eastAsia="zh-CN"/>
              </w:rPr>
              <w:t>（</w:t>
            </w:r>
            <w:r>
              <w:rPr>
                <w:rFonts w:hint="eastAsia" w:ascii="Times New Roman" w:hAnsi="Times New Roman" w:cs="Times New Roman"/>
                <w:b/>
                <w:bCs/>
                <w:color w:val="auto"/>
                <w:sz w:val="24"/>
                <w:szCs w:val="24"/>
                <w:highlight w:val="none"/>
                <w:lang w:val="zh-CN" w:eastAsia="zh-CN"/>
              </w:rPr>
              <w:t>清单明细表须加盖投标人公章</w:t>
            </w:r>
            <w:r>
              <w:rPr>
                <w:rFonts w:hint="eastAsia" w:ascii="Times New Roman" w:hAnsi="Times New Roman" w:cs="Times New Roman"/>
                <w:color w:val="auto"/>
                <w:sz w:val="24"/>
                <w:szCs w:val="24"/>
                <w:highlight w:val="none"/>
                <w:lang w:val="zh-CN" w:eastAsia="zh-CN"/>
              </w:rPr>
              <w:t>），</w:t>
            </w:r>
            <w:r>
              <w:rPr>
                <w:rFonts w:hint="eastAsia" w:cs="Times New Roman" w:asciiTheme="minorEastAsia" w:hAnsiTheme="minorEastAsia" w:eastAsiaTheme="minorEastAsia"/>
                <w:color w:val="auto"/>
                <w:sz w:val="24"/>
                <w:szCs w:val="24"/>
                <w:highlight w:val="none"/>
                <w:lang w:val="zh-CN" w:eastAsia="zh-CN"/>
              </w:rPr>
              <w:t>清单明细表须注明</w:t>
            </w:r>
            <w:r>
              <w:rPr>
                <w:rFonts w:hint="eastAsia" w:cs="Times New Roman" w:asciiTheme="minorEastAsia" w:hAnsiTheme="minorEastAsia" w:eastAsiaTheme="minorEastAsia"/>
                <w:color w:val="auto"/>
                <w:sz w:val="24"/>
                <w:szCs w:val="24"/>
                <w:highlight w:val="none"/>
                <w:lang w:val="en-US" w:eastAsia="zh-CN"/>
              </w:rPr>
              <w:t>样品清单、材质、型号、品牌等信息。样品不得体现或影射投标人的信息，否则按无效标处理；</w:t>
            </w:r>
          </w:p>
          <w:p w14:paraId="073F4E04">
            <w:pPr>
              <w:pStyle w:val="21"/>
              <w:keepNext w:val="0"/>
              <w:keepLines w:val="0"/>
              <w:suppressLineNumbers w:val="0"/>
              <w:spacing w:before="0" w:beforeAutospacing="0" w:after="0" w:afterAutospacing="0" w:line="440" w:lineRule="exact"/>
              <w:ind w:left="0" w:right="0" w:firstLine="0"/>
              <w:jc w:val="left"/>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zh-CN" w:eastAsia="zh-CN"/>
              </w:rPr>
              <w:t>▲③</w:t>
            </w:r>
            <w:r>
              <w:rPr>
                <w:rFonts w:hint="eastAsia" w:cs="Times New Roman" w:asciiTheme="minorEastAsia" w:hAnsiTheme="minorEastAsia" w:eastAsiaTheme="minorEastAsia"/>
                <w:color w:val="auto"/>
                <w:sz w:val="24"/>
                <w:szCs w:val="24"/>
                <w:highlight w:val="none"/>
                <w:lang w:val="en-US" w:eastAsia="zh-CN"/>
              </w:rPr>
              <w:t>中标人的样品将封存并作为实际供货的比较标准，投标人不得以样品精制和批量赶制为理由致使实际供货产品存与投标样品存在品质差异。</w:t>
            </w:r>
          </w:p>
          <w:p w14:paraId="7BF49D3A">
            <w:pPr>
              <w:pStyle w:val="21"/>
              <w:keepNext w:val="0"/>
              <w:keepLines w:val="0"/>
              <w:suppressLineNumbers w:val="0"/>
              <w:spacing w:before="0" w:beforeAutospacing="0" w:after="0" w:afterAutospacing="0" w:line="440" w:lineRule="exact"/>
              <w:ind w:left="0" w:right="0"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lang w:val="en-US" w:eastAsia="zh-CN"/>
              </w:rPr>
              <w:t>（5）未中标的样品由投标人在评标结束当天自行取回。</w:t>
            </w:r>
          </w:p>
          <w:p w14:paraId="6A9D01FB">
            <w:pPr>
              <w:keepNext w:val="0"/>
              <w:keepLines w:val="0"/>
              <w:suppressLineNumbers w:val="0"/>
              <w:spacing w:before="0" w:beforeAutospacing="0" w:after="0" w:afterAutospacing="0" w:line="360" w:lineRule="auto"/>
              <w:ind w:left="0" w:leftChars="0" w:right="0" w:firstLine="0" w:firstLineChars="0"/>
              <w:rPr>
                <w:rFonts w:hint="eastAsia" w:cs="Times New Roman" w:asciiTheme="minorEastAsia" w:hAnsiTheme="minorEastAsia" w:eastAsiaTheme="minorEastAsia"/>
                <w:color w:val="auto"/>
                <w:kern w:val="2"/>
                <w:sz w:val="24"/>
                <w:szCs w:val="24"/>
                <w:highlight w:val="none"/>
                <w:lang w:val="en-US" w:eastAsia="zh-CN" w:bidi="ar-SA"/>
              </w:rPr>
            </w:pPr>
            <w:sdt>
              <w:sdtPr>
                <w:rPr>
                  <w:rFonts w:hint="eastAsia" w:ascii="仿宋" w:hAnsi="仿宋" w:eastAsia="仿宋" w:cs="仿宋"/>
                  <w:color w:val="auto"/>
                  <w:kern w:val="0"/>
                  <w:sz w:val="24"/>
                  <w:szCs w:val="24"/>
                  <w:highlight w:val="none"/>
                </w:rPr>
                <w:id w:val="147466164"/>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cs="Times New Roman" w:asciiTheme="minorEastAsia" w:hAnsiTheme="minorEastAsia" w:eastAsiaTheme="minorEastAsia"/>
                <w:color w:val="auto"/>
                <w:kern w:val="2"/>
                <w:sz w:val="24"/>
                <w:szCs w:val="24"/>
                <w:highlight w:val="none"/>
                <w:lang w:val="en-US" w:eastAsia="zh-CN" w:bidi="ar-SA"/>
              </w:rPr>
              <w:t>样品分未超过价格分的50%；</w:t>
            </w:r>
          </w:p>
          <w:p w14:paraId="766012F0">
            <w:pPr>
              <w:keepNext w:val="0"/>
              <w:keepLines w:val="0"/>
              <w:suppressLineNumbers w:val="0"/>
              <w:spacing w:before="0" w:beforeAutospacing="0" w:after="0" w:afterAutospacing="0" w:line="360" w:lineRule="auto"/>
              <w:ind w:left="0" w:leftChars="0" w:right="0" w:firstLine="0" w:firstLineChars="0"/>
              <w:rPr>
                <w:rFonts w:hint="default" w:cs="Times New Roman" w:asciiTheme="minorEastAsia" w:hAnsiTheme="minorEastAsia" w:eastAsiaTheme="minorEastAsia"/>
                <w:color w:val="auto"/>
                <w:sz w:val="24"/>
                <w:szCs w:val="24"/>
                <w:highlight w:val="none"/>
              </w:rPr>
            </w:pPr>
            <w:sdt>
              <w:sdtPr>
                <w:rPr>
                  <w:rFonts w:hint="eastAsia" w:ascii="仿宋" w:hAnsi="仿宋" w:eastAsia="仿宋" w:cs="仿宋"/>
                  <w:color w:val="auto"/>
                  <w:kern w:val="0"/>
                  <w:sz w:val="24"/>
                  <w:szCs w:val="24"/>
                  <w:highlight w:val="none"/>
                </w:rPr>
                <w:id w:val="14748081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cs="Times New Roman" w:asciiTheme="minorEastAsia" w:hAnsiTheme="minorEastAsia" w:eastAsiaTheme="minorEastAsia"/>
                <w:color w:val="auto"/>
                <w:kern w:val="2"/>
                <w:sz w:val="24"/>
                <w:szCs w:val="24"/>
                <w:highlight w:val="none"/>
                <w:lang w:val="en-US" w:eastAsia="zh-CN" w:bidi="ar-SA"/>
              </w:rPr>
              <w:t>样品分超过价格分的50%，理由</w:t>
            </w:r>
            <w:r>
              <w:rPr>
                <w:rFonts w:hint="eastAsia" w:cs="Times New Roman" w:asciiTheme="minorEastAsia" w:hAnsiTheme="minorEastAsia" w:eastAsiaTheme="minorEastAsia"/>
                <w:color w:val="auto"/>
                <w:kern w:val="2"/>
                <w:sz w:val="24"/>
                <w:szCs w:val="24"/>
                <w:highlight w:val="none"/>
                <w:u w:val="single"/>
                <w:lang w:val="en-US" w:eastAsia="zh-CN" w:bidi="ar-SA"/>
              </w:rPr>
              <w:t xml:space="preserve">           </w:t>
            </w:r>
            <w:r>
              <w:rPr>
                <w:rFonts w:hint="eastAsia" w:cs="Times New Roman" w:asciiTheme="minorEastAsia" w:hAnsiTheme="minorEastAsia" w:eastAsiaTheme="minorEastAsia"/>
                <w:color w:val="auto"/>
                <w:kern w:val="2"/>
                <w:sz w:val="24"/>
                <w:szCs w:val="24"/>
                <w:highlight w:val="none"/>
                <w:lang w:val="en-US" w:eastAsia="zh-CN" w:bidi="ar-SA"/>
              </w:rPr>
              <w:t>；</w:t>
            </w:r>
          </w:p>
          <w:p w14:paraId="74B43164">
            <w:pPr>
              <w:pStyle w:val="21"/>
              <w:keepNext w:val="0"/>
              <w:keepLines w:val="0"/>
              <w:suppressLineNumbers w:val="0"/>
              <w:spacing w:before="0" w:beforeAutospacing="0" w:after="0" w:afterAutospacing="0" w:line="440" w:lineRule="exact"/>
              <w:ind w:left="0" w:right="0" w:firstLine="0"/>
              <w:jc w:val="left"/>
              <w:rPr>
                <w:rFonts w:hint="eastAsia" w:eastAsia="宋体"/>
                <w:color w:val="auto"/>
                <w:highlight w:val="none"/>
                <w:lang w:eastAsia="zh-CN"/>
              </w:rPr>
            </w:pPr>
            <w:r>
              <w:rPr>
                <w:rFonts w:hint="eastAsia" w:cs="Times New Roman" w:asciiTheme="minorEastAsia" w:hAnsiTheme="minorEastAsia" w:eastAsiaTheme="minorEastAsia"/>
                <w:b/>
                <w:bCs/>
                <w:color w:val="auto"/>
                <w:sz w:val="24"/>
                <w:szCs w:val="24"/>
                <w:highlight w:val="none"/>
                <w:lang w:val="en-US" w:eastAsia="zh-CN"/>
              </w:rPr>
              <w:t>4、</w:t>
            </w:r>
            <w:r>
              <w:rPr>
                <w:rFonts w:hint="default" w:cs="Times New Roman" w:asciiTheme="minorEastAsia" w:hAnsiTheme="minorEastAsia" w:eastAsiaTheme="minorEastAsia"/>
                <w:b/>
                <w:bCs/>
                <w:color w:val="auto"/>
                <w:sz w:val="24"/>
                <w:szCs w:val="24"/>
                <w:highlight w:val="none"/>
              </w:rPr>
              <w:t>现场演示：</w:t>
            </w:r>
            <w:r>
              <w:rPr>
                <w:rFonts w:hint="eastAsia" w:cs="Times New Roman" w:asciiTheme="minorEastAsia" w:hAnsiTheme="minorEastAsia" w:eastAsiaTheme="minorEastAsia"/>
                <w:b/>
                <w:bCs/>
                <w:color w:val="auto"/>
                <w:sz w:val="24"/>
                <w:szCs w:val="24"/>
                <w:highlight w:val="none"/>
                <w:lang w:eastAsia="zh-CN"/>
              </w:rPr>
              <w:t>无</w:t>
            </w:r>
          </w:p>
        </w:tc>
      </w:tr>
      <w:tr w14:paraId="0FDB12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5E541B54">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w:t>
            </w:r>
          </w:p>
        </w:tc>
        <w:tc>
          <w:tcPr>
            <w:tcW w:w="1475" w:type="dxa"/>
            <w:vAlign w:val="center"/>
          </w:tcPr>
          <w:p w14:paraId="4A24C75B">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进口产品</w:t>
            </w:r>
          </w:p>
        </w:tc>
        <w:tc>
          <w:tcPr>
            <w:tcW w:w="7399" w:type="dxa"/>
            <w:vAlign w:val="center"/>
          </w:tcPr>
          <w:p w14:paraId="517473A3">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FE"/>
            </w:r>
            <w:r>
              <w:rPr>
                <w:rFonts w:hint="eastAsia" w:asciiTheme="minorEastAsia" w:hAnsiTheme="minorEastAsia" w:eastAsiaTheme="minorEastAsia"/>
                <w:color w:val="auto"/>
                <w:sz w:val="24"/>
                <w:highlight w:val="none"/>
              </w:rPr>
              <w:t>本项目不允许采购进口产品。</w:t>
            </w:r>
          </w:p>
          <w:p w14:paraId="52166831">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A8"/>
            </w:r>
            <w:r>
              <w:rPr>
                <w:rFonts w:hint="eastAsia" w:asciiTheme="minorEastAsia" w:hAnsiTheme="minorEastAsia" w:eastAsiaTheme="minorEastAsia"/>
                <w:b w:val="0"/>
                <w:bCs w:val="0"/>
                <w:color w:val="auto"/>
                <w:sz w:val="24"/>
                <w:highlight w:val="none"/>
              </w:rPr>
              <w:t>可以</w:t>
            </w:r>
            <w:r>
              <w:rPr>
                <w:rFonts w:hint="eastAsia" w:ascii="宋体" w:hAnsi="宋体" w:eastAsia="宋体" w:cs="宋体"/>
                <w:b w:val="0"/>
                <w:bCs w:val="0"/>
                <w:color w:val="auto"/>
                <w:sz w:val="24"/>
                <w:highlight w:val="none"/>
              </w:rPr>
              <w:t>采购进口产品</w:t>
            </w:r>
            <w:r>
              <w:rPr>
                <w:rFonts w:hint="eastAsia" w:asciiTheme="minorEastAsia" w:hAnsiTheme="minorEastAsia" w:eastAsiaTheme="minorEastAsia"/>
                <w:b/>
                <w:bCs/>
                <w:color w:val="auto"/>
                <w:sz w:val="24"/>
                <w:highlight w:val="none"/>
              </w:rPr>
              <w:t>，</w:t>
            </w:r>
            <w:r>
              <w:rPr>
                <w:rFonts w:hint="eastAsia" w:asciiTheme="minorEastAsia" w:hAnsiTheme="minorEastAsia" w:eastAsiaTheme="minorEastAsia"/>
                <w:color w:val="auto"/>
                <w:sz w:val="24"/>
                <w:highlight w:val="none"/>
              </w:rPr>
              <w:t>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8870A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368" w:hRule="atLeast"/>
          <w:jc w:val="center"/>
        </w:trPr>
        <w:tc>
          <w:tcPr>
            <w:tcW w:w="823" w:type="dxa"/>
            <w:vMerge w:val="restart"/>
            <w:vAlign w:val="center"/>
          </w:tcPr>
          <w:p w14:paraId="1B8BBBA8">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14</w:t>
            </w:r>
          </w:p>
        </w:tc>
        <w:tc>
          <w:tcPr>
            <w:tcW w:w="1475" w:type="dxa"/>
            <w:vMerge w:val="restart"/>
            <w:vAlign w:val="center"/>
          </w:tcPr>
          <w:p w14:paraId="4062341B">
            <w:pPr>
              <w:keepNext w:val="0"/>
              <w:keepLines w:val="0"/>
              <w:suppressLineNumbers w:val="0"/>
              <w:spacing w:before="0" w:beforeAutospacing="0" w:after="0" w:afterAutospacing="0" w:line="440" w:lineRule="exact"/>
              <w:ind w:left="17" w:right="0" w:hanging="16" w:hangingChars="7"/>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项目属性与核心产品</w:t>
            </w:r>
          </w:p>
        </w:tc>
        <w:tc>
          <w:tcPr>
            <w:tcW w:w="7399" w:type="dxa"/>
            <w:vAlign w:val="center"/>
          </w:tcPr>
          <w:p w14:paraId="742B8590">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FE"/>
            </w:r>
            <w:r>
              <w:rPr>
                <w:rFonts w:hint="eastAsia" w:asciiTheme="minorEastAsia" w:hAnsiTheme="minorEastAsia" w:eastAsiaTheme="minorEastAsia"/>
                <w:color w:val="auto"/>
                <w:sz w:val="24"/>
                <w:highlight w:val="none"/>
              </w:rPr>
              <w:t>A货物类，核心产品为：</w:t>
            </w:r>
            <w:r>
              <w:rPr>
                <w:rFonts w:hint="eastAsia" w:asciiTheme="minorEastAsia" w:hAnsiTheme="minorEastAsia" w:eastAsiaTheme="minorEastAsia"/>
                <w:b/>
                <w:bCs/>
                <w:color w:val="auto"/>
                <w:sz w:val="24"/>
                <w:highlight w:val="none"/>
                <w:u w:val="single"/>
                <w:lang w:val="en-US" w:eastAsia="zh-CN"/>
              </w:rPr>
              <w:t xml:space="preserve">  普通热熔标线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w:t>
            </w:r>
          </w:p>
          <w:p w14:paraId="5F62ED92">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A8"/>
            </w:r>
            <w:r>
              <w:rPr>
                <w:rFonts w:hint="eastAsia" w:asciiTheme="minorEastAsia" w:hAnsiTheme="minorEastAsia" w:eastAsiaTheme="minorEastAsia"/>
                <w:color w:val="auto"/>
                <w:sz w:val="24"/>
                <w:highlight w:val="none"/>
              </w:rPr>
              <w:t>B服务类。</w:t>
            </w:r>
          </w:p>
        </w:tc>
      </w:tr>
      <w:tr w14:paraId="2D9FD5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202" w:hRule="atLeast"/>
          <w:jc w:val="center"/>
        </w:trPr>
        <w:tc>
          <w:tcPr>
            <w:tcW w:w="823" w:type="dxa"/>
            <w:vAlign w:val="center"/>
          </w:tcPr>
          <w:p w14:paraId="30F6B388">
            <w:pPr>
              <w:keepNext w:val="0"/>
              <w:keepLines w:val="0"/>
              <w:suppressLineNumbers w:val="0"/>
              <w:autoSpaceDE w:val="0"/>
              <w:autoSpaceDN w:val="0"/>
              <w:snapToGrid w:val="0"/>
              <w:spacing w:before="0" w:beforeAutospacing="0" w:after="0" w:afterAutospacing="0" w:line="360" w:lineRule="exact"/>
              <w:ind w:left="-95" w:leftChars="0" w:right="-129" w:rightChars="0"/>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15</w:t>
            </w:r>
          </w:p>
        </w:tc>
        <w:tc>
          <w:tcPr>
            <w:tcW w:w="1475" w:type="dxa"/>
            <w:vAlign w:val="center"/>
          </w:tcPr>
          <w:p w14:paraId="74F91555">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color w:val="auto"/>
                <w:sz w:val="24"/>
                <w:highlight w:val="none"/>
              </w:rPr>
            </w:pPr>
            <w:r>
              <w:rPr>
                <w:rFonts w:hint="eastAsia" w:ascii="宋体" w:hAnsi="宋体" w:eastAsia="宋体" w:cs="宋体"/>
                <w:color w:val="auto"/>
                <w:sz w:val="24"/>
                <w:highlight w:val="none"/>
              </w:rPr>
              <w:t>采购标的对应的中小企业划分标准所属行业</w:t>
            </w:r>
          </w:p>
        </w:tc>
        <w:tc>
          <w:tcPr>
            <w:tcW w:w="7399" w:type="dxa"/>
            <w:vAlign w:val="center"/>
          </w:tcPr>
          <w:p w14:paraId="1EEE8BDE">
            <w:pPr>
              <w:keepNext w:val="0"/>
              <w:keepLines w:val="0"/>
              <w:numPr>
                <w:ilvl w:val="0"/>
                <w:numId w:val="0"/>
              </w:numPr>
              <w:suppressLineNumbers w:val="0"/>
              <w:spacing w:before="0" w:beforeAutospacing="0" w:after="0" w:afterAutospacing="0" w:line="440" w:lineRule="exact"/>
              <w:ind w:left="0" w:leftChars="0" w:right="0" w:rightChars="0"/>
              <w:rPr>
                <w:rFonts w:hint="eastAsia" w:cs="Times New Roman" w:asciiTheme="minorEastAsia" w:hAnsiTheme="minorEastAsia" w:eastAsiaTheme="minorEastAsia"/>
                <w:color w:val="auto"/>
                <w:sz w:val="24"/>
                <w:szCs w:val="24"/>
                <w:highlight w:val="none"/>
              </w:rPr>
            </w:pPr>
            <w:r>
              <w:rPr>
                <w:rFonts w:hint="default" w:ascii="宋体" w:hAnsi="宋体" w:eastAsia="宋体" w:cs="宋体"/>
                <w:color w:val="auto"/>
                <w:kern w:val="2"/>
                <w:sz w:val="24"/>
                <w:szCs w:val="24"/>
                <w:highlight w:val="none"/>
                <w:lang w:val="en-US" w:eastAsia="zh-CN" w:bidi="ar-SA"/>
              </w:rPr>
              <w:t>(1)</w:t>
            </w:r>
            <w:r>
              <w:rPr>
                <w:rFonts w:hint="eastAsia" w:cs="Times New Roman" w:asciiTheme="minorEastAsia" w:hAnsiTheme="minorEastAsia" w:eastAsiaTheme="minorEastAsia"/>
                <w:color w:val="auto"/>
                <w:sz w:val="24"/>
                <w:szCs w:val="24"/>
                <w:highlight w:val="none"/>
              </w:rPr>
              <w:t>标的</w:t>
            </w:r>
            <w:r>
              <w:rPr>
                <w:rFonts w:hint="eastAsia" w:cs="Times New Roman" w:asciiTheme="minorEastAsia" w:hAnsiTheme="minorEastAsia" w:eastAsiaTheme="minorEastAsia"/>
                <w:color w:val="auto"/>
                <w:sz w:val="24"/>
                <w:szCs w:val="24"/>
                <w:highlight w:val="none"/>
                <w:u w:val="none"/>
              </w:rPr>
              <w:t>：</w:t>
            </w:r>
            <w:r>
              <w:rPr>
                <w:rFonts w:hint="eastAsia" w:cs="Times New Roman" w:asciiTheme="minorEastAsia" w:hAnsiTheme="minorEastAsia" w:eastAsiaTheme="minorEastAsia"/>
                <w:color w:val="auto"/>
                <w:sz w:val="24"/>
                <w:szCs w:val="24"/>
                <w:highlight w:val="none"/>
                <w:u w:val="single"/>
              </w:rPr>
              <w:t>普通热熔标线</w:t>
            </w:r>
            <w:r>
              <w:rPr>
                <w:rFonts w:hint="eastAsia" w:cs="Times New Roman" w:asciiTheme="minorEastAsia" w:hAnsiTheme="minorEastAsia" w:eastAsiaTheme="minorEastAsia"/>
                <w:color w:val="auto"/>
                <w:sz w:val="24"/>
                <w:szCs w:val="24"/>
                <w:highlight w:val="none"/>
              </w:rPr>
              <w:t>，属于</w:t>
            </w:r>
            <w:r>
              <w:rPr>
                <w:rFonts w:hint="eastAsia" w:cs="Times New Roman" w:asciiTheme="minorEastAsia" w:hAnsiTheme="minorEastAsia" w:eastAsiaTheme="minorEastAsia"/>
                <w:color w:val="auto"/>
                <w:sz w:val="24"/>
                <w:szCs w:val="24"/>
                <w:highlight w:val="none"/>
                <w:u w:val="single"/>
              </w:rPr>
              <w:t>工业</w:t>
            </w:r>
            <w:r>
              <w:rPr>
                <w:rFonts w:hint="eastAsia" w:cs="Times New Roman" w:asciiTheme="minorEastAsia" w:hAnsiTheme="minorEastAsia" w:eastAsiaTheme="minorEastAsia"/>
                <w:color w:val="auto"/>
                <w:sz w:val="24"/>
                <w:szCs w:val="24"/>
                <w:highlight w:val="none"/>
              </w:rPr>
              <w:t>行业；</w:t>
            </w:r>
          </w:p>
          <w:p w14:paraId="5A37CD6E">
            <w:pPr>
              <w:keepNext w:val="0"/>
              <w:keepLines w:val="0"/>
              <w:numPr>
                <w:ilvl w:val="0"/>
                <w:numId w:val="0"/>
              </w:numPr>
              <w:suppressLineNumbers w:val="0"/>
              <w:spacing w:before="0" w:beforeAutospacing="0" w:after="0" w:afterAutospacing="0" w:line="440" w:lineRule="exact"/>
              <w:ind w:left="0" w:leftChars="0" w:right="0" w:rightChars="0"/>
              <w:rPr>
                <w:rFonts w:hint="eastAsia"/>
                <w:color w:val="auto"/>
                <w:sz w:val="24"/>
                <w:szCs w:val="24"/>
                <w:highlight w:val="none"/>
              </w:rPr>
            </w:pPr>
            <w:r>
              <w:rPr>
                <w:rFonts w:hint="default" w:ascii="宋体" w:hAnsi="宋体" w:eastAsia="宋体" w:cs="宋体"/>
                <w:color w:val="auto"/>
                <w:kern w:val="2"/>
                <w:sz w:val="24"/>
                <w:szCs w:val="24"/>
                <w:highlight w:val="none"/>
                <w:lang w:val="en-US" w:eastAsia="zh-CN" w:bidi="ar-SA"/>
              </w:rPr>
              <w:t>(2)</w:t>
            </w:r>
            <w:r>
              <w:rPr>
                <w:rFonts w:hint="eastAsia" w:cs="Times New Roman" w:asciiTheme="minorEastAsia" w:hAnsiTheme="minorEastAsia" w:eastAsiaTheme="minorEastAsia"/>
                <w:color w:val="auto"/>
                <w:sz w:val="24"/>
                <w:szCs w:val="24"/>
                <w:highlight w:val="none"/>
              </w:rPr>
              <w:t>标的</w:t>
            </w:r>
            <w:r>
              <w:rPr>
                <w:rFonts w:hint="eastAsia" w:cs="Times New Roman" w:asciiTheme="minorEastAsia" w:hAnsiTheme="minorEastAsia" w:eastAsiaTheme="minorEastAsia"/>
                <w:color w:val="auto"/>
                <w:sz w:val="24"/>
                <w:szCs w:val="24"/>
                <w:highlight w:val="none"/>
                <w:u w:val="none"/>
              </w:rPr>
              <w:t>：</w:t>
            </w:r>
            <w:r>
              <w:rPr>
                <w:rFonts w:hint="eastAsia" w:cs="Times New Roman" w:asciiTheme="minorEastAsia" w:hAnsiTheme="minorEastAsia" w:eastAsiaTheme="minorEastAsia"/>
                <w:color w:val="auto"/>
                <w:sz w:val="24"/>
                <w:szCs w:val="24"/>
                <w:highlight w:val="none"/>
                <w:u w:val="single"/>
              </w:rPr>
              <w:t>普通热熔振荡标线</w:t>
            </w:r>
            <w:r>
              <w:rPr>
                <w:rFonts w:hint="eastAsia" w:cs="Times New Roman" w:asciiTheme="minorEastAsia" w:hAnsiTheme="minorEastAsia" w:eastAsiaTheme="minorEastAsia"/>
                <w:color w:val="auto"/>
                <w:sz w:val="24"/>
                <w:szCs w:val="24"/>
                <w:highlight w:val="none"/>
              </w:rPr>
              <w:t>，属于</w:t>
            </w:r>
            <w:r>
              <w:rPr>
                <w:rFonts w:hint="eastAsia" w:cs="Times New Roman" w:asciiTheme="minorEastAsia" w:hAnsiTheme="minorEastAsia" w:eastAsiaTheme="minorEastAsia"/>
                <w:color w:val="auto"/>
                <w:sz w:val="24"/>
                <w:szCs w:val="24"/>
                <w:highlight w:val="none"/>
                <w:u w:val="single"/>
              </w:rPr>
              <w:t>工业</w:t>
            </w:r>
            <w:r>
              <w:rPr>
                <w:rFonts w:hint="eastAsia" w:cs="Times New Roman" w:asciiTheme="minorEastAsia" w:hAnsiTheme="minorEastAsia" w:eastAsiaTheme="minorEastAsia"/>
                <w:color w:val="auto"/>
                <w:sz w:val="24"/>
                <w:szCs w:val="24"/>
                <w:highlight w:val="none"/>
              </w:rPr>
              <w:t>行业</w:t>
            </w:r>
            <w:r>
              <w:rPr>
                <w:rFonts w:hint="eastAsia" w:cs="Times New Roman" w:asciiTheme="minorEastAsia" w:hAnsiTheme="minorEastAsia" w:eastAsiaTheme="minorEastAsia"/>
                <w:color w:val="auto"/>
                <w:sz w:val="24"/>
                <w:szCs w:val="24"/>
                <w:highlight w:val="none"/>
                <w:lang w:eastAsia="zh-CN"/>
              </w:rPr>
              <w:t>；</w:t>
            </w:r>
          </w:p>
          <w:p w14:paraId="03B6C499">
            <w:pPr>
              <w:keepNext w:val="0"/>
              <w:keepLines w:val="0"/>
              <w:numPr>
                <w:ilvl w:val="0"/>
                <w:numId w:val="0"/>
              </w:numPr>
              <w:suppressLineNumbers w:val="0"/>
              <w:spacing w:before="0" w:beforeAutospacing="0" w:after="0" w:afterAutospacing="0" w:line="440" w:lineRule="exact"/>
              <w:ind w:left="0" w:leftChars="0" w:right="0" w:rightChars="0"/>
              <w:rPr>
                <w:rFonts w:hint="eastAsia" w:cs="Times New Roman" w:asciiTheme="minorEastAsia" w:hAnsiTheme="minorEastAsia" w:eastAsiaTheme="minorEastAsia"/>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(3)</w:t>
            </w:r>
            <w:r>
              <w:rPr>
                <w:rFonts w:hint="eastAsia" w:cs="Times New Roman" w:asciiTheme="minorEastAsia" w:hAnsiTheme="minorEastAsia" w:eastAsiaTheme="minorEastAsia"/>
                <w:color w:val="auto"/>
                <w:sz w:val="24"/>
                <w:szCs w:val="24"/>
                <w:highlight w:val="none"/>
              </w:rPr>
              <w:t>标的</w:t>
            </w:r>
            <w:r>
              <w:rPr>
                <w:rFonts w:hint="eastAsia" w:cs="Times New Roman" w:asciiTheme="minorEastAsia" w:hAnsiTheme="minorEastAsia" w:eastAsiaTheme="minorEastAsia"/>
                <w:color w:val="auto"/>
                <w:sz w:val="24"/>
                <w:szCs w:val="24"/>
                <w:highlight w:val="none"/>
                <w:u w:val="none"/>
              </w:rPr>
              <w:t>：</w:t>
            </w:r>
            <w:r>
              <w:rPr>
                <w:rFonts w:hint="eastAsia" w:ascii="宋体" w:hAnsi="宋体" w:eastAsia="宋体" w:cs="宋体"/>
                <w:i w:val="0"/>
                <w:iCs w:val="0"/>
                <w:color w:val="auto"/>
                <w:kern w:val="0"/>
                <w:sz w:val="24"/>
                <w:szCs w:val="24"/>
                <w:highlight w:val="none"/>
                <w:u w:val="single"/>
                <w:lang w:val="en-US" w:eastAsia="zh-CN" w:bidi="ar"/>
              </w:rPr>
              <w:t>彩色防滑路面标线</w:t>
            </w:r>
            <w:r>
              <w:rPr>
                <w:rFonts w:hint="eastAsia" w:cs="Times New Roman" w:asciiTheme="minorEastAsia" w:hAnsiTheme="minorEastAsia" w:eastAsiaTheme="minorEastAsia"/>
                <w:color w:val="auto"/>
                <w:sz w:val="24"/>
                <w:szCs w:val="24"/>
                <w:highlight w:val="none"/>
              </w:rPr>
              <w:t>，属于</w:t>
            </w:r>
            <w:r>
              <w:rPr>
                <w:rFonts w:hint="eastAsia" w:cs="Times New Roman" w:asciiTheme="minorEastAsia" w:hAnsiTheme="minorEastAsia" w:eastAsiaTheme="minorEastAsia"/>
                <w:color w:val="auto"/>
                <w:sz w:val="24"/>
                <w:szCs w:val="24"/>
                <w:highlight w:val="none"/>
                <w:u w:val="single"/>
              </w:rPr>
              <w:t>工业</w:t>
            </w:r>
            <w:r>
              <w:rPr>
                <w:rFonts w:hint="eastAsia" w:cs="Times New Roman" w:asciiTheme="minorEastAsia" w:hAnsiTheme="minorEastAsia" w:eastAsiaTheme="minorEastAsia"/>
                <w:color w:val="auto"/>
                <w:sz w:val="24"/>
                <w:szCs w:val="24"/>
                <w:highlight w:val="none"/>
              </w:rPr>
              <w:t>行业；</w:t>
            </w:r>
          </w:p>
          <w:p w14:paraId="6B925F03">
            <w:pPr>
              <w:keepNext w:val="0"/>
              <w:keepLines w:val="0"/>
              <w:numPr>
                <w:ilvl w:val="0"/>
                <w:numId w:val="0"/>
              </w:numPr>
              <w:suppressLineNumbers w:val="0"/>
              <w:spacing w:before="0" w:beforeAutospacing="0" w:after="0" w:afterAutospacing="0" w:line="440" w:lineRule="exact"/>
              <w:ind w:left="0" w:leftChars="0" w:right="0" w:rightChars="0"/>
              <w:rPr>
                <w:rFonts w:hint="eastAsia" w:cs="Times New Roman" w:asciiTheme="minorEastAsia" w:hAnsiTheme="minorEastAsia" w:eastAsiaTheme="minorEastAsia"/>
                <w:color w:val="auto"/>
                <w:sz w:val="24"/>
                <w:szCs w:val="24"/>
                <w:highlight w:val="none"/>
              </w:rPr>
            </w:pPr>
            <w:r>
              <w:rPr>
                <w:rFonts w:hint="default" w:ascii="宋体" w:hAnsi="宋体" w:eastAsia="宋体" w:cs="宋体"/>
                <w:color w:val="auto"/>
                <w:kern w:val="2"/>
                <w:sz w:val="24"/>
                <w:szCs w:val="24"/>
                <w:highlight w:val="none"/>
                <w:lang w:val="en-US" w:eastAsia="zh-CN" w:bidi="ar-SA"/>
              </w:rPr>
              <w:t>(4)</w:t>
            </w:r>
            <w:r>
              <w:rPr>
                <w:rFonts w:hint="eastAsia" w:cs="Times New Roman" w:asciiTheme="minorEastAsia" w:hAnsiTheme="minorEastAsia" w:eastAsiaTheme="minorEastAsia"/>
                <w:color w:val="auto"/>
                <w:sz w:val="24"/>
                <w:szCs w:val="24"/>
                <w:highlight w:val="none"/>
              </w:rPr>
              <w:t>标的</w:t>
            </w:r>
            <w:r>
              <w:rPr>
                <w:rFonts w:hint="eastAsia" w:cs="Times New Roman" w:asciiTheme="minorEastAsia" w:hAnsiTheme="minorEastAsia" w:eastAsiaTheme="minorEastAsia"/>
                <w:color w:val="auto"/>
                <w:sz w:val="24"/>
                <w:szCs w:val="24"/>
                <w:highlight w:val="none"/>
                <w:u w:val="none"/>
              </w:rPr>
              <w:t>：</w:t>
            </w:r>
            <w:r>
              <w:rPr>
                <w:rFonts w:hint="eastAsia" w:ascii="宋体" w:hAnsi="宋体" w:eastAsia="宋体" w:cs="宋体"/>
                <w:i w:val="0"/>
                <w:iCs w:val="0"/>
                <w:color w:val="auto"/>
                <w:kern w:val="0"/>
                <w:sz w:val="24"/>
                <w:szCs w:val="24"/>
                <w:highlight w:val="none"/>
                <w:u w:val="single"/>
                <w:lang w:val="en-US" w:eastAsia="zh-CN" w:bidi="ar"/>
              </w:rPr>
              <w:t>双组份反光型标线（喷涂）</w:t>
            </w:r>
            <w:r>
              <w:rPr>
                <w:rFonts w:hint="eastAsia" w:cs="Times New Roman" w:asciiTheme="minorEastAsia" w:hAnsiTheme="minorEastAsia" w:eastAsiaTheme="minorEastAsia"/>
                <w:color w:val="auto"/>
                <w:sz w:val="24"/>
                <w:szCs w:val="24"/>
                <w:highlight w:val="none"/>
              </w:rPr>
              <w:t>，属</w:t>
            </w:r>
            <w:r>
              <w:rPr>
                <w:rFonts w:hint="eastAsia" w:cs="Times New Roman" w:asciiTheme="minorEastAsia" w:hAnsiTheme="minorEastAsia" w:eastAsiaTheme="minorEastAsia"/>
                <w:color w:val="auto"/>
                <w:sz w:val="24"/>
                <w:szCs w:val="24"/>
                <w:highlight w:val="none"/>
                <w:u w:val="single"/>
              </w:rPr>
              <w:t>流化床</w:t>
            </w:r>
            <w:r>
              <w:rPr>
                <w:rFonts w:hint="eastAsia" w:cs="Times New Roman" w:asciiTheme="minorEastAsia" w:hAnsiTheme="minorEastAsia" w:eastAsiaTheme="minorEastAsia"/>
                <w:color w:val="auto"/>
                <w:sz w:val="24"/>
                <w:szCs w:val="24"/>
                <w:highlight w:val="none"/>
              </w:rPr>
              <w:t>于</w:t>
            </w:r>
            <w:r>
              <w:rPr>
                <w:rFonts w:hint="eastAsia" w:cs="Times New Roman" w:asciiTheme="minorEastAsia" w:hAnsiTheme="minorEastAsia" w:eastAsiaTheme="minorEastAsia"/>
                <w:color w:val="auto"/>
                <w:sz w:val="24"/>
                <w:szCs w:val="24"/>
                <w:highlight w:val="none"/>
                <w:u w:val="single"/>
              </w:rPr>
              <w:t>工业</w:t>
            </w:r>
            <w:r>
              <w:rPr>
                <w:rFonts w:hint="eastAsia" w:cs="Times New Roman" w:asciiTheme="minorEastAsia" w:hAnsiTheme="minorEastAsia" w:eastAsiaTheme="minorEastAsia"/>
                <w:color w:val="auto"/>
                <w:sz w:val="24"/>
                <w:szCs w:val="24"/>
                <w:highlight w:val="none"/>
              </w:rPr>
              <w:t>行业；</w:t>
            </w:r>
          </w:p>
          <w:p w14:paraId="129BBEE3">
            <w:pPr>
              <w:keepNext w:val="0"/>
              <w:keepLines w:val="0"/>
              <w:numPr>
                <w:ilvl w:val="0"/>
                <w:numId w:val="0"/>
              </w:numPr>
              <w:suppressLineNumbers w:val="0"/>
              <w:spacing w:before="0" w:beforeAutospacing="0" w:after="0" w:afterAutospacing="0" w:line="440" w:lineRule="exact"/>
              <w:ind w:left="0" w:leftChars="0" w:right="0" w:rightChars="0"/>
              <w:rPr>
                <w:rFonts w:hint="eastAsia" w:cs="Times New Roman" w:asciiTheme="minorEastAsia" w:hAnsiTheme="minorEastAsia" w:eastAsiaTheme="minorEastAsia"/>
                <w:color w:val="auto"/>
                <w:sz w:val="24"/>
                <w:szCs w:val="24"/>
                <w:highlight w:val="none"/>
              </w:rPr>
            </w:pPr>
            <w:r>
              <w:rPr>
                <w:rFonts w:hint="default"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5</w:t>
            </w:r>
            <w:r>
              <w:rPr>
                <w:rFonts w:hint="default" w:ascii="宋体" w:hAnsi="宋体" w:eastAsia="宋体" w:cs="宋体"/>
                <w:color w:val="auto"/>
                <w:kern w:val="2"/>
                <w:sz w:val="24"/>
                <w:szCs w:val="24"/>
                <w:highlight w:val="none"/>
                <w:lang w:val="en-US" w:eastAsia="zh-CN" w:bidi="ar-SA"/>
              </w:rPr>
              <w:t>)</w:t>
            </w:r>
            <w:r>
              <w:rPr>
                <w:rFonts w:hint="eastAsia" w:cs="Times New Roman" w:asciiTheme="minorEastAsia" w:hAnsiTheme="minorEastAsia" w:eastAsiaTheme="minorEastAsia"/>
                <w:color w:val="auto"/>
                <w:sz w:val="24"/>
                <w:szCs w:val="24"/>
                <w:highlight w:val="none"/>
              </w:rPr>
              <w:t>标的</w:t>
            </w:r>
            <w:r>
              <w:rPr>
                <w:rFonts w:hint="eastAsia" w:cs="Times New Roman" w:asciiTheme="minorEastAsia" w:hAnsiTheme="minorEastAsia" w:eastAsiaTheme="minorEastAsia"/>
                <w:color w:val="auto"/>
                <w:sz w:val="24"/>
                <w:szCs w:val="24"/>
                <w:highlight w:val="none"/>
                <w:u w:val="none"/>
              </w:rPr>
              <w:t>：</w:t>
            </w:r>
            <w:r>
              <w:rPr>
                <w:rFonts w:hint="eastAsia" w:ascii="宋体" w:hAnsi="宋体" w:eastAsia="宋体" w:cs="宋体"/>
                <w:i w:val="0"/>
                <w:iCs w:val="0"/>
                <w:color w:val="auto"/>
                <w:kern w:val="0"/>
                <w:sz w:val="24"/>
                <w:szCs w:val="24"/>
                <w:highlight w:val="none"/>
                <w:u w:val="single"/>
                <w:lang w:val="en-US" w:eastAsia="zh-CN" w:bidi="ar"/>
              </w:rPr>
              <w:t>双组份突起型反光标线（甩涂</w:t>
            </w:r>
            <w:r>
              <w:rPr>
                <w:rFonts w:hint="eastAsia" w:ascii="宋体" w:hAnsi="宋体" w:cs="宋体"/>
                <w:i w:val="0"/>
                <w:iCs w:val="0"/>
                <w:color w:val="auto"/>
                <w:kern w:val="0"/>
                <w:sz w:val="24"/>
                <w:szCs w:val="24"/>
                <w:highlight w:val="none"/>
                <w:u w:val="single"/>
                <w:lang w:val="en-US" w:eastAsia="zh-CN" w:bidi="ar"/>
              </w:rPr>
              <w:t>、刮涂、点涂</w:t>
            </w:r>
            <w:r>
              <w:rPr>
                <w:rFonts w:hint="eastAsia" w:ascii="宋体" w:hAnsi="宋体" w:eastAsia="宋体" w:cs="宋体"/>
                <w:i w:val="0"/>
                <w:iCs w:val="0"/>
                <w:color w:val="auto"/>
                <w:kern w:val="0"/>
                <w:sz w:val="24"/>
                <w:szCs w:val="24"/>
                <w:highlight w:val="none"/>
                <w:u w:val="single"/>
                <w:lang w:val="en-US" w:eastAsia="zh-CN" w:bidi="ar"/>
              </w:rPr>
              <w:t>）</w:t>
            </w:r>
            <w:r>
              <w:rPr>
                <w:rFonts w:hint="eastAsia" w:cs="Times New Roman" w:asciiTheme="minorEastAsia" w:hAnsiTheme="minorEastAsia" w:eastAsiaTheme="minorEastAsia"/>
                <w:color w:val="auto"/>
                <w:sz w:val="24"/>
                <w:szCs w:val="24"/>
                <w:highlight w:val="none"/>
              </w:rPr>
              <w:t>，属于</w:t>
            </w:r>
            <w:r>
              <w:rPr>
                <w:rFonts w:hint="eastAsia" w:cs="Times New Roman" w:asciiTheme="minorEastAsia" w:hAnsiTheme="minorEastAsia" w:eastAsiaTheme="minorEastAsia"/>
                <w:color w:val="auto"/>
                <w:sz w:val="24"/>
                <w:szCs w:val="24"/>
                <w:highlight w:val="none"/>
                <w:u w:val="single"/>
              </w:rPr>
              <w:t>工业</w:t>
            </w:r>
            <w:r>
              <w:rPr>
                <w:rFonts w:hint="eastAsia" w:cs="Times New Roman" w:asciiTheme="minorEastAsia" w:hAnsiTheme="minorEastAsia" w:eastAsiaTheme="minorEastAsia"/>
                <w:color w:val="auto"/>
                <w:sz w:val="24"/>
                <w:szCs w:val="24"/>
                <w:highlight w:val="none"/>
              </w:rPr>
              <w:t>行业；</w:t>
            </w:r>
          </w:p>
          <w:p w14:paraId="340B8A92">
            <w:pPr>
              <w:keepNext w:val="0"/>
              <w:keepLines w:val="0"/>
              <w:numPr>
                <w:ilvl w:val="0"/>
                <w:numId w:val="0"/>
              </w:numPr>
              <w:suppressLineNumbers w:val="0"/>
              <w:spacing w:before="0" w:beforeAutospacing="0" w:after="0" w:afterAutospacing="0" w:line="440" w:lineRule="exact"/>
              <w:ind w:left="0" w:leftChars="0" w:right="0" w:rightChars="0"/>
              <w:rPr>
                <w:rFonts w:hint="eastAsia" w:cs="Times New Roman" w:asciiTheme="minorEastAsia" w:hAnsiTheme="minorEastAsia" w:eastAsiaTheme="minorEastAsia"/>
                <w:color w:val="auto"/>
                <w:sz w:val="24"/>
                <w:szCs w:val="24"/>
                <w:highlight w:val="none"/>
              </w:rPr>
            </w:pPr>
            <w:r>
              <w:rPr>
                <w:rFonts w:hint="default"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6</w:t>
            </w:r>
            <w:r>
              <w:rPr>
                <w:rFonts w:hint="default" w:ascii="宋体" w:hAnsi="宋体" w:eastAsia="宋体" w:cs="宋体"/>
                <w:color w:val="auto"/>
                <w:kern w:val="2"/>
                <w:sz w:val="24"/>
                <w:szCs w:val="24"/>
                <w:highlight w:val="none"/>
                <w:lang w:val="en-US" w:eastAsia="zh-CN" w:bidi="ar-SA"/>
              </w:rPr>
              <w:t>)</w:t>
            </w:r>
            <w:r>
              <w:rPr>
                <w:rFonts w:hint="eastAsia" w:cs="Times New Roman" w:asciiTheme="minorEastAsia" w:hAnsiTheme="minorEastAsia" w:eastAsiaTheme="minorEastAsia"/>
                <w:color w:val="auto"/>
                <w:sz w:val="24"/>
                <w:szCs w:val="24"/>
                <w:highlight w:val="none"/>
              </w:rPr>
              <w:t>标的</w:t>
            </w:r>
            <w:r>
              <w:rPr>
                <w:rFonts w:hint="eastAsia" w:cs="Times New Roman" w:asciiTheme="minorEastAsia" w:hAnsiTheme="minorEastAsia" w:eastAsiaTheme="minorEastAsia"/>
                <w:color w:val="auto"/>
                <w:sz w:val="24"/>
                <w:szCs w:val="24"/>
                <w:highlight w:val="none"/>
                <w:u w:val="none"/>
              </w:rPr>
              <w:t>：</w:t>
            </w:r>
            <w:r>
              <w:rPr>
                <w:rFonts w:hint="eastAsia" w:ascii="宋体" w:hAnsi="宋体" w:eastAsia="宋体" w:cs="宋体"/>
                <w:i w:val="0"/>
                <w:iCs w:val="0"/>
                <w:color w:val="auto"/>
                <w:kern w:val="0"/>
                <w:sz w:val="24"/>
                <w:szCs w:val="24"/>
                <w:highlight w:val="none"/>
                <w:u w:val="single"/>
                <w:lang w:val="en-US" w:eastAsia="zh-CN" w:bidi="ar"/>
              </w:rPr>
              <w:t>热熔雨夜标线</w:t>
            </w:r>
            <w:r>
              <w:rPr>
                <w:rFonts w:hint="eastAsia" w:cs="Times New Roman" w:asciiTheme="minorEastAsia" w:hAnsiTheme="minorEastAsia" w:eastAsiaTheme="minorEastAsia"/>
                <w:color w:val="auto"/>
                <w:sz w:val="24"/>
                <w:szCs w:val="24"/>
                <w:highlight w:val="none"/>
              </w:rPr>
              <w:t>，属于</w:t>
            </w:r>
            <w:r>
              <w:rPr>
                <w:rFonts w:hint="eastAsia" w:cs="Times New Roman" w:asciiTheme="minorEastAsia" w:hAnsiTheme="minorEastAsia" w:eastAsiaTheme="minorEastAsia"/>
                <w:color w:val="auto"/>
                <w:sz w:val="24"/>
                <w:szCs w:val="24"/>
                <w:highlight w:val="none"/>
                <w:u w:val="single"/>
              </w:rPr>
              <w:t>工业</w:t>
            </w:r>
            <w:r>
              <w:rPr>
                <w:rFonts w:hint="eastAsia" w:cs="Times New Roman" w:asciiTheme="minorEastAsia" w:hAnsiTheme="minorEastAsia" w:eastAsiaTheme="minorEastAsia"/>
                <w:color w:val="auto"/>
                <w:sz w:val="24"/>
                <w:szCs w:val="24"/>
                <w:highlight w:val="none"/>
              </w:rPr>
              <w:t>行业；</w:t>
            </w:r>
          </w:p>
          <w:p w14:paraId="3312CBC9">
            <w:pPr>
              <w:keepNext w:val="0"/>
              <w:keepLines w:val="0"/>
              <w:numPr>
                <w:ilvl w:val="0"/>
                <w:numId w:val="0"/>
              </w:numPr>
              <w:suppressLineNumbers w:val="0"/>
              <w:spacing w:before="0" w:beforeAutospacing="0" w:after="0" w:afterAutospacing="0" w:line="440" w:lineRule="exact"/>
              <w:ind w:left="0" w:leftChars="0" w:right="0" w:rightChars="0"/>
              <w:rPr>
                <w:rFonts w:hint="eastAsia" w:cs="Times New Roman" w:asciiTheme="minorEastAsia" w:hAnsiTheme="minorEastAsia" w:eastAsiaTheme="minorEastAsia"/>
                <w:color w:val="auto"/>
                <w:sz w:val="24"/>
                <w:highlight w:val="none"/>
                <w:lang w:val="en-US" w:eastAsia="zh-CN"/>
              </w:rPr>
            </w:pPr>
            <w:r>
              <w:rPr>
                <w:rFonts w:hint="default"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7</w:t>
            </w:r>
            <w:r>
              <w:rPr>
                <w:rFonts w:hint="default" w:ascii="宋体" w:hAnsi="宋体" w:eastAsia="宋体" w:cs="宋体"/>
                <w:color w:val="auto"/>
                <w:kern w:val="2"/>
                <w:sz w:val="24"/>
                <w:szCs w:val="24"/>
                <w:highlight w:val="none"/>
                <w:lang w:val="en-US" w:eastAsia="zh-CN" w:bidi="ar-SA"/>
              </w:rPr>
              <w:t>)</w:t>
            </w:r>
            <w:r>
              <w:rPr>
                <w:rFonts w:hint="eastAsia" w:cs="Times New Roman" w:asciiTheme="minorEastAsia" w:hAnsiTheme="minorEastAsia" w:eastAsiaTheme="minorEastAsia"/>
                <w:color w:val="auto"/>
                <w:sz w:val="24"/>
                <w:szCs w:val="24"/>
                <w:highlight w:val="none"/>
              </w:rPr>
              <w:t>标的</w:t>
            </w:r>
            <w:r>
              <w:rPr>
                <w:rFonts w:hint="eastAsia" w:cs="Times New Roman" w:asciiTheme="minorEastAsia" w:hAnsiTheme="minorEastAsia" w:eastAsiaTheme="minorEastAsia"/>
                <w:color w:val="auto"/>
                <w:sz w:val="24"/>
                <w:szCs w:val="24"/>
                <w:highlight w:val="none"/>
                <w:u w:val="none"/>
              </w:rPr>
              <w:t>：</w:t>
            </w:r>
            <w:r>
              <w:rPr>
                <w:rFonts w:hint="eastAsia" w:ascii="宋体" w:hAnsi="宋体" w:eastAsia="宋体" w:cs="宋体"/>
                <w:i w:val="0"/>
                <w:iCs w:val="0"/>
                <w:color w:val="auto"/>
                <w:kern w:val="0"/>
                <w:sz w:val="24"/>
                <w:szCs w:val="24"/>
                <w:highlight w:val="none"/>
                <w:u w:val="single"/>
                <w:lang w:val="en-US" w:eastAsia="zh-CN" w:bidi="ar"/>
              </w:rPr>
              <w:t>高压水除线</w:t>
            </w:r>
            <w:r>
              <w:rPr>
                <w:rFonts w:hint="eastAsia" w:cs="Times New Roman" w:asciiTheme="minorEastAsia" w:hAnsiTheme="minorEastAsia" w:eastAsiaTheme="minorEastAsia"/>
                <w:color w:val="auto"/>
                <w:sz w:val="24"/>
                <w:szCs w:val="24"/>
                <w:highlight w:val="none"/>
              </w:rPr>
              <w:t>，属于</w:t>
            </w:r>
            <w:r>
              <w:rPr>
                <w:rFonts w:hint="eastAsia" w:cs="Times New Roman" w:asciiTheme="minorEastAsia" w:hAnsiTheme="minorEastAsia" w:eastAsiaTheme="minorEastAsia"/>
                <w:color w:val="auto"/>
                <w:sz w:val="24"/>
                <w:szCs w:val="24"/>
                <w:highlight w:val="none"/>
                <w:u w:val="single"/>
              </w:rPr>
              <w:t>工业</w:t>
            </w:r>
            <w:r>
              <w:rPr>
                <w:rFonts w:hint="eastAsia" w:cs="Times New Roman" w:asciiTheme="minorEastAsia" w:hAnsiTheme="minorEastAsia" w:eastAsiaTheme="minorEastAsia"/>
                <w:color w:val="auto"/>
                <w:sz w:val="24"/>
                <w:szCs w:val="24"/>
                <w:highlight w:val="none"/>
              </w:rPr>
              <w:t>行业</w:t>
            </w:r>
            <w:r>
              <w:rPr>
                <w:rFonts w:hint="eastAsia" w:cs="Times New Roman" w:asciiTheme="minorEastAsia" w:hAnsiTheme="minorEastAsia" w:eastAsiaTheme="minorEastAsia"/>
                <w:color w:val="auto"/>
                <w:sz w:val="24"/>
                <w:szCs w:val="24"/>
                <w:highlight w:val="none"/>
                <w:lang w:eastAsia="zh-CN"/>
              </w:rPr>
              <w:t>。</w:t>
            </w:r>
          </w:p>
        </w:tc>
      </w:tr>
      <w:tr w14:paraId="59C241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823" w:type="dxa"/>
            <w:vAlign w:val="center"/>
          </w:tcPr>
          <w:p w14:paraId="2D0A4240">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16</w:t>
            </w:r>
          </w:p>
        </w:tc>
        <w:tc>
          <w:tcPr>
            <w:tcW w:w="8874" w:type="dxa"/>
            <w:gridSpan w:val="2"/>
            <w:vAlign w:val="center"/>
          </w:tcPr>
          <w:p w14:paraId="6D211B7F">
            <w:pPr>
              <w:pStyle w:val="27"/>
              <w:keepNext w:val="0"/>
              <w:keepLines w:val="0"/>
              <w:suppressLineNumbers w:val="0"/>
              <w:spacing w:before="0" w:beforeAutospacing="0" w:after="0" w:afterAutospacing="0" w:line="440" w:lineRule="exact"/>
              <w:ind w:left="0" w:leftChars="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履约保证金：履约保证金为40000元，签订合同后 3 个工作日内向采购人提交（履约保证金可采用支票、汇票、保函、担保等形式），验收合格后无息退还。</w:t>
            </w:r>
          </w:p>
        </w:tc>
      </w:tr>
      <w:tr w14:paraId="5953E5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5D16ED15">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17</w:t>
            </w:r>
          </w:p>
        </w:tc>
        <w:tc>
          <w:tcPr>
            <w:tcW w:w="8874" w:type="dxa"/>
            <w:gridSpan w:val="2"/>
            <w:vAlign w:val="center"/>
          </w:tcPr>
          <w:p w14:paraId="0BC52BA9">
            <w:pPr>
              <w:pStyle w:val="21"/>
              <w:keepNext w:val="0"/>
              <w:keepLines w:val="0"/>
              <w:suppressLineNumbers w:val="0"/>
              <w:spacing w:before="0" w:beforeAutospacing="0" w:after="0" w:afterAutospacing="0" w:line="444" w:lineRule="exact"/>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代理服务费：</w:t>
            </w:r>
          </w:p>
          <w:p w14:paraId="20C8AF55">
            <w:pPr>
              <w:keepNext w:val="0"/>
              <w:keepLines w:val="0"/>
              <w:suppressLineNumbers w:val="0"/>
              <w:spacing w:before="0" w:beforeAutospacing="0" w:after="0" w:afterAutospacing="0" w:line="336" w:lineRule="auto"/>
              <w:ind w:left="0" w:right="420" w:rightChars="200"/>
              <w:rPr>
                <w:rFonts w:hint="default" w:ascii="宋体" w:hAnsi="宋体" w:cs="宋体"/>
                <w:b/>
                <w:color w:val="auto"/>
                <w:sz w:val="24"/>
                <w:szCs w:val="24"/>
                <w:highlight w:val="none"/>
              </w:rPr>
            </w:pPr>
            <w:r>
              <w:rPr>
                <w:rFonts w:hint="eastAsia" w:ascii="宋体" w:hAnsi="宋体" w:cs="宋体"/>
                <w:color w:val="auto"/>
                <w:sz w:val="24"/>
                <w:szCs w:val="24"/>
                <w:highlight w:val="none"/>
              </w:rPr>
              <w:t>1、代理费金额：本项目招标代理费用参照下表中货物类计算标准乘以</w:t>
            </w:r>
            <w:r>
              <w:rPr>
                <w:rFonts w:hint="eastAsia" w:ascii="宋体" w:hAnsi="宋体" w:cs="宋体"/>
                <w:color w:val="auto"/>
                <w:sz w:val="24"/>
                <w:szCs w:val="24"/>
                <w:highlight w:val="none"/>
                <w:lang w:val="en-US" w:eastAsia="zh-CN"/>
              </w:rPr>
              <w:t>72</w:t>
            </w:r>
            <w:r>
              <w:rPr>
                <w:rFonts w:hint="eastAsia" w:ascii="宋体" w:hAnsi="宋体" w:cs="宋体"/>
                <w:color w:val="auto"/>
                <w:sz w:val="24"/>
                <w:szCs w:val="24"/>
                <w:highlight w:val="none"/>
              </w:rPr>
              <w:t>%计算（差额定率累进法），按照中标通知书确定的中标金额，向中标人收取招标代理服务费</w:t>
            </w:r>
            <w:r>
              <w:rPr>
                <w:rFonts w:hint="eastAsia" w:ascii="宋体" w:hAnsi="宋体" w:cs="宋体"/>
                <w:bCs/>
                <w:color w:val="auto"/>
                <w:sz w:val="24"/>
                <w:szCs w:val="24"/>
                <w:highlight w:val="none"/>
              </w:rPr>
              <w:t>。</w:t>
            </w:r>
          </w:p>
          <w:tbl>
            <w:tblPr>
              <w:tblStyle w:val="48"/>
              <w:tblW w:w="8158" w:type="dxa"/>
              <w:tblInd w:w="1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30"/>
              <w:gridCol w:w="1449"/>
              <w:gridCol w:w="2039"/>
              <w:gridCol w:w="2040"/>
            </w:tblGrid>
            <w:tr w14:paraId="255AD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3" w:hRule="atLeast"/>
              </w:trPr>
              <w:tc>
                <w:tcPr>
                  <w:tcW w:w="2630" w:type="dxa"/>
                </w:tcPr>
                <w:p w14:paraId="18774387">
                  <w:pPr>
                    <w:keepNext w:val="0"/>
                    <w:keepLines w:val="0"/>
                    <w:suppressLineNumbers w:val="0"/>
                    <w:spacing w:before="0" w:beforeAutospacing="0" w:after="0" w:afterAutospacing="0" w:line="440" w:lineRule="exact"/>
                    <w:ind w:left="0" w:right="0" w:firstLine="1320" w:firstLineChars="550"/>
                    <w:jc w:val="left"/>
                    <w:rPr>
                      <w:rFonts w:hint="default" w:ascii="宋体" w:hAnsi="宋体" w:cs="宋体"/>
                      <w:color w:val="auto"/>
                      <w:sz w:val="24"/>
                      <w:szCs w:val="24"/>
                      <w:highlight w:val="none"/>
                    </w:rPr>
                  </w:pPr>
                  <w:r>
                    <w:rPr>
                      <w:rFonts w:hint="default" w:ascii="宋体" w:hAnsi="宋体" w:cs="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234950</wp:posOffset>
                            </wp:positionH>
                            <wp:positionV relativeFrom="paragraph">
                              <wp:posOffset>1270</wp:posOffset>
                            </wp:positionV>
                            <wp:extent cx="1383665" cy="836930"/>
                            <wp:effectExtent l="2540" t="3810" r="4445" b="16510"/>
                            <wp:wrapNone/>
                            <wp:docPr id="9" name="直接连接符 9"/>
                            <wp:cNvGraphicFramePr/>
                            <a:graphic xmlns:a="http://schemas.openxmlformats.org/drawingml/2006/main">
                              <a:graphicData uri="http://schemas.microsoft.com/office/word/2010/wordprocessingShape">
                                <wps:wsp>
                                  <wps:cNvCnPr/>
                                  <wps:spPr>
                                    <a:xfrm flipH="1" flipV="1">
                                      <a:off x="0" y="0"/>
                                      <a:ext cx="1383665" cy="8369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18.5pt;margin-top:0.1pt;height:65.9pt;width:108.95pt;z-index:251664384;mso-width-relative:page;mso-height-relative:page;" filled="f" stroked="t" coordsize="21600,21600" o:gfxdata="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yzmS9MAAAAHAQAADwAAAAAAAAABACAAAAAiAAAAZHJz&#10;L2Rvd25yZXYueG1sUEsBAhQAFAAAAAgAh07iQJDsijUJAgAACwQAAA4AAAAAAAAAAQAgAAAAIgEA&#10;AGRycy9lMm9Eb2MueG1sUEsFBgAAAAAGAAYAWQEAAJ0FAAAAAA==&#10;">
                            <v:fill on="f" focussize="0,0"/>
                            <v:stroke color="#000000" joinstyle="round"/>
                            <v:imagedata o:title=""/>
                            <o:lock v:ext="edit" aspectratio="f"/>
                          </v:line>
                        </w:pict>
                      </mc:Fallback>
                    </mc:AlternateContent>
                  </w:r>
                  <w:r>
                    <w:rPr>
                      <w:rFonts w:hint="eastAsia" w:ascii="宋体" w:hAnsi="宋体" w:cs="宋体"/>
                      <w:color w:val="auto"/>
                      <w:sz w:val="24"/>
                      <w:szCs w:val="24"/>
                      <w:highlight w:val="none"/>
                    </w:rPr>
                    <w:t>服务类型</w:t>
                  </w:r>
                </w:p>
                <w:p w14:paraId="2708B2F4">
                  <w:pPr>
                    <w:keepNext w:val="0"/>
                    <w:keepLines w:val="0"/>
                    <w:suppressLineNumbers w:val="0"/>
                    <w:spacing w:before="0" w:beforeAutospacing="0" w:after="0" w:afterAutospacing="0" w:line="440" w:lineRule="exact"/>
                    <w:ind w:left="0" w:right="0" w:firstLine="1080" w:firstLineChars="450"/>
                    <w:jc w:val="left"/>
                    <w:rPr>
                      <w:rFonts w:hint="default" w:ascii="宋体" w:hAnsi="宋体" w:cs="宋体"/>
                      <w:color w:val="auto"/>
                      <w:sz w:val="24"/>
                      <w:szCs w:val="24"/>
                      <w:highlight w:val="none"/>
                    </w:rPr>
                  </w:pPr>
                  <w:r>
                    <w:rPr>
                      <w:rFonts w:hint="default" w:ascii="宋体" w:hAnsi="宋体" w:cs="宋体"/>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-66040</wp:posOffset>
                            </wp:positionH>
                            <wp:positionV relativeFrom="paragraph">
                              <wp:posOffset>22860</wp:posOffset>
                            </wp:positionV>
                            <wp:extent cx="1684655" cy="535940"/>
                            <wp:effectExtent l="1270" t="4445" r="9525" b="12065"/>
                            <wp:wrapNone/>
                            <wp:docPr id="10" name="直接连接符 10"/>
                            <wp:cNvGraphicFramePr/>
                            <a:graphic xmlns:a="http://schemas.openxmlformats.org/drawingml/2006/main">
                              <a:graphicData uri="http://schemas.microsoft.com/office/word/2010/wordprocessingShape">
                                <wps:wsp>
                                  <wps:cNvCnPr/>
                                  <wps:spPr>
                                    <a:xfrm flipH="1" flipV="1">
                                      <a:off x="0" y="0"/>
                                      <a:ext cx="1684655" cy="5359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5.2pt;margin-top:1.8pt;height:42.2pt;width:132.65pt;z-index:251665408;mso-width-relative:page;mso-height-relative:page;" filled="f" stroked="t" coordsize="21600,21600" o:gfxdata="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8ftxa1QAAAAgBAAAPAAAAAAAAAAEAIAAAACIA&#10;AABkcnMvZG93bnJldi54bWxQSwECFAAUAAAACACHTuJAMZ8ypAwCAAANBAAADgAAAAAAAAABACAA&#10;AAAkAQAAZHJzL2Uyb0RvYy54bWxQSwUGAAAAAAYABgBZAQAAogUAAAAA&#10;">
                            <v:fill on="f" focussize="0,0"/>
                            <v:stroke color="#000000" joinstyle="round"/>
                            <v:imagedata o:title=""/>
                            <o:lock v:ext="edit" aspectratio="f"/>
                          </v:line>
                        </w:pict>
                      </mc:Fallback>
                    </mc:AlternateContent>
                  </w:r>
                  <w:r>
                    <w:rPr>
                      <w:rFonts w:hint="eastAsia" w:ascii="宋体" w:hAnsi="宋体" w:cs="宋体"/>
                      <w:color w:val="auto"/>
                      <w:sz w:val="24"/>
                      <w:szCs w:val="24"/>
                      <w:highlight w:val="none"/>
                    </w:rPr>
                    <w:t>费率</w:t>
                  </w:r>
                </w:p>
                <w:p w14:paraId="66B35C33">
                  <w:pPr>
                    <w:keepNext w:val="0"/>
                    <w:keepLines w:val="0"/>
                    <w:suppressLineNumbers w:val="0"/>
                    <w:spacing w:before="0" w:beforeAutospacing="0" w:after="0" w:afterAutospacing="0" w:line="440" w:lineRule="exact"/>
                    <w:ind w:left="0" w:right="0"/>
                    <w:jc w:val="left"/>
                    <w:rPr>
                      <w:rFonts w:hint="default" w:ascii="宋体" w:hAnsi="宋体" w:cs="宋体"/>
                      <w:color w:val="auto"/>
                      <w:sz w:val="24"/>
                      <w:szCs w:val="24"/>
                      <w:highlight w:val="none"/>
                    </w:rPr>
                  </w:pPr>
                  <w:r>
                    <w:rPr>
                      <w:rFonts w:hint="eastAsia" w:ascii="宋体" w:hAnsi="宋体" w:cs="宋体"/>
                      <w:color w:val="auto"/>
                      <w:sz w:val="24"/>
                      <w:szCs w:val="24"/>
                      <w:highlight w:val="none"/>
                    </w:rPr>
                    <w:t>中标金额（万元）</w:t>
                  </w:r>
                </w:p>
              </w:tc>
              <w:tc>
                <w:tcPr>
                  <w:tcW w:w="1449" w:type="dxa"/>
                  <w:vAlign w:val="center"/>
                </w:tcPr>
                <w:p w14:paraId="1F22720B">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货物招标</w:t>
                  </w:r>
                </w:p>
              </w:tc>
              <w:tc>
                <w:tcPr>
                  <w:tcW w:w="2039" w:type="dxa"/>
                  <w:vAlign w:val="center"/>
                </w:tcPr>
                <w:p w14:paraId="37EDEF5D">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服务招标</w:t>
                  </w:r>
                </w:p>
              </w:tc>
              <w:tc>
                <w:tcPr>
                  <w:tcW w:w="2040" w:type="dxa"/>
                  <w:vAlign w:val="center"/>
                </w:tcPr>
                <w:p w14:paraId="2A348F06">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工程招标</w:t>
                  </w:r>
                </w:p>
              </w:tc>
            </w:tr>
            <w:tr w14:paraId="262DA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2630" w:type="dxa"/>
                </w:tcPr>
                <w:p w14:paraId="74FC0E98">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100以下</w:t>
                  </w:r>
                </w:p>
              </w:tc>
              <w:tc>
                <w:tcPr>
                  <w:tcW w:w="1449" w:type="dxa"/>
                </w:tcPr>
                <w:p w14:paraId="4363CC24">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1.5%</w:t>
                  </w:r>
                </w:p>
              </w:tc>
              <w:tc>
                <w:tcPr>
                  <w:tcW w:w="2039" w:type="dxa"/>
                </w:tcPr>
                <w:p w14:paraId="0A4145A5">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1.5%</w:t>
                  </w:r>
                </w:p>
              </w:tc>
              <w:tc>
                <w:tcPr>
                  <w:tcW w:w="2040" w:type="dxa"/>
                </w:tcPr>
                <w:p w14:paraId="448A9509">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r>
            <w:tr w14:paraId="362B0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2630" w:type="dxa"/>
                </w:tcPr>
                <w:p w14:paraId="4EA17D8E">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100-500</w:t>
                  </w:r>
                </w:p>
              </w:tc>
              <w:tc>
                <w:tcPr>
                  <w:tcW w:w="1449" w:type="dxa"/>
                </w:tcPr>
                <w:p w14:paraId="4D9B46E5">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1.1%</w:t>
                  </w:r>
                </w:p>
              </w:tc>
              <w:tc>
                <w:tcPr>
                  <w:tcW w:w="2039" w:type="dxa"/>
                </w:tcPr>
                <w:p w14:paraId="50C51444">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0.8%</w:t>
                  </w:r>
                </w:p>
              </w:tc>
              <w:tc>
                <w:tcPr>
                  <w:tcW w:w="2040" w:type="dxa"/>
                </w:tcPr>
                <w:p w14:paraId="0FF4EC30">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0.7%</w:t>
                  </w:r>
                </w:p>
              </w:tc>
            </w:tr>
          </w:tbl>
          <w:p w14:paraId="594324D4">
            <w:pPr>
              <w:pStyle w:val="21"/>
              <w:keepNext w:val="0"/>
              <w:keepLines w:val="0"/>
              <w:suppressLineNumbers w:val="0"/>
              <w:spacing w:before="0" w:beforeAutospacing="0" w:after="0" w:afterAutospacing="0" w:line="444" w:lineRule="exact"/>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2、中标人应在接到代理机构通知之日起5个工作日之内向采购代理机构支付代理服务费。</w:t>
            </w:r>
          </w:p>
          <w:p w14:paraId="1640DC1E">
            <w:pPr>
              <w:pStyle w:val="21"/>
              <w:keepNext w:val="0"/>
              <w:keepLines w:val="0"/>
              <w:suppressLineNumbers w:val="0"/>
              <w:spacing w:before="0" w:beforeAutospacing="0" w:after="0" w:afterAutospacing="0" w:line="444" w:lineRule="exact"/>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3、收费账号：</w:t>
            </w:r>
          </w:p>
          <w:p w14:paraId="32C69E23">
            <w:pPr>
              <w:pStyle w:val="21"/>
              <w:keepNext w:val="0"/>
              <w:keepLines w:val="0"/>
              <w:suppressLineNumbers w:val="0"/>
              <w:spacing w:before="0" w:beforeAutospacing="0" w:after="0" w:afterAutospacing="0" w:line="444" w:lineRule="exact"/>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开户银行：中国农业银行股份有限公司台州经济开发区支行</w:t>
            </w:r>
          </w:p>
          <w:p w14:paraId="66F6B611">
            <w:pPr>
              <w:pStyle w:val="21"/>
              <w:keepNext w:val="0"/>
              <w:keepLines w:val="0"/>
              <w:suppressLineNumbers w:val="0"/>
              <w:spacing w:before="0" w:beforeAutospacing="0" w:after="0" w:afterAutospacing="0" w:line="444" w:lineRule="exact"/>
              <w:ind w:left="0" w:right="0" w:firstLine="0"/>
              <w:jc w:val="left"/>
              <w:rPr>
                <w:rFonts w:hint="default" w:hAnsi="宋体" w:eastAsia="宋体" w:cs="宋体"/>
                <w:color w:val="auto"/>
                <w:sz w:val="24"/>
                <w:szCs w:val="24"/>
                <w:highlight w:val="none"/>
              </w:rPr>
            </w:pPr>
            <w:r>
              <w:rPr>
                <w:rFonts w:hint="eastAsia" w:hAnsi="宋体" w:eastAsia="宋体" w:cs="宋体"/>
                <w:color w:val="auto"/>
                <w:sz w:val="24"/>
                <w:szCs w:val="24"/>
                <w:highlight w:val="none"/>
              </w:rPr>
              <w:t>户名：中冠工程管理咨询有限公司台州分公司</w:t>
            </w:r>
          </w:p>
          <w:p w14:paraId="4D3080B3">
            <w:pPr>
              <w:pStyle w:val="21"/>
              <w:keepNext w:val="0"/>
              <w:keepLines w:val="0"/>
              <w:suppressLineNumbers w:val="0"/>
              <w:spacing w:before="0" w:beforeAutospacing="0" w:after="0" w:afterAutospacing="0" w:line="440" w:lineRule="exact"/>
              <w:ind w:left="0" w:right="0" w:firstLine="0"/>
              <w:jc w:val="left"/>
              <w:rPr>
                <w:rFonts w:hint="default"/>
                <w:color w:val="auto"/>
                <w:sz w:val="24"/>
                <w:szCs w:val="24"/>
                <w:highlight w:val="none"/>
              </w:rPr>
            </w:pPr>
            <w:r>
              <w:rPr>
                <w:rFonts w:hint="eastAsia" w:ascii="宋体" w:hAnsi="宋体" w:cs="宋体"/>
                <w:color w:val="auto"/>
                <w:sz w:val="24"/>
                <w:szCs w:val="24"/>
                <w:highlight w:val="none"/>
              </w:rPr>
              <w:t>账号：19900101040031566</w:t>
            </w:r>
          </w:p>
        </w:tc>
      </w:tr>
      <w:tr w14:paraId="27BEA80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7586EDD2">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18</w:t>
            </w:r>
          </w:p>
        </w:tc>
        <w:tc>
          <w:tcPr>
            <w:tcW w:w="8874" w:type="dxa"/>
            <w:gridSpan w:val="2"/>
            <w:vAlign w:val="center"/>
          </w:tcPr>
          <w:p w14:paraId="554FD10D">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带“▲”的条款是实质性条款。</w:t>
            </w:r>
          </w:p>
        </w:tc>
      </w:tr>
      <w:tr w14:paraId="5190DD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6" w:hRule="atLeast"/>
          <w:jc w:val="center"/>
        </w:trPr>
        <w:tc>
          <w:tcPr>
            <w:tcW w:w="823" w:type="dxa"/>
            <w:vAlign w:val="center"/>
          </w:tcPr>
          <w:p w14:paraId="5F2F8F26">
            <w:pPr>
              <w:keepNext w:val="0"/>
              <w:keepLines w:val="0"/>
              <w:suppressLineNumbers w:val="0"/>
              <w:autoSpaceDE w:val="0"/>
              <w:autoSpaceDN w:val="0"/>
              <w:snapToGrid w:val="0"/>
              <w:spacing w:before="0" w:beforeAutospacing="0" w:after="0" w:afterAutospacing="0" w:line="360" w:lineRule="exact"/>
              <w:ind w:left="-95" w:right="-129"/>
              <w:contextualSpacing/>
              <w:jc w:val="center"/>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19</w:t>
            </w:r>
          </w:p>
        </w:tc>
        <w:tc>
          <w:tcPr>
            <w:tcW w:w="8874" w:type="dxa"/>
            <w:gridSpan w:val="2"/>
            <w:vAlign w:val="center"/>
          </w:tcPr>
          <w:p w14:paraId="1BCB673E">
            <w:pPr>
              <w:pStyle w:val="21"/>
              <w:keepNext w:val="0"/>
              <w:keepLines w:val="0"/>
              <w:suppressLineNumbers w:val="0"/>
              <w:spacing w:before="0" w:beforeAutospacing="0" w:after="0" w:afterAutospacing="0" w:line="440" w:lineRule="exact"/>
              <w:ind w:left="0" w:right="0" w:firstLine="0"/>
              <w:jc w:val="left"/>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本采购文件解释权属于采购人和采购代理机构。</w:t>
            </w:r>
          </w:p>
        </w:tc>
      </w:tr>
    </w:tbl>
    <w:p w14:paraId="3CA06AEF">
      <w:pPr>
        <w:shd w:val="clear" w:color="auto" w:fill="FFFFFF"/>
        <w:tabs>
          <w:tab w:val="left" w:pos="706"/>
        </w:tabs>
        <w:snapToGrid w:val="0"/>
        <w:spacing w:line="360" w:lineRule="auto"/>
        <w:ind w:left="561" w:firstLine="454"/>
        <w:jc w:val="center"/>
        <w:outlineLvl w:val="1"/>
        <w:rPr>
          <w:rFonts w:cs="宋体" w:asciiTheme="minorEastAsia" w:hAnsiTheme="minorEastAsia" w:eastAsiaTheme="minorEastAsia"/>
          <w:b/>
          <w:bCs/>
          <w:color w:val="auto"/>
          <w:sz w:val="24"/>
          <w:highlight w:val="none"/>
        </w:rPr>
      </w:pPr>
    </w:p>
    <w:bookmarkEnd w:id="21"/>
    <w:bookmarkEnd w:id="22"/>
    <w:bookmarkEnd w:id="23"/>
    <w:bookmarkEnd w:id="24"/>
    <w:bookmarkEnd w:id="25"/>
    <w:bookmarkEnd w:id="26"/>
    <w:p w14:paraId="4737651F">
      <w:pPr>
        <w:pStyle w:val="26"/>
        <w:pageBreakBefore/>
        <w:snapToGrid w:val="0"/>
        <w:spacing w:before="120" w:after="120" w:line="360" w:lineRule="auto"/>
        <w:jc w:val="center"/>
        <w:outlineLvl w:val="0"/>
        <w:rPr>
          <w:rFonts w:asciiTheme="minorEastAsia" w:hAnsiTheme="minorEastAsia" w:eastAsiaTheme="minorEastAsia"/>
          <w:bCs/>
          <w:color w:val="auto"/>
          <w:sz w:val="30"/>
          <w:szCs w:val="30"/>
          <w:highlight w:val="none"/>
        </w:rPr>
      </w:pPr>
      <w:bookmarkStart w:id="27" w:name="_Toc28191"/>
      <w:bookmarkStart w:id="28" w:name="_Toc19894"/>
      <w:bookmarkStart w:id="29" w:name="_Toc10621"/>
      <w:bookmarkStart w:id="30" w:name="_Toc5157"/>
      <w:bookmarkStart w:id="31" w:name="_Toc17817"/>
      <w:bookmarkStart w:id="32" w:name="_Toc1293"/>
      <w:r>
        <w:rPr>
          <w:rFonts w:hint="eastAsia" w:asciiTheme="minorEastAsia" w:hAnsiTheme="minorEastAsia" w:eastAsiaTheme="minorEastAsia"/>
          <w:b/>
          <w:bCs/>
          <w:color w:val="auto"/>
          <w:sz w:val="32"/>
          <w:szCs w:val="32"/>
          <w:highlight w:val="none"/>
        </w:rPr>
        <w:t>第三部分  投标须知</w:t>
      </w:r>
      <w:bookmarkEnd w:id="27"/>
      <w:bookmarkEnd w:id="28"/>
      <w:bookmarkEnd w:id="29"/>
      <w:bookmarkEnd w:id="30"/>
      <w:bookmarkEnd w:id="31"/>
      <w:bookmarkEnd w:id="32"/>
    </w:p>
    <w:p w14:paraId="5C7EDFAD">
      <w:pPr>
        <w:pStyle w:val="95"/>
        <w:ind w:firstLine="482"/>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一 、总  则</w:t>
      </w:r>
    </w:p>
    <w:p w14:paraId="67C1258B">
      <w:pPr>
        <w:pStyle w:val="95"/>
        <w:spacing w:line="460" w:lineRule="exact"/>
        <w:ind w:left="0" w:leftChars="0" w:firstLine="0" w:firstLineChars="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1、适用范围</w:t>
      </w:r>
    </w:p>
    <w:p w14:paraId="05CD6D2A">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适用于本次项目的招标采购、投标、评标、定标、验收、合同履约、付款等行为（法律、法规另有规定的，从其规定）。</w:t>
      </w:r>
    </w:p>
    <w:p w14:paraId="4CB103B8">
      <w:pPr>
        <w:pStyle w:val="95"/>
        <w:spacing w:line="460" w:lineRule="exact"/>
        <w:ind w:left="0" w:leftChars="0" w:firstLine="0" w:firstLineChars="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2、定义</w:t>
      </w:r>
    </w:p>
    <w:p w14:paraId="43844CDF">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2.1、“采购代理机构”指组织本次招标采购的中冠工程管理咨询有限公司。</w:t>
      </w:r>
    </w:p>
    <w:p w14:paraId="0ECE7E2C">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2.2、采购人：是指委托集中采购机构/采购代理机构采购本次项目的国家机关、事业单位和团体组织。</w:t>
      </w:r>
    </w:p>
    <w:p w14:paraId="6FC9EA25">
      <w:pPr>
        <w:pStyle w:val="95"/>
        <w:spacing w:line="460" w:lineRule="exact"/>
        <w:ind w:left="0" w:leftChars="0" w:firstLine="48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2.3、投标人：是指向采购代理机构提交投标文件的单位或个人，应该是符合《投标资料表》的报名条件，符合、承认并承诺履行本采购文件各项要求的具有独立法人资格的中国境内企业或组织。</w:t>
      </w:r>
    </w:p>
    <w:p w14:paraId="1B2CCCEE">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2.4、货物：是指各种形态和种类的物品，包括原材料、燃料、设备、产品等。</w:t>
      </w:r>
    </w:p>
    <w:p w14:paraId="11E2FA8E">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2.5、服务：是指除货物和工程以外的政府采购对象，包括各类专业服务、信息网络开发服务、金融保险服务、运输服务，以及维修与维护服务等。</w:t>
      </w:r>
    </w:p>
    <w:p w14:paraId="65BDAF50">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2.6、“书面形式”包括信函、传真等。</w:t>
      </w:r>
    </w:p>
    <w:p w14:paraId="707F9F89">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2.7、“▲”系指实质性要求条款。</w:t>
      </w:r>
    </w:p>
    <w:p w14:paraId="07356C4E">
      <w:pPr>
        <w:pStyle w:val="95"/>
        <w:spacing w:line="460" w:lineRule="exact"/>
        <w:ind w:left="0" w:leftChars="0" w:firstLine="0" w:firstLineChars="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3、投标费用</w:t>
      </w:r>
    </w:p>
    <w:p w14:paraId="32515BBB">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不论投标结果如何，投标人均应自行承担所有与投标有关的全部费用（有相关规定除外）。</w:t>
      </w:r>
    </w:p>
    <w:p w14:paraId="4668272A">
      <w:pPr>
        <w:pStyle w:val="95"/>
        <w:spacing w:line="460" w:lineRule="exact"/>
        <w:ind w:left="0" w:leftChars="0" w:firstLine="0" w:firstLineChars="0"/>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4、特别说明</w:t>
      </w:r>
    </w:p>
    <w:p w14:paraId="2EDD2E07">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4.1、</w:t>
      </w:r>
      <w:r>
        <w:rPr>
          <w:rFonts w:asciiTheme="minorEastAsia" w:hAnsiTheme="minorEastAsia"/>
          <w:color w:val="auto"/>
          <w:sz w:val="24"/>
          <w:szCs w:val="24"/>
          <w:highlight w:val="none"/>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color w:val="auto"/>
          <w:sz w:val="24"/>
          <w:szCs w:val="24"/>
          <w:highlight w:val="none"/>
        </w:rPr>
        <w:t>。</w:t>
      </w:r>
    </w:p>
    <w:p w14:paraId="370A2DD4">
      <w:pPr>
        <w:pStyle w:val="95"/>
        <w:spacing w:line="460" w:lineRule="exact"/>
        <w:ind w:left="0" w:leftChars="0" w:firstLine="480"/>
        <w:rPr>
          <w:rFonts w:asciiTheme="minorEastAsia" w:hAnsiTheme="minorEastAsia"/>
          <w:b/>
          <w:color w:val="auto"/>
          <w:sz w:val="24"/>
          <w:szCs w:val="24"/>
          <w:highlight w:val="none"/>
        </w:rPr>
      </w:pPr>
      <w:r>
        <w:rPr>
          <w:rFonts w:hint="eastAsia" w:asciiTheme="minorEastAsia" w:hAnsiTheme="minorEastAsia"/>
          <w:color w:val="auto"/>
          <w:sz w:val="24"/>
          <w:szCs w:val="24"/>
          <w:highlight w:val="none"/>
        </w:rPr>
        <w:t>4.2、投标人被列入“黑名单”的，采购组织单位将根据《浙江省政府采购供应商注册及诚信管理暂行办法》第四十六条之规定，在处罚有效，资格审查时不予通过。</w:t>
      </w:r>
    </w:p>
    <w:p w14:paraId="0C8EBD67">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4.3、投标人不得相互串通投标报价，不得妨碍其他投标人的公平竞争，不得损害采购人或其他投标人的合法权益，投标人不得以向采购人、评标委员会成员行贿或者采取其他不正当手段谋取中标。</w:t>
      </w:r>
    </w:p>
    <w:p w14:paraId="08B46492">
      <w:pPr>
        <w:pStyle w:val="95"/>
        <w:spacing w:line="460" w:lineRule="exact"/>
        <w:ind w:left="0" w:leftChars="0" w:firstLine="480"/>
        <w:rPr>
          <w:rFonts w:asciiTheme="minorEastAsia" w:hAnsiTheme="minorEastAsia"/>
          <w:b/>
          <w:color w:val="auto"/>
          <w:sz w:val="24"/>
          <w:szCs w:val="24"/>
          <w:highlight w:val="none"/>
        </w:rPr>
      </w:pPr>
      <w:r>
        <w:rPr>
          <w:rFonts w:hint="eastAsia" w:asciiTheme="minorEastAsia" w:hAnsiTheme="minorEastAsia"/>
          <w:color w:val="auto"/>
          <w:sz w:val="24"/>
          <w:szCs w:val="24"/>
          <w:highlight w:val="none"/>
        </w:rPr>
        <w:t>4.4、为采购项目提供整体设计、规范编制或者项目管理、监理、检测等服务的供应商，不得再参加该采购项目的其他采购活动。</w:t>
      </w:r>
    </w:p>
    <w:p w14:paraId="54FD3626">
      <w:pPr>
        <w:pStyle w:val="95"/>
        <w:spacing w:line="460" w:lineRule="exact"/>
        <w:ind w:left="0" w:leftChars="0" w:firstLine="480"/>
        <w:rPr>
          <w:rFonts w:asciiTheme="minorEastAsia" w:hAnsiTheme="minorEastAsia"/>
          <w:b/>
          <w:bCs/>
          <w:color w:val="auto"/>
          <w:sz w:val="24"/>
          <w:szCs w:val="24"/>
          <w:highlight w:val="none"/>
        </w:rPr>
      </w:pPr>
      <w:r>
        <w:rPr>
          <w:rFonts w:hint="eastAsia" w:asciiTheme="minorEastAsia" w:hAnsiTheme="minorEastAsia"/>
          <w:color w:val="auto"/>
          <w:sz w:val="24"/>
          <w:szCs w:val="24"/>
          <w:highlight w:val="none"/>
        </w:rPr>
        <w:t>4.5、投标文件格式中的表格式样可以根据项目差别做适当调整,但应当保持表格样式基本形态不变。</w:t>
      </w:r>
    </w:p>
    <w:p w14:paraId="4406A591">
      <w:pPr>
        <w:pStyle w:val="95"/>
        <w:spacing w:line="460" w:lineRule="exact"/>
        <w:ind w:left="0" w:leftChars="0" w:firstLine="480"/>
        <w:rPr>
          <w:rFonts w:asciiTheme="minorEastAsia" w:hAnsiTheme="minorEastAsia"/>
          <w:b/>
          <w:bCs/>
          <w:color w:val="auto"/>
          <w:sz w:val="24"/>
          <w:szCs w:val="24"/>
          <w:highlight w:val="none"/>
        </w:rPr>
      </w:pPr>
      <w:r>
        <w:rPr>
          <w:rFonts w:hint="eastAsia" w:asciiTheme="minorEastAsia" w:hAnsiTheme="minorEastAsia"/>
          <w:color w:val="auto"/>
          <w:sz w:val="24"/>
          <w:szCs w:val="24"/>
          <w:highlight w:val="none"/>
        </w:rPr>
        <w:t>4.6、单位负责人为同一人或者存在直接控股、管理关系的不同供应商，不得参加同一合同项下的政府采购活动。</w:t>
      </w:r>
    </w:p>
    <w:p w14:paraId="4440F453">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4.7、本项目不允许分包。</w:t>
      </w:r>
    </w:p>
    <w:p w14:paraId="19772A95">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4.8、</w:t>
      </w:r>
      <w:r>
        <w:rPr>
          <w:rFonts w:asciiTheme="minorEastAsia" w:hAnsiTheme="minorEastAsia"/>
          <w:color w:val="auto"/>
          <w:sz w:val="24"/>
          <w:szCs w:val="24"/>
          <w:highlight w:val="none"/>
        </w:rPr>
        <w:t>本</w:t>
      </w:r>
      <w:r>
        <w:rPr>
          <w:rFonts w:hint="eastAsia" w:asciiTheme="minorEastAsia" w:hAnsiTheme="minorEastAsia"/>
          <w:color w:val="auto"/>
          <w:sz w:val="24"/>
          <w:szCs w:val="24"/>
          <w:highlight w:val="none"/>
        </w:rPr>
        <w:t>采购</w:t>
      </w:r>
      <w:r>
        <w:rPr>
          <w:rFonts w:asciiTheme="minorEastAsia" w:hAnsiTheme="minorEastAsia"/>
          <w:color w:val="auto"/>
          <w:sz w:val="24"/>
          <w:szCs w:val="24"/>
          <w:highlight w:val="none"/>
        </w:rPr>
        <w:t>文件中关于电子招投标内容、流程如与政采云系统中最新的内容、操作不一致的，以政采云系统中的要求为准</w:t>
      </w:r>
      <w:r>
        <w:rPr>
          <w:rFonts w:hint="eastAsia" w:asciiTheme="minorEastAsia" w:hAnsiTheme="minorEastAsia"/>
          <w:color w:val="auto"/>
          <w:sz w:val="24"/>
          <w:szCs w:val="24"/>
          <w:highlight w:val="none"/>
        </w:rPr>
        <w:t>。</w:t>
      </w:r>
    </w:p>
    <w:p w14:paraId="7009375E">
      <w:pPr>
        <w:pStyle w:val="95"/>
        <w:spacing w:line="460" w:lineRule="exact"/>
        <w:ind w:left="0" w:leftChars="0" w:firstLine="0" w:firstLineChars="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5、 质疑与投诉</w:t>
      </w:r>
    </w:p>
    <w:p w14:paraId="45E5589C">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5.1、投标人认为、采购过程和中标、成交结果使自己的权益受到损害的，可以在知道或者应知其权益受到损害之日起七个工作日内，以书面形式向采购人、采购代理机构提出质疑</w:t>
      </w:r>
      <w:r>
        <w:rPr>
          <w:rFonts w:hint="eastAsia" w:asciiTheme="minorEastAsia" w:hAnsiTheme="minorEastAsia"/>
          <w:b/>
          <w:color w:val="auto"/>
          <w:sz w:val="24"/>
          <w:szCs w:val="24"/>
          <w:highlight w:val="none"/>
        </w:rPr>
        <w:t>（注</w:t>
      </w:r>
      <w:r>
        <w:rPr>
          <w:rFonts w:asciiTheme="minorEastAsia" w:hAnsiTheme="minorEastAsia"/>
          <w:b/>
          <w:color w:val="auto"/>
          <w:sz w:val="24"/>
          <w:szCs w:val="24"/>
          <w:highlight w:val="none"/>
        </w:rPr>
        <w:t>：</w:t>
      </w:r>
      <w:r>
        <w:rPr>
          <w:rFonts w:hint="eastAsia" w:asciiTheme="minorEastAsia" w:hAnsiTheme="minorEastAsia"/>
          <w:b/>
          <w:color w:val="auto"/>
          <w:sz w:val="24"/>
          <w:szCs w:val="24"/>
          <w:highlight w:val="none"/>
        </w:rPr>
        <w:t>投标人须</w:t>
      </w:r>
      <w:r>
        <w:rPr>
          <w:rFonts w:asciiTheme="minorEastAsia" w:hAnsiTheme="minorEastAsia"/>
          <w:b/>
          <w:color w:val="auto"/>
          <w:sz w:val="24"/>
          <w:szCs w:val="24"/>
          <w:highlight w:val="none"/>
        </w:rPr>
        <w:t>在法定质疑期内一次性提出针对同一采购程序环节的质疑</w:t>
      </w:r>
      <w:r>
        <w:rPr>
          <w:rFonts w:hint="eastAsia" w:asciiTheme="minorEastAsia" w:hAnsiTheme="minorEastAsia"/>
          <w:b/>
          <w:color w:val="auto"/>
          <w:sz w:val="24"/>
          <w:szCs w:val="24"/>
          <w:highlight w:val="none"/>
        </w:rPr>
        <w:t>）</w:t>
      </w:r>
      <w:r>
        <w:rPr>
          <w:rFonts w:hint="eastAsia" w:asciiTheme="minorEastAsia" w:hAnsiTheme="minorEastAsia"/>
          <w:color w:val="auto"/>
          <w:sz w:val="24"/>
          <w:szCs w:val="24"/>
          <w:highlight w:val="none"/>
        </w:rPr>
        <w:t>。潜在投标人的书面质疑或澄清要求均应加盖单位公章，署明日期。投标人未按规定要求提出的，则视同认可，但法律法规及规范性文件有明确规定的除外。供应商对采购代理机构的质疑答复不满意或者采购机构未在规定时间内作出答复的，可以在答复期满后十五个工作日内向同级政府采购监督管理部门投诉。</w:t>
      </w:r>
    </w:p>
    <w:p w14:paraId="6E0DC51B">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5.2、对于受理的质疑，采购代理机构将以书面形式或其他适当方式进行答疑，必要时将书面答复发送所有取得本项目采购文件的投标人。若采购代理机构所作的答疑不引起相应条款的实质性改变，则不应视作对采购文件的修正或更正。</w:t>
      </w:r>
    </w:p>
    <w:p w14:paraId="30F66DD9">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5.3、采购代理机构发送的答疑文件是采购文件的组成部分，对投标人具有约束力。</w:t>
      </w:r>
    </w:p>
    <w:p w14:paraId="3E30CC7A">
      <w:pPr>
        <w:pStyle w:val="95"/>
        <w:spacing w:line="460" w:lineRule="exact"/>
        <w:ind w:left="0" w:leftChars="0" w:firstLine="480"/>
        <w:rPr>
          <w:rFonts w:asciiTheme="minorEastAsia" w:hAnsiTheme="minorEastAsia"/>
          <w:color w:val="auto"/>
          <w:sz w:val="24"/>
          <w:szCs w:val="24"/>
          <w:highlight w:val="none"/>
        </w:rPr>
      </w:pPr>
      <w:bookmarkStart w:id="33" w:name="_Hlk49407732"/>
      <w:r>
        <w:rPr>
          <w:rFonts w:hint="eastAsia" w:asciiTheme="minorEastAsia" w:hAnsiTheme="minorEastAsia"/>
          <w:color w:val="auto"/>
          <w:sz w:val="24"/>
          <w:szCs w:val="24"/>
          <w:highlight w:val="none"/>
        </w:rPr>
        <w:t>5.4、未尽事宜，见《政府采购质疑和投诉办法》（中华人民共和国财政部令第94号）</w:t>
      </w:r>
      <w:bookmarkEnd w:id="33"/>
      <w:r>
        <w:rPr>
          <w:rFonts w:hint="eastAsia" w:asciiTheme="minorEastAsia" w:hAnsiTheme="minorEastAsia"/>
          <w:color w:val="auto"/>
          <w:sz w:val="24"/>
          <w:szCs w:val="24"/>
          <w:highlight w:val="none"/>
        </w:rPr>
        <w:t>。</w:t>
      </w:r>
    </w:p>
    <w:p w14:paraId="17522299">
      <w:pPr>
        <w:pStyle w:val="95"/>
        <w:spacing w:line="460" w:lineRule="exact"/>
        <w:ind w:firstLine="482"/>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二、采购文件</w:t>
      </w:r>
    </w:p>
    <w:p w14:paraId="77B6A26E">
      <w:pPr>
        <w:pStyle w:val="95"/>
        <w:spacing w:line="460" w:lineRule="exact"/>
        <w:ind w:left="0" w:leftChars="0" w:firstLine="0" w:firstLineChars="0"/>
        <w:rPr>
          <w:rFonts w:asciiTheme="minorEastAsia" w:hAnsiTheme="minorEastAsia"/>
          <w:b/>
          <w:color w:val="auto"/>
          <w:sz w:val="24"/>
          <w:szCs w:val="24"/>
          <w:highlight w:val="none"/>
        </w:rPr>
      </w:pPr>
      <w:r>
        <w:rPr>
          <w:rFonts w:asciiTheme="minorEastAsia" w:hAnsiTheme="minorEastAsia"/>
          <w:b/>
          <w:color w:val="auto"/>
          <w:sz w:val="24"/>
          <w:szCs w:val="24"/>
          <w:highlight w:val="none"/>
        </w:rPr>
        <w:t>6</w:t>
      </w:r>
      <w:r>
        <w:rPr>
          <w:rFonts w:hint="eastAsia" w:asciiTheme="minorEastAsia" w:hAnsiTheme="minorEastAsia"/>
          <w:b/>
          <w:color w:val="auto"/>
          <w:sz w:val="24"/>
          <w:szCs w:val="24"/>
          <w:highlight w:val="none"/>
        </w:rPr>
        <w:t>、采购文件构成</w:t>
      </w:r>
    </w:p>
    <w:p w14:paraId="541F7FF2">
      <w:pPr>
        <w:pStyle w:val="95"/>
        <w:spacing w:line="460" w:lineRule="exact"/>
        <w:ind w:left="0" w:leftChars="0" w:firstLine="480"/>
        <w:rPr>
          <w:rFonts w:asciiTheme="minorEastAsia" w:hAnsiTheme="minorEastAsia"/>
          <w:color w:val="auto"/>
          <w:sz w:val="24"/>
          <w:szCs w:val="24"/>
          <w:highlight w:val="none"/>
        </w:rPr>
      </w:pPr>
      <w:r>
        <w:rPr>
          <w:rFonts w:asciiTheme="minorEastAsia" w:hAnsiTheme="minorEastAsia"/>
          <w:color w:val="auto"/>
          <w:sz w:val="24"/>
          <w:szCs w:val="24"/>
          <w:highlight w:val="none"/>
        </w:rPr>
        <w:t>6</w:t>
      </w:r>
      <w:r>
        <w:rPr>
          <w:rFonts w:hint="eastAsia" w:asciiTheme="minorEastAsia" w:hAnsiTheme="minorEastAsia"/>
          <w:color w:val="auto"/>
          <w:sz w:val="24"/>
          <w:szCs w:val="24"/>
          <w:highlight w:val="none"/>
        </w:rPr>
        <w:t>.1、采购文件包括目录所示内容及采购文件的澄清或修改。</w:t>
      </w:r>
    </w:p>
    <w:p w14:paraId="307E356B">
      <w:pPr>
        <w:pStyle w:val="95"/>
        <w:spacing w:line="460" w:lineRule="exact"/>
        <w:ind w:left="0" w:leftChars="0" w:firstLine="480"/>
        <w:rPr>
          <w:rFonts w:asciiTheme="minorEastAsia" w:hAnsiTheme="minorEastAsia"/>
          <w:color w:val="auto"/>
          <w:sz w:val="24"/>
          <w:szCs w:val="24"/>
          <w:highlight w:val="none"/>
        </w:rPr>
      </w:pPr>
      <w:r>
        <w:rPr>
          <w:rFonts w:asciiTheme="minorEastAsia" w:hAnsiTheme="minorEastAsia"/>
          <w:color w:val="auto"/>
          <w:sz w:val="24"/>
          <w:szCs w:val="24"/>
          <w:highlight w:val="none"/>
        </w:rPr>
        <w:t>6</w:t>
      </w:r>
      <w:r>
        <w:rPr>
          <w:rFonts w:hint="eastAsia" w:asciiTheme="minorEastAsia" w:hAnsiTheme="minorEastAsia"/>
          <w:color w:val="auto"/>
          <w:sz w:val="24"/>
          <w:szCs w:val="24"/>
          <w:highlight w:val="none"/>
        </w:rPr>
        <w:t>.2、除上述所列内容外，采购人和采购代理机构的任何工作人员对投标人所作的任何口头解释、介绍、答复，只能供投标人参考，对采购人、采购代理机构和投标人无任何约束力。</w:t>
      </w:r>
    </w:p>
    <w:p w14:paraId="6285A94B">
      <w:pPr>
        <w:pStyle w:val="95"/>
        <w:spacing w:line="460" w:lineRule="exact"/>
        <w:ind w:left="0" w:leftChars="0" w:firstLine="480"/>
        <w:rPr>
          <w:rFonts w:asciiTheme="minorEastAsia" w:hAnsiTheme="minorEastAsia"/>
          <w:color w:val="auto"/>
          <w:sz w:val="24"/>
          <w:szCs w:val="24"/>
          <w:highlight w:val="none"/>
        </w:rPr>
      </w:pPr>
      <w:r>
        <w:rPr>
          <w:rFonts w:asciiTheme="minorEastAsia" w:hAnsiTheme="minorEastAsia"/>
          <w:color w:val="auto"/>
          <w:sz w:val="24"/>
          <w:szCs w:val="24"/>
          <w:highlight w:val="none"/>
        </w:rPr>
        <w:t>6</w:t>
      </w:r>
      <w:r>
        <w:rPr>
          <w:rFonts w:hint="eastAsia" w:asciiTheme="minorEastAsia" w:hAnsiTheme="minorEastAsia"/>
          <w:color w:val="auto"/>
          <w:sz w:val="24"/>
          <w:szCs w:val="24"/>
          <w:highlight w:val="none"/>
        </w:rPr>
        <w:t>.3、采购文件是招标过程进行的有效依据，也是成交后签订合同的依据，对双方均具有约束力，凡不遵守采购文件规定或对采购文件的实质性内容不响应的，将可能被拒绝或以无效标处理。</w:t>
      </w:r>
    </w:p>
    <w:p w14:paraId="309E19D6">
      <w:pPr>
        <w:pStyle w:val="95"/>
        <w:spacing w:line="460" w:lineRule="exact"/>
        <w:ind w:left="0" w:leftChars="0" w:firstLine="480"/>
        <w:rPr>
          <w:rFonts w:asciiTheme="minorEastAsia" w:hAnsiTheme="minorEastAsia"/>
          <w:color w:val="auto"/>
          <w:sz w:val="24"/>
          <w:szCs w:val="24"/>
          <w:highlight w:val="none"/>
        </w:rPr>
      </w:pPr>
      <w:r>
        <w:rPr>
          <w:rFonts w:asciiTheme="minorEastAsia" w:hAnsiTheme="minorEastAsia"/>
          <w:color w:val="auto"/>
          <w:sz w:val="24"/>
          <w:szCs w:val="24"/>
          <w:highlight w:val="none"/>
        </w:rPr>
        <w:t>6</w:t>
      </w:r>
      <w:r>
        <w:rPr>
          <w:rFonts w:hint="eastAsia" w:asciiTheme="minorEastAsia" w:hAnsiTheme="minorEastAsia"/>
          <w:color w:val="auto"/>
          <w:sz w:val="24"/>
          <w:szCs w:val="24"/>
          <w:highlight w:val="none"/>
        </w:rPr>
        <w:t>.4、本采购文件由采购人或采购代理机构依据相关法律、法规、规章、省市规定及采购文件进行解释。</w:t>
      </w:r>
    </w:p>
    <w:p w14:paraId="0B865F4F">
      <w:pPr>
        <w:pStyle w:val="95"/>
        <w:spacing w:line="460" w:lineRule="exact"/>
        <w:ind w:left="0" w:leftChars="0" w:firstLine="0" w:firstLineChars="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7、采购文件的澄清或修改</w:t>
      </w:r>
    </w:p>
    <w:p w14:paraId="3A523E99">
      <w:pPr>
        <w:tabs>
          <w:tab w:val="left" w:pos="709"/>
        </w:tabs>
        <w:spacing w:line="360" w:lineRule="auto"/>
        <w:ind w:firstLine="480" w:firstLineChars="200"/>
        <w:contextualSpacing/>
        <w:rPr>
          <w:rFonts w:ascii="宋体" w:hAnsi="宋体"/>
          <w:color w:val="auto"/>
          <w:sz w:val="24"/>
          <w:highlight w:val="none"/>
        </w:rPr>
      </w:pPr>
      <w:r>
        <w:rPr>
          <w:rFonts w:hint="eastAsia" w:asciiTheme="minorEastAsia" w:hAnsiTheme="minorEastAsia" w:eastAsiaTheme="minorEastAsia"/>
          <w:color w:val="auto"/>
          <w:sz w:val="24"/>
          <w:highlight w:val="none"/>
        </w:rPr>
        <w:t>7</w:t>
      </w:r>
      <w:r>
        <w:rPr>
          <w:rFonts w:hint="eastAsia" w:ascii="宋体" w:hAnsi="宋体"/>
          <w:color w:val="auto"/>
          <w:sz w:val="24"/>
          <w:highlight w:val="none"/>
        </w:rPr>
        <w:t>.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14:paraId="61A74424">
      <w:pPr>
        <w:tabs>
          <w:tab w:val="left" w:pos="709"/>
        </w:tabs>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澄清或者修改的内容可能影响投标文件编制的，采购人或者采购代理机构应当在投标截止时间至少</w:t>
      </w:r>
      <w:r>
        <w:rPr>
          <w:rFonts w:ascii="宋体" w:hAnsi="宋体"/>
          <w:color w:val="auto"/>
          <w:sz w:val="24"/>
          <w:highlight w:val="none"/>
        </w:rPr>
        <w:t>15</w:t>
      </w:r>
      <w:r>
        <w:rPr>
          <w:rFonts w:hint="eastAsia" w:ascii="宋体" w:hAnsi="宋体"/>
          <w:color w:val="auto"/>
          <w:sz w:val="24"/>
          <w:highlight w:val="none"/>
        </w:rPr>
        <w:t>日前，以书面形式通知所有获取采购文件的潜在投标人；不足</w:t>
      </w:r>
      <w:r>
        <w:rPr>
          <w:rFonts w:ascii="宋体" w:hAnsi="宋体"/>
          <w:color w:val="auto"/>
          <w:sz w:val="24"/>
          <w:highlight w:val="none"/>
        </w:rPr>
        <w:t>15</w:t>
      </w:r>
      <w:r>
        <w:rPr>
          <w:rFonts w:hint="eastAsia" w:ascii="宋体" w:hAnsi="宋体"/>
          <w:color w:val="auto"/>
          <w:sz w:val="24"/>
          <w:highlight w:val="none"/>
        </w:rPr>
        <w:t>日的，采购人或者采购代理机构应当顺延提交投标文件的截止时间。</w:t>
      </w:r>
    </w:p>
    <w:p w14:paraId="539CD004">
      <w:pPr>
        <w:tabs>
          <w:tab w:val="left" w:pos="709"/>
        </w:tabs>
        <w:spacing w:line="360" w:lineRule="auto"/>
        <w:ind w:firstLine="480" w:firstLineChars="200"/>
        <w:contextualSpacing/>
        <w:rPr>
          <w:rFonts w:ascii="宋体" w:hAnsi="宋体"/>
          <w:color w:val="auto"/>
          <w:sz w:val="24"/>
          <w:highlight w:val="none"/>
        </w:rPr>
      </w:pPr>
      <w:r>
        <w:rPr>
          <w:rFonts w:hint="eastAsia" w:asciiTheme="minorEastAsia" w:hAnsiTheme="minorEastAsia" w:eastAsiaTheme="minorEastAsia"/>
          <w:color w:val="auto"/>
          <w:sz w:val="24"/>
          <w:highlight w:val="none"/>
        </w:rPr>
        <w:t>7</w:t>
      </w:r>
      <w:r>
        <w:rPr>
          <w:rFonts w:hint="eastAsia" w:ascii="宋体" w:hAnsi="宋体"/>
          <w:color w:val="auto"/>
          <w:sz w:val="24"/>
          <w:highlight w:val="none"/>
        </w:rPr>
        <w:t>.2</w:t>
      </w:r>
      <w:r>
        <w:rPr>
          <w:rFonts w:ascii="宋体" w:hAnsi="宋体"/>
          <w:color w:val="auto"/>
          <w:sz w:val="24"/>
          <w:highlight w:val="none"/>
        </w:rPr>
        <w:t>采购代理机构必须以书面形式答复投标人要求澄清的问题，并将不包含问题来源的答复书面通知所有</w:t>
      </w:r>
      <w:r>
        <w:rPr>
          <w:rFonts w:hint="eastAsia" w:ascii="宋体" w:hAnsi="宋体"/>
          <w:color w:val="auto"/>
          <w:sz w:val="24"/>
          <w:highlight w:val="none"/>
        </w:rPr>
        <w:t>获取</w:t>
      </w:r>
      <w:r>
        <w:rPr>
          <w:rFonts w:ascii="宋体" w:hAnsi="宋体"/>
          <w:color w:val="auto"/>
          <w:sz w:val="24"/>
          <w:highlight w:val="none"/>
        </w:rPr>
        <w:t>采购文件的投标人；除书面答复以外的其他澄清方式及澄清内容均无效。</w:t>
      </w:r>
    </w:p>
    <w:p w14:paraId="574436CF">
      <w:pPr>
        <w:tabs>
          <w:tab w:val="left" w:pos="709"/>
        </w:tabs>
        <w:spacing w:line="360" w:lineRule="auto"/>
        <w:ind w:firstLine="480" w:firstLineChars="200"/>
        <w:contextualSpacing/>
        <w:rPr>
          <w:rFonts w:ascii="宋体" w:hAnsi="宋体"/>
          <w:color w:val="auto"/>
          <w:sz w:val="24"/>
          <w:highlight w:val="none"/>
        </w:rPr>
      </w:pPr>
      <w:r>
        <w:rPr>
          <w:rFonts w:hint="eastAsia" w:asciiTheme="minorEastAsia" w:hAnsiTheme="minorEastAsia" w:eastAsiaTheme="minorEastAsia"/>
          <w:color w:val="auto"/>
          <w:sz w:val="24"/>
          <w:highlight w:val="none"/>
        </w:rPr>
        <w:t>7</w:t>
      </w:r>
      <w:r>
        <w:rPr>
          <w:rFonts w:hint="eastAsia" w:ascii="宋体" w:hAnsi="宋体"/>
          <w:color w:val="auto"/>
          <w:sz w:val="24"/>
          <w:highlight w:val="none"/>
        </w:rPr>
        <w:t>.3</w:t>
      </w:r>
      <w:r>
        <w:rPr>
          <w:rFonts w:ascii="宋体" w:hAnsi="宋体"/>
          <w:color w:val="auto"/>
          <w:sz w:val="24"/>
          <w:highlight w:val="none"/>
        </w:rPr>
        <w:t>采购文件澄清、答复、修改、补充的内容为采购文件的组成部分。当采购文件与采购文件的答复、澄清、修改、补充通知就同一内容的表述不一致时，以最后发出的书面文件为准。</w:t>
      </w:r>
    </w:p>
    <w:p w14:paraId="0F007AD4">
      <w:pPr>
        <w:tabs>
          <w:tab w:val="left" w:pos="709"/>
        </w:tabs>
        <w:spacing w:line="360" w:lineRule="auto"/>
        <w:ind w:firstLine="480" w:firstLineChars="200"/>
        <w:contextualSpacing/>
        <w:rPr>
          <w:rFonts w:ascii="宋体" w:hAnsi="宋体"/>
          <w:color w:val="auto"/>
          <w:sz w:val="24"/>
          <w:highlight w:val="none"/>
        </w:rPr>
      </w:pPr>
      <w:r>
        <w:rPr>
          <w:rFonts w:hint="eastAsia" w:asciiTheme="minorEastAsia" w:hAnsiTheme="minorEastAsia" w:eastAsiaTheme="minorEastAsia"/>
          <w:color w:val="auto"/>
          <w:sz w:val="24"/>
          <w:highlight w:val="none"/>
        </w:rPr>
        <w:t>7</w:t>
      </w:r>
      <w:r>
        <w:rPr>
          <w:rFonts w:hint="eastAsia" w:ascii="宋体" w:hAnsi="宋体"/>
          <w:color w:val="auto"/>
          <w:sz w:val="24"/>
          <w:highlight w:val="none"/>
        </w:rPr>
        <w:t>.4</w:t>
      </w:r>
      <w:r>
        <w:rPr>
          <w:rFonts w:ascii="宋体" w:hAnsi="宋体"/>
          <w:color w:val="auto"/>
          <w:sz w:val="24"/>
          <w:highlight w:val="none"/>
        </w:rPr>
        <w:t>采购文件的澄清、答复、修改或补充都应该通过本代理机构以法定形式发布，采购人非通过本机构，不得擅自澄清、答复、修改或补充采购文件。</w:t>
      </w:r>
    </w:p>
    <w:p w14:paraId="39E6A62B">
      <w:pPr>
        <w:pStyle w:val="95"/>
        <w:spacing w:line="460" w:lineRule="exact"/>
        <w:ind w:left="0" w:leftChars="0" w:firstLine="0" w:firstLineChars="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8、关于分公司投标</w:t>
      </w:r>
    </w:p>
    <w:p w14:paraId="750EAF8C">
      <w:pPr>
        <w:tabs>
          <w:tab w:val="left" w:pos="709"/>
        </w:tabs>
        <w:spacing w:line="360" w:lineRule="auto"/>
        <w:ind w:firstLine="480" w:firstLineChars="200"/>
        <w:contextualSpacing/>
        <w:rPr>
          <w:color w:val="auto"/>
          <w:sz w:val="24"/>
          <w:highlight w:val="none"/>
        </w:rPr>
      </w:pPr>
      <w:r>
        <w:rPr>
          <w:rFonts w:hint="eastAsia"/>
          <w:color w:val="auto"/>
          <w:sz w:val="24"/>
          <w:highlight w:val="none"/>
        </w:rPr>
        <w:t>除金融、保险、通讯等特定行业外，法人的分支机构由于不能独立承担民事责任，不能以分支机构的身份参加政府采购，只能法人身份参加。</w:t>
      </w:r>
    </w:p>
    <w:p w14:paraId="14F74A1F">
      <w:pPr>
        <w:tabs>
          <w:tab w:val="left" w:pos="709"/>
        </w:tabs>
        <w:spacing w:line="360" w:lineRule="auto"/>
        <w:contextualSpacing/>
        <w:rPr>
          <w:b/>
          <w:color w:val="auto"/>
          <w:sz w:val="24"/>
          <w:highlight w:val="none"/>
        </w:rPr>
      </w:pPr>
      <w:r>
        <w:rPr>
          <w:rFonts w:hint="eastAsia"/>
          <w:b/>
          <w:color w:val="auto"/>
          <w:sz w:val="24"/>
          <w:highlight w:val="none"/>
        </w:rPr>
        <w:t>9、关于知识产权</w:t>
      </w:r>
    </w:p>
    <w:p w14:paraId="53A11B9A">
      <w:pPr>
        <w:tabs>
          <w:tab w:val="left" w:pos="709"/>
        </w:tabs>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1</w:t>
      </w:r>
      <w:r>
        <w:rPr>
          <w:rFonts w:hint="eastAsia" w:ascii="宋体" w:hAnsi="宋体"/>
          <w:color w:val="auto"/>
          <w:sz w:val="24"/>
          <w:highlight w:val="none"/>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245BBAD8">
      <w:pPr>
        <w:tabs>
          <w:tab w:val="left" w:pos="709"/>
        </w:tabs>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.2</w:t>
      </w:r>
      <w:r>
        <w:rPr>
          <w:rFonts w:hint="eastAsia" w:ascii="宋体" w:hAnsi="宋体"/>
          <w:color w:val="auto"/>
          <w:sz w:val="24"/>
          <w:highlight w:val="none"/>
        </w:rPr>
        <w:t>投标报价应包含所有应向所有权人支付的专利权、商标权或其它知识产权的一切相关费用。</w:t>
      </w:r>
    </w:p>
    <w:p w14:paraId="7934F84E">
      <w:pPr>
        <w:tabs>
          <w:tab w:val="left" w:pos="709"/>
        </w:tabs>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.3</w:t>
      </w:r>
      <w:r>
        <w:rPr>
          <w:rFonts w:hint="eastAsia" w:ascii="宋体" w:hAnsi="宋体"/>
          <w:color w:val="auto"/>
          <w:sz w:val="24"/>
          <w:highlight w:val="none"/>
        </w:rPr>
        <w:t>系统软件、通用软件必须是具有在中国境内的合法使用权或版权的正版软件，涉及到第三方提出侵权或知识产权的起诉及支付版税等费用由供应商承担所有责任及费用。</w:t>
      </w:r>
    </w:p>
    <w:p w14:paraId="21BA3261">
      <w:pPr>
        <w:pStyle w:val="95"/>
        <w:spacing w:line="460" w:lineRule="exact"/>
        <w:ind w:firstLine="482"/>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三、投标文件</w:t>
      </w:r>
    </w:p>
    <w:p w14:paraId="01995AEB">
      <w:pPr>
        <w:pStyle w:val="95"/>
        <w:spacing w:line="460" w:lineRule="exact"/>
        <w:ind w:left="0" w:leftChars="0" w:firstLine="472" w:firstLineChars="196"/>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投标人应认真阅读采购文件中所有的事项、格式、条款和技术要求等。如果投标人没有按照采购文件要求和规定编制投标文件及提交全部资料，或者投标人没有对采购文件中各方面作出实质性响应，其风险应由投标人自行承担。</w:t>
      </w:r>
    </w:p>
    <w:p w14:paraId="34355135">
      <w:pPr>
        <w:pStyle w:val="95"/>
        <w:spacing w:line="460" w:lineRule="exact"/>
        <w:ind w:left="0" w:leftChars="0" w:firstLine="0" w:firstLineChars="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10、投标文件的组成</w:t>
      </w:r>
    </w:p>
    <w:p w14:paraId="55F83E1C">
      <w:pPr>
        <w:pStyle w:val="95"/>
        <w:spacing w:line="460" w:lineRule="exact"/>
        <w:ind w:left="0" w:leftChars="0" w:firstLine="600" w:firstLineChars="2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投标人接到后，按照采购代理机构的要求提供：资格证明文件、商务与技术文件和报价文件。</w:t>
      </w:r>
    </w:p>
    <w:p w14:paraId="05B27652">
      <w:pPr>
        <w:pStyle w:val="95"/>
        <w:spacing w:line="460" w:lineRule="exact"/>
        <w:ind w:left="0" w:leftChars="0" w:firstLine="0" w:firstLineChars="0"/>
        <w:rPr>
          <w:rFonts w:cs="仿宋_GB2312" w:asciiTheme="minorEastAsia" w:hAnsiTheme="minorEastAsia"/>
          <w:color w:val="auto"/>
          <w:sz w:val="24"/>
          <w:szCs w:val="24"/>
          <w:highlight w:val="none"/>
          <w:lang w:val="zh-CN"/>
        </w:rPr>
      </w:pPr>
      <w:r>
        <w:rPr>
          <w:rFonts w:hint="eastAsia" w:asciiTheme="minorEastAsia" w:hAnsiTheme="minorEastAsia"/>
          <w:color w:val="auto"/>
          <w:sz w:val="24"/>
          <w:szCs w:val="24"/>
          <w:highlight w:val="none"/>
          <w:lang w:val="zh-CN"/>
        </w:rPr>
        <w:t>【特别提示：如有要求提供各项证书、合同、报告等证明的，请将原件清晰扫描做入投标文件。】</w:t>
      </w:r>
    </w:p>
    <w:p w14:paraId="027E8D41">
      <w:pPr>
        <w:pStyle w:val="95"/>
        <w:spacing w:line="460" w:lineRule="exact"/>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▲10.1、资格证明文件的组成：</w:t>
      </w:r>
    </w:p>
    <w:p w14:paraId="2F9B31BB">
      <w:pPr>
        <w:pStyle w:val="95"/>
        <w:spacing w:line="460" w:lineRule="exact"/>
        <w:ind w:left="0" w:leftChars="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（1）符合参加政府采购活动应当具备的一般条件的承诺函（格式见附件)；</w:t>
      </w:r>
    </w:p>
    <w:p w14:paraId="69A26199">
      <w:pPr>
        <w:pStyle w:val="95"/>
        <w:spacing w:line="460" w:lineRule="exact"/>
        <w:ind w:left="0" w:leftChars="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（2）法人或者其他组织的营业执照等证明文件，自然人的身份证明；</w:t>
      </w:r>
    </w:p>
    <w:p w14:paraId="0E1C7A1D">
      <w:pPr>
        <w:pStyle w:val="95"/>
        <w:spacing w:line="460" w:lineRule="exact"/>
        <w:ind w:left="0" w:leftChars="0" w:firstLine="360" w:firstLineChars="15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）本项目的特定资格要求（</w:t>
      </w:r>
      <w:r>
        <w:rPr>
          <w:rFonts w:hint="eastAsia" w:ascii="宋体" w:hAnsi="宋体" w:eastAsia="宋体" w:cs="宋体"/>
          <w:color w:val="auto"/>
          <w:sz w:val="24"/>
          <w:szCs w:val="24"/>
          <w:highlight w:val="none"/>
          <w:lang w:eastAsia="zh-CN"/>
        </w:rPr>
        <w:t>如果有，</w:t>
      </w:r>
      <w:r>
        <w:rPr>
          <w:rFonts w:hint="eastAsia" w:ascii="宋体" w:hAnsi="宋体" w:eastAsia="宋体" w:cs="宋体"/>
          <w:color w:val="auto"/>
          <w:sz w:val="24"/>
          <w:szCs w:val="24"/>
          <w:highlight w:val="none"/>
        </w:rPr>
        <w:t>提供采购公告中符合供应商特定条件的有效资质证书</w:t>
      </w:r>
      <w:r>
        <w:rPr>
          <w:rFonts w:hint="eastAsia" w:ascii="宋体" w:hAnsi="宋体" w:eastAsia="宋体" w:cs="宋体"/>
          <w:color w:val="auto"/>
          <w:sz w:val="24"/>
          <w:szCs w:val="24"/>
          <w:highlight w:val="none"/>
          <w:lang w:eastAsia="zh-CN"/>
        </w:rPr>
        <w:t>扫描</w:t>
      </w:r>
      <w:r>
        <w:rPr>
          <w:rFonts w:hint="eastAsia" w:ascii="宋体" w:hAnsi="宋体" w:eastAsia="宋体" w:cs="宋体"/>
          <w:color w:val="auto"/>
          <w:sz w:val="24"/>
          <w:szCs w:val="24"/>
          <w:highlight w:val="none"/>
        </w:rPr>
        <w:t>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以及供应商认为有必要提供的其他资格证明资料</w:t>
      </w:r>
      <w:r>
        <w:rPr>
          <w:rFonts w:hint="eastAsia" w:ascii="宋体" w:hAnsi="宋体" w:eastAsia="宋体" w:cs="宋体"/>
          <w:color w:val="auto"/>
          <w:sz w:val="24"/>
          <w:szCs w:val="24"/>
          <w:highlight w:val="none"/>
          <w:lang w:eastAsia="zh-CN"/>
        </w:rPr>
        <w:t>。</w:t>
      </w:r>
    </w:p>
    <w:p w14:paraId="308D785A">
      <w:pPr>
        <w:pStyle w:val="95"/>
        <w:spacing w:line="460" w:lineRule="exact"/>
        <w:ind w:left="0" w:leftChars="0"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采购人或采购代理机构在资格审查时，通过“信用中国”网站（www.creditchina.gov.cn）、中国政府采购网（www.ccgp.gov.cn）等渠道查询供应商在投标截止日之前的信用记录并保存。投标人若被列入失信被执行人或重大税收违法失信主体或政府采购严重违法失信行为记录名单的，则否决其投标。若开标当天因不可抗力事件导致无法查询且一时无法恢复的，可在中标通知书发出前对中标人进行查询，如中标人被列入失信被执行人或重大税收违法失信主体或政府采购严重违法失信行为记录名单的，则取消中标资格。</w:t>
      </w:r>
    </w:p>
    <w:p w14:paraId="5B7958E4">
      <w:pPr>
        <w:pStyle w:val="95"/>
        <w:spacing w:line="460" w:lineRule="exact"/>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w:t>
      </w:r>
      <w:r>
        <w:rPr>
          <w:rFonts w:hint="eastAsia"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、商务与技术文件的组成：</w:t>
      </w:r>
    </w:p>
    <w:p w14:paraId="5218FC0E">
      <w:pPr>
        <w:pStyle w:val="95"/>
        <w:spacing w:line="460" w:lineRule="exact"/>
        <w:ind w:left="0" w:leftChars="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（1）商务技术自评表(格式见附件)；</w:t>
      </w:r>
      <w:r>
        <w:rPr>
          <w:rFonts w:hint="eastAsia" w:ascii="宋体" w:hAnsi="宋体" w:eastAsia="宋体" w:cs="宋体"/>
          <w:color w:val="auto"/>
          <w:sz w:val="24"/>
          <w:szCs w:val="24"/>
          <w:highlight w:val="none"/>
          <w:lang w:val="zh-CN"/>
        </w:rPr>
        <w:t xml:space="preserve"> </w:t>
      </w:r>
    </w:p>
    <w:p w14:paraId="1B3D1221">
      <w:pPr>
        <w:pStyle w:val="95"/>
        <w:spacing w:line="460" w:lineRule="exact"/>
        <w:ind w:left="0" w:leftChars="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）投标函（格式见附件）</w:t>
      </w:r>
    </w:p>
    <w:p w14:paraId="7BD73E61">
      <w:pPr>
        <w:pStyle w:val="95"/>
        <w:spacing w:line="460" w:lineRule="exact"/>
        <w:ind w:left="0" w:leftChars="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）授权委托书或法定代表人（单位负责人、自然人本人）身份证明（格式见附件）；</w:t>
      </w:r>
    </w:p>
    <w:p w14:paraId="4777092B">
      <w:pPr>
        <w:pStyle w:val="95"/>
        <w:spacing w:line="460" w:lineRule="exact"/>
        <w:ind w:left="0" w:leftChars="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）供应商基本情况表（格式见附件）； </w:t>
      </w:r>
    </w:p>
    <w:p w14:paraId="7BA215C6">
      <w:pPr>
        <w:pStyle w:val="95"/>
        <w:spacing w:line="460" w:lineRule="exact"/>
        <w:ind w:left="0" w:leftChars="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）证书一览表（格式见附件）；</w:t>
      </w:r>
    </w:p>
    <w:p w14:paraId="029F3B56">
      <w:pPr>
        <w:pStyle w:val="95"/>
        <w:spacing w:line="460" w:lineRule="exact"/>
        <w:ind w:left="0" w:leftChars="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）技术规范偏离表（格式见附件）； </w:t>
      </w:r>
    </w:p>
    <w:p w14:paraId="5973ED42">
      <w:pPr>
        <w:pStyle w:val="95"/>
        <w:spacing w:line="460" w:lineRule="exact"/>
        <w:ind w:left="0" w:leftChars="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）商务偏离表（格式见附件）； </w:t>
      </w:r>
    </w:p>
    <w:p w14:paraId="7227B44E">
      <w:pPr>
        <w:pStyle w:val="95"/>
        <w:spacing w:line="460" w:lineRule="exact"/>
        <w:ind w:left="0" w:leftChars="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）相关项目实施业绩一览表（格式见附件件）；  </w:t>
      </w:r>
    </w:p>
    <w:p w14:paraId="625E9146">
      <w:pPr>
        <w:pStyle w:val="95"/>
        <w:spacing w:line="460" w:lineRule="exact"/>
        <w:ind w:left="0" w:leftChars="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eastAsia="宋体" w:cs="宋体"/>
          <w:color w:val="auto"/>
          <w:sz w:val="24"/>
          <w:szCs w:val="24"/>
          <w:highlight w:val="none"/>
          <w:lang w:eastAsia="zh-CN"/>
        </w:rPr>
        <w:t>供货</w:t>
      </w:r>
      <w:r>
        <w:rPr>
          <w:rFonts w:hint="eastAsia" w:ascii="宋体" w:hAnsi="宋体" w:eastAsia="宋体" w:cs="宋体"/>
          <w:color w:val="auto"/>
          <w:sz w:val="24"/>
          <w:szCs w:val="24"/>
          <w:highlight w:val="none"/>
        </w:rPr>
        <w:t>方案；</w:t>
      </w:r>
    </w:p>
    <w:p w14:paraId="72BF3996">
      <w:pPr>
        <w:pStyle w:val="95"/>
        <w:spacing w:line="460" w:lineRule="exact"/>
        <w:ind w:left="0" w:leftChars="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）评分标准或采购文件需要提供的其他技术商务材料； </w:t>
      </w:r>
    </w:p>
    <w:p w14:paraId="4CCD5D9E">
      <w:pPr>
        <w:pStyle w:val="95"/>
        <w:spacing w:line="460" w:lineRule="exact"/>
        <w:ind w:left="0" w:leftChars="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）供应商认为有必要提供的其他技术商务文件资料。</w:t>
      </w:r>
    </w:p>
    <w:p w14:paraId="7BE66E62">
      <w:pPr>
        <w:pStyle w:val="95"/>
        <w:spacing w:line="460" w:lineRule="exact"/>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、报价文件的组成</w:t>
      </w:r>
    </w:p>
    <w:p w14:paraId="79DA68DF">
      <w:pPr>
        <w:pStyle w:val="95"/>
        <w:spacing w:line="460" w:lineRule="exact"/>
        <w:ind w:left="0" w:leftChars="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）开标一览表（格式见附件）；</w:t>
      </w:r>
    </w:p>
    <w:p w14:paraId="38AF93F9">
      <w:pPr>
        <w:pStyle w:val="95"/>
        <w:spacing w:line="460" w:lineRule="exact"/>
        <w:ind w:left="0" w:leftChars="0" w:firstLine="240" w:firstLineChars="100"/>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color w:val="auto"/>
          <w:sz w:val="24"/>
          <w:szCs w:val="24"/>
          <w:highlight w:val="none"/>
        </w:rPr>
        <w:t>（</w:t>
      </w:r>
      <w:r>
        <w:rPr>
          <w:rFonts w:hint="eastAsia" w:cs="宋体" w:asciiTheme="minorEastAsia" w:hAnsiTheme="minorEastAsia"/>
          <w:color w:val="auto"/>
          <w:sz w:val="24"/>
          <w:szCs w:val="24"/>
          <w:highlight w:val="none"/>
          <w:lang w:val="en-US" w:eastAsia="zh-CN"/>
        </w:rPr>
        <w:t>2</w:t>
      </w:r>
      <w:r>
        <w:rPr>
          <w:rFonts w:hint="eastAsia" w:cs="宋体" w:asciiTheme="minorEastAsia" w:hAnsiTheme="minorEastAsia"/>
          <w:color w:val="auto"/>
          <w:sz w:val="24"/>
          <w:szCs w:val="24"/>
          <w:highlight w:val="none"/>
        </w:rPr>
        <w:t>）报价明细表（格式见附件）；</w:t>
      </w:r>
    </w:p>
    <w:p w14:paraId="5D27FB48">
      <w:pPr>
        <w:pStyle w:val="95"/>
        <w:spacing w:line="460" w:lineRule="exact"/>
        <w:ind w:left="0" w:leftChars="0" w:firstLine="240" w:firstLineChars="100"/>
        <w:rPr>
          <w:rFonts w:hint="eastAsia" w:cs="宋体" w:asciiTheme="minorEastAsia" w:hAnsiTheme="minorEastAsia"/>
          <w:color w:val="auto"/>
          <w:sz w:val="24"/>
          <w:szCs w:val="24"/>
          <w:highlight w:val="none"/>
          <w:lang w:eastAsia="zh-CN"/>
        </w:rPr>
      </w:pPr>
      <w:r>
        <w:rPr>
          <w:rFonts w:hint="eastAsia" w:cs="宋体" w:asciiTheme="minorEastAsia" w:hAnsiTheme="minorEastAsia"/>
          <w:color w:val="auto"/>
          <w:sz w:val="24"/>
          <w:szCs w:val="24"/>
          <w:highlight w:val="none"/>
        </w:rPr>
        <w:t>（</w:t>
      </w:r>
      <w:r>
        <w:rPr>
          <w:rFonts w:hint="eastAsia" w:cs="宋体" w:asciiTheme="minorEastAsia" w:hAnsiTheme="minorEastAsia"/>
          <w:color w:val="auto"/>
          <w:sz w:val="24"/>
          <w:szCs w:val="24"/>
          <w:highlight w:val="none"/>
          <w:lang w:val="en-US" w:eastAsia="zh-CN"/>
        </w:rPr>
        <w:t>3</w:t>
      </w:r>
      <w:r>
        <w:rPr>
          <w:rFonts w:hint="eastAsia" w:cs="宋体" w:asciiTheme="minorEastAsia" w:hAnsiTheme="minorEastAsia"/>
          <w:color w:val="auto"/>
          <w:sz w:val="24"/>
          <w:szCs w:val="24"/>
          <w:highlight w:val="none"/>
        </w:rPr>
        <w:t>）中小企业声明函、监狱企业、残疾人福利性单位及其他相关的充分的证明材料（格式见附件）</w:t>
      </w:r>
      <w:r>
        <w:rPr>
          <w:rFonts w:hint="eastAsia" w:cs="宋体" w:asciiTheme="minorEastAsia" w:hAnsiTheme="minorEastAsia"/>
          <w:color w:val="auto"/>
          <w:sz w:val="24"/>
          <w:szCs w:val="24"/>
          <w:highlight w:val="none"/>
          <w:lang w:eastAsia="zh-CN"/>
        </w:rPr>
        <w:t>；</w:t>
      </w:r>
    </w:p>
    <w:p w14:paraId="2C3F15F8">
      <w:pPr>
        <w:pStyle w:val="95"/>
        <w:spacing w:line="460" w:lineRule="exact"/>
        <w:ind w:left="0" w:leftChars="0" w:firstLine="240" w:firstLineChars="10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lang w:eastAsia="zh-CN"/>
        </w:rPr>
        <w:t>（</w:t>
      </w:r>
      <w:r>
        <w:rPr>
          <w:rFonts w:hint="eastAsia" w:cs="宋体" w:asciiTheme="minorEastAsia" w:hAnsiTheme="minorEastAsia"/>
          <w:color w:val="auto"/>
          <w:sz w:val="24"/>
          <w:szCs w:val="24"/>
          <w:highlight w:val="none"/>
        </w:rPr>
        <w:t>4）投标人认为需提交的其他</w:t>
      </w:r>
      <w:r>
        <w:rPr>
          <w:rFonts w:hint="eastAsia" w:cs="宋体" w:asciiTheme="minorEastAsia" w:hAnsiTheme="minorEastAsia"/>
          <w:color w:val="auto"/>
          <w:sz w:val="24"/>
          <w:szCs w:val="24"/>
          <w:highlight w:val="none"/>
          <w:lang w:eastAsia="zh-CN"/>
        </w:rPr>
        <w:t>报价</w:t>
      </w:r>
      <w:r>
        <w:rPr>
          <w:rFonts w:hint="eastAsia" w:cs="宋体" w:asciiTheme="minorEastAsia" w:hAnsiTheme="minorEastAsia"/>
          <w:color w:val="auto"/>
          <w:sz w:val="24"/>
          <w:szCs w:val="24"/>
          <w:highlight w:val="none"/>
        </w:rPr>
        <w:t>文件资料。</w:t>
      </w:r>
    </w:p>
    <w:p w14:paraId="369B69AA">
      <w:pPr>
        <w:pStyle w:val="95"/>
        <w:spacing w:line="460" w:lineRule="exact"/>
        <w:ind w:left="0" w:leftChars="0" w:firstLine="0" w:firstLineChars="0"/>
        <w:jc w:val="left"/>
        <w:rPr>
          <w:rFonts w:cs="宋体" w:asciiTheme="minorEastAsia" w:hAnsiTheme="minorEastAsia"/>
          <w:color w:val="auto"/>
          <w:sz w:val="24"/>
          <w:szCs w:val="24"/>
          <w:highlight w:val="none"/>
        </w:rPr>
      </w:pPr>
      <w:r>
        <w:rPr>
          <w:rFonts w:hint="eastAsia" w:asciiTheme="minorEastAsia" w:hAnsiTheme="minorEastAsia"/>
          <w:b/>
          <w:color w:val="auto"/>
          <w:sz w:val="24"/>
          <w:szCs w:val="24"/>
          <w:highlight w:val="none"/>
        </w:rPr>
        <w:t>11、投标文件的制作、封装及递交要求</w:t>
      </w:r>
    </w:p>
    <w:p w14:paraId="31D11A5E">
      <w:pPr>
        <w:pStyle w:val="95"/>
        <w:spacing w:line="460" w:lineRule="exact"/>
        <w:ind w:left="0" w:leftChars="0" w:firstLine="0" w:firstLineChars="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11.1、投标文件的制作要求</w:t>
      </w:r>
    </w:p>
    <w:p w14:paraId="5F8A5859">
      <w:pPr>
        <w:pStyle w:val="95"/>
        <w:spacing w:line="460" w:lineRule="exact"/>
        <w:ind w:left="0" w:leftChars="0" w:firstLine="600" w:firstLineChars="2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投标人应按照投标文件组成内容及项目采购需求和浙江政府采购云平台要求制作投标文件，不按投标文件组成内容及项目采购需求和浙江政府采购云平台要求制作投标文件的将视情处理（拒收、扣分等），由此产生的责任由投标人自行承担。</w:t>
      </w:r>
    </w:p>
    <w:p w14:paraId="24120696">
      <w:pPr>
        <w:pStyle w:val="95"/>
        <w:spacing w:line="460" w:lineRule="exact"/>
        <w:ind w:left="0" w:leftChars="0" w:firstLine="472" w:firstLineChars="196"/>
        <w:rPr>
          <w:rFonts w:cs="仿宋_GB2312" w:asciiTheme="minorEastAsia" w:hAnsiTheme="minorEastAsia"/>
          <w:b/>
          <w:color w:val="auto"/>
          <w:sz w:val="24"/>
          <w:szCs w:val="24"/>
          <w:highlight w:val="none"/>
        </w:rPr>
      </w:pPr>
      <w:r>
        <w:rPr>
          <w:rFonts w:hint="eastAsia" w:cs="仿宋_GB2312" w:asciiTheme="minorEastAsia" w:hAnsiTheme="minorEastAsia"/>
          <w:b/>
          <w:color w:val="auto"/>
          <w:sz w:val="24"/>
          <w:szCs w:val="24"/>
          <w:highlight w:val="none"/>
        </w:rPr>
        <w:t>电子投标文件部分：投标人应根据“政采云供应商项目采购-电子招投标操作指南”及本规定的格式和顺序编制电子投标文件并进行关联定位。</w:t>
      </w:r>
    </w:p>
    <w:p w14:paraId="4471A3F2">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备份电子投标文件：通过“政采云”平台电子投标工具制作投标文件所产生的备份文件</w:t>
      </w:r>
    </w:p>
    <w:p w14:paraId="3F93604C">
      <w:pPr>
        <w:pStyle w:val="95"/>
        <w:spacing w:line="460" w:lineRule="exact"/>
        <w:ind w:left="0" w:leftChars="0" w:firstLine="360" w:firstLineChars="150"/>
        <w:rPr>
          <w:rFonts w:cs="Lucida Sans" w:asciiTheme="minorEastAsia" w:hAnsiTheme="minorEastAsia"/>
          <w:color w:val="auto"/>
          <w:sz w:val="24"/>
          <w:szCs w:val="24"/>
          <w:highlight w:val="none"/>
        </w:rPr>
      </w:pPr>
      <w:r>
        <w:rPr>
          <w:rFonts w:hint="eastAsia" w:cs="Lucida Sans" w:asciiTheme="minorEastAsia" w:hAnsiTheme="minorEastAsia"/>
          <w:color w:val="auto"/>
          <w:sz w:val="24"/>
          <w:szCs w:val="24"/>
          <w:highlight w:val="none"/>
        </w:rPr>
        <w:t>（2）投标人应对所提供的全部资料的真实性、有效性承担法律责任，电子投标文件中所须加盖公章部分均采用CA签章。</w:t>
      </w:r>
    </w:p>
    <w:p w14:paraId="048D1F66">
      <w:pPr>
        <w:pStyle w:val="95"/>
        <w:spacing w:line="460" w:lineRule="exact"/>
        <w:ind w:left="0" w:leftChars="0" w:firstLine="480"/>
        <w:rPr>
          <w:rFonts w:cs="Lucida Sans" w:asciiTheme="minorEastAsia" w:hAnsiTheme="minorEastAsia"/>
          <w:color w:val="auto"/>
          <w:sz w:val="24"/>
          <w:szCs w:val="24"/>
          <w:highlight w:val="none"/>
        </w:rPr>
      </w:pPr>
      <w:r>
        <w:rPr>
          <w:rFonts w:hint="eastAsia" w:asciiTheme="minorEastAsia" w:hAnsiTheme="minorEastAsia"/>
          <w:color w:val="auto"/>
          <w:sz w:val="24"/>
          <w:szCs w:val="24"/>
          <w:highlight w:val="none"/>
        </w:rPr>
        <w:t>（3）</w:t>
      </w:r>
      <w:r>
        <w:rPr>
          <w:rFonts w:asciiTheme="minorEastAsia" w:hAnsiTheme="minorEastAsia"/>
          <w:color w:val="auto"/>
          <w:sz w:val="24"/>
          <w:szCs w:val="24"/>
          <w:highlight w:val="none"/>
        </w:rPr>
        <w:t>投标文件以及投标人与</w:t>
      </w:r>
      <w:r>
        <w:rPr>
          <w:rFonts w:hint="eastAsia" w:asciiTheme="minorEastAsia" w:hAnsiTheme="minorEastAsia"/>
          <w:color w:val="auto"/>
          <w:sz w:val="24"/>
          <w:szCs w:val="24"/>
          <w:highlight w:val="none"/>
        </w:rPr>
        <w:t>采购代理机构</w:t>
      </w:r>
      <w:r>
        <w:rPr>
          <w:rFonts w:asciiTheme="minorEastAsia" w:hAnsiTheme="minorEastAsia"/>
          <w:color w:val="auto"/>
          <w:sz w:val="24"/>
          <w:szCs w:val="24"/>
          <w:highlight w:val="none"/>
        </w:rPr>
        <w:t>就有关投标事宜的所有来往函电，均应以中文汉语书写。除</w:t>
      </w:r>
      <w:r>
        <w:rPr>
          <w:rFonts w:hint="eastAsia" w:asciiTheme="minorEastAsia" w:hAnsiTheme="minorEastAsia"/>
          <w:color w:val="auto"/>
          <w:sz w:val="24"/>
          <w:szCs w:val="24"/>
          <w:highlight w:val="none"/>
        </w:rPr>
        <w:t>签字</w:t>
      </w:r>
      <w:r>
        <w:rPr>
          <w:rFonts w:asciiTheme="minorEastAsia" w:hAnsiTheme="minorEastAsia"/>
          <w:color w:val="auto"/>
          <w:sz w:val="24"/>
          <w:szCs w:val="24"/>
          <w:highlight w:val="none"/>
        </w:rPr>
        <w:t>、盖章</w:t>
      </w:r>
      <w:r>
        <w:rPr>
          <w:rFonts w:hint="eastAsia" w:asciiTheme="minorEastAsia" w:hAnsiTheme="minorEastAsia"/>
          <w:color w:val="auto"/>
          <w:sz w:val="24"/>
          <w:szCs w:val="24"/>
          <w:highlight w:val="none"/>
          <w:lang w:eastAsia="zh-CN"/>
        </w:rPr>
        <w:t>（签章）</w:t>
      </w:r>
      <w:r>
        <w:rPr>
          <w:rFonts w:asciiTheme="minorEastAsia" w:hAnsiTheme="minorEastAsia"/>
          <w:color w:val="auto"/>
          <w:sz w:val="24"/>
          <w:szCs w:val="24"/>
          <w:highlight w:val="none"/>
        </w:rPr>
        <w:t>、专用名称等特殊情形外，以中文汉语以外的文字表述的投标文件视同未提供。</w:t>
      </w:r>
    </w:p>
    <w:p w14:paraId="71D672D8">
      <w:pPr>
        <w:pStyle w:val="95"/>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w:t>
      </w:r>
      <w:r>
        <w:rPr>
          <w:rFonts w:asciiTheme="minorEastAsia" w:hAnsiTheme="minorEastAsia"/>
          <w:color w:val="auto"/>
          <w:sz w:val="24"/>
          <w:szCs w:val="24"/>
          <w:highlight w:val="none"/>
        </w:rPr>
        <w:t>投标计量单位，已有明确规定的，使用规定的计量单位；没有规定的，应采用中华人民共和国法定计量单位（货币单位：人民币元）。</w:t>
      </w:r>
    </w:p>
    <w:p w14:paraId="7D7AD6EE">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w:t>
      </w:r>
      <w:r>
        <w:rPr>
          <w:rFonts w:asciiTheme="minorEastAsia" w:hAnsiTheme="minorEastAsia"/>
          <w:color w:val="auto"/>
          <w:sz w:val="24"/>
          <w:szCs w:val="24"/>
          <w:highlight w:val="none"/>
        </w:rPr>
        <w:t>若投标人不按的要求提供资格审查材料，其风险由投标人自行承担。</w:t>
      </w:r>
    </w:p>
    <w:p w14:paraId="416CDBFE">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（6）与本次投标无关的内容请不要制作在内，确保投标文件有针对性、简洁明了。</w:t>
      </w:r>
    </w:p>
    <w:p w14:paraId="60300C2A">
      <w:pPr>
        <w:pStyle w:val="95"/>
        <w:spacing w:line="460" w:lineRule="exact"/>
        <w:ind w:left="0" w:leftChars="0" w:firstLine="0" w:firstLineChars="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11.2、投标文件的编制、递交要求</w:t>
      </w:r>
    </w:p>
    <w:p w14:paraId="1DCAD7F5">
      <w:pPr>
        <w:pStyle w:val="95"/>
        <w:spacing w:line="460" w:lineRule="exact"/>
        <w:ind w:left="0" w:leftChars="0" w:firstLine="360" w:firstLineChars="150"/>
        <w:rPr>
          <w:rFonts w:asciiTheme="minorEastAsia" w:hAnsiTheme="minorEastAsia"/>
          <w:color w:val="auto"/>
          <w:sz w:val="24"/>
          <w:szCs w:val="24"/>
          <w:highlight w:val="none"/>
        </w:rPr>
      </w:pPr>
      <w:r>
        <w:rPr>
          <w:rFonts w:hint="eastAsia" w:cs="宋体" w:asciiTheme="minorEastAsia" w:hAnsiTheme="minorEastAsia"/>
          <w:color w:val="auto"/>
          <w:sz w:val="24"/>
          <w:szCs w:val="24"/>
          <w:highlight w:val="none"/>
        </w:rPr>
        <w:t>（1）投标人须按照采购文件和政采云平台的要求编制并加密投标文件。在投标文件递交截止时间以前完成投标文件的传输递交。</w:t>
      </w:r>
    </w:p>
    <w:p w14:paraId="797B5064">
      <w:pPr>
        <w:pStyle w:val="95"/>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（2）备份电子投标文件必须在规定时间前发送至指定邮箱</w:t>
      </w:r>
      <w:r>
        <w:rPr>
          <w:rFonts w:hint="eastAsia" w:cs="宋体" w:asciiTheme="minorEastAsia" w:hAnsiTheme="minorEastAsia"/>
          <w:color w:val="auto"/>
          <w:sz w:val="24"/>
          <w:szCs w:val="24"/>
          <w:highlight w:val="none"/>
        </w:rPr>
        <w:t>。</w:t>
      </w:r>
      <w:r>
        <w:rPr>
          <w:rFonts w:hint="eastAsia" w:asciiTheme="minorEastAsia" w:hAnsiTheme="minorEastAsia"/>
          <w:color w:val="auto"/>
          <w:sz w:val="24"/>
          <w:szCs w:val="24"/>
          <w:highlight w:val="none"/>
        </w:rPr>
        <w:t>备份电子投标文件在截止时间后提交，采购代理机构将拒绝接收。</w:t>
      </w:r>
    </w:p>
    <w:p w14:paraId="0A1AB9E1">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（3）如有特殊情况，采购代理机构延长截止时间和开标时间，采购代理机构和投标人的权利和义务将受到新的截止时间和开标时间的约束。</w:t>
      </w:r>
    </w:p>
    <w:p w14:paraId="44641920">
      <w:pPr>
        <w:pStyle w:val="95"/>
        <w:spacing w:line="460" w:lineRule="exact"/>
        <w:ind w:left="0" w:leftChars="0" w:firstLine="0" w:firstLineChars="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11.3、投标文件的补充、修改和撤回</w:t>
      </w:r>
    </w:p>
    <w:p w14:paraId="7BB37ECE">
      <w:pPr>
        <w:pStyle w:val="95"/>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补充或者修改投标文件的，应当先行撤回原文件，补充、修改后重新传输递交。投标截止时间前未完成传输的，视为撤回投标文件。</w:t>
      </w:r>
    </w:p>
    <w:p w14:paraId="09073ADD">
      <w:pPr>
        <w:pStyle w:val="95"/>
        <w:spacing w:line="460" w:lineRule="exact"/>
        <w:ind w:left="0" w:leftChars="0" w:firstLine="0" w:firstLineChars="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11</w:t>
      </w:r>
      <w:r>
        <w:rPr>
          <w:rFonts w:asciiTheme="minorEastAsia" w:hAnsiTheme="minorEastAsia"/>
          <w:b/>
          <w:color w:val="auto"/>
          <w:sz w:val="24"/>
          <w:szCs w:val="24"/>
          <w:highlight w:val="none"/>
        </w:rPr>
        <w:t>.4</w:t>
      </w:r>
      <w:r>
        <w:rPr>
          <w:rFonts w:hint="eastAsia" w:asciiTheme="minorEastAsia" w:hAnsiTheme="minorEastAsia"/>
          <w:b/>
          <w:color w:val="auto"/>
          <w:sz w:val="24"/>
          <w:szCs w:val="24"/>
          <w:highlight w:val="none"/>
        </w:rPr>
        <w:t>投标文件的有效期</w:t>
      </w:r>
    </w:p>
    <w:p w14:paraId="51ABFBA1">
      <w:pPr>
        <w:pStyle w:val="95"/>
        <w:spacing w:line="460" w:lineRule="exact"/>
        <w:ind w:left="0" w:leftChars="0" w:firstLine="360" w:firstLineChars="150"/>
        <w:rPr>
          <w:rFonts w:cs="仿宋_GB2312" w:asciiTheme="minorEastAsia" w:hAnsiTheme="minorEastAsia"/>
          <w:color w:val="auto"/>
          <w:sz w:val="24"/>
          <w:szCs w:val="24"/>
          <w:highlight w:val="none"/>
          <w:lang w:val="en-GB"/>
        </w:rPr>
      </w:pPr>
      <w:r>
        <w:rPr>
          <w:rFonts w:hint="eastAsia" w:asciiTheme="minorEastAsia" w:hAnsiTheme="minorEastAsia"/>
          <w:color w:val="auto"/>
          <w:sz w:val="24"/>
          <w:szCs w:val="24"/>
          <w:highlight w:val="none"/>
          <w:lang w:val="en-GB"/>
        </w:rPr>
        <w:t>（1）自投标截止日起90天投标文件应保持有效。有效期不足的投标文件将被拒绝。</w:t>
      </w:r>
    </w:p>
    <w:p w14:paraId="206F0CEC">
      <w:pPr>
        <w:pStyle w:val="95"/>
        <w:spacing w:line="460" w:lineRule="exact"/>
        <w:ind w:left="0" w:leftChars="0" w:firstLine="360" w:firstLineChars="150"/>
        <w:rPr>
          <w:rFonts w:asciiTheme="minorEastAsia" w:hAnsiTheme="minorEastAsia"/>
          <w:color w:val="auto"/>
          <w:sz w:val="24"/>
          <w:szCs w:val="24"/>
          <w:highlight w:val="none"/>
          <w:lang w:val="en-GB"/>
        </w:rPr>
      </w:pPr>
      <w:r>
        <w:rPr>
          <w:rFonts w:hint="eastAsia" w:asciiTheme="minorEastAsia" w:hAnsiTheme="minorEastAsia"/>
          <w:color w:val="auto"/>
          <w:sz w:val="24"/>
          <w:szCs w:val="24"/>
          <w:highlight w:val="none"/>
          <w:lang w:val="en-GB"/>
        </w:rPr>
        <w:t>（2）在特殊情况下，采购人可与投标人协商延长投标文件的有效期，这种要求和答复均以书面形式进行。</w:t>
      </w:r>
    </w:p>
    <w:p w14:paraId="6F90C659">
      <w:pPr>
        <w:pStyle w:val="95"/>
        <w:spacing w:line="460" w:lineRule="exact"/>
        <w:ind w:left="0" w:leftChars="0" w:firstLine="360" w:firstLineChars="150"/>
        <w:rPr>
          <w:rFonts w:asciiTheme="minorEastAsia" w:hAnsiTheme="minorEastAsia"/>
          <w:color w:val="auto"/>
          <w:sz w:val="24"/>
          <w:szCs w:val="24"/>
          <w:highlight w:val="none"/>
        </w:rPr>
      </w:pPr>
      <w:bookmarkStart w:id="34" w:name="_Toc30825"/>
      <w:bookmarkStart w:id="35" w:name="_Toc24220"/>
      <w:bookmarkStart w:id="36" w:name="_Toc15470"/>
      <w:r>
        <w:rPr>
          <w:rFonts w:hint="eastAsia" w:asciiTheme="minorEastAsia" w:hAnsiTheme="minorEastAsia"/>
          <w:color w:val="auto"/>
          <w:sz w:val="24"/>
          <w:szCs w:val="24"/>
          <w:highlight w:val="none"/>
          <w:lang w:val="en-GB"/>
        </w:rPr>
        <w:t>（3）</w:t>
      </w:r>
      <w:r>
        <w:rPr>
          <w:rFonts w:asciiTheme="minorEastAsia" w:hAnsiTheme="minorEastAsia"/>
          <w:color w:val="auto"/>
          <w:sz w:val="24"/>
          <w:szCs w:val="24"/>
          <w:highlight w:val="none"/>
        </w:rPr>
        <w:t>中标人的投标文件自开标之日起至合同履行完毕均应保持有效。</w:t>
      </w:r>
      <w:bookmarkEnd w:id="34"/>
      <w:bookmarkEnd w:id="35"/>
      <w:bookmarkEnd w:id="36"/>
    </w:p>
    <w:p w14:paraId="7F0DE9F9">
      <w:pPr>
        <w:pStyle w:val="95"/>
        <w:spacing w:line="460" w:lineRule="exact"/>
        <w:ind w:firstLine="482"/>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四、开标</w:t>
      </w:r>
    </w:p>
    <w:p w14:paraId="048DE981">
      <w:pPr>
        <w:pStyle w:val="95"/>
        <w:spacing w:line="460" w:lineRule="exact"/>
        <w:ind w:left="0" w:leftChars="0" w:firstLine="0" w:firstLineChars="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12、开标事项</w:t>
      </w:r>
    </w:p>
    <w:p w14:paraId="3B31CCA3">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12.1、采购代理机构在</w:t>
      </w: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采购公告</w:t>
      </w: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规定的时间和地点公开开标。</w:t>
      </w:r>
    </w:p>
    <w:p w14:paraId="1454C95E">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12.2、评标期间，投标供应商代表应在线操作，并关注政采云有关信息公布、澄清等情况。投标供应商的法定代表人或其授权代表未按时签到登记的，视同放弃开标监督权利、认可开标结果。</w:t>
      </w:r>
    </w:p>
    <w:p w14:paraId="25A8A23A">
      <w:pPr>
        <w:pStyle w:val="95"/>
        <w:spacing w:line="460" w:lineRule="exact"/>
        <w:ind w:left="0" w:leftChars="0" w:firstLine="482"/>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13、 开标程序：</w:t>
      </w:r>
    </w:p>
    <w:p w14:paraId="654EE192">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13.1、开标时间到后，采购代理机构项目负责人准时组织开标。</w:t>
      </w:r>
    </w:p>
    <w:p w14:paraId="404508F5">
      <w:pPr>
        <w:pStyle w:val="95"/>
        <w:spacing w:line="460" w:lineRule="exact"/>
        <w:ind w:left="0" w:leftChars="0" w:firstLine="480"/>
        <w:rPr>
          <w:rFonts w:asciiTheme="minorEastAsia" w:hAnsiTheme="minorEastAsia"/>
          <w:b/>
          <w:color w:val="auto"/>
          <w:sz w:val="24"/>
          <w:szCs w:val="24"/>
          <w:highlight w:val="none"/>
        </w:rPr>
      </w:pPr>
      <w:r>
        <w:rPr>
          <w:rFonts w:hint="eastAsia" w:asciiTheme="minorEastAsia" w:hAnsiTheme="minorEastAsia"/>
          <w:color w:val="auto"/>
          <w:sz w:val="24"/>
          <w:szCs w:val="24"/>
          <w:highlight w:val="none"/>
        </w:rPr>
        <w:t>13.2、投标人登录政采云平台，用“项目采购-开标评标”功能对电子投标文件进行在线解密。</w:t>
      </w:r>
      <w:r>
        <w:rPr>
          <w:rFonts w:hint="eastAsia" w:cs="宋体"/>
          <w:color w:val="auto"/>
          <w:sz w:val="24"/>
          <w:szCs w:val="24"/>
          <w:highlight w:val="none"/>
        </w:rPr>
        <w:t>在线解密电子投标文件时间为开标时间后</w:t>
      </w:r>
      <w:r>
        <w:rPr>
          <w:rFonts w:cs="宋体"/>
          <w:color w:val="auto"/>
          <w:sz w:val="24"/>
          <w:szCs w:val="24"/>
          <w:highlight w:val="none"/>
        </w:rPr>
        <w:t>30分钟</w:t>
      </w:r>
      <w:r>
        <w:rPr>
          <w:rFonts w:hint="eastAsia" w:cs="宋体"/>
          <w:color w:val="auto"/>
          <w:sz w:val="24"/>
          <w:szCs w:val="24"/>
          <w:highlight w:val="none"/>
        </w:rPr>
        <w:t>内。</w:t>
      </w:r>
      <w:r>
        <w:rPr>
          <w:rFonts w:hint="eastAsia" w:asciiTheme="minorEastAsia" w:hAnsiTheme="minorEastAsia"/>
          <w:b/>
          <w:color w:val="auto"/>
          <w:sz w:val="24"/>
          <w:szCs w:val="24"/>
          <w:highlight w:val="none"/>
        </w:rPr>
        <w:t>投标文件解密结束，投标供应商通过电子邮件形式将经授权代表签署的《政府采购活动现场确认声明书》（格式见最后一页内容）的扫描件（或图片）发至采购代理机构邮箱：zgtzfgs@163.com。开评标活动结束之前投标供应商拒不发送《政府采购活动现场确认声明书》的，不填写或未按规定发出邮件的，视同默认不存在确认声明书中的相关违规情形。由此产生的一切风险责任由供应商自行承担。</w:t>
      </w:r>
    </w:p>
    <w:p w14:paraId="789E7B03">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13.3、开启《报价响应文件》后并在线公布开标一览表有关内容，投标供应商应在线签字确认（不予确认的应说明理由，否则视为无异议）。</w:t>
      </w:r>
    </w:p>
    <w:p w14:paraId="45D9B9AF">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13.4、公布开标结果。</w:t>
      </w:r>
    </w:p>
    <w:p w14:paraId="5B7BE269">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13.5、特别说明：本项目原则上采用政采云电子招投标开标及评审程序，但有下情形之一的，按以下情况处理：</w:t>
      </w:r>
    </w:p>
    <w:p w14:paraId="79EB3C5A">
      <w:pPr>
        <w:pStyle w:val="95"/>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（1）若投标人在规定时间内无法解密或解密失败，采购代理机构将开启该投标人递交的备份电子投标文件，上传至政采云平台项目采购模块，以完成开标，电子投标文件自动失效。</w:t>
      </w:r>
    </w:p>
    <w:p w14:paraId="1D746D28">
      <w:pPr>
        <w:spacing w:line="360" w:lineRule="auto"/>
        <w:ind w:firstLine="480" w:firstLineChars="200"/>
        <w:rPr>
          <w:rFonts w:asciiTheme="minorEastAsia" w:hAnsiTheme="minorEastAsia"/>
          <w:b/>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b/>
          <w:color w:val="auto"/>
          <w:sz w:val="24"/>
          <w:highlight w:val="none"/>
        </w:rPr>
        <w:t>开评标细则按政采云电子评标流程进行。特别说明：政采云公司如对电子化开标及评审程序有调整的，按调整后的程序操作。</w:t>
      </w:r>
    </w:p>
    <w:p w14:paraId="4B5CE1CB">
      <w:pPr>
        <w:spacing w:line="360" w:lineRule="auto"/>
        <w:ind w:firstLine="480" w:firstLineChars="20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（3）采购过程中出现以下情形，导致电子交易平台无法正常运行，或者无法保证电子交易的公平、公正和安全时，采购人（或代理机构）可中止电子交易活动：</w:t>
      </w:r>
    </w:p>
    <w:p w14:paraId="3D61B2C1">
      <w:pPr>
        <w:spacing w:line="360" w:lineRule="auto"/>
        <w:ind w:firstLine="480" w:firstLineChars="20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①电子交易平台发生故障而无法登录访问的；</w:t>
      </w:r>
    </w:p>
    <w:p w14:paraId="3A89EC4F">
      <w:pPr>
        <w:spacing w:line="360" w:lineRule="auto"/>
        <w:ind w:firstLine="480" w:firstLineChars="20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②电子交易平台应用或数据库出现错误，不能进行正常操作的；</w:t>
      </w:r>
    </w:p>
    <w:p w14:paraId="2A02BBFB">
      <w:pPr>
        <w:spacing w:line="360" w:lineRule="auto"/>
        <w:ind w:firstLine="480" w:firstLineChars="20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③电子交易平台发现严重安全漏洞，有潜在泄密危险的；</w:t>
      </w:r>
    </w:p>
    <w:p w14:paraId="06403360">
      <w:pPr>
        <w:spacing w:line="360" w:lineRule="auto"/>
        <w:ind w:firstLine="480" w:firstLineChars="20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④病毒发作导致不能进行正常操作的；</w:t>
      </w:r>
    </w:p>
    <w:p w14:paraId="4251F0CD">
      <w:pPr>
        <w:spacing w:line="360" w:lineRule="auto"/>
        <w:ind w:firstLine="480" w:firstLineChars="20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⑤其他无法保证电子交易的公平、公正和安全的情况。</w:t>
      </w:r>
    </w:p>
    <w:p w14:paraId="5B83F1E1">
      <w:pPr>
        <w:spacing w:line="360" w:lineRule="auto"/>
        <w:ind w:firstLine="480" w:firstLineChars="20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出现前款规定情形，不影响采购公平、公正性的，采购人（或代理机构）可以待上述情形消除后继续组织电子交易活动，也可以决定某些环节以纸质形式进行。</w:t>
      </w:r>
    </w:p>
    <w:p w14:paraId="3A4BDB31">
      <w:pPr>
        <w:spacing w:line="360" w:lineRule="auto"/>
        <w:ind w:firstLine="480" w:firstLineChars="20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w:t>
      </w:r>
      <w:r>
        <w:rPr>
          <w:rFonts w:asciiTheme="minorEastAsia" w:hAnsiTheme="minorEastAsia" w:eastAsiaTheme="minorEastAsia" w:cstheme="minorBidi"/>
          <w:color w:val="auto"/>
          <w:sz w:val="24"/>
          <w:highlight w:val="none"/>
        </w:rPr>
        <w:t>4</w:t>
      </w:r>
      <w:r>
        <w:rPr>
          <w:rFonts w:hint="eastAsia" w:asciiTheme="minorEastAsia" w:hAnsiTheme="minorEastAsia" w:eastAsiaTheme="minorEastAsia" w:cstheme="minorBidi"/>
          <w:color w:val="auto"/>
          <w:sz w:val="24"/>
          <w:highlight w:val="none"/>
        </w:rPr>
        <w:t>）未开启的备份投标文件现场不予以退还。</w:t>
      </w:r>
    </w:p>
    <w:p w14:paraId="1644CFD6">
      <w:pPr>
        <w:pStyle w:val="95"/>
        <w:spacing w:line="460" w:lineRule="exact"/>
        <w:ind w:firstLine="482"/>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五、评标和定标</w:t>
      </w:r>
    </w:p>
    <w:p w14:paraId="33630753">
      <w:pPr>
        <w:pStyle w:val="95"/>
        <w:spacing w:line="460" w:lineRule="exact"/>
        <w:ind w:left="0" w:leftChars="0" w:firstLine="0" w:firstLineChars="0"/>
        <w:rPr>
          <w:rFonts w:asciiTheme="minorEastAsia" w:hAnsiTheme="minorEastAsia"/>
          <w:b/>
          <w:color w:val="auto"/>
          <w:sz w:val="24"/>
          <w:szCs w:val="24"/>
          <w:highlight w:val="none"/>
        </w:rPr>
      </w:pPr>
      <w:bookmarkStart w:id="37" w:name="_Toc425151748"/>
      <w:bookmarkStart w:id="38" w:name="_Toc430790229"/>
      <w:bookmarkStart w:id="39" w:name="_Toc425780292"/>
      <w:bookmarkStart w:id="40" w:name="_Toc429407708"/>
      <w:r>
        <w:rPr>
          <w:rFonts w:hint="eastAsia" w:asciiTheme="minorEastAsia" w:hAnsiTheme="minorEastAsia"/>
          <w:b/>
          <w:color w:val="auto"/>
          <w:sz w:val="24"/>
          <w:szCs w:val="24"/>
          <w:highlight w:val="none"/>
        </w:rPr>
        <w:t>14、</w:t>
      </w:r>
      <w:r>
        <w:rPr>
          <w:rFonts w:asciiTheme="minorEastAsia" w:hAnsiTheme="minorEastAsia"/>
          <w:b/>
          <w:color w:val="auto"/>
          <w:sz w:val="24"/>
          <w:szCs w:val="24"/>
          <w:highlight w:val="none"/>
        </w:rPr>
        <w:t>评标委员会</w:t>
      </w:r>
      <w:bookmarkEnd w:id="37"/>
      <w:bookmarkEnd w:id="38"/>
      <w:bookmarkEnd w:id="39"/>
      <w:bookmarkEnd w:id="40"/>
    </w:p>
    <w:p w14:paraId="2D4EEDA2">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14.1</w:t>
      </w:r>
      <w:r>
        <w:rPr>
          <w:rFonts w:asciiTheme="minorEastAsia" w:hAnsiTheme="minorEastAsia"/>
          <w:color w:val="auto"/>
          <w:sz w:val="24"/>
          <w:szCs w:val="24"/>
          <w:highlight w:val="none"/>
        </w:rPr>
        <w:t>受采购人的委托，采购代理机构根据《</w:t>
      </w:r>
      <w:r>
        <w:rPr>
          <w:rFonts w:hint="eastAsia" w:asciiTheme="minorEastAsia" w:hAnsiTheme="minorEastAsia"/>
          <w:color w:val="auto"/>
          <w:sz w:val="24"/>
          <w:szCs w:val="24"/>
          <w:highlight w:val="none"/>
        </w:rPr>
        <w:t>中华人民共和国</w:t>
      </w:r>
      <w:r>
        <w:rPr>
          <w:rFonts w:asciiTheme="minorEastAsia" w:hAnsiTheme="minorEastAsia"/>
          <w:color w:val="auto"/>
          <w:sz w:val="24"/>
          <w:szCs w:val="24"/>
          <w:highlight w:val="none"/>
        </w:rPr>
        <w:t>政府采购法》、财政部第8</w:t>
      </w:r>
      <w:r>
        <w:rPr>
          <w:rFonts w:hint="eastAsia" w:asciiTheme="minorEastAsia" w:hAnsiTheme="minorEastAsia"/>
          <w:color w:val="auto"/>
          <w:sz w:val="24"/>
          <w:szCs w:val="24"/>
          <w:highlight w:val="none"/>
        </w:rPr>
        <w:t>7</w:t>
      </w:r>
      <w:r>
        <w:rPr>
          <w:rFonts w:asciiTheme="minorEastAsia" w:hAnsiTheme="minorEastAsia"/>
          <w:color w:val="auto"/>
          <w:sz w:val="24"/>
          <w:szCs w:val="24"/>
          <w:highlight w:val="none"/>
        </w:rPr>
        <w:t>号令的规定和有关的</w:t>
      </w:r>
      <w:r>
        <w:rPr>
          <w:rFonts w:hint="eastAsia" w:asciiTheme="minorEastAsia" w:hAnsiTheme="minorEastAsia"/>
          <w:color w:val="auto"/>
          <w:sz w:val="24"/>
          <w:szCs w:val="24"/>
          <w:highlight w:val="none"/>
        </w:rPr>
        <w:t>法律</w:t>
      </w:r>
      <w:r>
        <w:rPr>
          <w:rFonts w:asciiTheme="minorEastAsia" w:hAnsiTheme="minorEastAsia"/>
          <w:color w:val="auto"/>
          <w:sz w:val="24"/>
          <w:szCs w:val="24"/>
          <w:highlight w:val="none"/>
        </w:rPr>
        <w:t>法规组建评标委员会，评标委员会负责评标工作。评标委员会由</w:t>
      </w:r>
      <w:r>
        <w:rPr>
          <w:rFonts w:hint="eastAsia" w:asciiTheme="minorEastAsia" w:hAnsiTheme="minorEastAsia"/>
          <w:color w:val="auto"/>
          <w:sz w:val="24"/>
          <w:szCs w:val="24"/>
          <w:highlight w:val="none"/>
        </w:rPr>
        <w:t>采购人</w:t>
      </w:r>
      <w:r>
        <w:rPr>
          <w:rFonts w:asciiTheme="minorEastAsia" w:hAnsiTheme="minorEastAsia"/>
          <w:color w:val="auto"/>
          <w:sz w:val="24"/>
          <w:szCs w:val="24"/>
          <w:highlight w:val="none"/>
        </w:rPr>
        <w:t>代表和</w:t>
      </w:r>
      <w:r>
        <w:rPr>
          <w:rFonts w:hint="eastAsia" w:asciiTheme="minorEastAsia" w:hAnsiTheme="minorEastAsia"/>
          <w:color w:val="auto"/>
          <w:sz w:val="24"/>
          <w:szCs w:val="24"/>
          <w:highlight w:val="none"/>
        </w:rPr>
        <w:t>评审</w:t>
      </w:r>
      <w:r>
        <w:rPr>
          <w:rFonts w:asciiTheme="minorEastAsia" w:hAnsiTheme="minorEastAsia"/>
          <w:color w:val="auto"/>
          <w:sz w:val="24"/>
          <w:szCs w:val="24"/>
          <w:highlight w:val="none"/>
        </w:rPr>
        <w:t>专家组成。</w:t>
      </w:r>
      <w:r>
        <w:rPr>
          <w:rFonts w:hint="eastAsia" w:asciiTheme="minorEastAsia" w:hAnsiTheme="minorEastAsia"/>
          <w:color w:val="auto"/>
          <w:sz w:val="24"/>
          <w:szCs w:val="24"/>
          <w:highlight w:val="none"/>
        </w:rPr>
        <w:t>评审</w:t>
      </w:r>
      <w:r>
        <w:rPr>
          <w:rFonts w:asciiTheme="minorEastAsia" w:hAnsiTheme="minorEastAsia"/>
          <w:color w:val="auto"/>
          <w:sz w:val="24"/>
          <w:szCs w:val="24"/>
          <w:highlight w:val="none"/>
        </w:rPr>
        <w:t>专家将在开标日之前在管理部门的</w:t>
      </w:r>
      <w:r>
        <w:rPr>
          <w:rFonts w:hint="eastAsia" w:asciiTheme="minorEastAsia" w:hAnsiTheme="minorEastAsia"/>
          <w:color w:val="auto"/>
          <w:sz w:val="24"/>
          <w:szCs w:val="24"/>
          <w:highlight w:val="none"/>
        </w:rPr>
        <w:t>评审</w:t>
      </w:r>
      <w:r>
        <w:rPr>
          <w:rFonts w:asciiTheme="minorEastAsia" w:hAnsiTheme="minorEastAsia"/>
          <w:color w:val="auto"/>
          <w:sz w:val="24"/>
          <w:szCs w:val="24"/>
          <w:highlight w:val="none"/>
        </w:rPr>
        <w:t>专家库中随机抽取。</w:t>
      </w:r>
      <w:r>
        <w:rPr>
          <w:rFonts w:hint="eastAsia" w:asciiTheme="minorEastAsia" w:hAnsiTheme="minorEastAsia"/>
          <w:color w:val="auto"/>
          <w:sz w:val="24"/>
          <w:szCs w:val="24"/>
          <w:highlight w:val="none"/>
        </w:rPr>
        <w:t>评标委员会成员名单在评标结果公告前应当保密。</w:t>
      </w:r>
    </w:p>
    <w:p w14:paraId="6AC2F5D5">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14.2</w:t>
      </w:r>
      <w:r>
        <w:rPr>
          <w:rFonts w:asciiTheme="minorEastAsia" w:hAnsiTheme="minorEastAsia"/>
          <w:color w:val="auto"/>
          <w:sz w:val="24"/>
          <w:szCs w:val="24"/>
          <w:highlight w:val="none"/>
        </w:rPr>
        <w:t>评标委员会将遵循公平、公正、科学、廉洁的原则和规定的程序进行评标，并且只依据投标文件本身对采购文件的响应情况进行评审，不考虑投标人在开标后提交的任何的补充声明、修正方案。</w:t>
      </w:r>
    </w:p>
    <w:p w14:paraId="07FF6676">
      <w:pPr>
        <w:pStyle w:val="95"/>
        <w:spacing w:line="460" w:lineRule="exact"/>
        <w:ind w:left="0" w:leftChars="0" w:firstLine="480"/>
        <w:rPr>
          <w:rFonts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rPr>
        <w:t>4</w:t>
      </w:r>
      <w:r>
        <w:rPr>
          <w:rFonts w:asciiTheme="minorEastAsia" w:hAnsiTheme="minorEastAsia"/>
          <w:color w:val="auto"/>
          <w:sz w:val="24"/>
          <w:szCs w:val="24"/>
          <w:highlight w:val="none"/>
        </w:rPr>
        <w:t>.3评委依法独立评审，并对评审意见承担个人责任。对明显畸高、畸低的评分（其个人主观打分偏离所有评审小组成员主观评分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14:paraId="7A3B83EA">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14.4</w:t>
      </w:r>
      <w:r>
        <w:rPr>
          <w:rFonts w:asciiTheme="minorEastAsia" w:hAnsiTheme="minorEastAsia"/>
          <w:color w:val="auto"/>
          <w:sz w:val="24"/>
          <w:szCs w:val="24"/>
          <w:highlight w:val="none"/>
        </w:rPr>
        <w:t>评标委员会将核对投标价格和</w:t>
      </w:r>
      <w:r>
        <w:rPr>
          <w:rFonts w:hint="eastAsia" w:asciiTheme="minorEastAsia" w:hAnsiTheme="minorEastAsia"/>
          <w:color w:val="auto"/>
          <w:sz w:val="24"/>
          <w:szCs w:val="24"/>
          <w:highlight w:val="none"/>
        </w:rPr>
        <w:t>服务内容</w:t>
      </w:r>
      <w:r>
        <w:rPr>
          <w:rFonts w:asciiTheme="minorEastAsia" w:hAnsiTheme="minorEastAsia"/>
          <w:color w:val="auto"/>
          <w:sz w:val="24"/>
          <w:szCs w:val="24"/>
          <w:highlight w:val="none"/>
        </w:rPr>
        <w:t>，对发现的价格计算错误按下述原则处理：</w:t>
      </w:r>
    </w:p>
    <w:p w14:paraId="36D7D734">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（1）投标文件中开标一览表内容与投标文件中相应内容不一致的，以开标一览表为准。</w:t>
      </w:r>
    </w:p>
    <w:p w14:paraId="6F9335BD">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（2）投标文件的大写金额和小写金额不一致的，以大写金额为准。</w:t>
      </w:r>
    </w:p>
    <w:p w14:paraId="206B4C33">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（3）单价金额小数点或者百分比有明显错位的，以开标一览表的总价为准，并修改单价；</w:t>
      </w:r>
    </w:p>
    <w:p w14:paraId="47FFF0FA">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（4）总价金额与按单价汇总金额不一致，以单价金额计算结果为准。</w:t>
      </w:r>
    </w:p>
    <w:p w14:paraId="7B3D2444">
      <w:pPr>
        <w:pStyle w:val="95"/>
        <w:spacing w:line="460" w:lineRule="exact"/>
        <w:ind w:left="0" w:leftChars="0" w:firstLine="482"/>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w:t>
      </w:r>
      <w:r>
        <w:rPr>
          <w:rFonts w:asciiTheme="minorEastAsia" w:hAnsiTheme="minorEastAsia"/>
          <w:b/>
          <w:color w:val="auto"/>
          <w:sz w:val="24"/>
          <w:szCs w:val="24"/>
          <w:highlight w:val="none"/>
        </w:rPr>
        <w:t>5）客户端填写的报价与以pdf格式上传文件中的报价不一致的，应以pdf格式上传文件中的报价为准。</w:t>
      </w:r>
    </w:p>
    <w:p w14:paraId="3E745967">
      <w:pPr>
        <w:spacing w:line="360" w:lineRule="auto"/>
        <w:ind w:firstLine="480" w:firstLineChars="200"/>
        <w:contextualSpacing/>
        <w:rPr>
          <w:rFonts w:asciiTheme="minorEastAsia" w:hAnsiTheme="minorEastAsia"/>
          <w:color w:val="auto"/>
          <w:sz w:val="24"/>
          <w:highlight w:val="none"/>
        </w:rPr>
      </w:pPr>
      <w:r>
        <w:rPr>
          <w:rFonts w:hint="eastAsia" w:asciiTheme="minorEastAsia" w:hAnsiTheme="minorEastAsia"/>
          <w:color w:val="auto"/>
          <w:sz w:val="24"/>
          <w:highlight w:val="none"/>
        </w:rPr>
        <w:t>同时出现两种以上不一致的，按照前款规定的顺序修正。修正后的报价经投标人确认后产生约束力，投标人不确认的，其投标无效。</w:t>
      </w:r>
    </w:p>
    <w:p w14:paraId="78D4FC8D">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14.5</w:t>
      </w:r>
      <w:r>
        <w:rPr>
          <w:rFonts w:asciiTheme="minorEastAsia" w:hAnsiTheme="minorEastAsia"/>
          <w:color w:val="auto"/>
          <w:sz w:val="24"/>
          <w:szCs w:val="24"/>
          <w:highlight w:val="none"/>
        </w:rPr>
        <w:t>评标委员会根据采购文件的《评标办法》及在《投标资料表》和《</w:t>
      </w:r>
      <w:r>
        <w:rPr>
          <w:rFonts w:hint="eastAsia" w:asciiTheme="minorEastAsia" w:hAnsiTheme="minorEastAsia"/>
          <w:color w:val="auto"/>
          <w:sz w:val="24"/>
          <w:szCs w:val="24"/>
          <w:highlight w:val="none"/>
        </w:rPr>
        <w:t>采购内容及要求</w:t>
      </w:r>
      <w:r>
        <w:rPr>
          <w:rFonts w:asciiTheme="minorEastAsia" w:hAnsiTheme="minorEastAsia"/>
          <w:color w:val="auto"/>
          <w:sz w:val="24"/>
          <w:szCs w:val="24"/>
          <w:highlight w:val="none"/>
        </w:rPr>
        <w:t>》中所列的具体标准，对投标文件进行评审和比较。</w:t>
      </w:r>
    </w:p>
    <w:p w14:paraId="754E1F01">
      <w:pPr>
        <w:pStyle w:val="95"/>
        <w:spacing w:line="460" w:lineRule="exact"/>
        <w:ind w:left="0" w:leftChars="0" w:firstLine="0" w:firstLineChars="0"/>
        <w:rPr>
          <w:rFonts w:asciiTheme="minorEastAsia" w:hAnsiTheme="minorEastAsia"/>
          <w:b/>
          <w:color w:val="auto"/>
          <w:sz w:val="24"/>
          <w:szCs w:val="24"/>
          <w:highlight w:val="none"/>
        </w:rPr>
      </w:pPr>
      <w:bookmarkStart w:id="41" w:name="_Toc425151749"/>
      <w:bookmarkStart w:id="42" w:name="_Toc430790230"/>
      <w:bookmarkStart w:id="43" w:name="_Toc429407709"/>
      <w:bookmarkStart w:id="44" w:name="_Toc425780293"/>
      <w:r>
        <w:rPr>
          <w:rFonts w:hint="eastAsia" w:asciiTheme="minorEastAsia" w:hAnsiTheme="minorEastAsia"/>
          <w:b/>
          <w:color w:val="auto"/>
          <w:sz w:val="24"/>
          <w:szCs w:val="24"/>
          <w:highlight w:val="none"/>
        </w:rPr>
        <w:t>15、</w:t>
      </w:r>
      <w:bookmarkEnd w:id="41"/>
      <w:bookmarkEnd w:id="42"/>
      <w:bookmarkEnd w:id="43"/>
      <w:bookmarkEnd w:id="44"/>
      <w:bookmarkStart w:id="45" w:name="_Toc430790231"/>
      <w:bookmarkStart w:id="46" w:name="_Toc429407710"/>
      <w:bookmarkStart w:id="47" w:name="_Toc425780294"/>
      <w:bookmarkStart w:id="48" w:name="_Toc425151750"/>
      <w:r>
        <w:rPr>
          <w:rFonts w:hint="eastAsia" w:asciiTheme="minorEastAsia" w:hAnsiTheme="minorEastAsia"/>
          <w:b/>
          <w:color w:val="auto"/>
          <w:sz w:val="24"/>
          <w:szCs w:val="24"/>
          <w:highlight w:val="none"/>
        </w:rPr>
        <w:t>澄清问题的形式</w:t>
      </w:r>
    </w:p>
    <w:p w14:paraId="4E9D433D">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15.1评标委员会在对投标文件的有效性、完整性和响应程度进行审查时，可以要求投标供应商对投标文件中含义不明确、同类问题表述不一致或者有明显文字和计算错误的内容等做出必要的澄清。投标供应商的澄清不得超出投标文件的范围或者改变投标文件的实质性内容。</w:t>
      </w:r>
    </w:p>
    <w:p w14:paraId="03B7E24A">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15.2政采云具体操作如下：</w:t>
      </w:r>
    </w:p>
    <w:p w14:paraId="2C37E753">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在评审过程中，如评标委员会对投标文件有疑问，由评标委员会组长将问题汇总后发函，或由采购代理机构代替发起。投标供应商在截止时间前，予以回复。此回复将作为投标文件内容的一部分，具有相应的法律效力。</w:t>
      </w:r>
    </w:p>
    <w:p w14:paraId="7CD9DD14">
      <w:pPr>
        <w:pStyle w:val="95"/>
        <w:spacing w:line="460" w:lineRule="exact"/>
        <w:ind w:left="0" w:leftChars="0"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路径：用户中心—项目采购—询标澄清</w:t>
      </w:r>
    </w:p>
    <w:p w14:paraId="21394AD2">
      <w:pPr>
        <w:pStyle w:val="95"/>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（1）政采云平台通过待办事项和短信提醒供应商在截止时间前完成澄清。</w:t>
      </w:r>
    </w:p>
    <w:p w14:paraId="7B6D9EB5">
      <w:pPr>
        <w:pStyle w:val="95"/>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（2）投标供应商在“询标澄清-待办理”标签页下选择状态为“待澄清”的项目，点击操作栏【澄清】。</w:t>
      </w:r>
    </w:p>
    <w:p w14:paraId="2F1C36AF">
      <w:pPr>
        <w:pStyle w:val="95"/>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（3）查看函内容，在澄清截止时间前上传澄清文件并对澄清文件进行签章。（注：澄清文件必须以PDF格式上传）</w:t>
      </w:r>
    </w:p>
    <w:p w14:paraId="44E8F3A9">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（4）签章完成，文件名称处显示“已签章”，供应商可“撤回签章”修改澄清函和“查看文件”。</w:t>
      </w:r>
    </w:p>
    <w:p w14:paraId="427C4ED3">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确认澄清文件内容后，点击右上角【提交】；（注：投标供应商未对澄清文件签章，提交时，弹框提醒“澄清文件未签章，请进行签章操作”，如遇CA突发情况无法签章，供应商可点击【放弃签章并提交】提交澄清文件；反之则签章后再提交。）</w:t>
      </w:r>
    </w:p>
    <w:p w14:paraId="73698D55">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（6）完成状态：供应商澄清文件提交成功后，在“询标澄清-全部”标签页下显示状态为“已澄清”。</w:t>
      </w:r>
    </w:p>
    <w:p w14:paraId="1256A126">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15.3投标供应商未在截止时间前完成澄清，将被视作自动放弃。</w:t>
      </w:r>
    </w:p>
    <w:p w14:paraId="667B7E00">
      <w:pPr>
        <w:pStyle w:val="95"/>
        <w:spacing w:line="460" w:lineRule="exact"/>
        <w:ind w:left="0" w:leftChars="0" w:firstLine="0" w:firstLineChars="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16、</w:t>
      </w:r>
      <w:r>
        <w:rPr>
          <w:rFonts w:asciiTheme="minorEastAsia" w:hAnsiTheme="minorEastAsia"/>
          <w:b/>
          <w:color w:val="auto"/>
          <w:sz w:val="24"/>
          <w:szCs w:val="24"/>
          <w:highlight w:val="none"/>
        </w:rPr>
        <w:t>评标办法</w:t>
      </w:r>
      <w:bookmarkEnd w:id="45"/>
      <w:bookmarkEnd w:id="46"/>
      <w:bookmarkEnd w:id="47"/>
      <w:bookmarkEnd w:id="48"/>
    </w:p>
    <w:p w14:paraId="7F7A3997">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16.1本项目</w:t>
      </w:r>
      <w:r>
        <w:rPr>
          <w:rFonts w:asciiTheme="minorEastAsia" w:hAnsiTheme="minorEastAsia"/>
          <w:color w:val="auto"/>
          <w:sz w:val="24"/>
          <w:szCs w:val="24"/>
          <w:highlight w:val="none"/>
        </w:rPr>
        <w:t>采用综合评分法。本次招标</w:t>
      </w:r>
      <w:r>
        <w:rPr>
          <w:rFonts w:hint="eastAsia" w:asciiTheme="minorEastAsia" w:hAnsiTheme="minorEastAsia"/>
          <w:color w:val="auto"/>
          <w:sz w:val="24"/>
          <w:szCs w:val="24"/>
          <w:highlight w:val="none"/>
        </w:rPr>
        <w:t>采购</w:t>
      </w:r>
      <w:r>
        <w:rPr>
          <w:rFonts w:asciiTheme="minorEastAsia" w:hAnsiTheme="minorEastAsia"/>
          <w:color w:val="auto"/>
          <w:sz w:val="24"/>
          <w:szCs w:val="24"/>
          <w:highlight w:val="none"/>
        </w:rPr>
        <w:t>采用的评标方法</w:t>
      </w:r>
      <w:r>
        <w:rPr>
          <w:rFonts w:hint="eastAsia" w:asciiTheme="minorEastAsia" w:hAnsiTheme="minorEastAsia"/>
          <w:color w:val="auto"/>
          <w:sz w:val="24"/>
          <w:szCs w:val="24"/>
          <w:highlight w:val="none"/>
        </w:rPr>
        <w:t>具体说明</w:t>
      </w:r>
      <w:r>
        <w:rPr>
          <w:rFonts w:asciiTheme="minorEastAsia" w:hAnsiTheme="minorEastAsia"/>
          <w:color w:val="auto"/>
          <w:sz w:val="24"/>
          <w:szCs w:val="24"/>
          <w:highlight w:val="none"/>
        </w:rPr>
        <w:t>载明在采购文件</w:t>
      </w: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评标</w:t>
      </w:r>
      <w:r>
        <w:rPr>
          <w:rFonts w:hint="eastAsia" w:asciiTheme="minorEastAsia" w:hAnsiTheme="minorEastAsia"/>
          <w:color w:val="auto"/>
          <w:sz w:val="24"/>
          <w:szCs w:val="24"/>
          <w:highlight w:val="none"/>
        </w:rPr>
        <w:t>办法”</w:t>
      </w:r>
      <w:r>
        <w:rPr>
          <w:rFonts w:asciiTheme="minorEastAsia" w:hAnsiTheme="minorEastAsia"/>
          <w:color w:val="auto"/>
          <w:sz w:val="24"/>
          <w:szCs w:val="24"/>
          <w:highlight w:val="none"/>
        </w:rPr>
        <w:t>部分中。</w:t>
      </w:r>
    </w:p>
    <w:p w14:paraId="3D8DAD51">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16.2</w:t>
      </w:r>
      <w:r>
        <w:rPr>
          <w:rFonts w:asciiTheme="minorEastAsia" w:hAnsiTheme="minorEastAsia"/>
          <w:color w:val="auto"/>
          <w:sz w:val="24"/>
          <w:szCs w:val="24"/>
          <w:highlight w:val="none"/>
        </w:rPr>
        <w:t>综合评分法：</w:t>
      </w:r>
    </w:p>
    <w:p w14:paraId="0C6B8CA0">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投标文件满足采购文件全部实质性要求，且按照评审因素的量化指标评审得分最高的投标人为中标候选人的评标方法。</w:t>
      </w:r>
    </w:p>
    <w:p w14:paraId="3EDD1297">
      <w:pPr>
        <w:pStyle w:val="95"/>
        <w:spacing w:line="460" w:lineRule="exact"/>
        <w:ind w:left="0" w:leftChars="0" w:firstLine="0" w:firstLineChars="0"/>
        <w:rPr>
          <w:rFonts w:asciiTheme="minorEastAsia" w:hAnsiTheme="minorEastAsia"/>
          <w:b/>
          <w:color w:val="auto"/>
          <w:sz w:val="24"/>
          <w:szCs w:val="24"/>
          <w:highlight w:val="none"/>
        </w:rPr>
      </w:pPr>
      <w:bookmarkStart w:id="49" w:name="_Toc422996818"/>
      <w:bookmarkEnd w:id="49"/>
      <w:bookmarkStart w:id="50" w:name="_Toc422996750"/>
      <w:bookmarkEnd w:id="50"/>
      <w:bookmarkStart w:id="51" w:name="_Toc422996749"/>
      <w:bookmarkEnd w:id="51"/>
      <w:bookmarkStart w:id="52" w:name="_Toc422996819"/>
      <w:bookmarkEnd w:id="52"/>
      <w:bookmarkStart w:id="53" w:name="_Toc425151751"/>
      <w:bookmarkStart w:id="54" w:name="_Toc429407711"/>
      <w:bookmarkStart w:id="55" w:name="_Toc425780295"/>
      <w:bookmarkStart w:id="56" w:name="_Toc430790232"/>
      <w:r>
        <w:rPr>
          <w:rFonts w:hint="eastAsia" w:asciiTheme="minorEastAsia" w:hAnsiTheme="minorEastAsia"/>
          <w:b/>
          <w:color w:val="auto"/>
          <w:sz w:val="24"/>
          <w:szCs w:val="24"/>
          <w:highlight w:val="none"/>
        </w:rPr>
        <w:t>17、</w:t>
      </w:r>
      <w:r>
        <w:rPr>
          <w:rFonts w:asciiTheme="minorEastAsia" w:hAnsiTheme="minorEastAsia"/>
          <w:b/>
          <w:color w:val="auto"/>
          <w:sz w:val="24"/>
          <w:szCs w:val="24"/>
          <w:highlight w:val="none"/>
        </w:rPr>
        <w:t>评标程序和原则</w:t>
      </w:r>
      <w:bookmarkEnd w:id="53"/>
      <w:bookmarkEnd w:id="54"/>
      <w:bookmarkEnd w:id="55"/>
      <w:bookmarkEnd w:id="56"/>
    </w:p>
    <w:p w14:paraId="10792547">
      <w:pPr>
        <w:pStyle w:val="95"/>
        <w:spacing w:line="460" w:lineRule="exact"/>
        <w:ind w:left="0" w:leftChars="0" w:firstLine="480"/>
        <w:rPr>
          <w:rFonts w:asciiTheme="minorEastAsia" w:hAnsiTheme="minorEastAsia"/>
          <w:b/>
          <w:color w:val="auto"/>
          <w:sz w:val="24"/>
          <w:szCs w:val="24"/>
          <w:highlight w:val="none"/>
        </w:rPr>
      </w:pPr>
      <w:r>
        <w:rPr>
          <w:rFonts w:hint="eastAsia" w:asciiTheme="minorEastAsia" w:hAnsiTheme="minorEastAsia"/>
          <w:color w:val="auto"/>
          <w:sz w:val="24"/>
          <w:szCs w:val="24"/>
          <w:highlight w:val="none"/>
        </w:rPr>
        <w:t>17.1</w:t>
      </w:r>
      <w:r>
        <w:rPr>
          <w:rFonts w:asciiTheme="minorEastAsia" w:hAnsiTheme="minorEastAsia"/>
          <w:color w:val="auto"/>
          <w:sz w:val="24"/>
          <w:szCs w:val="24"/>
          <w:highlight w:val="none"/>
        </w:rPr>
        <w:t>评标程序：遵循初步审查、澄清有关问题、比较与评价、推荐中标候选人的程序依次进行。</w:t>
      </w:r>
    </w:p>
    <w:p w14:paraId="577B92C1">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17.2</w:t>
      </w:r>
      <w:r>
        <w:rPr>
          <w:rFonts w:asciiTheme="minorEastAsia" w:hAnsiTheme="minorEastAsia"/>
          <w:color w:val="auto"/>
          <w:sz w:val="24"/>
          <w:szCs w:val="24"/>
          <w:highlight w:val="none"/>
        </w:rPr>
        <w:t>初步审查</w:t>
      </w: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包含资格性审查和符合性审查。初步审查不合格者不进入澄清有关问题及后续的评标程序。</w:t>
      </w:r>
    </w:p>
    <w:p w14:paraId="73A2ACD6">
      <w:pPr>
        <w:pStyle w:val="95"/>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w:t>
      </w:r>
      <w:r>
        <w:rPr>
          <w:rFonts w:asciiTheme="minorEastAsia" w:hAnsiTheme="minorEastAsia"/>
          <w:color w:val="auto"/>
          <w:sz w:val="24"/>
          <w:szCs w:val="24"/>
          <w:highlight w:val="none"/>
        </w:rPr>
        <w:t>）资格性审查：</w:t>
      </w:r>
    </w:p>
    <w:p w14:paraId="36ED971A">
      <w:pPr>
        <w:pStyle w:val="95"/>
        <w:spacing w:line="460" w:lineRule="exact"/>
        <w:ind w:left="0" w:leftChars="0" w:firstLine="480"/>
        <w:rPr>
          <w:rFonts w:asciiTheme="minorEastAsia" w:hAnsiTheme="minorEastAsia"/>
          <w:color w:val="auto"/>
          <w:sz w:val="24"/>
          <w:szCs w:val="24"/>
          <w:highlight w:val="none"/>
        </w:rPr>
      </w:pPr>
      <w:r>
        <w:rPr>
          <w:rFonts w:asciiTheme="minorEastAsia" w:hAnsiTheme="minorEastAsia"/>
          <w:color w:val="auto"/>
          <w:sz w:val="24"/>
          <w:szCs w:val="24"/>
          <w:highlight w:val="none"/>
        </w:rPr>
        <w:t>依据法律法规和采购文件的规定，</w:t>
      </w:r>
      <w:r>
        <w:rPr>
          <w:rFonts w:hint="eastAsia" w:asciiTheme="minorEastAsia" w:hAnsiTheme="minorEastAsia"/>
          <w:color w:val="auto"/>
          <w:sz w:val="24"/>
          <w:szCs w:val="24"/>
          <w:highlight w:val="none"/>
        </w:rPr>
        <w:t>采购人或采购代理机构</w:t>
      </w:r>
      <w:r>
        <w:rPr>
          <w:rFonts w:asciiTheme="minorEastAsia" w:hAnsiTheme="minorEastAsia"/>
          <w:color w:val="auto"/>
          <w:sz w:val="24"/>
          <w:szCs w:val="24"/>
          <w:highlight w:val="none"/>
        </w:rPr>
        <w:t>对其资格证明文件齐全性和有效性等方面进行审查，以确定投标人是否具备投标资格。</w:t>
      </w:r>
    </w:p>
    <w:p w14:paraId="270B7AA4">
      <w:pPr>
        <w:pStyle w:val="95"/>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w:t>
      </w:r>
      <w:r>
        <w:rPr>
          <w:rFonts w:asciiTheme="minorEastAsia" w:hAnsiTheme="minorEastAsia"/>
          <w:color w:val="auto"/>
          <w:sz w:val="24"/>
          <w:szCs w:val="24"/>
          <w:highlight w:val="none"/>
        </w:rPr>
        <w:t>符合性检查：</w:t>
      </w:r>
    </w:p>
    <w:p w14:paraId="4B3689C5">
      <w:pPr>
        <w:pStyle w:val="95"/>
        <w:spacing w:line="460" w:lineRule="exact"/>
        <w:ind w:left="0" w:leftChars="0" w:firstLine="480"/>
        <w:rPr>
          <w:rFonts w:asciiTheme="minorEastAsia" w:hAnsiTheme="minorEastAsia"/>
          <w:color w:val="auto"/>
          <w:sz w:val="24"/>
          <w:szCs w:val="24"/>
          <w:highlight w:val="none"/>
        </w:rPr>
      </w:pPr>
      <w:r>
        <w:rPr>
          <w:rFonts w:asciiTheme="minorEastAsia" w:hAnsiTheme="minorEastAsia"/>
          <w:color w:val="auto"/>
          <w:sz w:val="24"/>
          <w:szCs w:val="24"/>
          <w:highlight w:val="none"/>
        </w:rPr>
        <w:t>依据采购文件的规定，</w:t>
      </w:r>
      <w:r>
        <w:rPr>
          <w:rFonts w:hint="eastAsia" w:asciiTheme="minorEastAsia" w:hAnsiTheme="minorEastAsia"/>
          <w:color w:val="auto"/>
          <w:sz w:val="24"/>
          <w:szCs w:val="24"/>
          <w:highlight w:val="none"/>
        </w:rPr>
        <w:t>评标委员会</w:t>
      </w:r>
      <w:r>
        <w:rPr>
          <w:rFonts w:asciiTheme="minorEastAsia" w:hAnsiTheme="minorEastAsia"/>
          <w:color w:val="auto"/>
          <w:sz w:val="24"/>
          <w:szCs w:val="24"/>
          <w:highlight w:val="none"/>
        </w:rPr>
        <w:t>从投标文件的有效性、完整性和对采购文件的响应程度进行审查，以确定是否对采购文件的要求作出实质性响应。</w:t>
      </w:r>
    </w:p>
    <w:p w14:paraId="380A150B">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17.3</w:t>
      </w:r>
      <w:r>
        <w:rPr>
          <w:rFonts w:asciiTheme="minorEastAsia" w:hAnsiTheme="minorEastAsia"/>
          <w:color w:val="auto"/>
          <w:sz w:val="24"/>
          <w:szCs w:val="24"/>
          <w:highlight w:val="none"/>
        </w:rPr>
        <w:t>澄清有关问题：按第</w:t>
      </w:r>
      <w:r>
        <w:rPr>
          <w:rFonts w:hint="eastAsia" w:asciiTheme="minorEastAsia" w:hAnsiTheme="minorEastAsia"/>
          <w:color w:val="auto"/>
          <w:sz w:val="24"/>
          <w:szCs w:val="24"/>
          <w:highlight w:val="none"/>
        </w:rPr>
        <w:t>15</w:t>
      </w:r>
      <w:r>
        <w:rPr>
          <w:rFonts w:asciiTheme="minorEastAsia" w:hAnsiTheme="minorEastAsia"/>
          <w:color w:val="auto"/>
          <w:sz w:val="24"/>
          <w:szCs w:val="24"/>
          <w:highlight w:val="none"/>
        </w:rPr>
        <w:t>条规定进行。</w:t>
      </w:r>
    </w:p>
    <w:p w14:paraId="09051524">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17.4</w:t>
      </w:r>
      <w:r>
        <w:rPr>
          <w:rFonts w:asciiTheme="minorEastAsia" w:hAnsiTheme="minorEastAsia"/>
          <w:color w:val="auto"/>
          <w:sz w:val="24"/>
          <w:szCs w:val="24"/>
          <w:highlight w:val="none"/>
        </w:rPr>
        <w:t>比较与评价：</w:t>
      </w:r>
    </w:p>
    <w:p w14:paraId="370C492D">
      <w:pPr>
        <w:pStyle w:val="95"/>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w:t>
      </w:r>
      <w:r>
        <w:rPr>
          <w:rFonts w:asciiTheme="minorEastAsia" w:hAnsiTheme="minorEastAsia"/>
          <w:color w:val="auto"/>
          <w:sz w:val="24"/>
          <w:szCs w:val="24"/>
          <w:highlight w:val="none"/>
        </w:rPr>
        <w:t>技术</w:t>
      </w:r>
      <w:r>
        <w:rPr>
          <w:rFonts w:hint="eastAsia" w:asciiTheme="minorEastAsia" w:hAnsiTheme="minorEastAsia"/>
          <w:color w:val="auto"/>
          <w:sz w:val="24"/>
          <w:szCs w:val="24"/>
          <w:highlight w:val="none"/>
        </w:rPr>
        <w:t>商务</w:t>
      </w:r>
      <w:r>
        <w:rPr>
          <w:rFonts w:asciiTheme="minorEastAsia" w:hAnsiTheme="minorEastAsia"/>
          <w:color w:val="auto"/>
          <w:sz w:val="24"/>
          <w:szCs w:val="24"/>
          <w:highlight w:val="none"/>
        </w:rPr>
        <w:t>评价：按照采购文件的要求和</w:t>
      </w: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评标</w:t>
      </w:r>
      <w:r>
        <w:rPr>
          <w:rFonts w:hint="eastAsia" w:asciiTheme="minorEastAsia" w:hAnsiTheme="minorEastAsia"/>
          <w:color w:val="auto"/>
          <w:sz w:val="24"/>
          <w:szCs w:val="24"/>
          <w:highlight w:val="none"/>
        </w:rPr>
        <w:t>标准》</w:t>
      </w:r>
      <w:r>
        <w:rPr>
          <w:rFonts w:asciiTheme="minorEastAsia" w:hAnsiTheme="minorEastAsia"/>
          <w:color w:val="auto"/>
          <w:sz w:val="24"/>
          <w:szCs w:val="24"/>
          <w:highlight w:val="none"/>
        </w:rPr>
        <w:t>对照投标文件的响应进行</w:t>
      </w:r>
      <w:r>
        <w:rPr>
          <w:rFonts w:hint="eastAsia" w:asciiTheme="minorEastAsia" w:hAnsiTheme="minorEastAsia"/>
          <w:color w:val="auto"/>
          <w:sz w:val="24"/>
          <w:szCs w:val="24"/>
          <w:highlight w:val="none"/>
        </w:rPr>
        <w:t>技术商务</w:t>
      </w:r>
      <w:r>
        <w:rPr>
          <w:rFonts w:asciiTheme="minorEastAsia" w:hAnsiTheme="minorEastAsia"/>
          <w:color w:val="auto"/>
          <w:sz w:val="24"/>
          <w:szCs w:val="24"/>
          <w:highlight w:val="none"/>
        </w:rPr>
        <w:t>评价，评定其偏差程度，并计算其相应的</w:t>
      </w:r>
      <w:r>
        <w:rPr>
          <w:rFonts w:hint="eastAsia" w:asciiTheme="minorEastAsia" w:hAnsiTheme="minorEastAsia"/>
          <w:color w:val="auto"/>
          <w:sz w:val="24"/>
          <w:szCs w:val="24"/>
          <w:highlight w:val="none"/>
        </w:rPr>
        <w:t>技术商务评分</w:t>
      </w:r>
      <w:r>
        <w:rPr>
          <w:rFonts w:asciiTheme="minorEastAsia" w:hAnsiTheme="minorEastAsia"/>
          <w:color w:val="auto"/>
          <w:sz w:val="24"/>
          <w:szCs w:val="24"/>
          <w:highlight w:val="none"/>
        </w:rPr>
        <w:t>分值。</w:t>
      </w:r>
    </w:p>
    <w:p w14:paraId="02FE30BA">
      <w:pPr>
        <w:pStyle w:val="95"/>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w:t>
      </w:r>
      <w:r>
        <w:rPr>
          <w:rFonts w:asciiTheme="minorEastAsia" w:hAnsiTheme="minorEastAsia"/>
          <w:color w:val="auto"/>
          <w:sz w:val="24"/>
          <w:szCs w:val="24"/>
          <w:highlight w:val="none"/>
        </w:rPr>
        <w:t>综合评价：对经过技术</w:t>
      </w:r>
      <w:r>
        <w:rPr>
          <w:rFonts w:hint="eastAsia" w:asciiTheme="minorEastAsia" w:hAnsiTheme="minorEastAsia"/>
          <w:color w:val="auto"/>
          <w:sz w:val="24"/>
          <w:szCs w:val="24"/>
          <w:highlight w:val="none"/>
        </w:rPr>
        <w:t>商务</w:t>
      </w:r>
      <w:r>
        <w:rPr>
          <w:rFonts w:asciiTheme="minorEastAsia" w:hAnsiTheme="minorEastAsia"/>
          <w:color w:val="auto"/>
          <w:sz w:val="24"/>
          <w:szCs w:val="24"/>
          <w:highlight w:val="none"/>
        </w:rPr>
        <w:t>评价的投标，按</w:t>
      </w: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评标标准</w:t>
      </w: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规定的评价办法进行综合评价，并按以下原则进行评审计算：</w:t>
      </w:r>
    </w:p>
    <w:p w14:paraId="149371D3">
      <w:pPr>
        <w:pStyle w:val="95"/>
        <w:spacing w:line="460" w:lineRule="exact"/>
        <w:ind w:left="0" w:leftChars="0" w:firstLine="480"/>
        <w:rPr>
          <w:rFonts w:asciiTheme="minorEastAsia" w:hAnsiTheme="minorEastAsia"/>
          <w:color w:val="auto"/>
          <w:sz w:val="24"/>
          <w:szCs w:val="24"/>
          <w:highlight w:val="none"/>
        </w:rPr>
      </w:pPr>
      <w:r>
        <w:rPr>
          <w:rFonts w:asciiTheme="minorEastAsia" w:hAnsiTheme="minorEastAsia"/>
          <w:color w:val="auto"/>
          <w:sz w:val="24"/>
          <w:szCs w:val="24"/>
          <w:highlight w:val="none"/>
        </w:rPr>
        <w:t>综合评分法的</w:t>
      </w:r>
      <w:r>
        <w:rPr>
          <w:rFonts w:hint="eastAsia" w:asciiTheme="minorEastAsia" w:hAnsiTheme="minorEastAsia"/>
          <w:color w:val="auto"/>
          <w:sz w:val="24"/>
          <w:szCs w:val="24"/>
          <w:highlight w:val="none"/>
        </w:rPr>
        <w:t>最终</w:t>
      </w:r>
      <w:r>
        <w:rPr>
          <w:rFonts w:asciiTheme="minorEastAsia" w:hAnsiTheme="minorEastAsia"/>
          <w:color w:val="auto"/>
          <w:sz w:val="24"/>
          <w:szCs w:val="24"/>
          <w:highlight w:val="none"/>
        </w:rPr>
        <w:t>得分计算：综合得分=</w:t>
      </w:r>
      <w:r>
        <w:rPr>
          <w:rFonts w:hint="eastAsia" w:asciiTheme="minorEastAsia" w:hAnsiTheme="minorEastAsia"/>
          <w:color w:val="auto"/>
          <w:sz w:val="24"/>
          <w:szCs w:val="24"/>
          <w:highlight w:val="none"/>
        </w:rPr>
        <w:t>报价</w:t>
      </w:r>
      <w:r>
        <w:rPr>
          <w:rFonts w:asciiTheme="minorEastAsia" w:hAnsiTheme="minorEastAsia"/>
          <w:color w:val="auto"/>
          <w:sz w:val="24"/>
          <w:szCs w:val="24"/>
          <w:highlight w:val="none"/>
        </w:rPr>
        <w:t>得分+技术</w:t>
      </w:r>
      <w:r>
        <w:rPr>
          <w:rFonts w:hint="eastAsia" w:asciiTheme="minorEastAsia" w:hAnsiTheme="minorEastAsia"/>
          <w:color w:val="auto"/>
          <w:sz w:val="24"/>
          <w:szCs w:val="24"/>
          <w:highlight w:val="none"/>
        </w:rPr>
        <w:t>商务</w:t>
      </w:r>
      <w:r>
        <w:rPr>
          <w:rFonts w:asciiTheme="minorEastAsia" w:hAnsiTheme="minorEastAsia"/>
          <w:color w:val="auto"/>
          <w:sz w:val="24"/>
          <w:szCs w:val="24"/>
          <w:highlight w:val="none"/>
        </w:rPr>
        <w:t>评审得分</w:t>
      </w:r>
    </w:p>
    <w:p w14:paraId="49E632BE">
      <w:pPr>
        <w:pStyle w:val="95"/>
        <w:spacing w:line="460" w:lineRule="exact"/>
        <w:ind w:left="0" w:leftChars="0" w:firstLine="480"/>
        <w:rPr>
          <w:rFonts w:asciiTheme="minorEastAsia" w:hAnsiTheme="minorEastAsia"/>
          <w:color w:val="auto"/>
          <w:sz w:val="24"/>
          <w:szCs w:val="24"/>
          <w:highlight w:val="none"/>
        </w:rPr>
      </w:pPr>
      <w:r>
        <w:rPr>
          <w:rFonts w:asciiTheme="minorEastAsia" w:hAnsiTheme="minorEastAsia"/>
          <w:color w:val="auto"/>
          <w:sz w:val="24"/>
          <w:szCs w:val="24"/>
          <w:highlight w:val="none"/>
        </w:rPr>
        <w:t>综合评价结束，按照上述第</w:t>
      </w:r>
      <w:r>
        <w:rPr>
          <w:rFonts w:hint="eastAsia" w:asciiTheme="minorEastAsia" w:hAnsiTheme="minorEastAsia"/>
          <w:color w:val="auto"/>
          <w:sz w:val="24"/>
          <w:szCs w:val="24"/>
          <w:highlight w:val="none"/>
        </w:rPr>
        <w:t>16</w:t>
      </w:r>
      <w:r>
        <w:rPr>
          <w:rFonts w:asciiTheme="minorEastAsia" w:hAnsiTheme="minorEastAsia"/>
          <w:color w:val="auto"/>
          <w:sz w:val="24"/>
          <w:szCs w:val="24"/>
          <w:highlight w:val="none"/>
        </w:rPr>
        <w:t>条规定，列出进入最终评审各投标</w:t>
      </w:r>
      <w:r>
        <w:rPr>
          <w:rFonts w:hint="eastAsia" w:asciiTheme="minorEastAsia" w:hAnsiTheme="minorEastAsia"/>
          <w:color w:val="auto"/>
          <w:sz w:val="24"/>
          <w:szCs w:val="24"/>
          <w:highlight w:val="none"/>
        </w:rPr>
        <w:t>人</w:t>
      </w:r>
      <w:r>
        <w:rPr>
          <w:rFonts w:asciiTheme="minorEastAsia" w:hAnsiTheme="minorEastAsia"/>
          <w:color w:val="auto"/>
          <w:sz w:val="24"/>
          <w:szCs w:val="24"/>
          <w:highlight w:val="none"/>
        </w:rPr>
        <w:t>排序次序。</w:t>
      </w:r>
    </w:p>
    <w:p w14:paraId="0A68D2B8">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17.5</w:t>
      </w:r>
      <w:r>
        <w:rPr>
          <w:rFonts w:asciiTheme="minorEastAsia" w:hAnsiTheme="minorEastAsia"/>
          <w:color w:val="auto"/>
          <w:sz w:val="24"/>
          <w:szCs w:val="24"/>
          <w:highlight w:val="none"/>
        </w:rPr>
        <w:t>推荐中标</w:t>
      </w:r>
      <w:r>
        <w:rPr>
          <w:rFonts w:hint="eastAsia" w:asciiTheme="minorEastAsia" w:hAnsiTheme="minorEastAsia"/>
          <w:color w:val="auto"/>
          <w:sz w:val="24"/>
          <w:szCs w:val="24"/>
          <w:highlight w:val="none"/>
        </w:rPr>
        <w:t>候选人</w:t>
      </w:r>
      <w:r>
        <w:rPr>
          <w:rFonts w:asciiTheme="minorEastAsia" w:hAnsiTheme="minorEastAsia"/>
          <w:color w:val="auto"/>
          <w:sz w:val="24"/>
          <w:szCs w:val="24"/>
          <w:highlight w:val="none"/>
        </w:rPr>
        <w:t>：按</w:t>
      </w:r>
      <w:r>
        <w:rPr>
          <w:rFonts w:hint="eastAsia" w:asciiTheme="minorEastAsia" w:hAnsiTheme="minorEastAsia"/>
          <w:color w:val="auto"/>
          <w:sz w:val="24"/>
          <w:szCs w:val="24"/>
          <w:highlight w:val="none"/>
        </w:rPr>
        <w:t>18</w:t>
      </w:r>
      <w:r>
        <w:rPr>
          <w:rFonts w:asciiTheme="minorEastAsia" w:hAnsiTheme="minorEastAsia"/>
          <w:color w:val="auto"/>
          <w:sz w:val="24"/>
          <w:szCs w:val="24"/>
          <w:highlight w:val="none"/>
        </w:rPr>
        <w:t>条规定推荐中标</w:t>
      </w:r>
      <w:r>
        <w:rPr>
          <w:rFonts w:hint="eastAsia" w:asciiTheme="minorEastAsia" w:hAnsiTheme="minorEastAsia"/>
          <w:color w:val="auto"/>
          <w:sz w:val="24"/>
          <w:szCs w:val="24"/>
          <w:highlight w:val="none"/>
        </w:rPr>
        <w:t>候选人</w:t>
      </w:r>
      <w:r>
        <w:rPr>
          <w:rFonts w:asciiTheme="minorEastAsia" w:hAnsiTheme="minorEastAsia"/>
          <w:color w:val="auto"/>
          <w:sz w:val="24"/>
          <w:szCs w:val="24"/>
          <w:highlight w:val="none"/>
        </w:rPr>
        <w:t>。</w:t>
      </w:r>
    </w:p>
    <w:p w14:paraId="26330484">
      <w:pPr>
        <w:pStyle w:val="95"/>
        <w:spacing w:line="460" w:lineRule="exact"/>
        <w:ind w:left="0" w:leftChars="0" w:firstLine="0" w:firstLineChars="0"/>
        <w:rPr>
          <w:rFonts w:asciiTheme="minorEastAsia" w:hAnsiTheme="minorEastAsia"/>
          <w:b/>
          <w:color w:val="auto"/>
          <w:sz w:val="24"/>
          <w:szCs w:val="24"/>
          <w:highlight w:val="none"/>
        </w:rPr>
      </w:pPr>
      <w:bookmarkStart w:id="57" w:name="_Toc425780296"/>
      <w:bookmarkStart w:id="58" w:name="_Toc429407712"/>
      <w:bookmarkStart w:id="59" w:name="_Toc430790233"/>
      <w:bookmarkStart w:id="60" w:name="_Toc425151752"/>
      <w:r>
        <w:rPr>
          <w:rFonts w:hint="eastAsia" w:asciiTheme="minorEastAsia" w:hAnsiTheme="minorEastAsia"/>
          <w:b/>
          <w:color w:val="auto"/>
          <w:sz w:val="24"/>
          <w:szCs w:val="24"/>
          <w:highlight w:val="none"/>
        </w:rPr>
        <w:t>18、</w:t>
      </w:r>
      <w:r>
        <w:rPr>
          <w:rFonts w:asciiTheme="minorEastAsia" w:hAnsiTheme="minorEastAsia"/>
          <w:b/>
          <w:color w:val="auto"/>
          <w:sz w:val="24"/>
          <w:szCs w:val="24"/>
          <w:highlight w:val="none"/>
        </w:rPr>
        <w:t>推荐中标</w:t>
      </w:r>
      <w:r>
        <w:rPr>
          <w:rFonts w:hint="eastAsia" w:asciiTheme="minorEastAsia" w:hAnsiTheme="minorEastAsia"/>
          <w:b/>
          <w:color w:val="auto"/>
          <w:sz w:val="24"/>
          <w:szCs w:val="24"/>
          <w:highlight w:val="none"/>
        </w:rPr>
        <w:t>候选人</w:t>
      </w:r>
      <w:bookmarkEnd w:id="57"/>
      <w:bookmarkEnd w:id="58"/>
      <w:bookmarkEnd w:id="59"/>
      <w:bookmarkEnd w:id="60"/>
    </w:p>
    <w:p w14:paraId="61ABA698">
      <w:pPr>
        <w:pStyle w:val="95"/>
        <w:spacing w:line="460" w:lineRule="exact"/>
        <w:ind w:left="0" w:leftChars="0" w:firstLine="472" w:firstLineChars="196"/>
        <w:rPr>
          <w:rFonts w:asciiTheme="minorEastAsia" w:hAnsiTheme="minorEastAsia"/>
          <w:b/>
          <w:color w:val="auto"/>
          <w:sz w:val="24"/>
          <w:szCs w:val="24"/>
          <w:highlight w:val="none"/>
        </w:rPr>
      </w:pPr>
      <w:bookmarkStart w:id="61" w:name="_Toc425780297"/>
      <w:bookmarkStart w:id="62" w:name="_Toc425151753"/>
      <w:bookmarkStart w:id="63" w:name="_Toc429407713"/>
      <w:bookmarkStart w:id="64" w:name="_Toc430790234"/>
      <w:r>
        <w:rPr>
          <w:rFonts w:hint="eastAsia" w:asciiTheme="minorEastAsia" w:hAnsiTheme="minorEastAsia"/>
          <w:b/>
          <w:color w:val="auto"/>
          <w:sz w:val="24"/>
          <w:szCs w:val="24"/>
          <w:highlight w:val="none"/>
        </w:rPr>
        <w:t>评标委员会根据各投标人的综合得分由高到低排定顺序，推荐本项目</w:t>
      </w:r>
      <w:r>
        <w:rPr>
          <w:rFonts w:asciiTheme="minorEastAsia" w:hAnsiTheme="minorEastAsia"/>
          <w:b/>
          <w:color w:val="auto"/>
          <w:sz w:val="24"/>
          <w:szCs w:val="24"/>
          <w:highlight w:val="none"/>
        </w:rPr>
        <w:t>的</w:t>
      </w:r>
      <w:r>
        <w:rPr>
          <w:rFonts w:hint="eastAsia" w:asciiTheme="minorEastAsia" w:hAnsiTheme="minorEastAsia"/>
          <w:b/>
          <w:color w:val="auto"/>
          <w:sz w:val="24"/>
          <w:szCs w:val="24"/>
          <w:highlight w:val="none"/>
        </w:rPr>
        <w:t>中标候选人，推荐</w:t>
      </w:r>
      <w:r>
        <w:rPr>
          <w:rFonts w:hint="eastAsia" w:asciiTheme="minorEastAsia" w:hAnsiTheme="minorEastAsia"/>
          <w:b/>
          <w:color w:val="auto"/>
          <w:sz w:val="24"/>
          <w:szCs w:val="24"/>
          <w:highlight w:val="none"/>
          <w:lang w:eastAsia="zh-CN"/>
        </w:rPr>
        <w:t>两</w:t>
      </w:r>
      <w:r>
        <w:rPr>
          <w:rFonts w:hint="eastAsia" w:asciiTheme="minorEastAsia" w:hAnsiTheme="minorEastAsia"/>
          <w:b/>
          <w:color w:val="auto"/>
          <w:sz w:val="24"/>
          <w:szCs w:val="24"/>
          <w:highlight w:val="none"/>
        </w:rPr>
        <w:t>名中标候选人。</w:t>
      </w:r>
    </w:p>
    <w:p w14:paraId="00682BFC">
      <w:pPr>
        <w:pStyle w:val="95"/>
        <w:spacing w:line="460" w:lineRule="exact"/>
        <w:ind w:left="0" w:leftChars="0" w:firstLine="0" w:firstLineChars="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19、</w:t>
      </w:r>
      <w:bookmarkEnd w:id="61"/>
      <w:bookmarkEnd w:id="62"/>
      <w:bookmarkEnd w:id="63"/>
      <w:bookmarkEnd w:id="64"/>
      <w:r>
        <w:rPr>
          <w:rFonts w:asciiTheme="minorEastAsia" w:hAnsiTheme="minorEastAsia"/>
          <w:b/>
          <w:color w:val="auto"/>
          <w:sz w:val="24"/>
          <w:szCs w:val="24"/>
          <w:highlight w:val="none"/>
        </w:rPr>
        <w:t>采购人式</w:t>
      </w:r>
      <w:r>
        <w:rPr>
          <w:rFonts w:hint="eastAsia" w:asciiTheme="minorEastAsia" w:hAnsiTheme="minorEastAsia"/>
          <w:b/>
          <w:color w:val="auto"/>
          <w:sz w:val="24"/>
          <w:szCs w:val="24"/>
          <w:highlight w:val="none"/>
        </w:rPr>
        <w:t>转换</w:t>
      </w:r>
    </w:p>
    <w:p w14:paraId="3F8DEDC9">
      <w:pPr>
        <w:pStyle w:val="95"/>
        <w:spacing w:line="460" w:lineRule="exact"/>
        <w:ind w:left="0" w:leftChars="0" w:firstLine="600" w:firstLineChars="2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公开招标数额标准以上的采购项目，投标截止后投标人不足3家或者通过资格审查或符合性审查的投标人不足3家的，除采购任务取消情形外，按照以下方式处理： </w:t>
      </w:r>
    </w:p>
    <w:p w14:paraId="50FED648">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19.1采购文件存在不合理条款或者招标程序不符合规定的，采购人、采购代理机构改正后依法重新招标； </w:t>
      </w:r>
    </w:p>
    <w:p w14:paraId="6394E305">
      <w:pPr>
        <w:pStyle w:val="95"/>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19.2采购文件没有不合理条款、招标程序符合规定，需要采用其他采购人式采购的，采购人依法报财政部门批准。 </w:t>
      </w:r>
    </w:p>
    <w:p w14:paraId="75E10482">
      <w:pPr>
        <w:pStyle w:val="95"/>
        <w:spacing w:line="460" w:lineRule="exact"/>
        <w:ind w:left="0" w:leftChars="0" w:firstLine="0" w:firstLineChars="0"/>
        <w:rPr>
          <w:rFonts w:asciiTheme="minorEastAsia" w:hAnsiTheme="minorEastAsia"/>
          <w:b/>
          <w:color w:val="auto"/>
          <w:sz w:val="24"/>
          <w:szCs w:val="24"/>
          <w:highlight w:val="none"/>
        </w:rPr>
      </w:pPr>
      <w:bookmarkStart w:id="65" w:name="_Toc430790235"/>
      <w:bookmarkStart w:id="66" w:name="_Toc425151754"/>
      <w:bookmarkStart w:id="67" w:name="_Toc425780298"/>
      <w:bookmarkStart w:id="68" w:name="_Toc429407714"/>
      <w:r>
        <w:rPr>
          <w:rFonts w:hint="eastAsia" w:asciiTheme="minorEastAsia" w:hAnsiTheme="minorEastAsia"/>
          <w:b/>
          <w:color w:val="auto"/>
          <w:sz w:val="24"/>
          <w:szCs w:val="24"/>
          <w:highlight w:val="none"/>
        </w:rPr>
        <w:t>20、</w:t>
      </w:r>
      <w:bookmarkEnd w:id="65"/>
      <w:bookmarkEnd w:id="66"/>
      <w:bookmarkEnd w:id="67"/>
      <w:bookmarkEnd w:id="68"/>
      <w:r>
        <w:rPr>
          <w:rFonts w:hint="eastAsia" w:asciiTheme="minorEastAsia" w:hAnsiTheme="minorEastAsia"/>
          <w:b/>
          <w:color w:val="auto"/>
          <w:sz w:val="24"/>
          <w:szCs w:val="24"/>
          <w:highlight w:val="none"/>
        </w:rPr>
        <w:t>评标过程的监控与保密</w:t>
      </w:r>
    </w:p>
    <w:p w14:paraId="74563D72">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20.1本项目评标过程实行全程录音、录像监控，投标人在评标过程中所进行的试图影响评标结果的不公正活动，可能导致其投标被拒绝。</w:t>
      </w:r>
    </w:p>
    <w:p w14:paraId="4656C6C7">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20.2开标后到中标通知书发出之前，所有涉及评标委员会名单以及对投标文件的澄清、评价、比较等情况，评标委员会成员、采购人和采购代理机构的有关人员均不得向投标人或其他无关人员透露。</w:t>
      </w:r>
    </w:p>
    <w:p w14:paraId="10628C1E">
      <w:pPr>
        <w:pStyle w:val="95"/>
        <w:spacing w:line="460" w:lineRule="exact"/>
        <w:ind w:left="0" w:leftChars="0" w:firstLine="0" w:firstLineChars="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21、确定中标人、评标结果公示与质疑</w:t>
      </w:r>
    </w:p>
    <w:p w14:paraId="75351B0F">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21.1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2620A19E">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21.2代理机构自中标人确定之日起2个工作日内，在发布采购公告的网站上对中标结果进行公示，中标结果公告期限为1个工作日。如果中标人自动放弃中标资格或因质疑或是投诉被取消中标资格的，可视情况报经财政部门同意后，按本次评标供应商得分排序结果依次替补或重新组织。</w:t>
      </w:r>
    </w:p>
    <w:p w14:paraId="76D52FBE">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21.3投标人若对评标结果有异议，可在中标公告期限届满之日起七个工作日内向采购人提出书面质疑，质疑书应该有质疑人名称、地址、公章、法定代表人签名</w:t>
      </w:r>
      <w:r>
        <w:rPr>
          <w:rFonts w:hint="eastAsia" w:asciiTheme="minorEastAsia" w:hAnsiTheme="minorEastAsia"/>
          <w:color w:val="auto"/>
          <w:sz w:val="24"/>
          <w:szCs w:val="24"/>
          <w:highlight w:val="none"/>
          <w:lang w:eastAsia="zh-CN"/>
        </w:rPr>
        <w:t>（或签章）</w:t>
      </w:r>
      <w:r>
        <w:rPr>
          <w:rFonts w:hint="eastAsia" w:asciiTheme="minorEastAsia" w:hAnsiTheme="minorEastAsia"/>
          <w:color w:val="auto"/>
          <w:sz w:val="24"/>
          <w:szCs w:val="24"/>
          <w:highlight w:val="none"/>
        </w:rPr>
        <w:t>、联系人姓名、联系电话、传真以及被质疑人名称及联系方式，被质疑采购项目名称、编号及采购内容，具体的质疑事项及事实依据，认为自己合法权益受到损害或可能受到损害的相关证据材料，提出质疑的日期，否则视为无效质疑。本采购代理机构将受采购人委托在收到质疑文件之日起7个工作日内书面答复。不受理无效的任何质疑。</w:t>
      </w:r>
    </w:p>
    <w:p w14:paraId="69362DEE">
      <w:pPr>
        <w:pStyle w:val="95"/>
        <w:spacing w:line="460" w:lineRule="exact"/>
        <w:ind w:firstLine="482"/>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六、无效投标认定</w:t>
      </w:r>
    </w:p>
    <w:p w14:paraId="088385A7">
      <w:pPr>
        <w:pStyle w:val="95"/>
        <w:spacing w:line="460" w:lineRule="exact"/>
        <w:ind w:left="0" w:leftChars="0" w:firstLine="0" w:firstLineChars="0"/>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22、实质上没有响应采购文件要求的投标将被视为无效投标。</w:t>
      </w:r>
    </w:p>
    <w:p w14:paraId="03AE8E89">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22.1在资格审查时，不具备采购文件中规定的资格要求的，或者资格证明文件不全的，投标文件将被视为无效。</w:t>
      </w:r>
    </w:p>
    <w:p w14:paraId="1837191E">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22.2</w:t>
      </w:r>
      <w:r>
        <w:rPr>
          <w:rFonts w:asciiTheme="minorEastAsia" w:hAnsiTheme="minorEastAsia"/>
          <w:color w:val="auto"/>
          <w:sz w:val="24"/>
          <w:szCs w:val="24"/>
          <w:highlight w:val="none"/>
        </w:rPr>
        <w:t>在符合性审查时，如发现下列情形之一的，投标文件将被视为无效：</w:t>
      </w:r>
    </w:p>
    <w:p w14:paraId="1D952673">
      <w:pPr>
        <w:pStyle w:val="95"/>
        <w:spacing w:line="460" w:lineRule="exact"/>
        <w:ind w:left="0" w:leftChars="0" w:firstLine="360" w:firstLineChars="15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（1）投标文件未按采购文件要求签署、签章的；</w:t>
      </w:r>
    </w:p>
    <w:p w14:paraId="217AB5A3">
      <w:pPr>
        <w:pStyle w:val="95"/>
        <w:spacing w:line="460" w:lineRule="exact"/>
        <w:ind w:left="0" w:leftChars="0" w:firstLine="360" w:firstLineChars="15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（2）投标有效期不满足采购文件要求的；</w:t>
      </w:r>
    </w:p>
    <w:p w14:paraId="0FB82C87">
      <w:pPr>
        <w:pStyle w:val="95"/>
        <w:spacing w:line="460" w:lineRule="exact"/>
        <w:ind w:left="0" w:leftChars="0" w:firstLine="360" w:firstLineChars="15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（3）明显不符合采购文件要求的，或者与采购文件中标注“▲”的条款发生实质性偏离的；</w:t>
      </w:r>
    </w:p>
    <w:p w14:paraId="3DC82322">
      <w:pPr>
        <w:pStyle w:val="95"/>
        <w:spacing w:line="460" w:lineRule="exact"/>
        <w:ind w:left="0" w:leftChars="0" w:firstLine="360" w:firstLineChars="15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（4）投标文件中含有采购人不能接受的附加条件的；</w:t>
      </w:r>
    </w:p>
    <w:p w14:paraId="6993BBDC">
      <w:pPr>
        <w:pStyle w:val="95"/>
        <w:spacing w:line="460" w:lineRule="exact"/>
        <w:ind w:left="0" w:leftChars="0" w:firstLine="360" w:firstLineChars="15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（5）投标声明书无法定代表人签名，或委托人未提供法定代表人授权委托书、填写项目不齐全的；</w:t>
      </w:r>
    </w:p>
    <w:p w14:paraId="2E35AADA">
      <w:pPr>
        <w:pStyle w:val="95"/>
        <w:spacing w:line="460" w:lineRule="exact"/>
        <w:ind w:left="0" w:leftChars="0" w:firstLine="360" w:firstLineChars="15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（6）投标文件格式不规范、提供资料不齐全或者内容虚假的；</w:t>
      </w:r>
    </w:p>
    <w:p w14:paraId="7DC59F4A">
      <w:pPr>
        <w:pStyle w:val="95"/>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（7）投标文件的实质性内容未使用中文表述、表述不明确、前后矛盾或者使用计量单位不符合采购文要求的（经评标委员会认定并允许其更正的笔误除外）；</w:t>
      </w:r>
    </w:p>
    <w:p w14:paraId="24B6CC80">
      <w:pPr>
        <w:pStyle w:val="95"/>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（8）投标文件的关键内容字迹模糊、无法辨认的，或者投标文件中经修正的内容字迹模糊难以辨认或者修改处未按规定签署、盖章</w:t>
      </w:r>
      <w:r>
        <w:rPr>
          <w:rFonts w:hint="eastAsia" w:asciiTheme="minorEastAsia" w:hAnsiTheme="minorEastAsia"/>
          <w:color w:val="auto"/>
          <w:sz w:val="24"/>
          <w:szCs w:val="24"/>
          <w:highlight w:val="none"/>
          <w:lang w:eastAsia="zh-CN"/>
        </w:rPr>
        <w:t>（签章）</w:t>
      </w:r>
      <w:r>
        <w:rPr>
          <w:rFonts w:hint="eastAsia" w:asciiTheme="minorEastAsia" w:hAnsiTheme="minorEastAsia"/>
          <w:color w:val="auto"/>
          <w:sz w:val="24"/>
          <w:szCs w:val="24"/>
          <w:highlight w:val="none"/>
        </w:rPr>
        <w:t xml:space="preserve">的； </w:t>
      </w:r>
    </w:p>
    <w:p w14:paraId="6C6921A6">
      <w:pPr>
        <w:pStyle w:val="95"/>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w:t>
      </w:r>
      <w:r>
        <w:rPr>
          <w:rFonts w:hint="eastAsia" w:asciiTheme="minorEastAsia" w:hAnsiTheme="minorEastAsia"/>
          <w:color w:val="auto"/>
          <w:sz w:val="24"/>
          <w:szCs w:val="24"/>
          <w:highlight w:val="none"/>
          <w:lang w:val="en-US" w:eastAsia="zh-CN"/>
        </w:rPr>
        <w:t>9</w:t>
      </w:r>
      <w:r>
        <w:rPr>
          <w:rFonts w:hint="eastAsia" w:asciiTheme="minorEastAsia" w:hAnsiTheme="minorEastAsia"/>
          <w:color w:val="auto"/>
          <w:sz w:val="24"/>
          <w:szCs w:val="24"/>
          <w:highlight w:val="none"/>
        </w:rPr>
        <w:t>）法律、法规和采购文件规定的其他无效情形。</w:t>
      </w:r>
    </w:p>
    <w:p w14:paraId="6E0C4E12">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22.3在技术商务评审时，如发现下列情形之一的，</w:t>
      </w:r>
      <w:r>
        <w:rPr>
          <w:rFonts w:asciiTheme="minorEastAsia" w:hAnsiTheme="minorEastAsia"/>
          <w:color w:val="auto"/>
          <w:sz w:val="24"/>
          <w:szCs w:val="24"/>
          <w:highlight w:val="none"/>
        </w:rPr>
        <w:t>投标文件将被视为无效：</w:t>
      </w:r>
    </w:p>
    <w:p w14:paraId="47467080">
      <w:pPr>
        <w:pStyle w:val="95"/>
        <w:spacing w:line="460" w:lineRule="exact"/>
        <w:ind w:left="0" w:leftChars="0" w:firstLine="360" w:firstLineChars="150"/>
        <w:rPr>
          <w:rFonts w:cs="宋体" w:asciiTheme="minorEastAsia" w:hAnsiTheme="minorEastAsia"/>
          <w:color w:val="auto"/>
          <w:sz w:val="24"/>
          <w:szCs w:val="24"/>
          <w:highlight w:val="none"/>
        </w:rPr>
      </w:pPr>
      <w:r>
        <w:rPr>
          <w:rFonts w:cs="宋体" w:asciiTheme="minorEastAsia" w:hAnsiTheme="minorEastAsia"/>
          <w:color w:val="auto"/>
          <w:sz w:val="24"/>
          <w:szCs w:val="24"/>
          <w:highlight w:val="none"/>
        </w:rPr>
        <w:t>（1）</w:t>
      </w:r>
      <w:r>
        <w:rPr>
          <w:rFonts w:hint="eastAsia" w:cs="宋体" w:asciiTheme="minorEastAsia" w:hAnsiTheme="minorEastAsia"/>
          <w:color w:val="auto"/>
          <w:sz w:val="24"/>
          <w:szCs w:val="24"/>
          <w:highlight w:val="none"/>
        </w:rPr>
        <w:t>未提供或未如实提供投标货物的技术参数，或者投标文件标明的响应或偏离与事实不符或虚假投标的</w:t>
      </w:r>
      <w:r>
        <w:rPr>
          <w:rFonts w:cs="宋体" w:asciiTheme="minorEastAsia" w:hAnsiTheme="minorEastAsia"/>
          <w:color w:val="auto"/>
          <w:sz w:val="24"/>
          <w:szCs w:val="24"/>
          <w:highlight w:val="none"/>
        </w:rPr>
        <w:t>；</w:t>
      </w:r>
    </w:p>
    <w:p w14:paraId="11DAFAAC">
      <w:pPr>
        <w:pStyle w:val="95"/>
        <w:spacing w:line="460" w:lineRule="exact"/>
        <w:ind w:left="0" w:leftChars="0" w:firstLine="360" w:firstLineChars="150"/>
        <w:rPr>
          <w:rFonts w:cs="宋体" w:asciiTheme="minorEastAsia" w:hAnsiTheme="minorEastAsia"/>
          <w:color w:val="auto"/>
          <w:sz w:val="24"/>
          <w:szCs w:val="24"/>
          <w:highlight w:val="none"/>
        </w:rPr>
      </w:pPr>
      <w:r>
        <w:rPr>
          <w:rFonts w:cs="宋体" w:asciiTheme="minorEastAsia" w:hAnsiTheme="minorEastAsia"/>
          <w:color w:val="auto"/>
          <w:sz w:val="24"/>
          <w:szCs w:val="24"/>
          <w:highlight w:val="none"/>
        </w:rPr>
        <w:t>（</w:t>
      </w:r>
      <w:r>
        <w:rPr>
          <w:rFonts w:hint="eastAsia" w:cs="宋体" w:asciiTheme="minorEastAsia" w:hAnsiTheme="minorEastAsia"/>
          <w:color w:val="auto"/>
          <w:sz w:val="24"/>
          <w:szCs w:val="24"/>
          <w:highlight w:val="none"/>
        </w:rPr>
        <w:t>2</w:t>
      </w:r>
      <w:r>
        <w:rPr>
          <w:rFonts w:cs="宋体" w:asciiTheme="minorEastAsia" w:hAnsiTheme="minorEastAsia"/>
          <w:color w:val="auto"/>
          <w:sz w:val="24"/>
          <w:szCs w:val="24"/>
          <w:highlight w:val="none"/>
        </w:rPr>
        <w:t>）</w:t>
      </w:r>
      <w:r>
        <w:rPr>
          <w:rFonts w:hint="eastAsia" w:cs="宋体" w:asciiTheme="minorEastAsia" w:hAnsiTheme="minorEastAsia"/>
          <w:color w:val="auto"/>
          <w:sz w:val="24"/>
          <w:szCs w:val="24"/>
          <w:highlight w:val="none"/>
        </w:rPr>
        <w:t>明显不符合采购文件要求的规格型号、质量标准</w:t>
      </w:r>
      <w:r>
        <w:rPr>
          <w:rFonts w:cs="宋体" w:asciiTheme="minorEastAsia" w:hAnsiTheme="minorEastAsia"/>
          <w:color w:val="auto"/>
          <w:sz w:val="24"/>
          <w:szCs w:val="24"/>
          <w:highlight w:val="none"/>
        </w:rPr>
        <w:t>；</w:t>
      </w:r>
    </w:p>
    <w:p w14:paraId="1B29AF8B">
      <w:pPr>
        <w:pStyle w:val="95"/>
        <w:spacing w:line="460" w:lineRule="exact"/>
        <w:ind w:left="0" w:leftChars="0" w:firstLine="360" w:firstLineChars="15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（3）投标技术方案不明确，存在一个或一个以上备选（替代）投标方案的。</w:t>
      </w:r>
    </w:p>
    <w:p w14:paraId="42BD605A">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22.4</w:t>
      </w:r>
      <w:r>
        <w:rPr>
          <w:rFonts w:asciiTheme="minorEastAsia" w:hAnsiTheme="minorEastAsia"/>
          <w:color w:val="auto"/>
          <w:sz w:val="24"/>
          <w:szCs w:val="24"/>
          <w:highlight w:val="none"/>
        </w:rPr>
        <w:t>在报价评审时，如发现下列情形之一的，投标文件将被视为无效：</w:t>
      </w:r>
    </w:p>
    <w:p w14:paraId="150A1649">
      <w:pPr>
        <w:pStyle w:val="95"/>
        <w:spacing w:line="460" w:lineRule="exact"/>
        <w:ind w:left="0" w:leftChars="0" w:firstLine="360" w:firstLineChars="150"/>
        <w:rPr>
          <w:rFonts w:cs="宋体" w:asciiTheme="minorEastAsia" w:hAnsiTheme="minorEastAsia"/>
          <w:color w:val="auto"/>
          <w:sz w:val="24"/>
          <w:szCs w:val="24"/>
          <w:highlight w:val="none"/>
        </w:rPr>
      </w:pPr>
      <w:r>
        <w:rPr>
          <w:rFonts w:cs="宋体" w:asciiTheme="minorEastAsia" w:hAnsiTheme="minorEastAsia"/>
          <w:color w:val="auto"/>
          <w:sz w:val="24"/>
          <w:szCs w:val="24"/>
          <w:highlight w:val="none"/>
        </w:rPr>
        <w:t>（1）</w:t>
      </w:r>
      <w:r>
        <w:rPr>
          <w:rFonts w:hint="eastAsia" w:cs="宋体" w:asciiTheme="minorEastAsia" w:hAnsiTheme="minorEastAsia"/>
          <w:bCs/>
          <w:color w:val="auto"/>
          <w:sz w:val="24"/>
          <w:szCs w:val="24"/>
          <w:highlight w:val="none"/>
        </w:rPr>
        <w:t>报价超过采购文件中规定的预算金额或者最高限价的</w:t>
      </w:r>
      <w:r>
        <w:rPr>
          <w:rFonts w:cs="宋体" w:asciiTheme="minorEastAsia" w:hAnsiTheme="minorEastAsia"/>
          <w:color w:val="auto"/>
          <w:sz w:val="24"/>
          <w:szCs w:val="24"/>
          <w:highlight w:val="none"/>
        </w:rPr>
        <w:t>；</w:t>
      </w:r>
    </w:p>
    <w:p w14:paraId="6D07112A">
      <w:pPr>
        <w:pStyle w:val="95"/>
        <w:spacing w:line="460" w:lineRule="exact"/>
        <w:ind w:left="0" w:leftChars="0" w:firstLine="360" w:firstLineChars="150"/>
        <w:rPr>
          <w:rFonts w:cs="宋体" w:asciiTheme="minorEastAsia" w:hAnsiTheme="minorEastAsia"/>
          <w:color w:val="auto"/>
          <w:sz w:val="24"/>
          <w:szCs w:val="24"/>
          <w:highlight w:val="none"/>
        </w:rPr>
      </w:pPr>
      <w:r>
        <w:rPr>
          <w:rFonts w:cs="宋体" w:asciiTheme="minorEastAsia" w:hAnsiTheme="minorEastAsia"/>
          <w:color w:val="auto"/>
          <w:sz w:val="24"/>
          <w:szCs w:val="24"/>
          <w:highlight w:val="none"/>
        </w:rPr>
        <w:t>（2）</w:t>
      </w:r>
      <w:r>
        <w:rPr>
          <w:rFonts w:hint="eastAsia" w:cs="宋体" w:asciiTheme="minorEastAsia" w:hAnsiTheme="minorEastAsia"/>
          <w:bCs/>
          <w:color w:val="auto"/>
          <w:sz w:val="24"/>
          <w:szCs w:val="24"/>
          <w:highlight w:val="none"/>
        </w:rPr>
        <w:t>未采用采购文件要求的报价形式报价的</w:t>
      </w:r>
      <w:r>
        <w:rPr>
          <w:rFonts w:hint="eastAsia" w:cs="宋体" w:asciiTheme="minorEastAsia" w:hAnsiTheme="minorEastAsia"/>
          <w:color w:val="auto"/>
          <w:sz w:val="24"/>
          <w:szCs w:val="24"/>
          <w:highlight w:val="none"/>
        </w:rPr>
        <w:t>；</w:t>
      </w:r>
    </w:p>
    <w:p w14:paraId="431045D0">
      <w:pPr>
        <w:pStyle w:val="95"/>
        <w:spacing w:line="460" w:lineRule="exact"/>
        <w:ind w:left="0" w:leftChars="0" w:firstLine="360" w:firstLineChars="15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（3）投标报价具有选择性的；</w:t>
      </w:r>
    </w:p>
    <w:p w14:paraId="4D20202E">
      <w:pPr>
        <w:pStyle w:val="95"/>
        <w:spacing w:line="460" w:lineRule="exact"/>
        <w:ind w:left="0" w:leftChars="0" w:firstLine="360" w:firstLineChars="15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（4）投标人的报价明显低于其他通过符合性审查供应商的报价，评标委员会认为有可能影响产品质量或者不能诚信履约要求其在评标</w:t>
      </w:r>
      <w:r>
        <w:rPr>
          <w:rFonts w:cs="宋体" w:asciiTheme="minorEastAsia" w:hAnsiTheme="minorEastAsia"/>
          <w:color w:val="auto"/>
          <w:sz w:val="24"/>
          <w:szCs w:val="24"/>
          <w:highlight w:val="none"/>
        </w:rPr>
        <w:t>现场</w:t>
      </w:r>
      <w:r>
        <w:rPr>
          <w:rFonts w:hint="eastAsia" w:cs="宋体" w:asciiTheme="minorEastAsia" w:hAnsiTheme="minorEastAsia"/>
          <w:color w:val="auto"/>
          <w:sz w:val="24"/>
          <w:szCs w:val="24"/>
          <w:highlight w:val="none"/>
        </w:rPr>
        <w:t>合理的时间内提供书面说明，必要时提交相关证明材料，投标人不能证明其报价合理性的；</w:t>
      </w:r>
    </w:p>
    <w:p w14:paraId="6A9EB4D0">
      <w:pPr>
        <w:pStyle w:val="95"/>
        <w:spacing w:line="460" w:lineRule="exact"/>
        <w:ind w:left="0" w:leftChars="0" w:firstLine="48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（5）</w:t>
      </w:r>
      <w:r>
        <w:rPr>
          <w:rFonts w:hint="eastAsia" w:cs="宋体" w:asciiTheme="minorEastAsia" w:hAnsiTheme="minorEastAsia"/>
          <w:bCs/>
          <w:color w:val="auto"/>
          <w:sz w:val="24"/>
          <w:szCs w:val="24"/>
          <w:highlight w:val="none"/>
        </w:rPr>
        <w:t>采购文件规定的其他无效情形。</w:t>
      </w:r>
    </w:p>
    <w:p w14:paraId="6B0EA7AA">
      <w:pPr>
        <w:pStyle w:val="95"/>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22.5</w:t>
      </w:r>
      <w:r>
        <w:rPr>
          <w:rFonts w:asciiTheme="minorEastAsia" w:hAnsiTheme="minorEastAsia"/>
          <w:color w:val="auto"/>
          <w:sz w:val="24"/>
          <w:szCs w:val="24"/>
          <w:highlight w:val="none"/>
        </w:rPr>
        <w:t>被拒绝的投标文件为无效。</w:t>
      </w:r>
    </w:p>
    <w:p w14:paraId="051A3D15">
      <w:pPr>
        <w:pStyle w:val="95"/>
        <w:spacing w:line="460" w:lineRule="exact"/>
        <w:ind w:firstLine="482"/>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七、合同签订及其他</w:t>
      </w:r>
    </w:p>
    <w:p w14:paraId="1775C950">
      <w:pPr>
        <w:pStyle w:val="95"/>
        <w:spacing w:line="460" w:lineRule="exact"/>
        <w:ind w:left="0" w:leftChars="0" w:firstLine="0" w:firstLineChars="0"/>
        <w:jc w:val="left"/>
        <w:rPr>
          <w:rFonts w:asciiTheme="minorEastAsia" w:hAnsiTheme="minorEastAsia"/>
          <w:b/>
          <w:color w:val="auto"/>
          <w:sz w:val="24"/>
          <w:szCs w:val="24"/>
          <w:highlight w:val="none"/>
        </w:rPr>
      </w:pPr>
      <w:bookmarkStart w:id="69" w:name="_Toc429407721"/>
      <w:bookmarkStart w:id="70" w:name="_Toc425151761"/>
      <w:bookmarkStart w:id="71" w:name="_Toc430790242"/>
      <w:bookmarkStart w:id="72" w:name="_Toc425780305"/>
      <w:r>
        <w:rPr>
          <w:rFonts w:hint="eastAsia" w:asciiTheme="minorEastAsia" w:hAnsiTheme="minorEastAsia"/>
          <w:b/>
          <w:color w:val="auto"/>
          <w:sz w:val="24"/>
          <w:szCs w:val="24"/>
          <w:highlight w:val="none"/>
        </w:rPr>
        <w:t>23、</w:t>
      </w:r>
      <w:r>
        <w:rPr>
          <w:rFonts w:asciiTheme="minorEastAsia" w:hAnsiTheme="minorEastAsia"/>
          <w:b/>
          <w:color w:val="auto"/>
          <w:sz w:val="24"/>
          <w:szCs w:val="24"/>
          <w:highlight w:val="none"/>
        </w:rPr>
        <w:t>签订合同</w:t>
      </w:r>
      <w:bookmarkEnd w:id="69"/>
      <w:bookmarkEnd w:id="70"/>
      <w:bookmarkEnd w:id="71"/>
      <w:bookmarkEnd w:id="72"/>
    </w:p>
    <w:p w14:paraId="1DDE37B6">
      <w:pPr>
        <w:pStyle w:val="95"/>
        <w:spacing w:line="460" w:lineRule="exact"/>
        <w:ind w:left="0" w:leftChars="0" w:firstLine="48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23.1</w:t>
      </w:r>
      <w:r>
        <w:rPr>
          <w:rFonts w:asciiTheme="minorEastAsia" w:hAnsiTheme="minorEastAsia"/>
          <w:color w:val="auto"/>
          <w:sz w:val="24"/>
          <w:szCs w:val="24"/>
          <w:highlight w:val="none"/>
        </w:rPr>
        <w:t>中标</w:t>
      </w:r>
      <w:r>
        <w:rPr>
          <w:rFonts w:hint="eastAsia" w:asciiTheme="minorEastAsia" w:hAnsiTheme="minorEastAsia"/>
          <w:color w:val="auto"/>
          <w:sz w:val="24"/>
          <w:szCs w:val="24"/>
          <w:highlight w:val="none"/>
        </w:rPr>
        <w:t>人</w:t>
      </w:r>
      <w:r>
        <w:rPr>
          <w:rFonts w:asciiTheme="minorEastAsia" w:hAnsiTheme="minorEastAsia"/>
          <w:color w:val="auto"/>
          <w:sz w:val="24"/>
          <w:szCs w:val="24"/>
          <w:highlight w:val="none"/>
        </w:rPr>
        <w:t>在本采购代理机构发出中标通知书的</w:t>
      </w:r>
      <w:r>
        <w:rPr>
          <w:rFonts w:hint="eastAsia" w:asciiTheme="minorEastAsia" w:hAnsiTheme="minorEastAsia"/>
          <w:color w:val="auto"/>
          <w:sz w:val="24"/>
          <w:szCs w:val="24"/>
          <w:highlight w:val="none"/>
        </w:rPr>
        <w:t>30</w:t>
      </w:r>
      <w:r>
        <w:rPr>
          <w:rFonts w:asciiTheme="minorEastAsia" w:hAnsiTheme="minorEastAsia"/>
          <w:color w:val="auto"/>
          <w:sz w:val="24"/>
          <w:szCs w:val="24"/>
          <w:highlight w:val="none"/>
        </w:rPr>
        <w:t>日内，应与采购人按照采购文件和中标</w:t>
      </w:r>
      <w:r>
        <w:rPr>
          <w:rFonts w:hint="eastAsia" w:asciiTheme="minorEastAsia" w:hAnsiTheme="minorEastAsia"/>
          <w:color w:val="auto"/>
          <w:sz w:val="24"/>
          <w:szCs w:val="24"/>
          <w:highlight w:val="none"/>
        </w:rPr>
        <w:t>人</w:t>
      </w:r>
      <w:r>
        <w:rPr>
          <w:rFonts w:asciiTheme="minorEastAsia" w:hAnsiTheme="minorEastAsia"/>
          <w:color w:val="auto"/>
          <w:sz w:val="24"/>
          <w:szCs w:val="24"/>
          <w:highlight w:val="none"/>
        </w:rPr>
        <w:t>的投标文件的约定内容签订书面合同。</w:t>
      </w:r>
      <w:r>
        <w:rPr>
          <w:rFonts w:hint="eastAsia" w:asciiTheme="minorEastAsia" w:hAnsiTheme="minorEastAsia"/>
          <w:color w:val="auto"/>
          <w:sz w:val="24"/>
          <w:szCs w:val="24"/>
          <w:highlight w:val="none"/>
        </w:rPr>
        <w:t>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14:paraId="59877A99">
      <w:pPr>
        <w:pStyle w:val="95"/>
        <w:spacing w:line="460" w:lineRule="exact"/>
        <w:ind w:left="0" w:leftChars="0" w:firstLine="48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23.2</w:t>
      </w:r>
      <w:r>
        <w:rPr>
          <w:rFonts w:asciiTheme="minorEastAsia" w:hAnsiTheme="minorEastAsia"/>
          <w:color w:val="auto"/>
          <w:sz w:val="24"/>
          <w:szCs w:val="24"/>
          <w:highlight w:val="none"/>
        </w:rPr>
        <w:t>采购文件、中标</w:t>
      </w:r>
      <w:r>
        <w:rPr>
          <w:rFonts w:hint="eastAsia" w:asciiTheme="minorEastAsia" w:hAnsiTheme="minorEastAsia"/>
          <w:color w:val="auto"/>
          <w:sz w:val="24"/>
          <w:szCs w:val="24"/>
          <w:highlight w:val="none"/>
        </w:rPr>
        <w:t>人</w:t>
      </w:r>
      <w:r>
        <w:rPr>
          <w:rFonts w:asciiTheme="minorEastAsia" w:hAnsiTheme="minorEastAsia"/>
          <w:color w:val="auto"/>
          <w:sz w:val="24"/>
          <w:szCs w:val="24"/>
          <w:highlight w:val="none"/>
        </w:rPr>
        <w:t>的投标文件及在评标过程中提交的澄清文件均应作为合同附件。</w:t>
      </w:r>
    </w:p>
    <w:p w14:paraId="61925F99">
      <w:pPr>
        <w:pStyle w:val="95"/>
        <w:spacing w:line="460" w:lineRule="exact"/>
        <w:ind w:left="0" w:leftChars="0" w:firstLine="48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23.3采购人应当自政府采购合同签订之日起2个工作日内，在省级以上财政部门指定的政府采购信息发布媒体及相关网站上公告。</w:t>
      </w:r>
    </w:p>
    <w:p w14:paraId="52DE371F">
      <w:pPr>
        <w:pStyle w:val="95"/>
        <w:spacing w:line="460" w:lineRule="exact"/>
        <w:ind w:left="0" w:leftChars="0" w:firstLine="0" w:firstLineChars="0"/>
        <w:jc w:val="left"/>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24、</w:t>
      </w:r>
      <w:r>
        <w:rPr>
          <w:rFonts w:asciiTheme="minorEastAsia" w:hAnsiTheme="minorEastAsia"/>
          <w:b/>
          <w:color w:val="auto"/>
          <w:sz w:val="24"/>
          <w:szCs w:val="24"/>
          <w:highlight w:val="none"/>
        </w:rPr>
        <w:t>履约保证金</w:t>
      </w:r>
      <w:r>
        <w:rPr>
          <w:rFonts w:hint="eastAsia" w:asciiTheme="minorEastAsia" w:hAnsiTheme="minorEastAsia"/>
          <w:b/>
          <w:color w:val="auto"/>
          <w:sz w:val="24"/>
          <w:szCs w:val="24"/>
          <w:highlight w:val="none"/>
        </w:rPr>
        <w:t>（如有）</w:t>
      </w:r>
    </w:p>
    <w:p w14:paraId="38D5652A">
      <w:pPr>
        <w:pStyle w:val="95"/>
        <w:spacing w:line="460" w:lineRule="exact"/>
        <w:ind w:left="0" w:leftChars="0" w:firstLine="48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24.1</w:t>
      </w:r>
      <w:r>
        <w:rPr>
          <w:rFonts w:asciiTheme="minorEastAsia" w:hAnsiTheme="minorEastAsia"/>
          <w:color w:val="auto"/>
          <w:sz w:val="24"/>
          <w:szCs w:val="24"/>
          <w:highlight w:val="none"/>
        </w:rPr>
        <w:t>签订合同</w:t>
      </w:r>
      <w:r>
        <w:rPr>
          <w:rFonts w:hint="eastAsia" w:asciiTheme="minorEastAsia" w:hAnsiTheme="minorEastAsia"/>
          <w:color w:val="auto"/>
          <w:sz w:val="24"/>
          <w:szCs w:val="24"/>
          <w:highlight w:val="none"/>
        </w:rPr>
        <w:t>后</w:t>
      </w:r>
      <w:r>
        <w:rPr>
          <w:rFonts w:asciiTheme="minorEastAsia" w:hAnsiTheme="minorEastAsia"/>
          <w:color w:val="auto"/>
          <w:sz w:val="24"/>
          <w:szCs w:val="24"/>
          <w:highlight w:val="none"/>
        </w:rPr>
        <w:t>，中标人应根据采购文件确定的履约保证金的金额交纳履约保证金。</w:t>
      </w:r>
    </w:p>
    <w:p w14:paraId="0F320C27">
      <w:pPr>
        <w:pStyle w:val="95"/>
        <w:spacing w:line="460" w:lineRule="exact"/>
        <w:ind w:left="0" w:leftChars="0" w:firstLine="48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24.2</w:t>
      </w:r>
      <w:r>
        <w:rPr>
          <w:rFonts w:asciiTheme="minorEastAsia" w:hAnsiTheme="minorEastAsia"/>
          <w:color w:val="auto"/>
          <w:sz w:val="24"/>
          <w:szCs w:val="24"/>
          <w:highlight w:val="none"/>
        </w:rPr>
        <w:t>签订合同后，如中标人不按双方合同约定履约，则没收其全部履约保证金，履约保证金不足以赔偿损失的，按实际损失赔偿。</w:t>
      </w:r>
    </w:p>
    <w:p w14:paraId="31B4AF0E">
      <w:pPr>
        <w:pStyle w:val="95"/>
        <w:spacing w:line="460" w:lineRule="exact"/>
        <w:ind w:left="0" w:leftChars="0" w:firstLine="48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24.3采购人负责对中标人的履约行为进行验收，验收标准为本项目的采购文件以及中标人的投标文件，要求验收必须符合相关政策法规和地方标准。</w:t>
      </w:r>
    </w:p>
    <w:p w14:paraId="0AF61E01">
      <w:pPr>
        <w:pStyle w:val="95"/>
        <w:spacing w:line="460" w:lineRule="exact"/>
        <w:ind w:firstLine="482"/>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八、履约验收</w:t>
      </w:r>
    </w:p>
    <w:p w14:paraId="5A7ECAFE">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25、采购人负责对中标供应商的履约行为进行验收。政府向社会公众提供的公共服务项目，验收时应当邀请服务对象参与并出具意见，验收结果应当向社会公告。</w:t>
      </w:r>
    </w:p>
    <w:p w14:paraId="196BBFCF">
      <w:pPr>
        <w:pStyle w:val="95"/>
        <w:spacing w:line="460" w:lineRule="exact"/>
        <w:ind w:firstLine="482"/>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九、代理服务费</w:t>
      </w:r>
    </w:p>
    <w:p w14:paraId="331D3D70">
      <w:pPr>
        <w:spacing w:line="360" w:lineRule="auto"/>
        <w:contextualSpacing/>
        <w:rPr>
          <w:b/>
          <w:color w:val="auto"/>
          <w:sz w:val="24"/>
          <w:highlight w:val="none"/>
        </w:rPr>
      </w:pPr>
      <w:r>
        <w:rPr>
          <w:rFonts w:hint="eastAsia" w:asciiTheme="minorEastAsia" w:hAnsiTheme="minorEastAsia"/>
          <w:b/>
          <w:color w:val="auto"/>
          <w:sz w:val="24"/>
          <w:highlight w:val="none"/>
        </w:rPr>
        <w:t>26、</w:t>
      </w:r>
      <w:r>
        <w:rPr>
          <w:rFonts w:hint="eastAsia"/>
          <w:b/>
          <w:color w:val="auto"/>
          <w:sz w:val="24"/>
          <w:highlight w:val="none"/>
        </w:rPr>
        <w:t>代理服务费</w:t>
      </w:r>
    </w:p>
    <w:p w14:paraId="615C9442">
      <w:pPr>
        <w:spacing w:line="360" w:lineRule="auto"/>
        <w:ind w:firstLine="480" w:firstLineChars="200"/>
        <w:contextualSpacing/>
        <w:jc w:val="left"/>
        <w:rPr>
          <w:color w:val="auto"/>
          <w:sz w:val="24"/>
          <w:highlight w:val="none"/>
        </w:rPr>
      </w:pPr>
      <w:r>
        <w:rPr>
          <w:rFonts w:hint="eastAsia"/>
          <w:color w:val="auto"/>
          <w:sz w:val="24"/>
          <w:highlight w:val="none"/>
        </w:rPr>
        <w:t>中标人</w:t>
      </w:r>
      <w:r>
        <w:rPr>
          <w:color w:val="auto"/>
          <w:sz w:val="24"/>
          <w:highlight w:val="none"/>
        </w:rPr>
        <w:t>应向本采购代理机构支付</w:t>
      </w:r>
      <w:r>
        <w:rPr>
          <w:rFonts w:hint="eastAsia"/>
          <w:color w:val="auto"/>
          <w:sz w:val="24"/>
          <w:highlight w:val="none"/>
        </w:rPr>
        <w:t>代理服务费</w:t>
      </w:r>
      <w:r>
        <w:rPr>
          <w:color w:val="auto"/>
          <w:sz w:val="24"/>
          <w:highlight w:val="none"/>
        </w:rPr>
        <w:t>。</w:t>
      </w:r>
      <w:r>
        <w:rPr>
          <w:rFonts w:hint="eastAsia"/>
          <w:color w:val="auto"/>
          <w:sz w:val="24"/>
          <w:highlight w:val="none"/>
        </w:rPr>
        <w:t>代理服务费</w:t>
      </w:r>
      <w:r>
        <w:rPr>
          <w:color w:val="auto"/>
          <w:sz w:val="24"/>
          <w:highlight w:val="none"/>
        </w:rPr>
        <w:t>的收费依据及相关规定载明在采购文件《投标资料表》中。</w:t>
      </w:r>
    </w:p>
    <w:p w14:paraId="0D1C691E">
      <w:pPr>
        <w:pStyle w:val="95"/>
        <w:spacing w:line="460" w:lineRule="exact"/>
        <w:ind w:firstLine="482"/>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十、政府采购活动中有关中小企业的相关规定</w:t>
      </w:r>
    </w:p>
    <w:p w14:paraId="2526C4E1">
      <w:pPr>
        <w:pStyle w:val="95"/>
        <w:spacing w:line="460" w:lineRule="exact"/>
        <w:ind w:firstLine="482"/>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（采购进口产品的项目不适用）</w:t>
      </w:r>
    </w:p>
    <w:p w14:paraId="43E62106">
      <w:pPr>
        <w:pStyle w:val="95"/>
        <w:numPr>
          <w:ilvl w:val="0"/>
          <w:numId w:val="7"/>
        </w:numPr>
        <w:spacing w:line="460" w:lineRule="exact"/>
        <w:ind w:left="0" w:leftChars="0" w:firstLine="0" w:firstLineChars="0"/>
        <w:rPr>
          <w:rFonts w:hint="eastAsia"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本项目</w:t>
      </w:r>
      <w:r>
        <w:rPr>
          <w:rFonts w:hint="eastAsia" w:eastAsia="宋体" w:cs="宋体"/>
          <w:b/>
          <w:bCs w:val="0"/>
          <w:color w:val="auto"/>
          <w:sz w:val="24"/>
          <w:szCs w:val="24"/>
          <w:highlight w:val="none"/>
          <w:u w:val="single"/>
          <w:lang w:eastAsia="zh-CN"/>
        </w:rPr>
        <w:t>非</w:t>
      </w:r>
      <w:r>
        <w:rPr>
          <w:rFonts w:hint="eastAsia" w:ascii="宋体" w:hAnsi="宋体" w:eastAsia="宋体" w:cs="宋体"/>
          <w:b/>
          <w:bCs w:val="0"/>
          <w:color w:val="auto"/>
          <w:sz w:val="24"/>
          <w:szCs w:val="24"/>
          <w:highlight w:val="none"/>
        </w:rPr>
        <w:t>专门面向中小企业采购</w:t>
      </w:r>
      <w:r>
        <w:rPr>
          <w:rFonts w:hint="eastAsia" w:eastAsia="宋体" w:cs="宋体"/>
          <w:b/>
          <w:bCs w:val="0"/>
          <w:color w:val="auto"/>
          <w:sz w:val="24"/>
          <w:szCs w:val="24"/>
          <w:highlight w:val="none"/>
          <w:lang w:eastAsia="zh-CN"/>
        </w:rPr>
        <w:t>。</w:t>
      </w:r>
    </w:p>
    <w:p w14:paraId="3C47BE4B">
      <w:pPr>
        <w:pStyle w:val="95"/>
        <w:numPr>
          <w:ilvl w:val="0"/>
          <w:numId w:val="0"/>
        </w:numPr>
        <w:spacing w:line="460" w:lineRule="exact"/>
        <w:ind w:leftChars="0"/>
        <w:rPr>
          <w:rFonts w:asciiTheme="minorEastAsia" w:hAnsiTheme="minorEastAsia"/>
          <w:b/>
          <w:color w:val="auto"/>
          <w:sz w:val="24"/>
          <w:szCs w:val="24"/>
          <w:highlight w:val="none"/>
          <w:u w:val="single"/>
        </w:rPr>
      </w:pPr>
      <w:r>
        <w:rPr>
          <w:rFonts w:hint="eastAsia" w:asciiTheme="minorEastAsia" w:hAnsiTheme="minorEastAsia"/>
          <w:b/>
          <w:color w:val="auto"/>
          <w:sz w:val="24"/>
          <w:szCs w:val="24"/>
          <w:highlight w:val="none"/>
        </w:rPr>
        <w:t>28、本项目对应的中小企业划型标准所属行业：</w:t>
      </w:r>
      <w:r>
        <w:rPr>
          <w:rFonts w:hint="eastAsia" w:asciiTheme="minorEastAsia" w:hAnsiTheme="minorEastAsia"/>
          <w:b/>
          <w:color w:val="auto"/>
          <w:sz w:val="24"/>
          <w:szCs w:val="24"/>
          <w:highlight w:val="none"/>
          <w:lang w:eastAsia="zh-CN"/>
        </w:rPr>
        <w:t>详见</w:t>
      </w:r>
      <w:r>
        <w:rPr>
          <w:rFonts w:hint="eastAsia" w:asciiTheme="minorEastAsia" w:hAnsiTheme="minorEastAsia"/>
          <w:b/>
          <w:color w:val="auto"/>
          <w:sz w:val="24"/>
          <w:szCs w:val="24"/>
          <w:highlight w:val="none"/>
          <w:u w:val="single"/>
        </w:rPr>
        <w:t>第二部分  投标资料表</w:t>
      </w:r>
      <w:r>
        <w:rPr>
          <w:rFonts w:hint="eastAsia" w:asciiTheme="minorEastAsia" w:hAnsiTheme="minorEastAsia"/>
          <w:b/>
          <w:color w:val="auto"/>
          <w:sz w:val="24"/>
          <w:szCs w:val="24"/>
          <w:highlight w:val="none"/>
          <w:u w:val="none"/>
        </w:rPr>
        <w:t>。</w:t>
      </w:r>
    </w:p>
    <w:p w14:paraId="7C530B0E">
      <w:pPr>
        <w:pStyle w:val="95"/>
        <w:spacing w:line="460" w:lineRule="exact"/>
        <w:ind w:left="0" w:leftChars="0"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29、中小企业，是指在中华人民共和国境内依法设立，依据国务院批准的中小企业划分标准确定的中型企业、小型企业和微型企业，但与大企业的负责人为同一人，或者与大企业存在直接控股、管理关系的除外。</w:t>
      </w:r>
    </w:p>
    <w:p w14:paraId="14CD26B2">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符合中小企业划分标准的个体工商户，在政府采购活动中视同中小企业。</w:t>
      </w:r>
    </w:p>
    <w:p w14:paraId="49FA603E">
      <w:pPr>
        <w:pStyle w:val="95"/>
        <w:spacing w:line="460" w:lineRule="exact"/>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国务院批准的中小企业划分标准：具体见工信部联企业[2011]300号。</w:t>
      </w:r>
    </w:p>
    <w:p w14:paraId="79AA4EF2">
      <w:pPr>
        <w:pStyle w:val="95"/>
        <w:spacing w:line="460" w:lineRule="exact"/>
        <w:ind w:left="0" w:leftChars="0"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30、在政府采购活动中，供应商提供的货物、工程或者服务符合下列情形的，可享受小型、微型企业（以下简称小微企业）的价格扣除：</w:t>
      </w:r>
    </w:p>
    <w:p w14:paraId="147AC98D">
      <w:pPr>
        <w:pStyle w:val="95"/>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（1）在货物采购项目中，货物由小微企业制造，即货物由小微企业生产且使用该小微企业商号或者注册商标；</w:t>
      </w:r>
    </w:p>
    <w:p w14:paraId="41CD65EE">
      <w:pPr>
        <w:pStyle w:val="95"/>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（2）在工程采购项目中，工程由小微企业承建，即工程施工单位为小微企业；</w:t>
      </w:r>
    </w:p>
    <w:p w14:paraId="55FF222B">
      <w:pPr>
        <w:pStyle w:val="95"/>
        <w:spacing w:line="460" w:lineRule="exact"/>
        <w:ind w:left="0" w:leftChars="0" w:firstLine="360" w:firstLineChars="15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（3）在服务采购项目中，服务由小微企业承接，即提供服务的人员为小微企业依照《中华人民共和国劳动合同法》订立劳动合同的从业人员。</w:t>
      </w:r>
    </w:p>
    <w:p w14:paraId="31248999">
      <w:pPr>
        <w:pStyle w:val="95"/>
        <w:spacing w:line="460" w:lineRule="exact"/>
        <w:ind w:left="0" w:leftChars="0"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31、在货物采购项目中，供应商提供的货物既有中小企业制造货物，也有大型企业制造货物的，不享受的小微企业价格扣除。</w:t>
      </w:r>
    </w:p>
    <w:p w14:paraId="4A566631">
      <w:pPr>
        <w:pStyle w:val="95"/>
        <w:spacing w:line="460" w:lineRule="exact"/>
        <w:ind w:left="0" w:leftChars="0"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32、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28C80A13">
      <w:pPr>
        <w:pStyle w:val="95"/>
        <w:spacing w:line="460" w:lineRule="exact"/>
        <w:ind w:left="0" w:leftChars="0"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33、根据《关于促进残疾人就业政府采购政策的通知》（财库[2017]141号）规定，在政府采购活动中，残疾人福利性单位视同小型、微型企业。残疾人福利性单位参加政府采购活动时，提供《残疾人福利性单位声明函》。</w:t>
      </w:r>
    </w:p>
    <w:p w14:paraId="37C9F973">
      <w:pPr>
        <w:pStyle w:val="95"/>
        <w:spacing w:line="460" w:lineRule="exact"/>
        <w:ind w:left="0" w:leftChars="0"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34、按规定享受扶持政策获得政府采购合同的，小微企业不得将合同分包给大中型企业，中型企业不得将合同分包给大型企业。</w:t>
      </w:r>
    </w:p>
    <w:p w14:paraId="78FE5A81">
      <w:pPr>
        <w:pStyle w:val="95"/>
        <w:spacing w:line="460" w:lineRule="exact"/>
        <w:ind w:left="0" w:leftChars="0"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35、供应商按照《政府采购促进中小企业发展管理办法》（财库﹝2020﹞46号）规定提供声明函内容不实的，属于提供虚假材料谋取中标、成交，依照《中华人民共和国政府采购法》等国家有关规定追究相应责任。 </w:t>
      </w:r>
    </w:p>
    <w:p w14:paraId="3ACA035D">
      <w:pPr>
        <w:pageBreakBefore/>
        <w:spacing w:line="360" w:lineRule="auto"/>
        <w:jc w:val="center"/>
        <w:outlineLvl w:val="0"/>
        <w:rPr>
          <w:rFonts w:asciiTheme="minorEastAsia" w:hAnsiTheme="minorEastAsia" w:eastAsiaTheme="minorEastAsia"/>
          <w:b/>
          <w:color w:val="auto"/>
          <w:sz w:val="36"/>
          <w:szCs w:val="36"/>
          <w:highlight w:val="none"/>
        </w:rPr>
      </w:pPr>
      <w:bookmarkStart w:id="73" w:name="_Toc19405"/>
      <w:bookmarkStart w:id="74" w:name="_Toc10854"/>
      <w:bookmarkStart w:id="75" w:name="_Toc15940"/>
      <w:bookmarkStart w:id="76" w:name="_Toc4213"/>
      <w:bookmarkStart w:id="77" w:name="_Toc9564"/>
      <w:bookmarkStart w:id="78" w:name="_Toc4644"/>
      <w:bookmarkStart w:id="79" w:name="_Toc3915"/>
      <w:bookmarkStart w:id="80" w:name="_Toc29648"/>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HYPERLINK "file:///F:\\微信\\WeChat%20Files\\a29023143\\FileStorage\\File\\2021-11\\台州市公安局特警支队最小作战单元装备建设采购项目10.28.docx" \l "●评分标准"</w:instrText>
      </w:r>
      <w:r>
        <w:rPr>
          <w:rFonts w:asciiTheme="minorEastAsia" w:hAnsiTheme="minorEastAsia" w:eastAsiaTheme="minorEastAsia"/>
          <w:color w:val="auto"/>
          <w:highlight w:val="none"/>
        </w:rPr>
        <w:fldChar w:fldCharType="separate"/>
      </w:r>
      <w:r>
        <w:rPr>
          <w:rStyle w:val="56"/>
          <w:rFonts w:hint="eastAsia" w:asciiTheme="minorEastAsia" w:hAnsiTheme="minorEastAsia" w:eastAsiaTheme="minorEastAsia"/>
          <w:b/>
          <w:color w:val="auto"/>
          <w:sz w:val="32"/>
          <w:szCs w:val="32"/>
          <w:highlight w:val="none"/>
          <w:u w:val="none"/>
        </w:rPr>
        <w:t>第四部分 评标办法及评分标准</w:t>
      </w:r>
      <w:bookmarkEnd w:id="73"/>
      <w:r>
        <w:rPr>
          <w:rFonts w:asciiTheme="minorEastAsia" w:hAnsiTheme="minorEastAsia" w:eastAsiaTheme="minorEastAsia"/>
          <w:color w:val="auto"/>
          <w:highlight w:val="none"/>
        </w:rPr>
        <w:fldChar w:fldCharType="end"/>
      </w:r>
      <w:bookmarkEnd w:id="74"/>
      <w:bookmarkEnd w:id="75"/>
      <w:bookmarkEnd w:id="76"/>
      <w:bookmarkEnd w:id="77"/>
      <w:bookmarkEnd w:id="78"/>
      <w:bookmarkEnd w:id="79"/>
      <w:bookmarkEnd w:id="80"/>
    </w:p>
    <w:p w14:paraId="29BED456">
      <w:pPr>
        <w:pStyle w:val="95"/>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一、采购组织机构将组织评标委员会，对投标人提供的投标文件进行综合评审。</w:t>
      </w:r>
    </w:p>
    <w:p w14:paraId="15AF959A">
      <w:pPr>
        <w:pStyle w:val="95"/>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二、本次招标项目的评标方法为综合评分法，总计100分，其中资格及商务技术文件分值70分，投标报价分值30分。评标标准按评分细化条款及分值进行评审。</w:t>
      </w:r>
    </w:p>
    <w:p w14:paraId="241BBD1A">
      <w:pPr>
        <w:pStyle w:val="95"/>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（一）</w:t>
      </w:r>
      <w:r>
        <w:rPr>
          <w:rFonts w:hint="eastAsia" w:asciiTheme="minorEastAsia" w:hAnsiTheme="minorEastAsia"/>
          <w:color w:val="auto"/>
          <w:sz w:val="24"/>
          <w:szCs w:val="24"/>
          <w:highlight w:val="none"/>
          <w:lang w:eastAsia="zh-CN"/>
        </w:rPr>
        <w:t>商务技术文件中的评分项</w:t>
      </w:r>
      <w:r>
        <w:rPr>
          <w:rFonts w:hint="eastAsia" w:asciiTheme="minorEastAsia" w:hAnsiTheme="minorEastAsia"/>
          <w:color w:val="auto"/>
          <w:sz w:val="24"/>
          <w:szCs w:val="24"/>
          <w:highlight w:val="none"/>
        </w:rPr>
        <w:t>由评标委员会</w:t>
      </w:r>
      <w:r>
        <w:rPr>
          <w:rFonts w:hint="eastAsia" w:asciiTheme="minorEastAsia" w:hAnsiTheme="minorEastAsia"/>
          <w:color w:val="auto"/>
          <w:sz w:val="24"/>
          <w:szCs w:val="24"/>
          <w:highlight w:val="none"/>
          <w:lang w:eastAsia="zh-CN"/>
        </w:rPr>
        <w:t>在规定的分值内独立评定打分</w:t>
      </w:r>
      <w:r>
        <w:rPr>
          <w:rFonts w:hint="eastAsia" w:asciiTheme="minorEastAsia" w:hAnsiTheme="minorEastAsia"/>
          <w:color w:val="auto"/>
          <w:sz w:val="24"/>
          <w:szCs w:val="24"/>
          <w:highlight w:val="none"/>
        </w:rPr>
        <w:t>（小数点后保留1位）。</w:t>
      </w:r>
    </w:p>
    <w:p w14:paraId="17853DCB">
      <w:pPr>
        <w:pStyle w:val="95"/>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（二）各投标人商务技术文件得分按照评标委员会成员的独立评分结果汇总后的算术平均分计算（小数点后保留2位），计算公式为：</w:t>
      </w:r>
    </w:p>
    <w:p w14:paraId="417AB212">
      <w:pPr>
        <w:pStyle w:val="95"/>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商务技术文件得分=评标委员会所有成员评分合计数/评标委员会组成人员数。</w:t>
      </w:r>
    </w:p>
    <w:p w14:paraId="61B95B8A">
      <w:pPr>
        <w:pStyle w:val="95"/>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（三）投标报价得分采用低价优先法计算（小数点后保留2位），即满足采购文件要求且投标价格最低的投标报价为评标基准价，其报价得满分。其他投标人的投标报价得分按下列公式计算：</w:t>
      </w:r>
    </w:p>
    <w:p w14:paraId="1FAA3319">
      <w:pPr>
        <w:pStyle w:val="95"/>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投标报价得分=(评标基准价／投标报价)×30%×100 。</w:t>
      </w:r>
    </w:p>
    <w:p w14:paraId="5673BE0C">
      <w:pPr>
        <w:pStyle w:val="95"/>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（四）投标人综合得分＝资格及商务技术文件得分＋投标报价得分。</w:t>
      </w:r>
      <w:bookmarkStart w:id="171" w:name="_GoBack"/>
      <w:bookmarkEnd w:id="171"/>
    </w:p>
    <w:p w14:paraId="6DB0515B">
      <w:pPr>
        <w:pStyle w:val="95"/>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（五）政府采购政策及优惠：</w:t>
      </w:r>
    </w:p>
    <w:p w14:paraId="6293928B">
      <w:pPr>
        <w:pStyle w:val="95"/>
        <w:ind w:left="0" w:leftChars="0" w:firstLine="480"/>
        <w:rPr>
          <w:rFonts w:hint="eastAsia" w:asciiTheme="minorEastAsia" w:hAnsiTheme="minorEastAsia" w:eastAsiaTheme="minorEastAsia"/>
          <w:b/>
          <w:bCs/>
          <w:color w:val="auto"/>
          <w:sz w:val="24"/>
          <w:szCs w:val="24"/>
          <w:highlight w:val="none"/>
          <w:lang w:eastAsia="zh-CN"/>
        </w:rPr>
      </w:pPr>
      <w:r>
        <w:rPr>
          <w:rFonts w:hint="eastAsia" w:asciiTheme="minorEastAsia" w:hAnsiTheme="minorEastAsia"/>
          <w:b/>
          <w:bCs/>
          <w:color w:val="auto"/>
          <w:sz w:val="24"/>
          <w:szCs w:val="24"/>
          <w:highlight w:val="none"/>
        </w:rPr>
        <w:t>本项目</w:t>
      </w:r>
      <w:r>
        <w:rPr>
          <w:rFonts w:hint="eastAsia" w:asciiTheme="minorEastAsia" w:hAnsiTheme="minorEastAsia"/>
          <w:b/>
          <w:bCs/>
          <w:color w:val="auto"/>
          <w:sz w:val="24"/>
          <w:szCs w:val="24"/>
          <w:highlight w:val="none"/>
          <w:lang w:eastAsia="zh-CN"/>
        </w:rPr>
        <w:t>非</w:t>
      </w:r>
      <w:r>
        <w:rPr>
          <w:rFonts w:hint="eastAsia" w:asciiTheme="minorEastAsia" w:hAnsiTheme="minorEastAsia"/>
          <w:b/>
          <w:bCs/>
          <w:color w:val="auto"/>
          <w:sz w:val="24"/>
          <w:szCs w:val="24"/>
          <w:highlight w:val="none"/>
        </w:rPr>
        <w:t>专门面向中小企业采购，对于符合小型和微型企业政策价格优惠的投标价格给予10%的扣除</w:t>
      </w:r>
      <w:r>
        <w:rPr>
          <w:rFonts w:hint="eastAsia" w:asciiTheme="minorEastAsia" w:hAnsiTheme="minorEastAsia"/>
          <w:b/>
          <w:bCs/>
          <w:color w:val="auto"/>
          <w:sz w:val="24"/>
          <w:szCs w:val="24"/>
          <w:highlight w:val="none"/>
          <w:lang w:eastAsia="zh-CN"/>
        </w:rPr>
        <w:t>。</w:t>
      </w:r>
    </w:p>
    <w:p w14:paraId="0AB64597">
      <w:pPr>
        <w:pStyle w:val="95"/>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三、在最大限度地满足采购文件实质性要求前提下，评标委员会按照采购文件中规定的各项因素进行综合评审后，推荐</w:t>
      </w:r>
      <w:r>
        <w:rPr>
          <w:rFonts w:hint="eastAsia" w:asciiTheme="minorEastAsia" w:hAnsiTheme="minorEastAsia"/>
          <w:color w:val="auto"/>
          <w:sz w:val="24"/>
          <w:szCs w:val="24"/>
          <w:highlight w:val="none"/>
          <w:lang w:eastAsia="zh-CN"/>
        </w:rPr>
        <w:t>两</w:t>
      </w:r>
      <w:r>
        <w:rPr>
          <w:rFonts w:hint="eastAsia" w:asciiTheme="minorEastAsia" w:hAnsiTheme="minorEastAsia"/>
          <w:color w:val="auto"/>
          <w:sz w:val="24"/>
          <w:szCs w:val="24"/>
          <w:highlight w:val="none"/>
        </w:rPr>
        <w:t>名合格的中标候选人，并按评标报告推荐的顺序确定排名第一的中标候选人为中标人。</w:t>
      </w:r>
    </w:p>
    <w:p w14:paraId="600633FB">
      <w:pPr>
        <w:pStyle w:val="95"/>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四、如综合得分相同，投标报价低者为先；如综合得分且投标报价相同的，货物类采购项目以技术性能得分较高者为先，服务类采购项目以实力信誉及业绩得分较高者为先。</w:t>
      </w:r>
    </w:p>
    <w:p w14:paraId="0D66C455">
      <w:pPr>
        <w:pStyle w:val="95"/>
        <w:ind w:left="0" w:leftChars="0" w:firstLine="48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五、</w:t>
      </w:r>
      <w:r>
        <w:rPr>
          <w:rFonts w:hint="eastAsia" w:asciiTheme="minorEastAsia" w:hAnsiTheme="minorEastAsia"/>
          <w:color w:val="auto"/>
          <w:sz w:val="24"/>
          <w:szCs w:val="24"/>
          <w:highlight w:val="none"/>
          <w:lang w:eastAsia="zh-CN"/>
        </w:rPr>
        <w:t>核心产品</w:t>
      </w:r>
      <w:r>
        <w:rPr>
          <w:rFonts w:hint="eastAsia" w:asciiTheme="minorEastAsia" w:hAnsiTheme="minorEastAsia"/>
          <w:color w:val="auto"/>
          <w:sz w:val="24"/>
          <w:szCs w:val="24"/>
          <w:highlight w:val="none"/>
        </w:rPr>
        <w:t>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64E6F386">
      <w:pPr>
        <w:pStyle w:val="95"/>
        <w:ind w:left="0" w:leftChars="0" w:firstLine="48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六、本次评分具体分值细化条款如下表：</w:t>
      </w:r>
    </w:p>
    <w:p w14:paraId="5F21757F">
      <w:pPr>
        <w:pStyle w:val="95"/>
        <w:ind w:left="0" w:leftChars="0" w:firstLine="480"/>
        <w:rPr>
          <w:rFonts w:hint="eastAsia" w:asciiTheme="minorEastAsia" w:hAnsiTheme="minorEastAsia"/>
          <w:color w:val="auto"/>
          <w:sz w:val="24"/>
          <w:szCs w:val="24"/>
          <w:highlight w:val="none"/>
        </w:rPr>
      </w:pPr>
    </w:p>
    <w:tbl>
      <w:tblPr>
        <w:tblStyle w:val="48"/>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67"/>
        <w:gridCol w:w="7112"/>
        <w:gridCol w:w="780"/>
      </w:tblGrid>
      <w:tr w14:paraId="69C35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36" w:type="dxa"/>
            <w:shd w:val="clear" w:color="auto" w:fill="DCD8C2" w:themeFill="background2" w:themeFillShade="E5"/>
            <w:vAlign w:val="center"/>
          </w:tcPr>
          <w:p w14:paraId="27BBD281">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67" w:type="dxa"/>
            <w:shd w:val="clear" w:color="auto" w:fill="DCD8C2" w:themeFill="background2" w:themeFillShade="E5"/>
            <w:vAlign w:val="center"/>
          </w:tcPr>
          <w:p w14:paraId="4447939C">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评分项目</w:t>
            </w:r>
          </w:p>
        </w:tc>
        <w:tc>
          <w:tcPr>
            <w:tcW w:w="7112" w:type="dxa"/>
            <w:shd w:val="clear" w:color="auto" w:fill="DCD8C2" w:themeFill="background2" w:themeFillShade="E5"/>
            <w:vAlign w:val="center"/>
          </w:tcPr>
          <w:p w14:paraId="55D7FB0E">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评分细则</w:t>
            </w:r>
          </w:p>
        </w:tc>
        <w:tc>
          <w:tcPr>
            <w:tcW w:w="780" w:type="dxa"/>
            <w:shd w:val="clear" w:color="auto" w:fill="DCD8C2" w:themeFill="background2" w:themeFillShade="E5"/>
            <w:vAlign w:val="center"/>
          </w:tcPr>
          <w:p w14:paraId="6D8BDD9C">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3F67B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Align w:val="center"/>
          </w:tcPr>
          <w:p w14:paraId="1E0D0343">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1267" w:type="dxa"/>
            <w:vAlign w:val="center"/>
          </w:tcPr>
          <w:p w14:paraId="083D7D32">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体系认证（6分）</w:t>
            </w:r>
          </w:p>
        </w:tc>
        <w:tc>
          <w:tcPr>
            <w:tcW w:w="7112" w:type="dxa"/>
            <w:vAlign w:val="center"/>
          </w:tcPr>
          <w:p w14:paraId="27DE3E3D">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投标人具有有效的质量管理体系认证证书、环境管理体系认证证书，商品售后服务评价认证</w:t>
            </w:r>
            <w:r>
              <w:rPr>
                <w:rFonts w:hint="eastAsia" w:ascii="宋体" w:hAnsi="宋体" w:cs="宋体"/>
                <w:color w:val="auto"/>
                <w:sz w:val="24"/>
                <w:szCs w:val="24"/>
                <w:highlight w:val="none"/>
                <w:lang w:val="en-US" w:eastAsia="zh-CN"/>
              </w:rPr>
              <w:t>证书</w:t>
            </w:r>
            <w:r>
              <w:rPr>
                <w:rFonts w:hint="eastAsia" w:ascii="宋体" w:hAnsi="宋体" w:eastAsia="宋体" w:cs="宋体"/>
                <w:color w:val="auto"/>
                <w:sz w:val="24"/>
                <w:szCs w:val="24"/>
                <w:highlight w:val="none"/>
                <w:lang w:val="en-US" w:eastAsia="zh-CN"/>
              </w:rPr>
              <w:t>，且认证覆盖范围</w:t>
            </w:r>
            <w:r>
              <w:rPr>
                <w:rFonts w:hint="eastAsia" w:ascii="宋体" w:hAnsi="宋体" w:cs="宋体"/>
                <w:color w:val="auto"/>
                <w:sz w:val="24"/>
                <w:szCs w:val="24"/>
                <w:highlight w:val="none"/>
                <w:lang w:val="en-US" w:eastAsia="zh-CN"/>
              </w:rPr>
              <w:t>包</w:t>
            </w:r>
            <w:r>
              <w:rPr>
                <w:rFonts w:hint="eastAsia" w:ascii="宋体" w:hAnsi="宋体" w:eastAsia="宋体" w:cs="宋体"/>
                <w:color w:val="auto"/>
                <w:sz w:val="24"/>
                <w:szCs w:val="24"/>
                <w:highlight w:val="none"/>
                <w:lang w:val="en-US" w:eastAsia="zh-CN"/>
              </w:rPr>
              <w:t>含“交通安全设施</w:t>
            </w:r>
            <w:r>
              <w:rPr>
                <w:rFonts w:hint="eastAsia" w:ascii="宋体" w:hAnsi="宋体" w:cs="宋体"/>
                <w:color w:val="auto"/>
                <w:sz w:val="24"/>
                <w:szCs w:val="24"/>
                <w:highlight w:val="none"/>
                <w:lang w:val="en-US" w:eastAsia="zh-CN"/>
              </w:rPr>
              <w:t>相关</w:t>
            </w:r>
            <w:r>
              <w:rPr>
                <w:rFonts w:hint="eastAsia" w:ascii="宋体" w:hAnsi="宋体" w:eastAsia="宋体" w:cs="宋体"/>
                <w:color w:val="auto"/>
                <w:sz w:val="24"/>
                <w:szCs w:val="24"/>
                <w:highlight w:val="none"/>
                <w:lang w:val="en-US" w:eastAsia="zh-CN"/>
              </w:rPr>
              <w:t>”的每项得2分，最高得6分。</w:t>
            </w:r>
          </w:p>
          <w:p w14:paraId="13548075">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注：须提供有效期内证书原件扫描件以及在国家认证认可监督管理委员会官方网站（http://www.cnca.gov.cn/）查询的认证结果截图扫描件并加盖投标人公章，未提供或缺项不得分。</w:t>
            </w:r>
          </w:p>
        </w:tc>
        <w:tc>
          <w:tcPr>
            <w:tcW w:w="780" w:type="dxa"/>
            <w:vAlign w:val="center"/>
          </w:tcPr>
          <w:p w14:paraId="612271DA">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0-6</w:t>
            </w:r>
          </w:p>
        </w:tc>
      </w:tr>
      <w:tr w14:paraId="364C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Align w:val="center"/>
          </w:tcPr>
          <w:p w14:paraId="3C3BA05B">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p>
        </w:tc>
        <w:tc>
          <w:tcPr>
            <w:tcW w:w="1267" w:type="dxa"/>
            <w:vAlign w:val="center"/>
          </w:tcPr>
          <w:p w14:paraId="2E9296E8">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类似项目（3分）</w:t>
            </w:r>
          </w:p>
        </w:tc>
        <w:tc>
          <w:tcPr>
            <w:tcW w:w="7112" w:type="dxa"/>
            <w:vAlign w:val="center"/>
          </w:tcPr>
          <w:p w14:paraId="00E7614F">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投标人自202</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年7月1日至今</w:t>
            </w:r>
            <w:r>
              <w:rPr>
                <w:rFonts w:hint="eastAsia" w:ascii="宋体" w:hAnsi="宋体" w:eastAsia="宋体" w:cs="宋体"/>
                <w:b/>
                <w:bCs/>
                <w:color w:val="auto"/>
                <w:sz w:val="24"/>
                <w:szCs w:val="24"/>
                <w:highlight w:val="none"/>
                <w:lang w:val="en-US" w:eastAsia="zh-CN"/>
              </w:rPr>
              <w:t>（以合同签订时间或中标通知书时间为准）</w:t>
            </w:r>
            <w:r>
              <w:rPr>
                <w:rFonts w:hint="eastAsia" w:ascii="宋体" w:hAnsi="宋体" w:eastAsia="宋体" w:cs="宋体"/>
                <w:color w:val="auto"/>
                <w:sz w:val="24"/>
                <w:szCs w:val="24"/>
                <w:highlight w:val="none"/>
                <w:lang w:val="en-US" w:eastAsia="zh-CN"/>
              </w:rPr>
              <w:t>实施过的类似项目业绩，每提供1个有效业绩得1分，最高3分。</w:t>
            </w:r>
          </w:p>
          <w:p w14:paraId="39E87E5A">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注：须同时提供中标通知书及合同扫描件并加盖投标人公章。（合同只须提供包含合同重要信息页面：首页、合同金额、标的清单页、盖章页）</w:t>
            </w:r>
          </w:p>
        </w:tc>
        <w:tc>
          <w:tcPr>
            <w:tcW w:w="780" w:type="dxa"/>
            <w:vAlign w:val="center"/>
          </w:tcPr>
          <w:p w14:paraId="3AD596B6">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w:t>
            </w:r>
          </w:p>
        </w:tc>
      </w:tr>
      <w:tr w14:paraId="162C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36" w:type="dxa"/>
            <w:vMerge w:val="restart"/>
            <w:vAlign w:val="center"/>
          </w:tcPr>
          <w:p w14:paraId="398BF971">
            <w:pPr>
              <w:keepNext w:val="0"/>
              <w:keepLines w:val="0"/>
              <w:pageBreakBefore w:val="0"/>
              <w:suppressLineNumbers w:val="0"/>
              <w:kinsoku/>
              <w:wordWrap/>
              <w:overflowPunct/>
              <w:topLinePunct w:val="0"/>
              <w:bidi w:val="0"/>
              <w:spacing w:before="0" w:beforeAutospacing="0" w:after="0" w:afterAutospacing="0" w:line="440" w:lineRule="exact"/>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p>
        </w:tc>
        <w:tc>
          <w:tcPr>
            <w:tcW w:w="1267" w:type="dxa"/>
            <w:vMerge w:val="restart"/>
            <w:vAlign w:val="center"/>
          </w:tcPr>
          <w:p w14:paraId="3872A314">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项目实施人员</w:t>
            </w:r>
          </w:p>
          <w:p w14:paraId="5D08EB7E">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（7分）</w:t>
            </w:r>
          </w:p>
        </w:tc>
        <w:tc>
          <w:tcPr>
            <w:tcW w:w="7112" w:type="dxa"/>
            <w:vAlign w:val="center"/>
          </w:tcPr>
          <w:p w14:paraId="77211AB5">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项目负责人：</w:t>
            </w:r>
            <w:r>
              <w:rPr>
                <w:rFonts w:hint="eastAsia" w:ascii="宋体" w:hAnsi="宋体" w:eastAsia="宋体" w:cs="宋体"/>
                <w:color w:val="auto"/>
                <w:sz w:val="24"/>
                <w:szCs w:val="24"/>
                <w:highlight w:val="none"/>
                <w:lang w:val="en-US" w:eastAsia="zh-CN"/>
              </w:rPr>
              <w:t>具有二级及以上注册建造师证书得1分。</w:t>
            </w:r>
          </w:p>
          <w:p w14:paraId="1444650C">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注：须提供证书原件扫描件及投标人为其缴纳的近3个月</w:t>
            </w:r>
            <w:r>
              <w:rPr>
                <w:rFonts w:hint="eastAsia" w:ascii="宋体" w:hAnsi="宋体" w:cs="宋体"/>
                <w:b/>
                <w:bCs/>
                <w:color w:val="auto"/>
                <w:sz w:val="24"/>
                <w:szCs w:val="24"/>
                <w:highlight w:val="none"/>
                <w:lang w:val="en-US" w:eastAsia="zh-CN"/>
              </w:rPr>
              <w:t>中任意一个月的</w:t>
            </w:r>
            <w:r>
              <w:rPr>
                <w:rFonts w:hint="eastAsia" w:ascii="宋体" w:hAnsi="宋体" w:eastAsia="宋体" w:cs="宋体"/>
                <w:b/>
                <w:bCs/>
                <w:color w:val="auto"/>
                <w:sz w:val="24"/>
                <w:szCs w:val="24"/>
                <w:highlight w:val="none"/>
                <w:lang w:val="en-US" w:eastAsia="zh-CN"/>
              </w:rPr>
              <w:t>社保证明。</w:t>
            </w:r>
          </w:p>
        </w:tc>
        <w:tc>
          <w:tcPr>
            <w:tcW w:w="780" w:type="dxa"/>
            <w:vAlign w:val="center"/>
          </w:tcPr>
          <w:p w14:paraId="11A0E32E">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w:t>
            </w:r>
          </w:p>
        </w:tc>
      </w:tr>
      <w:tr w14:paraId="27C0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36" w:type="dxa"/>
            <w:vMerge w:val="continue"/>
            <w:vAlign w:val="center"/>
          </w:tcPr>
          <w:p w14:paraId="5342D29E">
            <w:pPr>
              <w:keepNext w:val="0"/>
              <w:keepLines w:val="0"/>
              <w:pageBreakBefore w:val="0"/>
              <w:suppressLineNumbers w:val="0"/>
              <w:kinsoku/>
              <w:wordWrap/>
              <w:overflowPunct/>
              <w:topLinePunct w:val="0"/>
              <w:bidi w:val="0"/>
              <w:spacing w:before="0" w:beforeAutospacing="0" w:after="0" w:afterAutospacing="0" w:line="440" w:lineRule="exact"/>
              <w:ind w:left="0" w:right="0"/>
              <w:jc w:val="center"/>
              <w:rPr>
                <w:rFonts w:hint="eastAsia" w:ascii="宋体" w:hAnsi="宋体" w:eastAsia="宋体" w:cs="宋体"/>
                <w:b/>
                <w:bCs/>
                <w:color w:val="auto"/>
                <w:sz w:val="24"/>
                <w:szCs w:val="24"/>
                <w:highlight w:val="none"/>
                <w:lang w:val="en-US" w:eastAsia="zh-CN"/>
              </w:rPr>
            </w:pPr>
          </w:p>
        </w:tc>
        <w:tc>
          <w:tcPr>
            <w:tcW w:w="1267" w:type="dxa"/>
            <w:vMerge w:val="continue"/>
            <w:vAlign w:val="center"/>
          </w:tcPr>
          <w:p w14:paraId="5C09DCE9">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b/>
                <w:bCs/>
                <w:color w:val="auto"/>
                <w:sz w:val="24"/>
                <w:szCs w:val="24"/>
                <w:highlight w:val="none"/>
                <w:lang w:val="en-US" w:eastAsia="zh-CN"/>
              </w:rPr>
            </w:pPr>
          </w:p>
        </w:tc>
        <w:tc>
          <w:tcPr>
            <w:tcW w:w="7112" w:type="dxa"/>
            <w:vAlign w:val="center"/>
          </w:tcPr>
          <w:p w14:paraId="030A1685">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提供为本项目具体实施人员，每提供一人得0.5分，本项最高得</w:t>
            </w:r>
            <w:r>
              <w:rPr>
                <w:rFonts w:hint="eastAsia" w:ascii="宋体" w:hAnsi="宋体" w:eastAsia="宋体" w:cs="宋体"/>
                <w:b/>
                <w:bCs/>
                <w:color w:val="auto"/>
                <w:sz w:val="24"/>
                <w:szCs w:val="24"/>
                <w:highlight w:val="none"/>
                <w:lang w:val="en-US" w:eastAsia="zh-CN"/>
              </w:rPr>
              <w:t>6</w:t>
            </w:r>
            <w:r>
              <w:rPr>
                <w:rFonts w:hint="default" w:ascii="宋体" w:hAnsi="宋体" w:eastAsia="宋体" w:cs="宋体"/>
                <w:b/>
                <w:bCs/>
                <w:color w:val="auto"/>
                <w:sz w:val="24"/>
                <w:szCs w:val="24"/>
                <w:highlight w:val="none"/>
                <w:lang w:val="en-US" w:eastAsia="zh-CN"/>
              </w:rPr>
              <w:t>分；</w:t>
            </w:r>
          </w:p>
          <w:p w14:paraId="755439DD">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注：</w:t>
            </w:r>
            <w:r>
              <w:rPr>
                <w:rFonts w:hint="default" w:ascii="宋体" w:hAnsi="宋体" w:eastAsia="宋体" w:cs="宋体"/>
                <w:b/>
                <w:bCs/>
                <w:color w:val="auto"/>
                <w:sz w:val="24"/>
                <w:szCs w:val="24"/>
                <w:highlight w:val="none"/>
                <w:lang w:val="en-US" w:eastAsia="zh-CN"/>
              </w:rPr>
              <w:t>须提供人员</w:t>
            </w:r>
            <w:r>
              <w:rPr>
                <w:rFonts w:hint="eastAsia" w:ascii="宋体" w:hAnsi="宋体" w:eastAsia="宋体" w:cs="宋体"/>
                <w:b/>
                <w:bCs/>
                <w:color w:val="auto"/>
                <w:sz w:val="24"/>
                <w:szCs w:val="24"/>
                <w:highlight w:val="none"/>
                <w:lang w:val="en-US" w:eastAsia="zh-CN"/>
              </w:rPr>
              <w:t>具体</w:t>
            </w:r>
            <w:r>
              <w:rPr>
                <w:rFonts w:hint="default" w:ascii="宋体" w:hAnsi="宋体" w:eastAsia="宋体" w:cs="宋体"/>
                <w:b/>
                <w:bCs/>
                <w:color w:val="auto"/>
                <w:sz w:val="24"/>
                <w:szCs w:val="24"/>
                <w:highlight w:val="none"/>
                <w:lang w:val="en-US" w:eastAsia="zh-CN"/>
              </w:rPr>
              <w:t>名单</w:t>
            </w:r>
            <w:r>
              <w:rPr>
                <w:rFonts w:hint="eastAsia" w:ascii="宋体" w:hAnsi="宋体" w:eastAsia="宋体" w:cs="宋体"/>
                <w:b/>
                <w:bCs/>
                <w:color w:val="auto"/>
                <w:sz w:val="24"/>
                <w:szCs w:val="24"/>
                <w:highlight w:val="none"/>
                <w:lang w:val="en-US" w:eastAsia="zh-CN"/>
              </w:rPr>
              <w:t>、身份证扫描件</w:t>
            </w:r>
            <w:r>
              <w:rPr>
                <w:rFonts w:hint="default" w:ascii="宋体" w:hAnsi="宋体" w:eastAsia="宋体" w:cs="宋体"/>
                <w:b/>
                <w:bCs/>
                <w:color w:val="auto"/>
                <w:sz w:val="24"/>
                <w:szCs w:val="24"/>
                <w:highlight w:val="none"/>
                <w:lang w:val="en-US" w:eastAsia="zh-CN"/>
              </w:rPr>
              <w:t>以及投标人为其缴纳的近</w:t>
            </w:r>
            <w:r>
              <w:rPr>
                <w:rFonts w:hint="eastAsia" w:ascii="宋体" w:hAnsi="宋体" w:eastAsia="宋体" w:cs="宋体"/>
                <w:b/>
                <w:bCs/>
                <w:color w:val="auto"/>
                <w:sz w:val="24"/>
                <w:szCs w:val="24"/>
                <w:highlight w:val="none"/>
                <w:lang w:val="en-US" w:eastAsia="zh-CN"/>
              </w:rPr>
              <w:t>3</w:t>
            </w:r>
            <w:r>
              <w:rPr>
                <w:rFonts w:hint="default" w:ascii="宋体" w:hAnsi="宋体" w:eastAsia="宋体" w:cs="宋体"/>
                <w:b/>
                <w:bCs/>
                <w:color w:val="auto"/>
                <w:sz w:val="24"/>
                <w:szCs w:val="24"/>
                <w:highlight w:val="none"/>
                <w:lang w:val="en-US" w:eastAsia="zh-CN"/>
              </w:rPr>
              <w:t>个月</w:t>
            </w:r>
            <w:r>
              <w:rPr>
                <w:rFonts w:hint="eastAsia" w:ascii="宋体" w:hAnsi="宋体" w:cs="宋体"/>
                <w:b/>
                <w:bCs/>
                <w:color w:val="auto"/>
                <w:sz w:val="24"/>
                <w:szCs w:val="24"/>
                <w:highlight w:val="none"/>
                <w:lang w:val="en-US" w:eastAsia="zh-CN"/>
              </w:rPr>
              <w:t>中任意一个月的</w:t>
            </w:r>
            <w:r>
              <w:rPr>
                <w:rFonts w:hint="default" w:ascii="宋体" w:hAnsi="宋体" w:eastAsia="宋体" w:cs="宋体"/>
                <w:b/>
                <w:bCs/>
                <w:color w:val="auto"/>
                <w:sz w:val="24"/>
                <w:szCs w:val="24"/>
                <w:highlight w:val="none"/>
                <w:lang w:val="en-US" w:eastAsia="zh-CN"/>
              </w:rPr>
              <w:t>社保证明，</w:t>
            </w:r>
            <w:r>
              <w:rPr>
                <w:rFonts w:hint="eastAsia" w:ascii="宋体" w:hAnsi="宋体" w:eastAsia="宋体" w:cs="宋体"/>
                <w:b/>
                <w:bCs/>
                <w:color w:val="auto"/>
                <w:sz w:val="24"/>
                <w:szCs w:val="24"/>
                <w:highlight w:val="none"/>
                <w:lang w:val="en-US" w:eastAsia="zh-CN"/>
              </w:rPr>
              <w:t>未</w:t>
            </w:r>
            <w:r>
              <w:rPr>
                <w:rFonts w:hint="default" w:ascii="宋体" w:hAnsi="宋体" w:eastAsia="宋体" w:cs="宋体"/>
                <w:b/>
                <w:bCs/>
                <w:color w:val="auto"/>
                <w:sz w:val="24"/>
                <w:szCs w:val="24"/>
                <w:highlight w:val="none"/>
                <w:lang w:val="en-US" w:eastAsia="zh-CN"/>
              </w:rPr>
              <w:t>提供或</w:t>
            </w:r>
            <w:r>
              <w:rPr>
                <w:rFonts w:hint="eastAsia" w:ascii="宋体" w:hAnsi="宋体" w:eastAsia="宋体" w:cs="宋体"/>
                <w:b/>
                <w:bCs/>
                <w:color w:val="auto"/>
                <w:sz w:val="24"/>
                <w:szCs w:val="24"/>
                <w:highlight w:val="none"/>
                <w:lang w:val="en-US" w:eastAsia="zh-CN"/>
              </w:rPr>
              <w:t>缺项</w:t>
            </w:r>
            <w:r>
              <w:rPr>
                <w:rFonts w:hint="default" w:ascii="宋体" w:hAnsi="宋体" w:eastAsia="宋体" w:cs="宋体"/>
                <w:b/>
                <w:bCs/>
                <w:color w:val="auto"/>
                <w:sz w:val="24"/>
                <w:szCs w:val="24"/>
                <w:highlight w:val="none"/>
                <w:lang w:val="en-US" w:eastAsia="zh-CN"/>
              </w:rPr>
              <w:t>的不得分</w:t>
            </w:r>
            <w:r>
              <w:rPr>
                <w:rFonts w:hint="eastAsia" w:ascii="宋体" w:hAnsi="宋体" w:eastAsia="宋体" w:cs="宋体"/>
                <w:b/>
                <w:bCs/>
                <w:color w:val="auto"/>
                <w:sz w:val="24"/>
                <w:szCs w:val="24"/>
                <w:highlight w:val="none"/>
                <w:lang w:val="en-US" w:eastAsia="zh-CN"/>
              </w:rPr>
              <w:t>。</w:t>
            </w:r>
          </w:p>
        </w:tc>
        <w:tc>
          <w:tcPr>
            <w:tcW w:w="780" w:type="dxa"/>
            <w:vAlign w:val="center"/>
          </w:tcPr>
          <w:p w14:paraId="05DC10CE">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0-6</w:t>
            </w:r>
          </w:p>
        </w:tc>
      </w:tr>
      <w:tr w14:paraId="1190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Merge w:val="restart"/>
            <w:vAlign w:val="center"/>
          </w:tcPr>
          <w:p w14:paraId="60137D6D">
            <w:pPr>
              <w:keepNext w:val="0"/>
              <w:keepLines w:val="0"/>
              <w:pageBreakBefore w:val="0"/>
              <w:suppressLineNumbers w:val="0"/>
              <w:kinsoku/>
              <w:wordWrap/>
              <w:overflowPunct/>
              <w:topLinePunct w:val="0"/>
              <w:bidi w:val="0"/>
              <w:spacing w:before="0" w:beforeAutospacing="0" w:after="0" w:afterAutospacing="0" w:line="440" w:lineRule="exact"/>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p>
        </w:tc>
        <w:tc>
          <w:tcPr>
            <w:tcW w:w="1267" w:type="dxa"/>
            <w:vMerge w:val="restart"/>
            <w:vAlign w:val="center"/>
          </w:tcPr>
          <w:p w14:paraId="63CC1877">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设备</w:t>
            </w:r>
          </w:p>
          <w:p w14:paraId="1CEFC04C">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配备</w:t>
            </w:r>
          </w:p>
          <w:p w14:paraId="6F51C318">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情况</w:t>
            </w:r>
          </w:p>
          <w:p w14:paraId="06C0B459">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p>
        </w:tc>
        <w:tc>
          <w:tcPr>
            <w:tcW w:w="7112" w:type="dxa"/>
            <w:vAlign w:val="center"/>
          </w:tcPr>
          <w:p w14:paraId="1246AC11">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现场施工车辆：</w:t>
            </w:r>
          </w:p>
          <w:p w14:paraId="0349153B">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投标人自有或租赁现场作业车辆（标线施工车辆），每提供一辆得0.5分，最高得3分。</w:t>
            </w:r>
          </w:p>
          <w:p w14:paraId="3894A297">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注：须提供上述车辆照片及</w:t>
            </w:r>
            <w:r>
              <w:rPr>
                <w:rFonts w:hint="eastAsia" w:ascii="宋体" w:hAnsi="宋体" w:cs="宋体"/>
                <w:b/>
                <w:bCs/>
                <w:color w:val="auto"/>
                <w:sz w:val="24"/>
                <w:szCs w:val="24"/>
                <w:highlight w:val="none"/>
                <w:lang w:val="en-US" w:eastAsia="zh-CN"/>
              </w:rPr>
              <w:t>有效期内</w:t>
            </w:r>
            <w:r>
              <w:rPr>
                <w:rFonts w:hint="eastAsia" w:ascii="宋体" w:hAnsi="宋体" w:eastAsia="宋体" w:cs="宋体"/>
                <w:b/>
                <w:bCs/>
                <w:color w:val="auto"/>
                <w:sz w:val="24"/>
                <w:szCs w:val="24"/>
                <w:highlight w:val="none"/>
                <w:lang w:val="en-US" w:eastAsia="zh-CN"/>
              </w:rPr>
              <w:t>行驶证原件扫描件，机动车行驶证中所有人必须为投标人单位名称或法定代表人姓名（须与投标人营业执照中法定代表人姓名一致），如租赁的须提供租赁合同原件扫描件，租赁期限需超过本项目期限。作业车辆必须符合台州市相关交通管理要求,以上车辆履约完成前须专门为本项目服务，不得他用。未提供或缺项不得分。</w:t>
            </w:r>
          </w:p>
        </w:tc>
        <w:tc>
          <w:tcPr>
            <w:tcW w:w="780" w:type="dxa"/>
            <w:vAlign w:val="center"/>
          </w:tcPr>
          <w:p w14:paraId="3408FCAB">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w:t>
            </w:r>
          </w:p>
        </w:tc>
      </w:tr>
      <w:tr w14:paraId="7E36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Merge w:val="continue"/>
            <w:vAlign w:val="center"/>
          </w:tcPr>
          <w:p w14:paraId="65B4D7BD">
            <w:pPr>
              <w:keepNext w:val="0"/>
              <w:keepLines w:val="0"/>
              <w:pageBreakBefore w:val="0"/>
              <w:suppressLineNumbers w:val="0"/>
              <w:kinsoku/>
              <w:wordWrap/>
              <w:overflowPunct/>
              <w:topLinePunct w:val="0"/>
              <w:bidi w:val="0"/>
              <w:spacing w:before="0" w:beforeAutospacing="0" w:after="0" w:afterAutospacing="0" w:line="440" w:lineRule="exact"/>
              <w:ind w:left="0" w:right="0"/>
              <w:jc w:val="center"/>
              <w:rPr>
                <w:rFonts w:hint="eastAsia" w:ascii="宋体" w:hAnsi="宋体" w:eastAsia="宋体" w:cs="宋体"/>
                <w:b/>
                <w:bCs/>
                <w:color w:val="auto"/>
                <w:sz w:val="24"/>
                <w:szCs w:val="24"/>
                <w:highlight w:val="none"/>
                <w:lang w:val="en-US" w:eastAsia="zh-CN"/>
              </w:rPr>
            </w:pPr>
          </w:p>
        </w:tc>
        <w:tc>
          <w:tcPr>
            <w:tcW w:w="1267" w:type="dxa"/>
            <w:vMerge w:val="continue"/>
            <w:vAlign w:val="center"/>
          </w:tcPr>
          <w:p w14:paraId="32A7E081">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b/>
                <w:bCs/>
                <w:color w:val="auto"/>
                <w:sz w:val="24"/>
                <w:szCs w:val="24"/>
                <w:highlight w:val="none"/>
                <w:lang w:eastAsia="zh-CN"/>
              </w:rPr>
            </w:pPr>
          </w:p>
        </w:tc>
        <w:tc>
          <w:tcPr>
            <w:tcW w:w="7112" w:type="dxa"/>
            <w:vAlign w:val="center"/>
          </w:tcPr>
          <w:p w14:paraId="513BE776">
            <w:pPr>
              <w:keepNext w:val="0"/>
              <w:keepLines w:val="0"/>
              <w:pageBreakBefore w:val="0"/>
              <w:widowControl/>
              <w:numPr>
                <w:ilvl w:val="0"/>
                <w:numId w:val="0"/>
              </w:numPr>
              <w:suppressLineNumbers w:val="0"/>
              <w:kinsoku/>
              <w:wordWrap/>
              <w:overflowPunct/>
              <w:topLinePunct w:val="0"/>
              <w:bidi w:val="0"/>
              <w:spacing w:before="0" w:beforeAutospacing="0" w:after="0" w:afterAutospacing="0" w:line="440" w:lineRule="exact"/>
              <w:ind w:left="0" w:right="0" w:right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1、投标人自有或租赁热熔划线</w:t>
            </w:r>
            <w:r>
              <w:rPr>
                <w:rFonts w:hint="eastAsia" w:ascii="宋体" w:hAnsi="宋体" w:cs="宋体"/>
                <w:color w:val="auto"/>
                <w:sz w:val="24"/>
                <w:szCs w:val="24"/>
                <w:highlight w:val="none"/>
                <w:lang w:val="en-US" w:eastAsia="zh-CN"/>
              </w:rPr>
              <w:t>整套</w:t>
            </w:r>
            <w:r>
              <w:rPr>
                <w:rFonts w:hint="eastAsia" w:ascii="宋体" w:hAnsi="宋体" w:eastAsia="宋体" w:cs="宋体"/>
                <w:color w:val="auto"/>
                <w:sz w:val="24"/>
                <w:szCs w:val="24"/>
                <w:highlight w:val="none"/>
                <w:lang w:val="en-US" w:eastAsia="zh-CN"/>
              </w:rPr>
              <w:t>设备（</w:t>
            </w:r>
            <w:r>
              <w:rPr>
                <w:rFonts w:hint="eastAsia" w:ascii="宋体" w:hAnsi="宋体" w:cs="宋体"/>
                <w:color w:val="auto"/>
                <w:sz w:val="24"/>
                <w:szCs w:val="24"/>
                <w:highlight w:val="none"/>
                <w:lang w:val="en-US" w:eastAsia="zh-CN"/>
              </w:rPr>
              <w:t>含</w:t>
            </w:r>
            <w:r>
              <w:rPr>
                <w:rFonts w:hint="eastAsia" w:ascii="宋体" w:hAnsi="宋体" w:eastAsia="宋体" w:cs="宋体"/>
                <w:color w:val="auto"/>
                <w:sz w:val="24"/>
                <w:szCs w:val="24"/>
                <w:highlight w:val="none"/>
                <w:lang w:val="en-US" w:eastAsia="zh-CN"/>
              </w:rPr>
              <w:t>划线机、热熔釜、</w:t>
            </w:r>
            <w:r>
              <w:rPr>
                <w:rFonts w:hint="eastAsia" w:ascii="宋体" w:hAnsi="宋体" w:cs="宋体"/>
                <w:color w:val="auto"/>
                <w:sz w:val="24"/>
                <w:szCs w:val="24"/>
                <w:highlight w:val="none"/>
                <w:lang w:val="en-US" w:eastAsia="zh-CN"/>
              </w:rPr>
              <w:t>底漆机</w:t>
            </w:r>
            <w:r>
              <w:rPr>
                <w:rFonts w:hint="eastAsia" w:ascii="宋体" w:hAnsi="宋体" w:eastAsia="宋体" w:cs="宋体"/>
                <w:color w:val="auto"/>
                <w:sz w:val="24"/>
                <w:szCs w:val="24"/>
                <w:highlight w:val="none"/>
                <w:lang w:val="en-US" w:eastAsia="zh-CN"/>
              </w:rPr>
              <w:t>）的每提供一套得1分，最高得3分。</w:t>
            </w:r>
          </w:p>
          <w:p w14:paraId="59C940D3">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2、投标人自有或租赁</w:t>
            </w:r>
            <w:r>
              <w:rPr>
                <w:rFonts w:hint="eastAsia" w:ascii="宋体" w:hAnsi="宋体" w:cs="宋体"/>
                <w:color w:val="auto"/>
                <w:sz w:val="24"/>
                <w:szCs w:val="24"/>
                <w:highlight w:val="none"/>
                <w:lang w:val="en-US" w:eastAsia="zh-CN"/>
              </w:rPr>
              <w:t>双组份</w:t>
            </w:r>
            <w:r>
              <w:rPr>
                <w:rFonts w:hint="eastAsia" w:ascii="宋体" w:hAnsi="宋体" w:eastAsia="宋体" w:cs="宋体"/>
                <w:color w:val="auto"/>
                <w:sz w:val="24"/>
                <w:szCs w:val="24"/>
                <w:highlight w:val="none"/>
                <w:lang w:val="en-US" w:eastAsia="zh-CN"/>
              </w:rPr>
              <w:t>喷涂</w:t>
            </w:r>
            <w:r>
              <w:rPr>
                <w:rFonts w:hint="eastAsia" w:ascii="宋体" w:hAnsi="宋体" w:cs="宋体"/>
                <w:color w:val="auto"/>
                <w:sz w:val="24"/>
                <w:szCs w:val="24"/>
                <w:highlight w:val="none"/>
                <w:lang w:val="en-US" w:eastAsia="zh-CN"/>
              </w:rPr>
              <w:t>划线</w:t>
            </w:r>
            <w:r>
              <w:rPr>
                <w:rFonts w:hint="eastAsia" w:ascii="宋体" w:hAnsi="宋体" w:eastAsia="宋体" w:cs="宋体"/>
                <w:color w:val="auto"/>
                <w:sz w:val="24"/>
                <w:szCs w:val="24"/>
                <w:highlight w:val="none"/>
                <w:lang w:val="en-US" w:eastAsia="zh-CN"/>
              </w:rPr>
              <w:t>机设备的每提供一台得1分，最高得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410192D1">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3、投标人自有或租赁专项作业高压水除线设备的每提供一台得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分，最高得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7DBE07A9">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4、投标人自有或租赁标线逆反射系数测量仪的每提供一台得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分，最高得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40417785">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en-US" w:eastAsia="zh-CN"/>
              </w:rPr>
              <w:t>注：须提供上述设备</w:t>
            </w:r>
            <w:r>
              <w:rPr>
                <w:rFonts w:hint="eastAsia" w:ascii="宋体" w:hAnsi="宋体" w:cs="宋体"/>
                <w:b/>
                <w:bCs/>
                <w:color w:val="auto"/>
                <w:sz w:val="24"/>
                <w:szCs w:val="24"/>
                <w:highlight w:val="none"/>
                <w:lang w:val="en-US" w:eastAsia="zh-CN"/>
              </w:rPr>
              <w:t>照片及设备</w:t>
            </w:r>
            <w:r>
              <w:rPr>
                <w:rFonts w:hint="eastAsia" w:ascii="宋体" w:hAnsi="宋体" w:eastAsia="宋体" w:cs="宋体"/>
                <w:b/>
                <w:bCs/>
                <w:color w:val="auto"/>
                <w:sz w:val="24"/>
                <w:szCs w:val="24"/>
                <w:highlight w:val="none"/>
                <w:lang w:val="en-US" w:eastAsia="zh-CN"/>
              </w:rPr>
              <w:t>购置发票扫描件,发票购买方必须为投标人单位名称或法定代表人姓名（须与投标人营业执照中法定代表人姓名一致）</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如</w:t>
            </w:r>
            <w:r>
              <w:rPr>
                <w:rFonts w:hint="eastAsia" w:ascii="宋体" w:hAnsi="宋体" w:cs="宋体"/>
                <w:b/>
                <w:bCs/>
                <w:color w:val="auto"/>
                <w:sz w:val="24"/>
                <w:szCs w:val="24"/>
                <w:highlight w:val="none"/>
                <w:lang w:val="en-US" w:eastAsia="zh-CN"/>
              </w:rPr>
              <w:t>设备是</w:t>
            </w:r>
            <w:r>
              <w:rPr>
                <w:rFonts w:hint="eastAsia" w:ascii="宋体" w:hAnsi="宋体" w:eastAsia="宋体" w:cs="宋体"/>
                <w:b/>
                <w:bCs/>
                <w:color w:val="auto"/>
                <w:sz w:val="24"/>
                <w:szCs w:val="24"/>
                <w:highlight w:val="none"/>
                <w:lang w:val="en-US" w:eastAsia="zh-CN"/>
              </w:rPr>
              <w:t>租赁的须提供</w:t>
            </w:r>
            <w:r>
              <w:rPr>
                <w:rFonts w:hint="eastAsia" w:ascii="宋体" w:hAnsi="宋体" w:cs="宋体"/>
                <w:b/>
                <w:bCs/>
                <w:color w:val="auto"/>
                <w:sz w:val="24"/>
                <w:szCs w:val="24"/>
                <w:highlight w:val="none"/>
                <w:lang w:val="en-US" w:eastAsia="zh-CN"/>
              </w:rPr>
              <w:t>设备</w:t>
            </w:r>
            <w:r>
              <w:rPr>
                <w:rFonts w:hint="eastAsia" w:ascii="宋体" w:hAnsi="宋体" w:eastAsia="宋体" w:cs="宋体"/>
                <w:b/>
                <w:bCs/>
                <w:color w:val="auto"/>
                <w:sz w:val="24"/>
                <w:szCs w:val="24"/>
                <w:highlight w:val="none"/>
                <w:lang w:val="en-US" w:eastAsia="zh-CN"/>
              </w:rPr>
              <w:t>租赁合同原件扫描件、设备照片及出租方购买此项设备的发票扫描件（发票购买方须与出租方名称一致或与出租方营业执照中法定代表人姓名一致），租赁期限需超过本项目期限。未提供或缺项不得分。</w:t>
            </w:r>
          </w:p>
        </w:tc>
        <w:tc>
          <w:tcPr>
            <w:tcW w:w="780" w:type="dxa"/>
            <w:vAlign w:val="center"/>
          </w:tcPr>
          <w:p w14:paraId="09D6DFBA">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6</w:t>
            </w:r>
          </w:p>
        </w:tc>
      </w:tr>
      <w:tr w14:paraId="2FE7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Merge w:val="restart"/>
            <w:vAlign w:val="center"/>
          </w:tcPr>
          <w:p w14:paraId="22263A25">
            <w:pPr>
              <w:keepNext w:val="0"/>
              <w:keepLines w:val="0"/>
              <w:pageBreakBefore w:val="0"/>
              <w:suppressLineNumbers w:val="0"/>
              <w:kinsoku/>
              <w:wordWrap/>
              <w:overflowPunct/>
              <w:topLinePunct w:val="0"/>
              <w:bidi w:val="0"/>
              <w:spacing w:before="0" w:beforeAutospacing="0" w:after="0" w:afterAutospacing="0" w:line="440" w:lineRule="exact"/>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p>
        </w:tc>
        <w:tc>
          <w:tcPr>
            <w:tcW w:w="1267" w:type="dxa"/>
            <w:vMerge w:val="restart"/>
            <w:vAlign w:val="center"/>
          </w:tcPr>
          <w:p w14:paraId="0385668E">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安装施工组织方案</w:t>
            </w:r>
          </w:p>
          <w:p w14:paraId="129A8B35">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（包括交通组织方</w:t>
            </w:r>
          </w:p>
          <w:p w14:paraId="39868601">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案）</w:t>
            </w:r>
          </w:p>
          <w:p w14:paraId="4D3BCDFE">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分）</w:t>
            </w:r>
          </w:p>
        </w:tc>
        <w:tc>
          <w:tcPr>
            <w:tcW w:w="7112" w:type="dxa"/>
            <w:vAlign w:val="center"/>
          </w:tcPr>
          <w:p w14:paraId="5B6AC536">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总体实施方案：针对本项目制定总体的服务方案，包括机构设置及运转情况、人员配备情况，投标设备材料的配件、附件、涂料的存储情况以及其它有关资料和材料情况的完整性、合理性和可操作性等。评委根据投标人提供的方案，进行综合比较给分：</w:t>
            </w:r>
          </w:p>
          <w:p w14:paraId="449A13AB">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1、针对本项目提供的技术资料内容比较详细、齐全并符合贴合本项目实际情况，完整性高、合理性高和可操作性强得4.1-6分；</w:t>
            </w:r>
          </w:p>
          <w:p w14:paraId="6EE95257">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2、针对本项目提供的技术资料内容基本详细、齐全并符合本项目实际情况的，比较完整、比较合理得2.1-4分；</w:t>
            </w:r>
          </w:p>
          <w:p w14:paraId="3470FAA1">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3、针对本项目提供的技术资料内容不够详细、但基本符合本项目实际情况的，基本合理得0.1-2分；</w:t>
            </w:r>
          </w:p>
          <w:p w14:paraId="5EAE5310">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en-US" w:eastAsia="zh-CN"/>
              </w:rPr>
              <w:t>4、不符合本项目实际情况或未提及的不得分。</w:t>
            </w:r>
          </w:p>
        </w:tc>
        <w:tc>
          <w:tcPr>
            <w:tcW w:w="780" w:type="dxa"/>
            <w:vAlign w:val="center"/>
          </w:tcPr>
          <w:p w14:paraId="5CF08186">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w:t>
            </w:r>
          </w:p>
        </w:tc>
      </w:tr>
      <w:tr w14:paraId="7CD5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Merge w:val="continue"/>
            <w:vAlign w:val="center"/>
          </w:tcPr>
          <w:p w14:paraId="38BC2079">
            <w:pPr>
              <w:keepNext w:val="0"/>
              <w:keepLines w:val="0"/>
              <w:pageBreakBefore w:val="0"/>
              <w:suppressLineNumbers w:val="0"/>
              <w:kinsoku/>
              <w:wordWrap/>
              <w:overflowPunct/>
              <w:topLinePunct w:val="0"/>
              <w:bidi w:val="0"/>
              <w:spacing w:before="0" w:beforeAutospacing="0" w:after="0" w:afterAutospacing="0" w:line="440" w:lineRule="exact"/>
              <w:ind w:left="0" w:right="0"/>
              <w:jc w:val="center"/>
              <w:rPr>
                <w:rFonts w:hint="eastAsia" w:ascii="宋体" w:hAnsi="宋体" w:eastAsia="宋体" w:cs="宋体"/>
                <w:b/>
                <w:bCs/>
                <w:color w:val="auto"/>
                <w:sz w:val="24"/>
                <w:szCs w:val="24"/>
                <w:highlight w:val="none"/>
                <w:lang w:val="en-US" w:eastAsia="zh-CN"/>
              </w:rPr>
            </w:pPr>
          </w:p>
        </w:tc>
        <w:tc>
          <w:tcPr>
            <w:tcW w:w="1267" w:type="dxa"/>
            <w:vMerge w:val="continue"/>
            <w:vAlign w:val="center"/>
          </w:tcPr>
          <w:p w14:paraId="711CAA09">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b/>
                <w:bCs/>
                <w:color w:val="auto"/>
                <w:sz w:val="24"/>
                <w:szCs w:val="24"/>
                <w:highlight w:val="none"/>
              </w:rPr>
            </w:pPr>
          </w:p>
        </w:tc>
        <w:tc>
          <w:tcPr>
            <w:tcW w:w="7112" w:type="dxa"/>
            <w:vAlign w:val="center"/>
          </w:tcPr>
          <w:p w14:paraId="6772A364">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质量保障措施：从热熔涂料、振荡涂料、反光玻璃珠等材料质量保证，标线涂料质量、反光持久度等各个环节采取的各项措施来进行综合比较评价：</w:t>
            </w:r>
          </w:p>
          <w:p w14:paraId="0FF1C105">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1、标线涂料质量优，反光持久度高，各环节措施到位、技术全面先进的2.8-4分；</w:t>
            </w:r>
          </w:p>
          <w:p w14:paraId="0AE4F30C">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2、标线涂料质量良好，反光持久度一般，方案措施简单，技术较普遍的1.4-2.7分；</w:t>
            </w:r>
          </w:p>
          <w:p w14:paraId="6429BED1">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3、标线涂料质量一般，反光差的，方案片面，缺乏具体防障措施的0.1-1.3分；</w:t>
            </w:r>
          </w:p>
          <w:p w14:paraId="788CEFB3">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default"/>
                <w:color w:val="auto"/>
                <w:sz w:val="24"/>
                <w:szCs w:val="24"/>
                <w:highlight w:val="none"/>
              </w:rPr>
            </w:pPr>
            <w:r>
              <w:rPr>
                <w:rFonts w:hint="eastAsia" w:ascii="宋体" w:hAnsi="宋体" w:eastAsia="宋体" w:cs="宋体"/>
                <w:color w:val="auto"/>
                <w:sz w:val="24"/>
                <w:szCs w:val="24"/>
                <w:highlight w:val="none"/>
                <w:lang w:val="en-US" w:eastAsia="zh-CN"/>
              </w:rPr>
              <w:t>4、措施差，未提及的不得分。</w:t>
            </w:r>
          </w:p>
          <w:p w14:paraId="149C8388">
            <w:pPr>
              <w:pStyle w:val="47"/>
              <w:keepNext w:val="0"/>
              <w:keepLines w:val="0"/>
              <w:suppressLineNumbers w:val="0"/>
              <w:spacing w:before="0" w:beforeAutospacing="0" w:afterAutospacing="0"/>
              <w:ind w:left="0" w:leftChars="0" w:right="0" w:firstLine="0" w:firstLineChars="0"/>
              <w:rPr>
                <w:rFonts w:hint="eastAsia" w:eastAsiaTheme="minorEastAsia"/>
                <w:color w:val="auto"/>
                <w:sz w:val="24"/>
                <w:szCs w:val="24"/>
                <w:highlight w:val="none"/>
                <w:lang w:val="zh-CN" w:eastAsia="zh-CN"/>
              </w:rPr>
            </w:pPr>
            <w:r>
              <w:rPr>
                <w:rFonts w:hint="eastAsia" w:ascii="宋体" w:hAnsi="宋体" w:eastAsia="宋体" w:cs="宋体"/>
                <w:b/>
                <w:bCs/>
                <w:color w:val="auto"/>
                <w:kern w:val="2"/>
                <w:sz w:val="24"/>
                <w:szCs w:val="24"/>
                <w:highlight w:val="none"/>
                <w:lang w:val="en-US" w:eastAsia="zh-CN" w:bidi="ar-SA"/>
              </w:rPr>
              <w:t>注：须同时提供热熔涂料、反光玻璃珠、震荡涂料检测合格的报告扫描件，未提供或缺项本项不得分。</w:t>
            </w:r>
          </w:p>
        </w:tc>
        <w:tc>
          <w:tcPr>
            <w:tcW w:w="780" w:type="dxa"/>
            <w:vAlign w:val="center"/>
          </w:tcPr>
          <w:p w14:paraId="4A03B4F5">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w:t>
            </w:r>
          </w:p>
        </w:tc>
      </w:tr>
      <w:tr w14:paraId="0897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Merge w:val="continue"/>
            <w:vAlign w:val="center"/>
          </w:tcPr>
          <w:p w14:paraId="0A1D68FE">
            <w:pPr>
              <w:keepNext w:val="0"/>
              <w:keepLines w:val="0"/>
              <w:pageBreakBefore w:val="0"/>
              <w:suppressLineNumbers w:val="0"/>
              <w:kinsoku/>
              <w:wordWrap/>
              <w:overflowPunct/>
              <w:topLinePunct w:val="0"/>
              <w:bidi w:val="0"/>
              <w:spacing w:before="0" w:beforeAutospacing="0" w:after="0" w:afterAutospacing="0" w:line="440" w:lineRule="exact"/>
              <w:ind w:left="0" w:right="0"/>
              <w:jc w:val="center"/>
              <w:rPr>
                <w:rFonts w:hint="eastAsia" w:ascii="宋体" w:hAnsi="宋体" w:eastAsia="宋体" w:cs="宋体"/>
                <w:b/>
                <w:bCs/>
                <w:color w:val="auto"/>
                <w:sz w:val="24"/>
                <w:szCs w:val="24"/>
                <w:highlight w:val="none"/>
                <w:lang w:val="en-US" w:eastAsia="zh-CN"/>
              </w:rPr>
            </w:pPr>
          </w:p>
        </w:tc>
        <w:tc>
          <w:tcPr>
            <w:tcW w:w="1267" w:type="dxa"/>
            <w:vMerge w:val="continue"/>
            <w:vAlign w:val="center"/>
          </w:tcPr>
          <w:p w14:paraId="06805D5A">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b/>
                <w:bCs/>
                <w:color w:val="auto"/>
                <w:sz w:val="24"/>
                <w:szCs w:val="24"/>
                <w:highlight w:val="none"/>
              </w:rPr>
            </w:pPr>
          </w:p>
        </w:tc>
        <w:tc>
          <w:tcPr>
            <w:tcW w:w="7112" w:type="dxa"/>
            <w:vAlign w:val="center"/>
          </w:tcPr>
          <w:p w14:paraId="127542A7">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对市区东海大道（疏港大道-中心大道）路段现有的标线设置进行观察并提出存在的问题和理由，给出相应的整改优化方案：</w:t>
            </w:r>
          </w:p>
          <w:p w14:paraId="273F2DA5">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1、提出的问题和对应的方案阐述非常明确内容齐全并符合实际情况的，措施到位，提供完整的资料和照片的得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p w14:paraId="0ECCC3C2">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2、提出的问题和对应的方案阐述比较明确，内容比较齐全，措施较为到位，但提供的资料和照片比较简单得</w:t>
            </w:r>
            <w:r>
              <w:rPr>
                <w:rFonts w:hint="eastAsia" w:ascii="宋体" w:hAnsi="宋体" w:cs="宋体"/>
                <w:color w:val="auto"/>
                <w:sz w:val="24"/>
                <w:szCs w:val="24"/>
                <w:highlight w:val="none"/>
                <w:lang w:val="en-US" w:eastAsia="zh-CN"/>
              </w:rPr>
              <w:t>5.1-6.7</w:t>
            </w:r>
            <w:r>
              <w:rPr>
                <w:rFonts w:hint="eastAsia" w:ascii="宋体" w:hAnsi="宋体" w:eastAsia="宋体" w:cs="宋体"/>
                <w:color w:val="auto"/>
                <w:sz w:val="24"/>
                <w:szCs w:val="24"/>
                <w:highlight w:val="none"/>
                <w:lang w:val="en-US" w:eastAsia="zh-CN"/>
              </w:rPr>
              <w:t>分；</w:t>
            </w:r>
          </w:p>
          <w:p w14:paraId="315F9BEC">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3、提出的问题和对应的方案不够齐全完善，提供的资料和照片比较简单、片面的得</w:t>
            </w:r>
            <w:r>
              <w:rPr>
                <w:rFonts w:hint="eastAsia" w:ascii="宋体" w:hAnsi="宋体" w:cs="宋体"/>
                <w:color w:val="auto"/>
                <w:sz w:val="24"/>
                <w:szCs w:val="24"/>
                <w:highlight w:val="none"/>
                <w:lang w:val="en-US" w:eastAsia="zh-CN"/>
              </w:rPr>
              <w:t>3.4-5</w:t>
            </w:r>
            <w:r>
              <w:rPr>
                <w:rFonts w:hint="eastAsia" w:ascii="宋体" w:hAnsi="宋体" w:eastAsia="宋体" w:cs="宋体"/>
                <w:color w:val="auto"/>
                <w:sz w:val="24"/>
                <w:szCs w:val="24"/>
                <w:highlight w:val="none"/>
                <w:lang w:val="en-US" w:eastAsia="zh-CN"/>
              </w:rPr>
              <w:t>分；</w:t>
            </w:r>
          </w:p>
          <w:p w14:paraId="642916E5">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4、提出的问题和对应的方案没有针对性，针对实际情况提供资料和照片片面不完整的得1</w:t>
            </w:r>
            <w:r>
              <w:rPr>
                <w:rFonts w:hint="eastAsia" w:ascii="宋体" w:hAnsi="宋体" w:cs="宋体"/>
                <w:color w:val="auto"/>
                <w:sz w:val="24"/>
                <w:szCs w:val="24"/>
                <w:highlight w:val="none"/>
                <w:lang w:val="en-US" w:eastAsia="zh-CN"/>
              </w:rPr>
              <w:t>.7-3.3</w:t>
            </w:r>
            <w:r>
              <w:rPr>
                <w:rFonts w:hint="eastAsia" w:ascii="宋体" w:hAnsi="宋体" w:eastAsia="宋体" w:cs="宋体"/>
                <w:color w:val="auto"/>
                <w:sz w:val="24"/>
                <w:szCs w:val="24"/>
                <w:highlight w:val="none"/>
                <w:lang w:val="en-US" w:eastAsia="zh-CN"/>
              </w:rPr>
              <w:t>分；</w:t>
            </w:r>
          </w:p>
          <w:p w14:paraId="6F0BB762">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5、提出的问题和对应的方案不切实际，缺少内容的为得0.1-</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lang w:val="en-US" w:eastAsia="zh-CN"/>
              </w:rPr>
              <w:t>分；</w:t>
            </w:r>
          </w:p>
          <w:p w14:paraId="6003CA4D">
            <w:pPr>
              <w:pStyle w:val="47"/>
              <w:keepNext w:val="0"/>
              <w:keepLines w:val="0"/>
              <w:suppressLineNumbers w:val="0"/>
              <w:spacing w:before="0" w:beforeAutospacing="0" w:afterAutospacing="0"/>
              <w:ind w:left="0" w:leftChars="0" w:right="0" w:firstLine="0" w:firstLineChars="0"/>
              <w:rPr>
                <w:rFonts w:hint="default"/>
                <w:color w:val="auto"/>
                <w:sz w:val="24"/>
                <w:szCs w:val="24"/>
                <w:highlight w:val="none"/>
                <w:lang w:val="en-US"/>
              </w:rPr>
            </w:pPr>
            <w:r>
              <w:rPr>
                <w:rFonts w:hint="eastAsia" w:ascii="宋体" w:hAnsi="宋体" w:eastAsia="宋体" w:cs="宋体"/>
                <w:color w:val="auto"/>
                <w:sz w:val="24"/>
                <w:szCs w:val="24"/>
                <w:highlight w:val="none"/>
                <w:lang w:val="en-US" w:eastAsia="zh-CN"/>
              </w:rPr>
              <w:t>6、未提供不得分。</w:t>
            </w:r>
          </w:p>
        </w:tc>
        <w:tc>
          <w:tcPr>
            <w:tcW w:w="780" w:type="dxa"/>
            <w:vAlign w:val="center"/>
          </w:tcPr>
          <w:p w14:paraId="55765DDE">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8</w:t>
            </w:r>
          </w:p>
        </w:tc>
      </w:tr>
      <w:tr w14:paraId="0B51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Merge w:val="continue"/>
            <w:vAlign w:val="center"/>
          </w:tcPr>
          <w:p w14:paraId="6D5C681E">
            <w:pPr>
              <w:keepNext w:val="0"/>
              <w:keepLines w:val="0"/>
              <w:pageBreakBefore w:val="0"/>
              <w:suppressLineNumbers w:val="0"/>
              <w:kinsoku/>
              <w:wordWrap/>
              <w:overflowPunct/>
              <w:topLinePunct w:val="0"/>
              <w:bidi w:val="0"/>
              <w:spacing w:before="0" w:beforeAutospacing="0" w:after="0" w:afterAutospacing="0" w:line="440" w:lineRule="exact"/>
              <w:ind w:left="0" w:right="0"/>
              <w:jc w:val="center"/>
              <w:rPr>
                <w:rFonts w:hint="eastAsia" w:ascii="宋体" w:hAnsi="宋体" w:eastAsia="宋体" w:cs="宋体"/>
                <w:b/>
                <w:bCs/>
                <w:color w:val="auto"/>
                <w:sz w:val="24"/>
                <w:szCs w:val="24"/>
                <w:highlight w:val="none"/>
                <w:lang w:val="en-US" w:eastAsia="zh-CN"/>
              </w:rPr>
            </w:pPr>
          </w:p>
        </w:tc>
        <w:tc>
          <w:tcPr>
            <w:tcW w:w="1267" w:type="dxa"/>
            <w:vMerge w:val="continue"/>
            <w:vAlign w:val="center"/>
          </w:tcPr>
          <w:p w14:paraId="391F7806">
            <w:pPr>
              <w:keepNext w:val="0"/>
              <w:keepLines w:val="0"/>
              <w:pageBreakBefore w:val="0"/>
              <w:suppressLineNumbers w:val="0"/>
              <w:kinsoku/>
              <w:wordWrap/>
              <w:overflowPunct/>
              <w:topLinePunct w:val="0"/>
              <w:bidi w:val="0"/>
              <w:spacing w:before="0" w:beforeAutospacing="0" w:after="0" w:afterAutospacing="0" w:line="440" w:lineRule="exact"/>
              <w:ind w:left="0" w:right="0"/>
              <w:jc w:val="center"/>
              <w:rPr>
                <w:rFonts w:hint="eastAsia" w:ascii="宋体" w:hAnsi="宋体" w:eastAsia="宋体" w:cs="宋体"/>
                <w:b/>
                <w:bCs/>
                <w:color w:val="auto"/>
                <w:sz w:val="24"/>
                <w:szCs w:val="24"/>
                <w:highlight w:val="none"/>
              </w:rPr>
            </w:pPr>
          </w:p>
        </w:tc>
        <w:tc>
          <w:tcPr>
            <w:tcW w:w="7112" w:type="dxa"/>
            <w:vAlign w:val="center"/>
          </w:tcPr>
          <w:p w14:paraId="0EFF8D70">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施工期间交通组织：</w:t>
            </w:r>
          </w:p>
          <w:p w14:paraId="6F67AD78">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1、组织机构、工作时间进度表、工作程序和步骤、管理和协调方法等。评委根据投标人提供的方案进行综合比较给分：</w:t>
            </w:r>
          </w:p>
          <w:p w14:paraId="4CFE0C6D">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①服务方案明确，流程规范性强的得2.4-.3.5分；</w:t>
            </w:r>
          </w:p>
          <w:p w14:paraId="616E2E62">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②方案内容较详细，流程规范较强的得1.2-2.3分；</w:t>
            </w:r>
          </w:p>
          <w:p w14:paraId="78706855">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③方案内容一般的得0.1-1.1分。</w:t>
            </w:r>
          </w:p>
          <w:p w14:paraId="3E855A17">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④未提供不得分。</w:t>
            </w:r>
          </w:p>
          <w:p w14:paraId="076E660D">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2、施工人员的培训、着装、各种道路条件下（含夜间、车流量人流量密集等情况）的施工期间临时交通安全设施的设置及安全管理的相关制度等。</w:t>
            </w:r>
          </w:p>
          <w:p w14:paraId="5141AE86">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①方案明确合理，措施制度性强的得2.4-3.5分；</w:t>
            </w:r>
          </w:p>
          <w:p w14:paraId="6CCEEDF0">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②方案较详细，措施制度较强的得1.2-2.3分；</w:t>
            </w:r>
          </w:p>
          <w:p w14:paraId="7506D11F">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③方案内容一般的得0.1-1.1分。</w:t>
            </w:r>
          </w:p>
          <w:p w14:paraId="4809A21E">
            <w:pPr>
              <w:pStyle w:val="47"/>
              <w:keepNext w:val="0"/>
              <w:keepLines w:val="0"/>
              <w:suppressLineNumbers w:val="0"/>
              <w:spacing w:before="0" w:beforeAutospacing="0" w:afterAutospacing="0"/>
              <w:ind w:left="0" w:leftChars="0" w:right="0" w:firstLine="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kern w:val="2"/>
                <w:sz w:val="24"/>
                <w:szCs w:val="24"/>
                <w:highlight w:val="none"/>
                <w:lang w:val="zh-CN" w:eastAsia="zh-CN" w:bidi="ar-SA"/>
              </w:rPr>
              <w:t>④未提供不得分。</w:t>
            </w:r>
          </w:p>
        </w:tc>
        <w:tc>
          <w:tcPr>
            <w:tcW w:w="780" w:type="dxa"/>
            <w:vAlign w:val="center"/>
          </w:tcPr>
          <w:p w14:paraId="31DA1004">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7</w:t>
            </w:r>
          </w:p>
        </w:tc>
      </w:tr>
      <w:tr w14:paraId="77F1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Align w:val="center"/>
          </w:tcPr>
          <w:p w14:paraId="2B1A93A3">
            <w:pPr>
              <w:keepNext w:val="0"/>
              <w:keepLines w:val="0"/>
              <w:pageBreakBefore w:val="0"/>
              <w:suppressLineNumbers w:val="0"/>
              <w:kinsoku/>
              <w:wordWrap/>
              <w:overflowPunct/>
              <w:topLinePunct w:val="0"/>
              <w:bidi w:val="0"/>
              <w:spacing w:before="0" w:beforeAutospacing="0" w:after="0" w:afterAutospacing="0" w:line="440" w:lineRule="exact"/>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w:t>
            </w:r>
          </w:p>
        </w:tc>
        <w:tc>
          <w:tcPr>
            <w:tcW w:w="1267" w:type="dxa"/>
            <w:vAlign w:val="center"/>
          </w:tcPr>
          <w:p w14:paraId="5CF2F48F">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效果对比实施方案</w:t>
            </w:r>
          </w:p>
          <w:p w14:paraId="24615AF0">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(3分</w:t>
            </w:r>
            <w:r>
              <w:rPr>
                <w:rFonts w:hint="eastAsia" w:ascii="宋体" w:hAnsi="宋体" w:eastAsia="宋体" w:cs="宋体"/>
                <w:b/>
                <w:bCs/>
                <w:color w:val="auto"/>
                <w:sz w:val="24"/>
                <w:szCs w:val="24"/>
                <w:highlight w:val="none"/>
                <w:lang w:eastAsia="zh-CN"/>
              </w:rPr>
              <w:t>）</w:t>
            </w:r>
          </w:p>
        </w:tc>
        <w:tc>
          <w:tcPr>
            <w:tcW w:w="7112" w:type="dxa"/>
            <w:vAlign w:val="center"/>
          </w:tcPr>
          <w:p w14:paraId="6AB91256">
            <w:pPr>
              <w:keepNext w:val="0"/>
              <w:keepLines w:val="0"/>
              <w:pageBreakBefore w:val="0"/>
              <w:widowControl/>
              <w:numPr>
                <w:ilvl w:val="0"/>
                <w:numId w:val="0"/>
              </w:numPr>
              <w:suppressLineNumbers w:val="0"/>
              <w:kinsoku/>
              <w:wordWrap/>
              <w:overflowPunct/>
              <w:topLinePunct w:val="0"/>
              <w:bidi w:val="0"/>
              <w:spacing w:before="0" w:beforeAutospacing="0" w:after="0" w:afterAutospacing="0" w:line="440" w:lineRule="exact"/>
              <w:ind w:left="0" w:leftChars="0" w:right="0" w:rightChars="0"/>
              <w:jc w:val="left"/>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根据工程施工需要，投标人提供沥青路面和水泥路面标线用高压水清除后的前后对比照片各一张（尺寸为A4纸大小。作为中标后施工效果依据之一）并对具体内容进行阐述：</w:t>
            </w:r>
          </w:p>
          <w:p w14:paraId="1272237E">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1、描述的内容阐述详细、完整、清晰的，清除后效果优、无残留印记的，图片前后差距非常明显的且确实可行的得2.1-3分；</w:t>
            </w:r>
          </w:p>
          <w:p w14:paraId="7C929066">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2、描述的内容阐述比较详细、完整、清晰的，清除后效果良、有些许残留印记的，图片前后差距基本明显，且确实可行的得1.1-2分；</w:t>
            </w:r>
          </w:p>
          <w:p w14:paraId="04AB3168">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3、描述的内容阐述不够详细、完整、清晰的，清除后效果差、残留印记多的，图片前后差距不明显的，且可行性差的得0.1-1分；</w:t>
            </w:r>
          </w:p>
          <w:p w14:paraId="79AC2A45">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color w:val="auto"/>
                <w:sz w:val="24"/>
                <w:szCs w:val="24"/>
                <w:highlight w:val="none"/>
                <w:lang w:val="zh-CN"/>
              </w:rPr>
            </w:pPr>
            <w:r>
              <w:rPr>
                <w:rFonts w:hint="eastAsia" w:ascii="宋体" w:hAnsi="宋体" w:eastAsia="宋体" w:cs="宋体"/>
                <w:color w:val="auto"/>
                <w:sz w:val="24"/>
                <w:szCs w:val="24"/>
                <w:highlight w:val="none"/>
                <w:lang w:val="en-US" w:eastAsia="zh-CN"/>
              </w:rPr>
              <w:t>4、未提供或无阐述的不得分。</w:t>
            </w:r>
          </w:p>
        </w:tc>
        <w:tc>
          <w:tcPr>
            <w:tcW w:w="780" w:type="dxa"/>
            <w:vAlign w:val="center"/>
          </w:tcPr>
          <w:p w14:paraId="2FB368D8">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w:t>
            </w:r>
          </w:p>
        </w:tc>
      </w:tr>
      <w:tr w14:paraId="0485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Align w:val="center"/>
          </w:tcPr>
          <w:p w14:paraId="78C92A1C">
            <w:pPr>
              <w:keepNext w:val="0"/>
              <w:keepLines w:val="0"/>
              <w:pageBreakBefore w:val="0"/>
              <w:suppressLineNumbers w:val="0"/>
              <w:kinsoku/>
              <w:wordWrap/>
              <w:overflowPunct/>
              <w:topLinePunct w:val="0"/>
              <w:bidi w:val="0"/>
              <w:spacing w:before="0" w:beforeAutospacing="0" w:after="0" w:afterAutospacing="0" w:line="440" w:lineRule="exact"/>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w:t>
            </w:r>
          </w:p>
        </w:tc>
        <w:tc>
          <w:tcPr>
            <w:tcW w:w="1267" w:type="dxa"/>
            <w:vAlign w:val="center"/>
          </w:tcPr>
          <w:p w14:paraId="552A3A56">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售后服务（6分）</w:t>
            </w:r>
          </w:p>
        </w:tc>
        <w:tc>
          <w:tcPr>
            <w:tcW w:w="7112" w:type="dxa"/>
            <w:vAlign w:val="center"/>
          </w:tcPr>
          <w:p w14:paraId="2FDB0875">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售后服务方案、响应速度、服务内容、服务人员、供货时间、备品备件等方面进行打分：</w:t>
            </w:r>
          </w:p>
          <w:p w14:paraId="3779CA43">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1、项目售后措施明确、实施切合本项目实际，保障得力，人力充分，响应高效，预案合理、明确，及时及可行并优于项目要求的得5-6分；</w:t>
            </w:r>
          </w:p>
          <w:p w14:paraId="4B4D4150">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2、项目售后措施比较明确、实施基本符合本项目实际，售后过程中各个节点安排基本详细、明确，可行满足要求的得3.8-4.9分；</w:t>
            </w:r>
          </w:p>
          <w:p w14:paraId="2EDA5C2D">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3、项目售后措施比较简单、实施符合本项目实际、售后保障比较得力，人力比较充分，响应比较高效，预案比较合理的得2.5-3.7分；</w:t>
            </w:r>
          </w:p>
          <w:p w14:paraId="7F0F3BFF">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4、项目售后措施不够明确、售后保障一般，人力一般，响应一般，预案一般得1.3-2.5分。</w:t>
            </w:r>
          </w:p>
          <w:p w14:paraId="1BF2A11F">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5、内容不全，措施欠缺，保障低下的得0.1-1.2分；</w:t>
            </w:r>
          </w:p>
          <w:p w14:paraId="40621A81">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6、未提供不得分。</w:t>
            </w:r>
          </w:p>
        </w:tc>
        <w:tc>
          <w:tcPr>
            <w:tcW w:w="780" w:type="dxa"/>
            <w:vAlign w:val="center"/>
          </w:tcPr>
          <w:p w14:paraId="1F7DE7DC">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0-6</w:t>
            </w:r>
          </w:p>
        </w:tc>
      </w:tr>
      <w:tr w14:paraId="24AF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Merge w:val="restart"/>
            <w:vAlign w:val="center"/>
          </w:tcPr>
          <w:p w14:paraId="520F9B78">
            <w:pPr>
              <w:keepNext w:val="0"/>
              <w:keepLines w:val="0"/>
              <w:pageBreakBefore w:val="0"/>
              <w:suppressLineNumbers w:val="0"/>
              <w:kinsoku/>
              <w:wordWrap/>
              <w:overflowPunct/>
              <w:topLinePunct w:val="0"/>
              <w:bidi w:val="0"/>
              <w:spacing w:before="0" w:beforeAutospacing="0" w:after="0" w:afterAutospacing="0" w:line="440" w:lineRule="exact"/>
              <w:ind w:left="0" w:right="0"/>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8</w:t>
            </w:r>
          </w:p>
        </w:tc>
        <w:tc>
          <w:tcPr>
            <w:tcW w:w="1267" w:type="dxa"/>
            <w:vMerge w:val="restart"/>
            <w:vAlign w:val="center"/>
          </w:tcPr>
          <w:p w14:paraId="30EA5775">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样品</w:t>
            </w:r>
          </w:p>
          <w:p w14:paraId="3357BF93">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lang w:val="en-US" w:eastAsia="zh-CN"/>
              </w:rPr>
              <w:t>分）</w:t>
            </w:r>
          </w:p>
          <w:p w14:paraId="4DFBCC36">
            <w:pPr>
              <w:pStyle w:val="47"/>
              <w:keepNext w:val="0"/>
              <w:keepLines w:val="0"/>
              <w:suppressLineNumbers w:val="0"/>
              <w:spacing w:before="0" w:beforeAutospacing="0" w:afterAutospacing="0"/>
              <w:ind w:right="0"/>
              <w:rPr>
                <w:rFonts w:hint="eastAsia"/>
                <w:color w:val="auto"/>
                <w:sz w:val="24"/>
                <w:szCs w:val="24"/>
                <w:highlight w:val="none"/>
                <w:lang w:val="en-US" w:eastAsia="zh-CN"/>
              </w:rPr>
            </w:pPr>
          </w:p>
          <w:p w14:paraId="7C6368E4">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b/>
                <w:bCs/>
                <w:color w:val="auto"/>
                <w:sz w:val="24"/>
                <w:szCs w:val="24"/>
                <w:highlight w:val="none"/>
                <w:lang w:val="en-US" w:eastAsia="zh-CN"/>
              </w:rPr>
            </w:pPr>
          </w:p>
        </w:tc>
        <w:tc>
          <w:tcPr>
            <w:tcW w:w="7112" w:type="dxa"/>
            <w:vAlign w:val="center"/>
          </w:tcPr>
          <w:p w14:paraId="5E13F7F7">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注：随样品递交样品清单一份，注明样品材质、型号、品牌等信息。</w:t>
            </w:r>
          </w:p>
          <w:p w14:paraId="73F67B75">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样品上不得体现或影射投标人的信息，否则按无效标处理。</w:t>
            </w:r>
          </w:p>
        </w:tc>
        <w:tc>
          <w:tcPr>
            <w:tcW w:w="780" w:type="dxa"/>
            <w:vAlign w:val="center"/>
          </w:tcPr>
          <w:p w14:paraId="0B98C7D0">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p>
        </w:tc>
      </w:tr>
      <w:tr w14:paraId="1BE2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736" w:type="dxa"/>
            <w:vMerge w:val="continue"/>
            <w:vAlign w:val="center"/>
          </w:tcPr>
          <w:p w14:paraId="6E61362E">
            <w:pPr>
              <w:keepNext w:val="0"/>
              <w:keepLines w:val="0"/>
              <w:pageBreakBefore w:val="0"/>
              <w:suppressLineNumbers w:val="0"/>
              <w:kinsoku/>
              <w:wordWrap/>
              <w:overflowPunct/>
              <w:topLinePunct w:val="0"/>
              <w:bidi w:val="0"/>
              <w:spacing w:before="0" w:beforeAutospacing="0" w:after="0" w:afterAutospacing="0" w:line="440" w:lineRule="exact"/>
              <w:ind w:left="0" w:right="0"/>
              <w:jc w:val="center"/>
              <w:rPr>
                <w:rFonts w:hint="eastAsia" w:ascii="宋体" w:hAnsi="宋体" w:eastAsia="宋体" w:cs="宋体"/>
                <w:b/>
                <w:bCs/>
                <w:color w:val="auto"/>
                <w:sz w:val="24"/>
                <w:szCs w:val="24"/>
                <w:highlight w:val="none"/>
                <w:lang w:val="en-US" w:eastAsia="zh-CN"/>
              </w:rPr>
            </w:pPr>
          </w:p>
        </w:tc>
        <w:tc>
          <w:tcPr>
            <w:tcW w:w="1267" w:type="dxa"/>
            <w:vMerge w:val="continue"/>
            <w:vAlign w:val="center"/>
          </w:tcPr>
          <w:p w14:paraId="1F68A8EE">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eastAsia" w:ascii="宋体" w:hAnsi="宋体" w:eastAsia="宋体" w:cs="宋体"/>
                <w:b/>
                <w:bCs/>
                <w:color w:val="auto"/>
                <w:sz w:val="24"/>
                <w:szCs w:val="24"/>
                <w:highlight w:val="none"/>
                <w:lang w:val="en-US" w:eastAsia="zh-CN"/>
              </w:rPr>
            </w:pPr>
          </w:p>
        </w:tc>
        <w:tc>
          <w:tcPr>
            <w:tcW w:w="7112" w:type="dxa"/>
            <w:vAlign w:val="center"/>
          </w:tcPr>
          <w:p w14:paraId="2741A24B">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1、铝板上画0.5米长15公分宽的普通热熔振荡标线(白色)，根据</w:t>
            </w:r>
          </w:p>
          <w:p w14:paraId="0E949FC5">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投标样品的材质、产品品质等进行评价:最高得4分。(</w:t>
            </w:r>
            <w:r>
              <w:rPr>
                <w:rFonts w:hint="eastAsia" w:ascii="宋体" w:hAnsi="宋体" w:cs="宋体"/>
                <w:color w:val="auto"/>
                <w:sz w:val="24"/>
                <w:szCs w:val="24"/>
                <w:highlight w:val="none"/>
                <w:lang w:val="en-US" w:eastAsia="zh-CN"/>
              </w:rPr>
              <w:t>须同时</w:t>
            </w:r>
            <w:r>
              <w:rPr>
                <w:rFonts w:hint="eastAsia" w:ascii="宋体" w:hAnsi="宋体" w:eastAsia="宋体" w:cs="宋体"/>
                <w:color w:val="auto"/>
                <w:sz w:val="24"/>
                <w:szCs w:val="24"/>
                <w:highlight w:val="none"/>
                <w:lang w:val="en-US" w:eastAsia="zh-CN"/>
              </w:rPr>
              <w:t>提供涂料检测报告扫描件，</w:t>
            </w:r>
            <w:r>
              <w:rPr>
                <w:rFonts w:hint="eastAsia" w:ascii="宋体" w:hAnsi="宋体" w:cs="宋体"/>
                <w:color w:val="auto"/>
                <w:sz w:val="24"/>
                <w:szCs w:val="24"/>
                <w:highlight w:val="none"/>
                <w:lang w:val="en-US" w:eastAsia="zh-CN"/>
              </w:rPr>
              <w:t>未</w:t>
            </w:r>
            <w:r>
              <w:rPr>
                <w:rFonts w:hint="eastAsia" w:ascii="宋体" w:hAnsi="宋体" w:eastAsia="宋体" w:cs="宋体"/>
                <w:color w:val="auto"/>
                <w:sz w:val="24"/>
                <w:szCs w:val="24"/>
                <w:highlight w:val="none"/>
                <w:lang w:val="en-US" w:eastAsia="zh-CN"/>
              </w:rPr>
              <w:t>提供不得分)：</w:t>
            </w:r>
          </w:p>
          <w:p w14:paraId="28C47734">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①样品的材质、产品品质等质量高的得2.</w:t>
            </w:r>
            <w:r>
              <w:rPr>
                <w:rFonts w:hint="eastAsia" w:ascii="宋体" w:hAnsi="宋体" w:cs="宋体"/>
                <w:color w:val="auto"/>
                <w:sz w:val="24"/>
                <w:szCs w:val="24"/>
                <w:highlight w:val="none"/>
                <w:lang w:val="en-US" w:eastAsia="zh-CN"/>
              </w:rPr>
              <w:t>8-4</w:t>
            </w:r>
            <w:r>
              <w:rPr>
                <w:rFonts w:hint="eastAsia" w:ascii="宋体" w:hAnsi="宋体" w:eastAsia="宋体" w:cs="宋体"/>
                <w:color w:val="auto"/>
                <w:sz w:val="24"/>
                <w:szCs w:val="24"/>
                <w:highlight w:val="none"/>
                <w:lang w:val="en-US" w:eastAsia="zh-CN"/>
              </w:rPr>
              <w:t>分；</w:t>
            </w:r>
          </w:p>
          <w:p w14:paraId="241DBC45">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②样品的材质、产品品质等质量一般的得1.</w:t>
            </w:r>
            <w:r>
              <w:rPr>
                <w:rFonts w:hint="eastAsia" w:ascii="宋体" w:hAnsi="宋体" w:cs="宋体"/>
                <w:color w:val="auto"/>
                <w:sz w:val="24"/>
                <w:szCs w:val="24"/>
                <w:highlight w:val="none"/>
                <w:lang w:val="en-US" w:eastAsia="zh-CN"/>
              </w:rPr>
              <w:t>4-2.7</w:t>
            </w:r>
            <w:r>
              <w:rPr>
                <w:rFonts w:hint="eastAsia" w:ascii="宋体" w:hAnsi="宋体" w:eastAsia="宋体" w:cs="宋体"/>
                <w:color w:val="auto"/>
                <w:sz w:val="24"/>
                <w:szCs w:val="24"/>
                <w:highlight w:val="none"/>
                <w:lang w:val="en-US" w:eastAsia="zh-CN"/>
              </w:rPr>
              <w:t>分；</w:t>
            </w:r>
          </w:p>
          <w:p w14:paraId="70FADF81">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③样品的材质、产品品质等质量较差的得0.1-</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分；</w:t>
            </w:r>
          </w:p>
          <w:p w14:paraId="2384CA8B">
            <w:pPr>
              <w:pStyle w:val="47"/>
              <w:keepNext w:val="0"/>
              <w:keepLines w:val="0"/>
              <w:suppressLineNumbers w:val="0"/>
              <w:spacing w:before="0" w:beforeAutospacing="0" w:afterAutospacing="0"/>
              <w:ind w:left="0" w:leftChars="0" w:right="0" w:firstLine="0" w:firstLineChars="0"/>
              <w:jc w:val="left"/>
              <w:rPr>
                <w:rFonts w:hint="eastAsia"/>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④未提供不得分。</w:t>
            </w:r>
          </w:p>
        </w:tc>
        <w:tc>
          <w:tcPr>
            <w:tcW w:w="780" w:type="dxa"/>
            <w:vMerge w:val="restart"/>
            <w:vAlign w:val="center"/>
          </w:tcPr>
          <w:p w14:paraId="4518CBD0">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11</w:t>
            </w:r>
          </w:p>
        </w:tc>
      </w:tr>
      <w:tr w14:paraId="1C94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Merge w:val="continue"/>
            <w:vAlign w:val="center"/>
          </w:tcPr>
          <w:p w14:paraId="008CB68C">
            <w:pPr>
              <w:keepNext w:val="0"/>
              <w:keepLines w:val="0"/>
              <w:pageBreakBefore w:val="0"/>
              <w:suppressLineNumbers w:val="0"/>
              <w:kinsoku/>
              <w:wordWrap/>
              <w:overflowPunct/>
              <w:topLinePunct w:val="0"/>
              <w:bidi w:val="0"/>
              <w:spacing w:before="0" w:beforeAutospacing="0" w:after="0" w:afterAutospacing="0" w:line="440" w:lineRule="exact"/>
              <w:ind w:left="0" w:right="0"/>
              <w:jc w:val="center"/>
              <w:rPr>
                <w:rFonts w:hint="eastAsia" w:ascii="宋体" w:hAnsi="宋体" w:eastAsia="宋体" w:cs="宋体"/>
                <w:b/>
                <w:bCs/>
                <w:color w:val="auto"/>
                <w:sz w:val="24"/>
                <w:szCs w:val="24"/>
                <w:highlight w:val="none"/>
                <w:lang w:val="en-US" w:eastAsia="zh-CN"/>
              </w:rPr>
            </w:pPr>
          </w:p>
        </w:tc>
        <w:tc>
          <w:tcPr>
            <w:tcW w:w="1267" w:type="dxa"/>
            <w:vMerge w:val="continue"/>
            <w:vAlign w:val="center"/>
          </w:tcPr>
          <w:p w14:paraId="4F7D36B8">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b/>
                <w:bCs/>
                <w:color w:val="auto"/>
                <w:sz w:val="24"/>
                <w:szCs w:val="24"/>
                <w:highlight w:val="none"/>
              </w:rPr>
            </w:pPr>
          </w:p>
        </w:tc>
        <w:tc>
          <w:tcPr>
            <w:tcW w:w="7112" w:type="dxa"/>
            <w:vAlign w:val="center"/>
          </w:tcPr>
          <w:p w14:paraId="6C3292C2">
            <w:pPr>
              <w:pStyle w:val="47"/>
              <w:keepNext w:val="0"/>
              <w:keepLines w:val="0"/>
              <w:numPr>
                <w:ilvl w:val="0"/>
                <w:numId w:val="0"/>
              </w:numPr>
              <w:suppressLineNumbers w:val="0"/>
              <w:spacing w:before="0" w:beforeAutospacing="0" w:afterAutospacing="0"/>
              <w:ind w:leftChars="0" w:right="0" w:right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铝板上画0.5米长15公分宽普通热熔标线(白色)</w:t>
            </w:r>
            <w:r>
              <w:rPr>
                <w:rFonts w:hint="eastAsia" w:ascii="宋体" w:hAnsi="宋体" w:eastAsia="宋体" w:cs="宋体"/>
                <w:color w:val="auto"/>
                <w:sz w:val="24"/>
                <w:szCs w:val="24"/>
                <w:highlight w:val="none"/>
                <w:lang w:val="zh-CN"/>
              </w:rPr>
              <w:t>，根据投标样</w:t>
            </w:r>
          </w:p>
          <w:p w14:paraId="16788D10">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品的材质、产品品质等进行评价:最高得4分。</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须同时</w:t>
            </w:r>
            <w:r>
              <w:rPr>
                <w:rFonts w:hint="eastAsia" w:ascii="宋体" w:hAnsi="宋体" w:eastAsia="宋体" w:cs="宋体"/>
                <w:color w:val="auto"/>
                <w:sz w:val="24"/>
                <w:szCs w:val="24"/>
                <w:highlight w:val="none"/>
                <w:lang w:val="en-US" w:eastAsia="zh-CN"/>
              </w:rPr>
              <w:t>提供涂料检测报告扫描件，</w:t>
            </w:r>
            <w:r>
              <w:rPr>
                <w:rFonts w:hint="eastAsia" w:ascii="宋体" w:hAnsi="宋体" w:cs="宋体"/>
                <w:color w:val="auto"/>
                <w:sz w:val="24"/>
                <w:szCs w:val="24"/>
                <w:highlight w:val="none"/>
                <w:lang w:val="en-US" w:eastAsia="zh-CN"/>
              </w:rPr>
              <w:t>未</w:t>
            </w:r>
            <w:r>
              <w:rPr>
                <w:rFonts w:hint="eastAsia" w:ascii="宋体" w:hAnsi="宋体" w:eastAsia="宋体" w:cs="宋体"/>
                <w:color w:val="auto"/>
                <w:sz w:val="24"/>
                <w:szCs w:val="24"/>
                <w:highlight w:val="none"/>
                <w:lang w:val="en-US" w:eastAsia="zh-CN"/>
              </w:rPr>
              <w:t>提供不得分)：</w:t>
            </w:r>
          </w:p>
          <w:p w14:paraId="1546C51B">
            <w:pPr>
              <w:pStyle w:val="47"/>
              <w:keepNext w:val="0"/>
              <w:keepLines w:val="0"/>
              <w:numPr>
                <w:ilvl w:val="0"/>
                <w:numId w:val="0"/>
              </w:numPr>
              <w:suppressLineNumbers w:val="0"/>
              <w:spacing w:before="0" w:beforeAutospacing="0" w:afterAutospacing="0"/>
              <w:ind w:leftChars="0" w:right="0" w:right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val="zh-CN"/>
              </w:rPr>
              <w:t>样品的材质、产品品质等质量高的得2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8-4</w:t>
            </w:r>
            <w:r>
              <w:rPr>
                <w:rFonts w:hint="eastAsia" w:ascii="宋体" w:hAnsi="宋体" w:eastAsia="宋体" w:cs="宋体"/>
                <w:color w:val="auto"/>
                <w:sz w:val="24"/>
                <w:szCs w:val="24"/>
                <w:highlight w:val="none"/>
                <w:lang w:val="zh-CN"/>
              </w:rPr>
              <w:t>分；</w:t>
            </w:r>
          </w:p>
          <w:p w14:paraId="2BD9838E">
            <w:pPr>
              <w:pStyle w:val="47"/>
              <w:keepNext w:val="0"/>
              <w:keepLines w:val="0"/>
              <w:suppressLineNumbers w:val="0"/>
              <w:spacing w:before="0" w:beforeAutospacing="0" w:afterAutospacing="0"/>
              <w:ind w:left="0" w:leftChars="0" w:right="0" w:firstLine="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zh-CN"/>
              </w:rPr>
              <w:t>样品的材质、产品品质等质量一般的得</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4-2.7</w:t>
            </w:r>
            <w:r>
              <w:rPr>
                <w:rFonts w:hint="eastAsia" w:ascii="宋体" w:hAnsi="宋体" w:eastAsia="宋体" w:cs="宋体"/>
                <w:color w:val="auto"/>
                <w:sz w:val="24"/>
                <w:szCs w:val="24"/>
                <w:highlight w:val="none"/>
                <w:lang w:val="zh-CN"/>
              </w:rPr>
              <w:t>分；</w:t>
            </w:r>
          </w:p>
          <w:p w14:paraId="51AE3587">
            <w:pPr>
              <w:pStyle w:val="47"/>
              <w:keepNext w:val="0"/>
              <w:keepLines w:val="0"/>
              <w:suppressLineNumbers w:val="0"/>
              <w:spacing w:before="0" w:beforeAutospacing="0" w:afterAutospacing="0"/>
              <w:ind w:left="0" w:leftChars="0" w:right="0" w:firstLine="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zh-CN"/>
              </w:rPr>
              <w:t>样品的材质、产品品质等质量较差的得</w:t>
            </w:r>
            <w:r>
              <w:rPr>
                <w:rFonts w:hint="eastAsia" w:ascii="宋体" w:hAnsi="宋体" w:eastAsia="宋体" w:cs="宋体"/>
                <w:color w:val="auto"/>
                <w:sz w:val="24"/>
                <w:szCs w:val="24"/>
                <w:highlight w:val="none"/>
                <w:lang w:val="en-US" w:eastAsia="zh-CN"/>
              </w:rPr>
              <w:t>0.1-1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分；</w:t>
            </w:r>
          </w:p>
          <w:p w14:paraId="66992ECA">
            <w:pPr>
              <w:pStyle w:val="47"/>
              <w:keepNext w:val="0"/>
              <w:keepLines w:val="0"/>
              <w:suppressLineNumbers w:val="0"/>
              <w:spacing w:before="0" w:beforeAutospacing="0" w:afterAutospacing="0"/>
              <w:ind w:left="0" w:leftChars="0" w:right="0" w:firstLine="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④未提供不得分。</w:t>
            </w:r>
          </w:p>
        </w:tc>
        <w:tc>
          <w:tcPr>
            <w:tcW w:w="780" w:type="dxa"/>
            <w:vMerge w:val="continue"/>
            <w:vAlign w:val="center"/>
          </w:tcPr>
          <w:p w14:paraId="24FB23E5">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zh-CN"/>
              </w:rPr>
            </w:pPr>
          </w:p>
        </w:tc>
      </w:tr>
      <w:tr w14:paraId="6043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jc w:val="center"/>
        </w:trPr>
        <w:tc>
          <w:tcPr>
            <w:tcW w:w="736" w:type="dxa"/>
            <w:vMerge w:val="continue"/>
            <w:vAlign w:val="center"/>
          </w:tcPr>
          <w:p w14:paraId="5BBAAF61">
            <w:pPr>
              <w:keepNext w:val="0"/>
              <w:keepLines w:val="0"/>
              <w:pageBreakBefore w:val="0"/>
              <w:suppressLineNumbers w:val="0"/>
              <w:kinsoku/>
              <w:wordWrap/>
              <w:overflowPunct/>
              <w:topLinePunct w:val="0"/>
              <w:bidi w:val="0"/>
              <w:spacing w:before="0" w:beforeAutospacing="0" w:after="0" w:afterAutospacing="0" w:line="440" w:lineRule="exact"/>
              <w:ind w:left="0" w:right="0"/>
              <w:jc w:val="center"/>
              <w:rPr>
                <w:rFonts w:hint="eastAsia" w:ascii="宋体" w:hAnsi="宋体" w:eastAsia="宋体" w:cs="宋体"/>
                <w:b/>
                <w:bCs/>
                <w:color w:val="auto"/>
                <w:sz w:val="24"/>
                <w:szCs w:val="24"/>
                <w:highlight w:val="none"/>
                <w:lang w:val="en-US" w:eastAsia="zh-CN"/>
              </w:rPr>
            </w:pPr>
          </w:p>
        </w:tc>
        <w:tc>
          <w:tcPr>
            <w:tcW w:w="1267" w:type="dxa"/>
            <w:vMerge w:val="continue"/>
            <w:vAlign w:val="center"/>
          </w:tcPr>
          <w:p w14:paraId="0C4148C5">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b/>
                <w:bCs/>
                <w:color w:val="auto"/>
                <w:sz w:val="24"/>
                <w:szCs w:val="24"/>
                <w:highlight w:val="none"/>
              </w:rPr>
            </w:pPr>
          </w:p>
        </w:tc>
        <w:tc>
          <w:tcPr>
            <w:tcW w:w="7112" w:type="dxa"/>
            <w:vAlign w:val="center"/>
          </w:tcPr>
          <w:p w14:paraId="0C4C39FC">
            <w:pPr>
              <w:pStyle w:val="47"/>
              <w:keepNext w:val="0"/>
              <w:keepLines w:val="0"/>
              <w:numPr>
                <w:ilvl w:val="0"/>
                <w:numId w:val="0"/>
              </w:numPr>
              <w:suppressLineNumbers w:val="0"/>
              <w:spacing w:before="0" w:beforeAutospacing="0" w:afterAutospacing="0"/>
              <w:ind w:leftChars="0" w:right="0" w:right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铝板上画0.5米长15公分宽普通热熔标线(黄色)</w:t>
            </w:r>
            <w:r>
              <w:rPr>
                <w:rFonts w:hint="eastAsia" w:ascii="宋体" w:hAnsi="宋体" w:eastAsia="宋体" w:cs="宋体"/>
                <w:color w:val="auto"/>
                <w:sz w:val="24"/>
                <w:szCs w:val="24"/>
                <w:highlight w:val="none"/>
                <w:lang w:val="zh-CN"/>
              </w:rPr>
              <w:t>，根据投标样</w:t>
            </w:r>
          </w:p>
          <w:p w14:paraId="2B1EA41F">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品的材质、产品品质等进行评价:最高得3分。</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须同时</w:t>
            </w:r>
            <w:r>
              <w:rPr>
                <w:rFonts w:hint="eastAsia" w:ascii="宋体" w:hAnsi="宋体" w:eastAsia="宋体" w:cs="宋体"/>
                <w:color w:val="auto"/>
                <w:sz w:val="24"/>
                <w:szCs w:val="24"/>
                <w:highlight w:val="none"/>
                <w:lang w:val="en-US" w:eastAsia="zh-CN"/>
              </w:rPr>
              <w:t>提供涂料检测报告扫描件，</w:t>
            </w:r>
            <w:r>
              <w:rPr>
                <w:rFonts w:hint="eastAsia" w:ascii="宋体" w:hAnsi="宋体" w:cs="宋体"/>
                <w:color w:val="auto"/>
                <w:sz w:val="24"/>
                <w:szCs w:val="24"/>
                <w:highlight w:val="none"/>
                <w:lang w:val="en-US" w:eastAsia="zh-CN"/>
              </w:rPr>
              <w:t>未</w:t>
            </w:r>
            <w:r>
              <w:rPr>
                <w:rFonts w:hint="eastAsia" w:ascii="宋体" w:hAnsi="宋体" w:eastAsia="宋体" w:cs="宋体"/>
                <w:color w:val="auto"/>
                <w:sz w:val="24"/>
                <w:szCs w:val="24"/>
                <w:highlight w:val="none"/>
                <w:lang w:val="en-US" w:eastAsia="zh-CN"/>
              </w:rPr>
              <w:t>提供不得分)：</w:t>
            </w:r>
          </w:p>
          <w:p w14:paraId="7DD885DE">
            <w:pPr>
              <w:pStyle w:val="47"/>
              <w:keepNext w:val="0"/>
              <w:keepLines w:val="0"/>
              <w:numPr>
                <w:ilvl w:val="0"/>
                <w:numId w:val="0"/>
              </w:numPr>
              <w:suppressLineNumbers w:val="0"/>
              <w:spacing w:before="0" w:beforeAutospacing="0" w:afterAutospacing="0"/>
              <w:ind w:leftChars="0" w:right="0" w:right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val="zh-CN"/>
              </w:rPr>
              <w:t>样品的材质、产品品质等质量高的得</w:t>
            </w:r>
            <w:r>
              <w:rPr>
                <w:rFonts w:hint="eastAsia" w:ascii="宋体" w:hAnsi="宋体" w:eastAsia="宋体" w:cs="宋体"/>
                <w:color w:val="auto"/>
                <w:sz w:val="24"/>
                <w:szCs w:val="24"/>
                <w:highlight w:val="none"/>
                <w:lang w:val="en-US" w:eastAsia="zh-CN"/>
              </w:rPr>
              <w:t>2.1-3</w:t>
            </w:r>
            <w:r>
              <w:rPr>
                <w:rFonts w:hint="eastAsia" w:ascii="宋体" w:hAnsi="宋体" w:eastAsia="宋体" w:cs="宋体"/>
                <w:color w:val="auto"/>
                <w:sz w:val="24"/>
                <w:szCs w:val="24"/>
                <w:highlight w:val="none"/>
                <w:lang w:val="zh-CN"/>
              </w:rPr>
              <w:t>分；</w:t>
            </w:r>
          </w:p>
          <w:p w14:paraId="51D8BEA3">
            <w:pPr>
              <w:pStyle w:val="47"/>
              <w:keepNext w:val="0"/>
              <w:keepLines w:val="0"/>
              <w:suppressLineNumbers w:val="0"/>
              <w:spacing w:before="0" w:beforeAutospacing="0" w:afterAutospacing="0"/>
              <w:ind w:left="0" w:leftChars="0" w:right="0" w:firstLine="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zh-CN"/>
              </w:rPr>
              <w:t>样品的材质、产品品质等质量一般的得</w:t>
            </w:r>
            <w:r>
              <w:rPr>
                <w:rFonts w:hint="eastAsia" w:ascii="宋体" w:hAnsi="宋体" w:eastAsia="宋体" w:cs="宋体"/>
                <w:color w:val="auto"/>
                <w:sz w:val="24"/>
                <w:szCs w:val="24"/>
                <w:highlight w:val="none"/>
                <w:lang w:val="en-US" w:eastAsia="zh-CN"/>
              </w:rPr>
              <w:t>1.1-2</w:t>
            </w:r>
            <w:r>
              <w:rPr>
                <w:rFonts w:hint="eastAsia" w:ascii="宋体" w:hAnsi="宋体" w:eastAsia="宋体" w:cs="宋体"/>
                <w:color w:val="auto"/>
                <w:sz w:val="24"/>
                <w:szCs w:val="24"/>
                <w:highlight w:val="none"/>
                <w:lang w:val="zh-CN"/>
              </w:rPr>
              <w:t>分；</w:t>
            </w:r>
          </w:p>
          <w:p w14:paraId="42F2982F">
            <w:pPr>
              <w:pStyle w:val="47"/>
              <w:keepNext w:val="0"/>
              <w:keepLines w:val="0"/>
              <w:suppressLineNumbers w:val="0"/>
              <w:spacing w:before="0" w:beforeAutospacing="0" w:afterAutospacing="0"/>
              <w:ind w:left="0" w:leftChars="0" w:right="0" w:firstLine="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zh-CN"/>
              </w:rPr>
              <w:t>样品的材质、产品品质等质量较差的得</w:t>
            </w:r>
            <w:r>
              <w:rPr>
                <w:rFonts w:hint="eastAsia" w:ascii="宋体" w:hAnsi="宋体" w:eastAsia="宋体" w:cs="宋体"/>
                <w:color w:val="auto"/>
                <w:sz w:val="24"/>
                <w:szCs w:val="24"/>
                <w:highlight w:val="none"/>
                <w:lang w:val="en-US" w:eastAsia="zh-CN"/>
              </w:rPr>
              <w:t>0.1-1</w:t>
            </w:r>
            <w:r>
              <w:rPr>
                <w:rFonts w:hint="eastAsia" w:ascii="宋体" w:hAnsi="宋体" w:eastAsia="宋体" w:cs="宋体"/>
                <w:color w:val="auto"/>
                <w:sz w:val="24"/>
                <w:szCs w:val="24"/>
                <w:highlight w:val="none"/>
                <w:lang w:val="zh-CN"/>
              </w:rPr>
              <w:t>分；</w:t>
            </w:r>
          </w:p>
          <w:p w14:paraId="03B4363D">
            <w:pPr>
              <w:keepNext w:val="0"/>
              <w:keepLines w:val="0"/>
              <w:suppressLineNumbers w:val="0"/>
              <w:spacing w:before="0" w:beforeAutospacing="0" w:after="0" w:afterAutospacing="0"/>
              <w:ind w:left="0" w:right="0"/>
              <w:rPr>
                <w:rFonts w:hint="eastAsia"/>
                <w:color w:val="auto"/>
                <w:sz w:val="24"/>
                <w:szCs w:val="24"/>
                <w:highlight w:val="none"/>
                <w:lang w:val="zh-CN"/>
              </w:rPr>
            </w:pPr>
            <w:r>
              <w:rPr>
                <w:rFonts w:hint="eastAsia" w:ascii="宋体" w:hAnsi="宋体" w:eastAsia="宋体" w:cs="宋体"/>
                <w:color w:val="auto"/>
                <w:sz w:val="24"/>
                <w:szCs w:val="24"/>
                <w:highlight w:val="none"/>
                <w:lang w:val="en-US" w:eastAsia="zh-CN"/>
              </w:rPr>
              <w:t>④未提供不得分。</w:t>
            </w:r>
          </w:p>
        </w:tc>
        <w:tc>
          <w:tcPr>
            <w:tcW w:w="780" w:type="dxa"/>
            <w:vMerge w:val="continue"/>
            <w:vAlign w:val="center"/>
          </w:tcPr>
          <w:p w14:paraId="4B4CFA22">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left"/>
              <w:textAlignment w:val="center"/>
              <w:rPr>
                <w:rFonts w:hint="eastAsia" w:ascii="宋体" w:hAnsi="宋体" w:eastAsia="宋体" w:cs="宋体"/>
                <w:color w:val="auto"/>
                <w:sz w:val="24"/>
                <w:szCs w:val="24"/>
                <w:highlight w:val="none"/>
                <w:lang w:val="zh-CN"/>
              </w:rPr>
            </w:pPr>
          </w:p>
        </w:tc>
      </w:tr>
      <w:tr w14:paraId="296A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36" w:type="dxa"/>
            <w:vAlign w:val="center"/>
          </w:tcPr>
          <w:p w14:paraId="3E3B6CE4">
            <w:pPr>
              <w:keepNext w:val="0"/>
              <w:keepLines w:val="0"/>
              <w:pageBreakBefore w:val="0"/>
              <w:suppressLineNumbers w:val="0"/>
              <w:kinsoku/>
              <w:wordWrap/>
              <w:overflowPunct/>
              <w:topLinePunct w:val="0"/>
              <w:bidi w:val="0"/>
              <w:spacing w:before="0" w:beforeAutospacing="0" w:after="0" w:afterAutospacing="0" w:line="440" w:lineRule="exact"/>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w:t>
            </w:r>
          </w:p>
        </w:tc>
        <w:tc>
          <w:tcPr>
            <w:tcW w:w="1267" w:type="dxa"/>
            <w:vAlign w:val="center"/>
          </w:tcPr>
          <w:p w14:paraId="0291B190">
            <w:pPr>
              <w:keepNext w:val="0"/>
              <w:keepLines w:val="0"/>
              <w:pageBreakBefore w:val="0"/>
              <w:suppressLineNumbers w:val="0"/>
              <w:kinsoku/>
              <w:wordWrap/>
              <w:overflowPunct/>
              <w:topLinePunct w:val="0"/>
              <w:bidi w:val="0"/>
              <w:spacing w:before="0" w:beforeAutospacing="0" w:after="0" w:afterAutospacing="0" w:line="44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价格</w:t>
            </w:r>
          </w:p>
          <w:p w14:paraId="1B924DE5">
            <w:pPr>
              <w:keepNext w:val="0"/>
              <w:keepLines w:val="0"/>
              <w:pageBreakBefore w:val="0"/>
              <w:suppressLineNumbers w:val="0"/>
              <w:kinsoku/>
              <w:wordWrap/>
              <w:overflowPunct/>
              <w:topLinePunct w:val="0"/>
              <w:bidi w:val="0"/>
              <w:spacing w:before="0" w:beforeAutospacing="0" w:after="0" w:afterAutospacing="0" w:line="44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30分</w:t>
            </w:r>
          </w:p>
        </w:tc>
        <w:tc>
          <w:tcPr>
            <w:tcW w:w="7112" w:type="dxa"/>
            <w:vAlign w:val="center"/>
          </w:tcPr>
          <w:p w14:paraId="25C68965">
            <w:pPr>
              <w:keepNext w:val="0"/>
              <w:keepLines w:val="0"/>
              <w:pageBreakBefore w:val="0"/>
              <w:suppressLineNumbers w:val="0"/>
              <w:kinsoku/>
              <w:wordWrap/>
              <w:overflowPunct/>
              <w:topLinePunct w:val="0"/>
              <w:bidi w:val="0"/>
              <w:spacing w:before="0" w:beforeAutospacing="0" w:after="0" w:afterAutospacing="0" w:line="440" w:lineRule="exact"/>
              <w:ind w:left="0" w:right="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评标基准价=满足要求的有效参与评审价格的最低价。</w:t>
            </w:r>
          </w:p>
          <w:p w14:paraId="7783B8C4">
            <w:pPr>
              <w:keepNext w:val="0"/>
              <w:keepLines w:val="0"/>
              <w:pageBreakBefore w:val="0"/>
              <w:suppressLineNumbers w:val="0"/>
              <w:kinsoku/>
              <w:wordWrap/>
              <w:overflowPunct/>
              <w:topLinePunct w:val="0"/>
              <w:bidi w:val="0"/>
              <w:spacing w:before="0" w:beforeAutospacing="0" w:after="0" w:afterAutospacing="0" w:line="440" w:lineRule="exact"/>
              <w:ind w:left="0" w:right="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基准价为30分。</w:t>
            </w:r>
          </w:p>
          <w:p w14:paraId="28D0CDF3">
            <w:pPr>
              <w:keepNext w:val="0"/>
              <w:keepLines w:val="0"/>
              <w:pageBreakBefore w:val="0"/>
              <w:suppressLineNumbers w:val="0"/>
              <w:kinsoku/>
              <w:wordWrap/>
              <w:overflowPunct/>
              <w:topLinePunct w:val="0"/>
              <w:bidi w:val="0"/>
              <w:spacing w:before="0" w:beforeAutospacing="0" w:after="0" w:afterAutospacing="0" w:line="440" w:lineRule="exact"/>
              <w:ind w:left="0" w:right="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投标报价得分＝（评标基准价/最终投标报价）×30%×100</w:t>
            </w:r>
          </w:p>
          <w:p w14:paraId="6B386E40">
            <w:pPr>
              <w:keepNext w:val="0"/>
              <w:keepLines w:val="0"/>
              <w:pageBreakBefore w:val="0"/>
              <w:suppressLineNumbers w:val="0"/>
              <w:kinsoku/>
              <w:wordWrap/>
              <w:overflowPunct/>
              <w:topLinePunct w:val="0"/>
              <w:bidi w:val="0"/>
              <w:spacing w:before="0" w:beforeAutospacing="0" w:after="0" w:afterAutospacing="0" w:line="440" w:lineRule="exact"/>
              <w:ind w:left="0" w:right="0"/>
              <w:rPr>
                <w:rFonts w:hint="eastAsia" w:ascii="宋体" w:hAnsi="宋体" w:eastAsia="宋体" w:cs="宋体"/>
                <w:color w:val="auto"/>
                <w:sz w:val="24"/>
                <w:szCs w:val="24"/>
                <w:highlight w:val="none"/>
                <w:lang w:val="zh-CN"/>
              </w:rPr>
            </w:pPr>
            <w:r>
              <w:rPr>
                <w:rFonts w:hint="eastAsia" w:ascii="宋体" w:hAnsi="宋体" w:cs="宋体"/>
                <w:color w:val="auto"/>
                <w:kern w:val="0"/>
                <w:sz w:val="24"/>
                <w:highlight w:val="none"/>
                <w:lang w:val="zh-CN"/>
              </w:rPr>
              <w:t>（注：对于符合小型和微型企业政策价格优惠的投标价格给予10%的扣除，用扣除后的价格参与评审）</w:t>
            </w:r>
          </w:p>
        </w:tc>
        <w:tc>
          <w:tcPr>
            <w:tcW w:w="780" w:type="dxa"/>
            <w:vAlign w:val="center"/>
          </w:tcPr>
          <w:p w14:paraId="26BB2F5C">
            <w:pPr>
              <w:keepNext w:val="0"/>
              <w:keepLines w:val="0"/>
              <w:pageBreakBefore w:val="0"/>
              <w:suppressLineNumbers w:val="0"/>
              <w:kinsoku/>
              <w:wordWrap/>
              <w:overflowPunct/>
              <w:topLinePunct w:val="0"/>
              <w:bidi w:val="0"/>
              <w:spacing w:before="0" w:beforeAutospacing="0" w:after="0" w:afterAutospacing="0" w:line="440"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0-30</w:t>
            </w:r>
          </w:p>
        </w:tc>
      </w:tr>
    </w:tbl>
    <w:p w14:paraId="6E63A092">
      <w:pPr>
        <w:keepNext w:val="0"/>
        <w:keepLines w:val="0"/>
        <w:pageBreakBefore w:val="0"/>
        <w:widowControl/>
        <w:kinsoku/>
        <w:wordWrap/>
        <w:overflowPunct/>
        <w:topLinePunct w:val="0"/>
        <w:bidi w:val="0"/>
        <w:spacing w:line="440" w:lineRule="exact"/>
        <w:jc w:val="left"/>
        <w:textAlignment w:val="center"/>
        <w:rPr>
          <w:rFonts w:hint="eastAsia"/>
          <w:b/>
          <w:color w:val="auto"/>
          <w:sz w:val="24"/>
          <w:szCs w:val="24"/>
          <w:highlight w:val="none"/>
        </w:rPr>
      </w:pPr>
      <w:r>
        <w:rPr>
          <w:rFonts w:hint="eastAsia"/>
          <w:b/>
          <w:color w:val="auto"/>
          <w:sz w:val="24"/>
          <w:szCs w:val="24"/>
          <w:highlight w:val="none"/>
        </w:rPr>
        <w:t>(注：以上需提供的合同、证书、报告等各项证明需将原件扫描上传至投标文件，并加盖电子印章。评委打分保留1位小数)</w:t>
      </w:r>
    </w:p>
    <w:p w14:paraId="3F573679">
      <w:pPr>
        <w:keepNext w:val="0"/>
        <w:keepLines w:val="0"/>
        <w:pageBreakBefore w:val="0"/>
        <w:widowControl/>
        <w:kinsoku/>
        <w:wordWrap/>
        <w:overflowPunct/>
        <w:topLinePunct w:val="0"/>
        <w:bidi w:val="0"/>
        <w:spacing w:line="440" w:lineRule="exact"/>
        <w:jc w:val="left"/>
        <w:textAlignment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注：</w:t>
      </w:r>
    </w:p>
    <w:p w14:paraId="0CB4DD4B">
      <w:pPr>
        <w:keepNext w:val="0"/>
        <w:keepLines w:val="0"/>
        <w:pageBreakBefore w:val="0"/>
        <w:kinsoku/>
        <w:wordWrap/>
        <w:overflowPunct/>
        <w:topLinePunct w:val="0"/>
        <w:autoSpaceDE w:val="0"/>
        <w:autoSpaceDN w:val="0"/>
        <w:bidi w:val="0"/>
        <w:adjustRightInd w:val="0"/>
        <w:spacing w:line="440" w:lineRule="exact"/>
        <w:ind w:firstLine="240" w:firstLineChars="1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val="en-US" w:eastAsia="zh-CN"/>
        </w:rPr>
        <w:t>样品须</w:t>
      </w:r>
      <w:r>
        <w:rPr>
          <w:rFonts w:hint="eastAsia" w:ascii="Times New Roman" w:hAnsi="Times New Roman" w:eastAsia="宋体" w:cs="Times New Roman"/>
          <w:color w:val="auto"/>
          <w:sz w:val="24"/>
          <w:szCs w:val="24"/>
          <w:highlight w:val="none"/>
          <w:lang w:val="en-US" w:eastAsia="zh-CN"/>
        </w:rPr>
        <w:t>密封包装，外包装上需写明项目名称、采购编号、及投标公司全称。包装封口应由法定代表人或全权代表签字</w:t>
      </w:r>
      <w:r>
        <w:rPr>
          <w:rFonts w:hint="eastAsia" w:ascii="Times New Roman" w:hAnsi="Times New Roman"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或</w:t>
      </w:r>
      <w:r>
        <w:rPr>
          <w:rFonts w:hint="eastAsia" w:ascii="Times New Roman" w:hAnsi="Times New Roman" w:cs="Times New Roman"/>
          <w:color w:val="auto"/>
          <w:sz w:val="24"/>
          <w:szCs w:val="24"/>
          <w:highlight w:val="none"/>
          <w:lang w:val="en-US" w:eastAsia="zh-CN"/>
        </w:rPr>
        <w:t>签章）</w:t>
      </w:r>
      <w:r>
        <w:rPr>
          <w:rFonts w:hint="eastAsia" w:ascii="Times New Roman" w:hAnsi="Times New Roman" w:eastAsia="宋体" w:cs="Times New Roman"/>
          <w:color w:val="auto"/>
          <w:sz w:val="24"/>
          <w:szCs w:val="24"/>
          <w:highlight w:val="none"/>
          <w:lang w:val="en-US" w:eastAsia="zh-CN"/>
        </w:rPr>
        <w:t>，评标时，对提交样品的供应商，由</w:t>
      </w:r>
      <w:r>
        <w:rPr>
          <w:rFonts w:hint="eastAsia" w:ascii="Times New Roman" w:hAnsi="Times New Roman" w:cs="Times New Roman"/>
          <w:color w:val="auto"/>
          <w:sz w:val="24"/>
          <w:szCs w:val="24"/>
          <w:highlight w:val="none"/>
          <w:lang w:val="en-US" w:eastAsia="zh-CN"/>
        </w:rPr>
        <w:t>监督</w:t>
      </w:r>
      <w:r>
        <w:rPr>
          <w:rFonts w:hint="eastAsia" w:ascii="Times New Roman" w:hAnsi="Times New Roman" w:eastAsia="宋体" w:cs="Times New Roman"/>
          <w:color w:val="auto"/>
          <w:sz w:val="24"/>
          <w:szCs w:val="24"/>
          <w:highlight w:val="none"/>
          <w:lang w:val="en-US" w:eastAsia="zh-CN"/>
        </w:rPr>
        <w:t>随机编号，专家评审小组按编号评分。涉及检测报告、照片等佐证材料的样品，采用先打分后核实的方式；</w:t>
      </w:r>
    </w:p>
    <w:p w14:paraId="0430EDED">
      <w:pPr>
        <w:keepNext w:val="0"/>
        <w:keepLines w:val="0"/>
        <w:pageBreakBefore w:val="0"/>
        <w:kinsoku/>
        <w:wordWrap/>
        <w:overflowPunct/>
        <w:topLinePunct w:val="0"/>
        <w:autoSpaceDE w:val="0"/>
        <w:autoSpaceDN w:val="0"/>
        <w:bidi w:val="0"/>
        <w:adjustRightInd w:val="0"/>
        <w:spacing w:line="440" w:lineRule="exact"/>
        <w:ind w:firstLine="240" w:firstLineChars="1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zh-CN" w:eastAsia="zh-CN"/>
        </w:rPr>
        <w:t>▲</w:t>
      </w:r>
      <w:r>
        <w:rPr>
          <w:rFonts w:hint="eastAsia" w:ascii="Times New Roman" w:hAnsi="Times New Roman" w:eastAsia="宋体" w:cs="Times New Roman"/>
          <w:color w:val="auto"/>
          <w:sz w:val="24"/>
          <w:szCs w:val="24"/>
          <w:highlight w:val="none"/>
          <w:lang w:val="en-US" w:eastAsia="zh-CN"/>
        </w:rPr>
        <w:t>2、样品的</w:t>
      </w:r>
      <w:r>
        <w:rPr>
          <w:rFonts w:hint="eastAsia" w:ascii="Times New Roman" w:hAnsi="Times New Roman" w:eastAsia="宋体" w:cs="Times New Roman"/>
          <w:color w:val="auto"/>
          <w:sz w:val="24"/>
          <w:szCs w:val="24"/>
          <w:highlight w:val="none"/>
          <w:lang w:val="zh-CN" w:eastAsia="zh-CN"/>
        </w:rPr>
        <w:t>技术规范要求同本项目供货要求，见</w:t>
      </w:r>
      <w:r>
        <w:rPr>
          <w:rFonts w:hint="eastAsia" w:ascii="Times New Roman" w:hAnsi="Times New Roman" w:cs="Times New Roman"/>
          <w:color w:val="auto"/>
          <w:sz w:val="24"/>
          <w:szCs w:val="24"/>
          <w:highlight w:val="none"/>
          <w:lang w:val="zh-CN" w:eastAsia="zh-CN"/>
        </w:rPr>
        <w:t>采购</w:t>
      </w:r>
      <w:r>
        <w:rPr>
          <w:rFonts w:hint="eastAsia" w:ascii="Times New Roman" w:hAnsi="Times New Roman" w:eastAsia="宋体" w:cs="Times New Roman"/>
          <w:color w:val="auto"/>
          <w:sz w:val="24"/>
          <w:szCs w:val="24"/>
          <w:highlight w:val="none"/>
          <w:lang w:val="zh-CN" w:eastAsia="zh-CN"/>
        </w:rPr>
        <w:t>文件第</w:t>
      </w:r>
      <w:r>
        <w:rPr>
          <w:rFonts w:hint="eastAsia" w:ascii="Times New Roman" w:hAnsi="Times New Roman" w:cs="Times New Roman"/>
          <w:color w:val="auto"/>
          <w:sz w:val="24"/>
          <w:szCs w:val="24"/>
          <w:highlight w:val="none"/>
          <w:lang w:val="zh-CN" w:eastAsia="zh-CN"/>
        </w:rPr>
        <w:t>五部分</w:t>
      </w:r>
      <w:r>
        <w:rPr>
          <w:rFonts w:hint="eastAsia" w:ascii="Times New Roman" w:hAnsi="Times New Roman" w:cs="Times New Roman"/>
          <w:color w:val="auto"/>
          <w:sz w:val="24"/>
          <w:szCs w:val="24"/>
          <w:highlight w:val="none"/>
          <w:lang w:val="en-US" w:eastAsia="zh-CN"/>
        </w:rPr>
        <w:t xml:space="preserve"> 采购内容及要求</w:t>
      </w:r>
      <w:r>
        <w:rPr>
          <w:rFonts w:hint="eastAsia" w:ascii="Times New Roman" w:hAnsi="Times New Roman" w:eastAsia="宋体" w:cs="Times New Roman"/>
          <w:color w:val="auto"/>
          <w:sz w:val="24"/>
          <w:szCs w:val="24"/>
          <w:highlight w:val="none"/>
          <w:lang w:val="zh-CN" w:eastAsia="zh-CN"/>
        </w:rPr>
        <w:t>，随样品</w:t>
      </w:r>
      <w:r>
        <w:rPr>
          <w:rFonts w:hint="eastAsia" w:ascii="Times New Roman" w:hAnsi="Times New Roman" w:cs="Times New Roman"/>
          <w:color w:val="auto"/>
          <w:sz w:val="24"/>
          <w:szCs w:val="24"/>
          <w:highlight w:val="none"/>
          <w:lang w:val="zh-CN" w:eastAsia="zh-CN"/>
        </w:rPr>
        <w:t>递交一份样品清单明细表（</w:t>
      </w:r>
      <w:r>
        <w:rPr>
          <w:rFonts w:hint="eastAsia" w:ascii="Times New Roman" w:hAnsi="Times New Roman" w:cs="Times New Roman"/>
          <w:b/>
          <w:bCs/>
          <w:color w:val="auto"/>
          <w:sz w:val="24"/>
          <w:szCs w:val="24"/>
          <w:highlight w:val="none"/>
          <w:lang w:val="zh-CN" w:eastAsia="zh-CN"/>
        </w:rPr>
        <w:t>清单明细表须加盖投标人公章</w:t>
      </w:r>
      <w:r>
        <w:rPr>
          <w:rFonts w:hint="eastAsia" w:ascii="Times New Roman" w:hAnsi="Times New Roman" w:cs="Times New Roman"/>
          <w:color w:val="auto"/>
          <w:sz w:val="24"/>
          <w:szCs w:val="24"/>
          <w:highlight w:val="none"/>
          <w:lang w:val="zh-CN" w:eastAsia="zh-CN"/>
        </w:rPr>
        <w:t>），样品清单明细表上</w:t>
      </w:r>
      <w:r>
        <w:rPr>
          <w:rFonts w:hint="eastAsia" w:ascii="Times New Roman" w:hAnsi="Times New Roman" w:eastAsia="宋体" w:cs="Times New Roman"/>
          <w:color w:val="auto"/>
          <w:sz w:val="24"/>
          <w:szCs w:val="24"/>
          <w:highlight w:val="none"/>
          <w:lang w:val="zh-CN" w:eastAsia="zh-CN"/>
        </w:rPr>
        <w:t>注明</w:t>
      </w:r>
      <w:r>
        <w:rPr>
          <w:rFonts w:hint="eastAsia" w:ascii="Times New Roman" w:hAnsi="Times New Roman" w:eastAsia="宋体" w:cs="Times New Roman"/>
          <w:color w:val="auto"/>
          <w:sz w:val="24"/>
          <w:szCs w:val="24"/>
          <w:highlight w:val="none"/>
          <w:lang w:val="en-US" w:eastAsia="zh-CN"/>
        </w:rPr>
        <w:t>样品清单、材质、型号、品牌等信息。</w:t>
      </w:r>
      <w:r>
        <w:rPr>
          <w:rFonts w:hint="eastAsia" w:ascii="Times New Roman" w:hAnsi="Times New Roman" w:eastAsia="宋体" w:cs="Times New Roman"/>
          <w:b/>
          <w:bCs/>
          <w:color w:val="auto"/>
          <w:sz w:val="24"/>
          <w:szCs w:val="24"/>
          <w:highlight w:val="none"/>
          <w:u w:val="single"/>
          <w:lang w:val="en-US" w:eastAsia="zh-CN"/>
        </w:rPr>
        <w:t>样品不得体现或影射投标人的信息，否则按无效标处理</w:t>
      </w:r>
      <w:r>
        <w:rPr>
          <w:rFonts w:hint="eastAsia" w:ascii="Times New Roman" w:hAnsi="Times New Roman" w:cs="Times New Roman"/>
          <w:b/>
          <w:bCs/>
          <w:color w:val="auto"/>
          <w:sz w:val="24"/>
          <w:szCs w:val="24"/>
          <w:highlight w:val="none"/>
          <w:u w:val="single"/>
          <w:lang w:val="en-US" w:eastAsia="zh-CN"/>
        </w:rPr>
        <w:t>。</w:t>
      </w:r>
    </w:p>
    <w:p w14:paraId="4A24025C">
      <w:pPr>
        <w:keepNext w:val="0"/>
        <w:keepLines w:val="0"/>
        <w:pageBreakBefore w:val="0"/>
        <w:kinsoku/>
        <w:wordWrap/>
        <w:overflowPunct/>
        <w:topLinePunct w:val="0"/>
        <w:autoSpaceDE w:val="0"/>
        <w:autoSpaceDN w:val="0"/>
        <w:bidi w:val="0"/>
        <w:adjustRightInd w:val="0"/>
        <w:spacing w:line="440" w:lineRule="exact"/>
        <w:ind w:firstLine="240" w:firstLineChars="1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zh-CN" w:eastAsia="zh-CN"/>
        </w:rPr>
        <w:t>▲</w:t>
      </w:r>
      <w:r>
        <w:rPr>
          <w:rFonts w:hint="eastAsia" w:ascii="Times New Roman" w:hAnsi="Times New Roman" w:eastAsia="宋体" w:cs="Times New Roman"/>
          <w:color w:val="auto"/>
          <w:sz w:val="24"/>
          <w:szCs w:val="24"/>
          <w:highlight w:val="none"/>
          <w:lang w:val="en-US" w:eastAsia="zh-CN"/>
        </w:rPr>
        <w:t>3、中标人的样品将封存并作为实际供货的比较标准，投标人不得以样品精制和批量赶制为理由致使实际供货产品存与投标样品存在品质差异。</w:t>
      </w:r>
    </w:p>
    <w:p w14:paraId="214B0CB5">
      <w:pPr>
        <w:keepNext w:val="0"/>
        <w:keepLines w:val="0"/>
        <w:pageBreakBefore w:val="0"/>
        <w:kinsoku/>
        <w:wordWrap/>
        <w:overflowPunct/>
        <w:topLinePunct w:val="0"/>
        <w:autoSpaceDE w:val="0"/>
        <w:autoSpaceDN w:val="0"/>
        <w:bidi w:val="0"/>
        <w:adjustRightInd w:val="0"/>
        <w:spacing w:line="440" w:lineRule="exact"/>
        <w:ind w:firstLine="240" w:firstLineChars="100"/>
        <w:rPr>
          <w:rFonts w:hint="eastAsia" w:ascii="Times New Roman" w:hAnsi="Times New Roman" w:eastAsia="宋体" w:cs="Times New Roman"/>
          <w:color w:val="auto"/>
          <w:sz w:val="24"/>
          <w:szCs w:val="24"/>
          <w:highlight w:val="none"/>
          <w:lang w:val="zh-CN" w:eastAsia="zh-CN"/>
        </w:rPr>
      </w:pPr>
      <w:r>
        <w:rPr>
          <w:rFonts w:hint="eastAsia" w:ascii="Times New Roman" w:hAnsi="Times New Roman" w:eastAsia="宋体" w:cs="Times New Roman"/>
          <w:color w:val="auto"/>
          <w:sz w:val="24"/>
          <w:szCs w:val="24"/>
          <w:highlight w:val="none"/>
          <w:lang w:val="en-US" w:eastAsia="zh-CN"/>
        </w:rPr>
        <w:t>4、未中标的样品由投标人在评标结束当天自行取回。逾期未取回的，采购代理机构将不承担损坏、遗失等保管责任。</w:t>
      </w:r>
    </w:p>
    <w:p w14:paraId="665AEDFF">
      <w:pPr>
        <w:pageBreakBefore/>
        <w:spacing w:line="480" w:lineRule="auto"/>
        <w:jc w:val="center"/>
        <w:outlineLvl w:val="0"/>
        <w:rPr>
          <w:rFonts w:asciiTheme="minorEastAsia" w:hAnsiTheme="minorEastAsia" w:eastAsiaTheme="minorEastAsia"/>
          <w:b/>
          <w:color w:val="auto"/>
          <w:sz w:val="32"/>
          <w:szCs w:val="32"/>
          <w:highlight w:val="none"/>
        </w:rPr>
      </w:pPr>
      <w:bookmarkStart w:id="81" w:name="_Toc6241"/>
      <w:bookmarkStart w:id="82" w:name="_Toc10462"/>
      <w:bookmarkStart w:id="83" w:name="_Toc15145"/>
      <w:bookmarkStart w:id="84" w:name="_Toc16946"/>
      <w:bookmarkStart w:id="85" w:name="_Toc2999"/>
      <w:bookmarkStart w:id="86" w:name="_Toc15735"/>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HYPERLINK "file:///F:\\微信\\WeChat%20Files\\a29023143\\FileStorage\\File\\2021-11\\台州市公安局特警支队最小作战单元装备建设采购项目10.28.docx" \l "●评分标准"</w:instrText>
      </w:r>
      <w:r>
        <w:rPr>
          <w:rFonts w:asciiTheme="minorEastAsia" w:hAnsiTheme="minorEastAsia" w:eastAsiaTheme="minorEastAsia"/>
          <w:color w:val="auto"/>
          <w:highlight w:val="none"/>
        </w:rPr>
        <w:fldChar w:fldCharType="separate"/>
      </w:r>
      <w:r>
        <w:rPr>
          <w:rFonts w:hint="eastAsia" w:asciiTheme="minorEastAsia" w:hAnsiTheme="minorEastAsia" w:eastAsiaTheme="minorEastAsia"/>
          <w:b/>
          <w:color w:val="auto"/>
          <w:sz w:val="32"/>
          <w:szCs w:val="32"/>
          <w:highlight w:val="none"/>
        </w:rPr>
        <w:t>第五部分</w:t>
      </w:r>
      <w:r>
        <w:rPr>
          <w:rFonts w:asciiTheme="minorEastAsia" w:hAnsiTheme="minorEastAsia" w:eastAsiaTheme="minorEastAsia"/>
          <w:b/>
          <w:color w:val="auto"/>
          <w:sz w:val="32"/>
          <w:szCs w:val="32"/>
          <w:highlight w:val="none"/>
        </w:rPr>
        <w:fldChar w:fldCharType="end"/>
      </w:r>
      <w:r>
        <w:rPr>
          <w:rFonts w:hint="eastAsia" w:asciiTheme="minorEastAsia" w:hAnsiTheme="minorEastAsia" w:eastAsiaTheme="minorEastAsia"/>
          <w:b/>
          <w:color w:val="auto"/>
          <w:sz w:val="32"/>
          <w:szCs w:val="32"/>
          <w:highlight w:val="none"/>
        </w:rPr>
        <w:t xml:space="preserve">  采购内容及要求</w:t>
      </w:r>
      <w:bookmarkEnd w:id="81"/>
      <w:bookmarkEnd w:id="82"/>
      <w:bookmarkEnd w:id="83"/>
      <w:bookmarkEnd w:id="84"/>
      <w:bookmarkEnd w:id="85"/>
      <w:bookmarkEnd w:id="86"/>
    </w:p>
    <w:p w14:paraId="05D5BC1A">
      <w:pPr>
        <w:tabs>
          <w:tab w:val="left" w:pos="8280"/>
        </w:tabs>
        <w:autoSpaceDE w:val="0"/>
        <w:autoSpaceDN w:val="0"/>
        <w:adjustRightInd w:val="0"/>
        <w:spacing w:line="440" w:lineRule="exact"/>
        <w:ind w:right="25"/>
        <w:rPr>
          <w:rFonts w:asciiTheme="minorEastAsia" w:hAnsiTheme="minorEastAsia" w:eastAsiaTheme="minorEastAsia"/>
          <w:color w:val="auto"/>
          <w:sz w:val="24"/>
          <w:szCs w:val="24"/>
          <w:highlight w:val="none"/>
        </w:rPr>
      </w:pPr>
      <w:bookmarkStart w:id="87" w:name="_Toc18152"/>
      <w:r>
        <w:rPr>
          <w:rFonts w:hint="eastAsia" w:asciiTheme="minorEastAsia" w:hAnsiTheme="minorEastAsia" w:eastAsiaTheme="minorEastAsia"/>
          <w:b/>
          <w:color w:val="auto"/>
          <w:sz w:val="24"/>
          <w:szCs w:val="24"/>
          <w:highlight w:val="none"/>
        </w:rPr>
        <w:t>一、招标项目一览表</w:t>
      </w:r>
    </w:p>
    <w:p w14:paraId="0B59AA30">
      <w:pPr>
        <w:tabs>
          <w:tab w:val="left" w:pos="8280"/>
        </w:tabs>
        <w:autoSpaceDE w:val="0"/>
        <w:autoSpaceDN w:val="0"/>
        <w:adjustRightInd w:val="0"/>
        <w:spacing w:line="440" w:lineRule="exact"/>
        <w:ind w:right="25" w:firstLine="28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1.本次招标共</w:t>
      </w:r>
      <w:r>
        <w:rPr>
          <w:rFonts w:hint="eastAsia" w:asciiTheme="minorEastAsia" w:hAnsiTheme="minorEastAsia" w:eastAsiaTheme="minorEastAsia"/>
          <w:color w:val="auto"/>
          <w:sz w:val="24"/>
          <w:szCs w:val="24"/>
          <w:highlight w:val="none"/>
          <w:u w:val="single"/>
          <w:lang w:val="en-US" w:eastAsia="zh-CN"/>
        </w:rPr>
        <w:t>1</w:t>
      </w:r>
      <w:r>
        <w:rPr>
          <w:rFonts w:hint="eastAsia" w:asciiTheme="minorEastAsia" w:hAnsiTheme="minorEastAsia" w:eastAsiaTheme="minorEastAsia"/>
          <w:color w:val="auto"/>
          <w:sz w:val="24"/>
          <w:szCs w:val="24"/>
          <w:highlight w:val="none"/>
        </w:rPr>
        <w:t>个标段，具体内容如下表：</w:t>
      </w:r>
    </w:p>
    <w:p w14:paraId="1B31F10F">
      <w:pPr>
        <w:pStyle w:val="47"/>
        <w:rPr>
          <w:rFonts w:hint="eastAsia" w:asciiTheme="minorEastAsia" w:hAnsiTheme="minorEastAsia" w:eastAsiaTheme="minorEastAsia"/>
          <w:color w:val="auto"/>
          <w:sz w:val="24"/>
          <w:szCs w:val="24"/>
          <w:highlight w:val="none"/>
        </w:rPr>
      </w:pPr>
    </w:p>
    <w:tbl>
      <w:tblPr>
        <w:tblStyle w:val="48"/>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185"/>
        <w:gridCol w:w="975"/>
        <w:gridCol w:w="714"/>
        <w:gridCol w:w="622"/>
        <w:gridCol w:w="1003"/>
        <w:gridCol w:w="1268"/>
        <w:gridCol w:w="2067"/>
        <w:gridCol w:w="1515"/>
      </w:tblGrid>
      <w:tr w14:paraId="48C1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608" w:type="dxa"/>
            <w:shd w:val="clear" w:color="auto" w:fill="DCD8C2" w:themeFill="background2" w:themeFillShade="E5"/>
            <w:vAlign w:val="center"/>
          </w:tcPr>
          <w:p w14:paraId="3F608CCB">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序号</w:t>
            </w:r>
          </w:p>
        </w:tc>
        <w:tc>
          <w:tcPr>
            <w:tcW w:w="1185" w:type="dxa"/>
            <w:shd w:val="clear" w:color="auto" w:fill="DCD8C2" w:themeFill="background2" w:themeFillShade="E5"/>
            <w:vAlign w:val="center"/>
          </w:tcPr>
          <w:p w14:paraId="51094A7C">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firstLine="120" w:firstLineChars="50"/>
              <w:jc w:val="center"/>
              <w:textAlignment w:val="auto"/>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标项内容</w:t>
            </w:r>
          </w:p>
        </w:tc>
        <w:tc>
          <w:tcPr>
            <w:tcW w:w="975" w:type="dxa"/>
            <w:shd w:val="clear" w:color="auto" w:fill="DCD8C2" w:themeFill="background2" w:themeFillShade="E5"/>
            <w:vAlign w:val="center"/>
          </w:tcPr>
          <w:p w14:paraId="3276B8B0">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default" w:asciiTheme="minorEastAsia" w:hAnsiTheme="minorEastAsia" w:eastAsiaTheme="minorEastAsia"/>
                <w:b/>
                <w:color w:val="auto"/>
                <w:sz w:val="24"/>
                <w:highlight w:val="none"/>
              </w:rPr>
            </w:pPr>
            <w:r>
              <w:rPr>
                <w:rFonts w:hint="eastAsia" w:ascii="宋体" w:hAnsi="宋体" w:cs="宋体"/>
                <w:b/>
                <w:color w:val="auto"/>
                <w:kern w:val="0"/>
                <w:sz w:val="24"/>
                <w:highlight w:val="none"/>
              </w:rPr>
              <w:t>简要技术要求</w:t>
            </w:r>
          </w:p>
        </w:tc>
        <w:tc>
          <w:tcPr>
            <w:tcW w:w="714" w:type="dxa"/>
            <w:shd w:val="clear" w:color="auto" w:fill="DCD8C2" w:themeFill="background2" w:themeFillShade="E5"/>
            <w:vAlign w:val="center"/>
          </w:tcPr>
          <w:p w14:paraId="0D09E741">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p>
        </w:tc>
        <w:tc>
          <w:tcPr>
            <w:tcW w:w="622" w:type="dxa"/>
            <w:shd w:val="clear" w:color="auto" w:fill="DCD8C2" w:themeFill="background2" w:themeFillShade="E5"/>
            <w:vAlign w:val="center"/>
          </w:tcPr>
          <w:p w14:paraId="431D9D7E">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p>
        </w:tc>
        <w:tc>
          <w:tcPr>
            <w:tcW w:w="1003" w:type="dxa"/>
            <w:shd w:val="clear" w:color="auto" w:fill="DCD8C2" w:themeFill="background2" w:themeFillShade="E5"/>
            <w:vAlign w:val="center"/>
          </w:tcPr>
          <w:p w14:paraId="670A11BF">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w:t>
            </w:r>
          </w:p>
          <w:p w14:paraId="557BF49A">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（万元）</w:t>
            </w:r>
          </w:p>
        </w:tc>
        <w:tc>
          <w:tcPr>
            <w:tcW w:w="1268" w:type="dxa"/>
            <w:shd w:val="clear" w:color="auto" w:fill="DCD8C2" w:themeFill="background2" w:themeFillShade="E5"/>
            <w:vAlign w:val="center"/>
          </w:tcPr>
          <w:p w14:paraId="55DC12F5">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firstLine="240"/>
              <w:jc w:val="center"/>
              <w:textAlignment w:val="auto"/>
              <w:rPr>
                <w:rFonts w:hint="default" w:asciiTheme="minorEastAsia" w:hAnsiTheme="minorEastAsia"/>
                <w:b/>
                <w:color w:val="auto"/>
                <w:sz w:val="24"/>
                <w:highlight w:val="none"/>
              </w:rPr>
            </w:pPr>
            <w:r>
              <w:rPr>
                <w:rFonts w:hint="eastAsia" w:ascii="宋体" w:hAnsi="宋体" w:cs="宋体"/>
                <w:b/>
                <w:color w:val="auto"/>
                <w:sz w:val="24"/>
                <w:highlight w:val="none"/>
              </w:rPr>
              <w:t>交货期（交付期）</w:t>
            </w:r>
          </w:p>
        </w:tc>
        <w:tc>
          <w:tcPr>
            <w:tcW w:w="2067" w:type="dxa"/>
            <w:shd w:val="clear" w:color="auto" w:fill="DCD8C2" w:themeFill="background2" w:themeFillShade="E5"/>
            <w:vAlign w:val="center"/>
          </w:tcPr>
          <w:p w14:paraId="62B11EF9">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default" w:ascii="宋体" w:hAnsi="宋体" w:cs="宋体"/>
                <w:b/>
                <w:color w:val="auto"/>
                <w:sz w:val="24"/>
                <w:highlight w:val="none"/>
              </w:rPr>
            </w:pPr>
            <w:r>
              <w:rPr>
                <w:rFonts w:hint="eastAsia" w:ascii="宋体" w:hAnsi="宋体" w:cs="宋体"/>
                <w:b/>
                <w:color w:val="auto"/>
                <w:sz w:val="24"/>
                <w:highlight w:val="none"/>
              </w:rPr>
              <w:t>维护地点</w:t>
            </w:r>
          </w:p>
        </w:tc>
        <w:tc>
          <w:tcPr>
            <w:tcW w:w="1515" w:type="dxa"/>
            <w:shd w:val="clear" w:color="auto" w:fill="DCD8C2" w:themeFill="background2" w:themeFillShade="E5"/>
            <w:vAlign w:val="center"/>
          </w:tcPr>
          <w:p w14:paraId="46EA3DAE">
            <w:pPr>
              <w:keepNext w:val="0"/>
              <w:keepLines w:val="0"/>
              <w:pageBreakBefore w:val="0"/>
              <w:suppressLineNumbers w:val="0"/>
              <w:tabs>
                <w:tab w:val="left" w:pos="180"/>
                <w:tab w:val="left" w:pos="360"/>
                <w:tab w:val="left" w:pos="540"/>
                <w:tab w:val="left" w:pos="8280"/>
              </w:tabs>
              <w:kinsoku/>
              <w:wordWrap/>
              <w:overflowPunct/>
              <w:topLinePunct w:val="0"/>
              <w:autoSpaceDE w:val="0"/>
              <w:autoSpaceDN w:val="0"/>
              <w:bidi w:val="0"/>
              <w:adjustRightInd w:val="0"/>
              <w:snapToGrid/>
              <w:spacing w:before="100" w:beforeAutospacing="0" w:after="0" w:afterAutospacing="0" w:line="440" w:lineRule="exact"/>
              <w:ind w:left="0" w:right="23" w:rightChars="0"/>
              <w:jc w:val="center"/>
              <w:textAlignment w:val="auto"/>
              <w:rPr>
                <w:rFonts w:hint="eastAsia" w:ascii="宋体" w:hAnsi="宋体" w:cs="宋体"/>
                <w:b/>
                <w:color w:val="auto"/>
                <w:sz w:val="24"/>
                <w:highlight w:val="none"/>
              </w:rPr>
            </w:pPr>
            <w:r>
              <w:rPr>
                <w:rFonts w:hint="eastAsia" w:ascii="宋体" w:hAnsi="宋体" w:eastAsia="宋体" w:cs="宋体"/>
                <w:b/>
                <w:color w:val="auto"/>
                <w:sz w:val="24"/>
                <w:highlight w:val="none"/>
              </w:rPr>
              <w:t>备注</w:t>
            </w:r>
          </w:p>
        </w:tc>
      </w:tr>
      <w:tr w14:paraId="1BD7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jc w:val="center"/>
        </w:trPr>
        <w:tc>
          <w:tcPr>
            <w:tcW w:w="608" w:type="dxa"/>
            <w:vAlign w:val="center"/>
          </w:tcPr>
          <w:p w14:paraId="3C4FBF90">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185" w:type="dxa"/>
            <w:vAlign w:val="center"/>
          </w:tcPr>
          <w:p w14:paraId="7AE94D96">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202</w:t>
            </w:r>
            <w:r>
              <w:rPr>
                <w:rFonts w:hint="default" w:asciiTheme="minorEastAsia" w:hAnsiTheme="minorEastAsia" w:eastAsiaTheme="minorEastAsia"/>
                <w:color w:val="auto"/>
                <w:sz w:val="24"/>
                <w:highlight w:val="none"/>
                <w:lang w:eastAsia="zh-CN"/>
              </w:rPr>
              <w:t>4</w:t>
            </w:r>
            <w:r>
              <w:rPr>
                <w:rFonts w:hint="eastAsia" w:asciiTheme="minorEastAsia" w:hAnsiTheme="minorEastAsia" w:eastAsiaTheme="minorEastAsia"/>
                <w:color w:val="auto"/>
                <w:sz w:val="24"/>
                <w:highlight w:val="none"/>
              </w:rPr>
              <w:t>年台州市区交通标线采购项目</w:t>
            </w:r>
          </w:p>
        </w:tc>
        <w:tc>
          <w:tcPr>
            <w:tcW w:w="975" w:type="dxa"/>
            <w:vAlign w:val="center"/>
          </w:tcPr>
          <w:p w14:paraId="6F1969CB">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详见技术需求</w:t>
            </w:r>
          </w:p>
        </w:tc>
        <w:tc>
          <w:tcPr>
            <w:tcW w:w="714" w:type="dxa"/>
            <w:vAlign w:val="center"/>
          </w:tcPr>
          <w:p w14:paraId="26AD86F0">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622" w:type="dxa"/>
            <w:vAlign w:val="center"/>
          </w:tcPr>
          <w:p w14:paraId="6AE9235F">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w:t>
            </w:r>
          </w:p>
        </w:tc>
        <w:tc>
          <w:tcPr>
            <w:tcW w:w="1003" w:type="dxa"/>
            <w:vAlign w:val="center"/>
          </w:tcPr>
          <w:p w14:paraId="1829CD7E">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auto"/>
              <w:rPr>
                <w:rFonts w:hint="default" w:asciiTheme="minorEastAsia" w:hAnsiTheme="minorEastAsia" w:eastAsiaTheme="minorEastAsia"/>
                <w:color w:val="auto"/>
                <w:sz w:val="24"/>
                <w:highlight w:val="none"/>
              </w:rPr>
            </w:pPr>
            <w:r>
              <w:rPr>
                <w:rFonts w:hint="default"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00</w:t>
            </w:r>
          </w:p>
        </w:tc>
        <w:tc>
          <w:tcPr>
            <w:tcW w:w="1268" w:type="dxa"/>
            <w:vAlign w:val="center"/>
          </w:tcPr>
          <w:p w14:paraId="242A7867">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合同签订后1</w:t>
            </w:r>
            <w:r>
              <w:rPr>
                <w:rFonts w:hint="default" w:asciiTheme="minorEastAsia" w:hAnsiTheme="minorEastAsia" w:eastAsiaTheme="minorEastAsia"/>
                <w:color w:val="auto"/>
                <w:sz w:val="24"/>
                <w:highlight w:val="none"/>
              </w:rPr>
              <w:t>8</w:t>
            </w:r>
            <w:r>
              <w:rPr>
                <w:rFonts w:hint="eastAsia" w:asciiTheme="minorEastAsia" w:hAnsiTheme="minorEastAsia" w:eastAsiaTheme="minorEastAsia"/>
                <w:color w:val="auto"/>
                <w:sz w:val="24"/>
                <w:highlight w:val="none"/>
              </w:rPr>
              <w:t>0天</w:t>
            </w:r>
          </w:p>
        </w:tc>
        <w:tc>
          <w:tcPr>
            <w:tcW w:w="2067" w:type="dxa"/>
            <w:vAlign w:val="center"/>
          </w:tcPr>
          <w:p w14:paraId="4A0159CA">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椒江区域、黄岩区域、路桥区域、台州湾产业集聚区管委会区域、台州经济开发区管委会区域内的道路</w:t>
            </w:r>
          </w:p>
        </w:tc>
        <w:tc>
          <w:tcPr>
            <w:tcW w:w="1515" w:type="dxa"/>
            <w:vAlign w:val="center"/>
          </w:tcPr>
          <w:p w14:paraId="6384AC2A">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本项目采用结算率报价，结算率不得高于</w:t>
            </w:r>
            <w:r>
              <w:rPr>
                <w:rFonts w:hint="eastAsia" w:cs="Times New Roman" w:asciiTheme="minorEastAsia" w:hAnsiTheme="minorEastAsia" w:eastAsiaTheme="minorEastAsia"/>
                <w:color w:val="auto"/>
                <w:sz w:val="24"/>
                <w:highlight w:val="none"/>
                <w:lang w:val="en-US" w:eastAsia="zh-CN"/>
              </w:rPr>
              <w:t>100</w:t>
            </w:r>
            <w:r>
              <w:rPr>
                <w:rFonts w:hint="eastAsia" w:cs="Times New Roman" w:asciiTheme="minorEastAsia" w:hAnsiTheme="minorEastAsia" w:eastAsiaTheme="minorEastAsia"/>
                <w:color w:val="auto"/>
                <w:sz w:val="24"/>
                <w:highlight w:val="none"/>
              </w:rPr>
              <w:t>%。</w:t>
            </w:r>
          </w:p>
        </w:tc>
      </w:tr>
    </w:tbl>
    <w:p w14:paraId="036D4958">
      <w:pPr>
        <w:pStyle w:val="3"/>
        <w:pageBreakBefore w:val="0"/>
        <w:tabs>
          <w:tab w:val="left" w:pos="8280"/>
        </w:tabs>
        <w:kinsoku/>
        <w:wordWrap/>
        <w:overflowPunct/>
        <w:topLinePunct w:val="0"/>
        <w:bidi w:val="0"/>
        <w:snapToGrid/>
        <w:spacing w:before="156" w:beforeLines="50" w:line="440" w:lineRule="exact"/>
        <w:ind w:right="23"/>
        <w:textAlignment w:val="auto"/>
        <w:rPr>
          <w:rFonts w:hint="eastAsia" w:cs="Times New Roman" w:asciiTheme="minorEastAsia" w:hAnsiTheme="minorEastAsia" w:eastAsiaTheme="minorEastAsia"/>
          <w:b w:val="0"/>
          <w:bCs w:val="0"/>
          <w:color w:val="auto"/>
          <w:kern w:val="2"/>
          <w:sz w:val="24"/>
          <w:szCs w:val="24"/>
          <w:highlight w:val="none"/>
          <w:lang w:val="en-US" w:eastAsia="zh-CN" w:bidi="ar-SA"/>
        </w:rPr>
      </w:pPr>
      <w:r>
        <w:rPr>
          <w:rFonts w:hint="eastAsia" w:cs="Times New Roman" w:asciiTheme="minorEastAsia" w:hAnsiTheme="minorEastAsia" w:eastAsiaTheme="minorEastAsia"/>
          <w:b w:val="0"/>
          <w:bCs w:val="0"/>
          <w:color w:val="auto"/>
          <w:kern w:val="2"/>
          <w:sz w:val="24"/>
          <w:szCs w:val="24"/>
          <w:highlight w:val="none"/>
          <w:lang w:val="en-US" w:eastAsia="zh-CN" w:bidi="ar-SA"/>
        </w:rPr>
        <w:t>备注：1.本项目总结算价不超过</w:t>
      </w:r>
      <w:r>
        <w:rPr>
          <w:rFonts w:hint="default" w:cs="Times New Roman" w:asciiTheme="minorEastAsia" w:hAnsiTheme="minorEastAsia" w:eastAsiaTheme="minorEastAsia"/>
          <w:b w:val="0"/>
          <w:bCs w:val="0"/>
          <w:color w:val="auto"/>
          <w:kern w:val="2"/>
          <w:sz w:val="24"/>
          <w:szCs w:val="24"/>
          <w:highlight w:val="none"/>
          <w:lang w:val="en-US" w:eastAsia="zh-CN" w:bidi="ar-SA"/>
        </w:rPr>
        <w:t>4</w:t>
      </w:r>
      <w:r>
        <w:rPr>
          <w:rFonts w:hint="eastAsia" w:cs="Times New Roman" w:asciiTheme="minorEastAsia" w:hAnsiTheme="minorEastAsia" w:eastAsiaTheme="minorEastAsia"/>
          <w:b w:val="0"/>
          <w:bCs w:val="0"/>
          <w:color w:val="auto"/>
          <w:kern w:val="2"/>
          <w:sz w:val="24"/>
          <w:szCs w:val="24"/>
          <w:highlight w:val="none"/>
          <w:lang w:val="en-US" w:eastAsia="zh-CN" w:bidi="ar-SA"/>
        </w:rPr>
        <w:t>00万元，实际发生工作量按实结算。</w:t>
      </w:r>
    </w:p>
    <w:p w14:paraId="5F27328D">
      <w:pPr>
        <w:pageBreakBefore w:val="0"/>
        <w:tabs>
          <w:tab w:val="left" w:pos="8280"/>
        </w:tabs>
        <w:kinsoku/>
        <w:wordWrap/>
        <w:overflowPunct/>
        <w:topLinePunct w:val="0"/>
        <w:autoSpaceDE w:val="0"/>
        <w:autoSpaceDN w:val="0"/>
        <w:bidi w:val="0"/>
        <w:adjustRightInd w:val="0"/>
        <w:snapToGrid/>
        <w:spacing w:line="440" w:lineRule="exact"/>
        <w:ind w:right="25"/>
        <w:textAlignment w:val="auto"/>
        <w:rPr>
          <w:rFonts w:hint="eastAsia" w:cs="Times New Roman" w:asciiTheme="minorEastAsia" w:hAnsiTheme="minorEastAsia" w:eastAsiaTheme="minorEastAsia"/>
          <w:b/>
          <w:color w:val="auto"/>
          <w:sz w:val="24"/>
          <w:szCs w:val="24"/>
          <w:highlight w:val="none"/>
        </w:rPr>
      </w:pPr>
      <w:r>
        <w:rPr>
          <w:rFonts w:hint="eastAsia" w:cs="Times New Roman" w:asciiTheme="minorEastAsia" w:hAnsiTheme="minorEastAsia" w:eastAsiaTheme="minorEastAsia"/>
          <w:b/>
          <w:color w:val="auto"/>
          <w:sz w:val="24"/>
          <w:szCs w:val="24"/>
          <w:highlight w:val="none"/>
          <w:lang w:eastAsia="zh-CN"/>
        </w:rPr>
        <w:t>二、采购内容及要求</w:t>
      </w:r>
    </w:p>
    <w:p w14:paraId="4E3604B8">
      <w:pPr>
        <w:pageBreakBefore w:val="0"/>
        <w:numPr>
          <w:ilvl w:val="0"/>
          <w:numId w:val="8"/>
        </w:numPr>
        <w:kinsoku/>
        <w:wordWrap/>
        <w:overflowPunct/>
        <w:topLinePunct w:val="0"/>
        <w:bidi w:val="0"/>
        <w:snapToGrid/>
        <w:spacing w:line="440" w:lineRule="exact"/>
        <w:ind w:firstLine="482" w:firstLineChars="200"/>
        <w:textAlignment w:val="auto"/>
        <w:rPr>
          <w:rFonts w:asciiTheme="minorEastAsia" w:hAnsiTheme="minorEastAsia" w:eastAsiaTheme="minorEastAsia"/>
          <w:color w:val="auto"/>
          <w:sz w:val="24"/>
          <w:highlight w:val="none"/>
        </w:rPr>
      </w:pPr>
      <w:r>
        <w:rPr>
          <w:rFonts w:hint="eastAsia" w:ascii="宋体" w:hAnsi="宋体" w:cs="宋体"/>
          <w:b/>
          <w:bCs/>
          <w:color w:val="auto"/>
          <w:sz w:val="24"/>
          <w:highlight w:val="none"/>
        </w:rPr>
        <w:t>采购清单</w:t>
      </w:r>
    </w:p>
    <w:tbl>
      <w:tblPr>
        <w:tblStyle w:val="48"/>
        <w:tblW w:w="9802" w:type="dxa"/>
        <w:jc w:val="center"/>
        <w:tblLayout w:type="fixed"/>
        <w:tblCellMar>
          <w:top w:w="0" w:type="dxa"/>
          <w:left w:w="108" w:type="dxa"/>
          <w:bottom w:w="0" w:type="dxa"/>
          <w:right w:w="108" w:type="dxa"/>
        </w:tblCellMar>
      </w:tblPr>
      <w:tblGrid>
        <w:gridCol w:w="705"/>
        <w:gridCol w:w="1350"/>
        <w:gridCol w:w="3201"/>
        <w:gridCol w:w="810"/>
        <w:gridCol w:w="1305"/>
        <w:gridCol w:w="2431"/>
      </w:tblGrid>
      <w:tr w14:paraId="57F1305F">
        <w:tblPrEx>
          <w:tblCellMar>
            <w:top w:w="0" w:type="dxa"/>
            <w:left w:w="108" w:type="dxa"/>
            <w:bottom w:w="0" w:type="dxa"/>
            <w:right w:w="108" w:type="dxa"/>
          </w:tblCellMar>
        </w:tblPrEx>
        <w:trPr>
          <w:trHeight w:val="399"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2463B450">
            <w:pPr>
              <w:keepNext w:val="0"/>
              <w:keepLines w:val="0"/>
              <w:pageBreakBefore w:val="0"/>
              <w:widowControl/>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15614DD2">
            <w:pPr>
              <w:keepNext w:val="0"/>
              <w:keepLines w:val="0"/>
              <w:pageBreakBefore w:val="0"/>
              <w:widowControl/>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3201"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056F8E18">
            <w:pPr>
              <w:keepNext w:val="0"/>
              <w:keepLines w:val="0"/>
              <w:pageBreakBefore w:val="0"/>
              <w:widowControl/>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规格型号</w:t>
            </w:r>
          </w:p>
        </w:tc>
        <w:tc>
          <w:tcPr>
            <w:tcW w:w="810" w:type="dxa"/>
            <w:tcBorders>
              <w:top w:val="single" w:color="000000" w:sz="4" w:space="0"/>
              <w:left w:val="nil"/>
              <w:right w:val="single" w:color="000000" w:sz="4" w:space="0"/>
            </w:tcBorders>
            <w:shd w:val="clear" w:color="auto" w:fill="EEECE1" w:themeFill="background2"/>
            <w:vAlign w:val="center"/>
          </w:tcPr>
          <w:p w14:paraId="3268F4A5">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单位</w:t>
            </w:r>
          </w:p>
        </w:tc>
        <w:tc>
          <w:tcPr>
            <w:tcW w:w="1305" w:type="dxa"/>
            <w:tcBorders>
              <w:top w:val="single" w:color="000000" w:sz="4" w:space="0"/>
              <w:left w:val="nil"/>
              <w:right w:val="single" w:color="000000" w:sz="4" w:space="0"/>
            </w:tcBorders>
            <w:shd w:val="clear" w:color="auto" w:fill="EEECE1" w:themeFill="background2"/>
            <w:vAlign w:val="center"/>
          </w:tcPr>
          <w:p w14:paraId="0E39DDC9">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上限单价（元）</w:t>
            </w:r>
          </w:p>
        </w:tc>
        <w:tc>
          <w:tcPr>
            <w:tcW w:w="2431" w:type="dxa"/>
            <w:tcBorders>
              <w:top w:val="single" w:color="000000" w:sz="4" w:space="0"/>
              <w:left w:val="nil"/>
              <w:right w:val="single" w:color="000000" w:sz="4" w:space="0"/>
            </w:tcBorders>
            <w:shd w:val="clear" w:color="auto" w:fill="EEECE1" w:themeFill="background2"/>
            <w:vAlign w:val="center"/>
          </w:tcPr>
          <w:p w14:paraId="16D4FAA6">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6B87E9FA">
        <w:tblPrEx>
          <w:tblCellMar>
            <w:top w:w="0" w:type="dxa"/>
            <w:left w:w="108" w:type="dxa"/>
            <w:bottom w:w="0" w:type="dxa"/>
            <w:right w:w="108" w:type="dxa"/>
          </w:tblCellMar>
        </w:tblPrEx>
        <w:trPr>
          <w:trHeight w:val="462"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329FB666">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1</w:t>
            </w:r>
          </w:p>
        </w:tc>
        <w:tc>
          <w:tcPr>
            <w:tcW w:w="1350" w:type="dxa"/>
            <w:tcBorders>
              <w:top w:val="single" w:color="000000" w:sz="4" w:space="0"/>
              <w:left w:val="single" w:color="000000" w:sz="4" w:space="0"/>
              <w:bottom w:val="single" w:color="000000" w:sz="4" w:space="0"/>
              <w:right w:val="single" w:color="000000" w:sz="4" w:space="0"/>
            </w:tcBorders>
            <w:vAlign w:val="center"/>
          </w:tcPr>
          <w:p w14:paraId="0672083F">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普通热熔标线</w:t>
            </w:r>
          </w:p>
        </w:tc>
        <w:tc>
          <w:tcPr>
            <w:tcW w:w="3201" w:type="dxa"/>
            <w:tcBorders>
              <w:top w:val="single" w:color="000000" w:sz="4" w:space="0"/>
              <w:left w:val="single" w:color="000000" w:sz="4" w:space="0"/>
              <w:bottom w:val="single" w:color="000000" w:sz="4" w:space="0"/>
              <w:right w:val="single" w:color="000000" w:sz="4" w:space="0"/>
            </w:tcBorders>
            <w:vAlign w:val="center"/>
          </w:tcPr>
          <w:p w14:paraId="2E0F61A6">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lang w:eastAsia="zh-CN"/>
              </w:rPr>
            </w:pPr>
            <w:r>
              <w:rPr>
                <w:rFonts w:hint="eastAsia" w:cs="Times New Roman" w:asciiTheme="minorEastAsia" w:hAnsiTheme="minorEastAsia" w:eastAsiaTheme="minorEastAsia"/>
                <w:color w:val="auto"/>
                <w:sz w:val="24"/>
                <w:highlight w:val="none"/>
              </w:rPr>
              <w:t>热熔反光型标线 厚度</w:t>
            </w:r>
            <w:r>
              <w:rPr>
                <w:rFonts w:hint="eastAsia" w:cs="Times New Roman" w:asciiTheme="minorEastAsia" w:hAnsiTheme="minorEastAsia" w:eastAsiaTheme="minorEastAsia"/>
                <w:color w:val="auto"/>
                <w:sz w:val="24"/>
                <w:highlight w:val="none"/>
                <w:lang w:val="en-US" w:eastAsia="zh-CN"/>
              </w:rPr>
              <w:t>1.8</w:t>
            </w:r>
            <w:r>
              <w:rPr>
                <w:rFonts w:hint="eastAsia" w:cs="Times New Roman" w:asciiTheme="minorEastAsia" w:hAnsiTheme="minorEastAsia" w:eastAsiaTheme="minorEastAsia"/>
                <w:color w:val="auto"/>
                <w:sz w:val="24"/>
                <w:highlight w:val="none"/>
              </w:rPr>
              <w:t>mm以上，均匀撒布反光珠</w:t>
            </w:r>
          </w:p>
        </w:tc>
        <w:tc>
          <w:tcPr>
            <w:tcW w:w="810" w:type="dxa"/>
            <w:tcBorders>
              <w:top w:val="single" w:color="auto" w:sz="4" w:space="0"/>
              <w:left w:val="nil"/>
              <w:bottom w:val="single" w:color="auto" w:sz="4" w:space="0"/>
              <w:right w:val="single" w:color="000000" w:sz="4" w:space="0"/>
            </w:tcBorders>
            <w:vAlign w:val="center"/>
          </w:tcPr>
          <w:p w14:paraId="0B274635">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m2</w:t>
            </w:r>
          </w:p>
        </w:tc>
        <w:tc>
          <w:tcPr>
            <w:tcW w:w="1305" w:type="dxa"/>
            <w:tcBorders>
              <w:top w:val="single" w:color="auto" w:sz="4" w:space="0"/>
              <w:left w:val="nil"/>
              <w:bottom w:val="single" w:color="auto" w:sz="4" w:space="0"/>
              <w:right w:val="single" w:color="000000" w:sz="4" w:space="0"/>
            </w:tcBorders>
            <w:vAlign w:val="center"/>
          </w:tcPr>
          <w:p w14:paraId="77A01E74">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45</w:t>
            </w:r>
          </w:p>
        </w:tc>
        <w:tc>
          <w:tcPr>
            <w:tcW w:w="2431" w:type="dxa"/>
            <w:tcBorders>
              <w:top w:val="single" w:color="auto" w:sz="4" w:space="0"/>
              <w:left w:val="nil"/>
              <w:bottom w:val="single" w:color="auto" w:sz="4" w:space="0"/>
              <w:right w:val="single" w:color="000000" w:sz="4" w:space="0"/>
            </w:tcBorders>
            <w:vAlign w:val="center"/>
          </w:tcPr>
          <w:p w14:paraId="3C682304">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cs="宋体"/>
                <w:color w:val="auto"/>
                <w:kern w:val="0"/>
                <w:szCs w:val="21"/>
                <w:highlight w:val="none"/>
                <w:lang w:bidi="ar"/>
              </w:rPr>
              <w:t>详见技术参数，含部分的彩色标线</w:t>
            </w:r>
          </w:p>
        </w:tc>
      </w:tr>
      <w:tr w14:paraId="24B6316C">
        <w:tblPrEx>
          <w:tblCellMar>
            <w:top w:w="0" w:type="dxa"/>
            <w:left w:w="108" w:type="dxa"/>
            <w:bottom w:w="0" w:type="dxa"/>
            <w:right w:w="108" w:type="dxa"/>
          </w:tblCellMar>
        </w:tblPrEx>
        <w:trPr>
          <w:trHeight w:val="462"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6F4A98FD">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2</w:t>
            </w:r>
          </w:p>
        </w:tc>
        <w:tc>
          <w:tcPr>
            <w:tcW w:w="1350" w:type="dxa"/>
            <w:tcBorders>
              <w:top w:val="single" w:color="000000" w:sz="4" w:space="0"/>
              <w:left w:val="single" w:color="000000" w:sz="4" w:space="0"/>
              <w:bottom w:val="single" w:color="000000" w:sz="4" w:space="0"/>
              <w:right w:val="single" w:color="000000" w:sz="4" w:space="0"/>
            </w:tcBorders>
            <w:vAlign w:val="center"/>
          </w:tcPr>
          <w:p w14:paraId="337ED00E">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普通热熔振荡标线</w:t>
            </w:r>
          </w:p>
        </w:tc>
        <w:tc>
          <w:tcPr>
            <w:tcW w:w="3201" w:type="dxa"/>
            <w:tcBorders>
              <w:top w:val="single" w:color="000000" w:sz="4" w:space="0"/>
              <w:left w:val="single" w:color="000000" w:sz="4" w:space="0"/>
              <w:bottom w:val="single" w:color="000000" w:sz="4" w:space="0"/>
              <w:right w:val="single" w:color="000000" w:sz="4" w:space="0"/>
            </w:tcBorders>
            <w:vAlign w:val="center"/>
          </w:tcPr>
          <w:p w14:paraId="33FB25BC">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热熔型厚度≥6mm,长划70mm空110mm,宽150mm线划3颗;宽200mm线划4颗。其中纵向减速震荡标线按照每个0.3平方米计算（包含尾部变小部分）</w:t>
            </w:r>
          </w:p>
        </w:tc>
        <w:tc>
          <w:tcPr>
            <w:tcW w:w="810" w:type="dxa"/>
            <w:tcBorders>
              <w:top w:val="single" w:color="auto" w:sz="4" w:space="0"/>
              <w:left w:val="nil"/>
              <w:bottom w:val="single" w:color="auto" w:sz="4" w:space="0"/>
              <w:right w:val="single" w:color="000000" w:sz="4" w:space="0"/>
            </w:tcBorders>
            <w:vAlign w:val="center"/>
          </w:tcPr>
          <w:p w14:paraId="69462D65">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m2</w:t>
            </w:r>
          </w:p>
        </w:tc>
        <w:tc>
          <w:tcPr>
            <w:tcW w:w="1305" w:type="dxa"/>
            <w:tcBorders>
              <w:top w:val="single" w:color="auto" w:sz="4" w:space="0"/>
              <w:left w:val="nil"/>
              <w:bottom w:val="single" w:color="auto" w:sz="4" w:space="0"/>
              <w:right w:val="single" w:color="000000" w:sz="4" w:space="0"/>
            </w:tcBorders>
            <w:vAlign w:val="center"/>
          </w:tcPr>
          <w:p w14:paraId="25713296">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100</w:t>
            </w:r>
          </w:p>
        </w:tc>
        <w:tc>
          <w:tcPr>
            <w:tcW w:w="2431" w:type="dxa"/>
            <w:tcBorders>
              <w:top w:val="single" w:color="auto" w:sz="4" w:space="0"/>
              <w:left w:val="nil"/>
              <w:bottom w:val="single" w:color="auto" w:sz="4" w:space="0"/>
              <w:right w:val="single" w:color="000000" w:sz="4" w:space="0"/>
            </w:tcBorders>
            <w:vAlign w:val="center"/>
          </w:tcPr>
          <w:p w14:paraId="2686916D">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kern w:val="0"/>
                <w:szCs w:val="21"/>
                <w:highlight w:val="none"/>
                <w:lang w:val="en-US" w:eastAsia="zh-CN" w:bidi="ar"/>
              </w:rPr>
              <w:t xml:space="preserve"> </w:t>
            </w:r>
            <w:r>
              <w:rPr>
                <w:rFonts w:hint="eastAsia" w:ascii="宋体" w:hAnsi="宋体" w:cs="宋体"/>
                <w:color w:val="auto"/>
                <w:kern w:val="0"/>
                <w:szCs w:val="21"/>
                <w:highlight w:val="none"/>
                <w:lang w:bidi="ar"/>
              </w:rPr>
              <w:t>其中纵向减速震荡标线按照每个0.3平方米计算（包含尾部变小部分）</w:t>
            </w:r>
          </w:p>
        </w:tc>
      </w:tr>
      <w:tr w14:paraId="12F588F5">
        <w:tblPrEx>
          <w:tblCellMar>
            <w:top w:w="0" w:type="dxa"/>
            <w:left w:w="108" w:type="dxa"/>
            <w:bottom w:w="0" w:type="dxa"/>
            <w:right w:w="108" w:type="dxa"/>
          </w:tblCellMar>
        </w:tblPrEx>
        <w:trPr>
          <w:trHeight w:val="462"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3EF4FDD3">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3</w:t>
            </w:r>
          </w:p>
        </w:tc>
        <w:tc>
          <w:tcPr>
            <w:tcW w:w="1350" w:type="dxa"/>
            <w:tcBorders>
              <w:top w:val="single" w:color="000000" w:sz="4" w:space="0"/>
              <w:left w:val="single" w:color="000000" w:sz="4" w:space="0"/>
              <w:bottom w:val="single" w:color="000000" w:sz="4" w:space="0"/>
              <w:right w:val="single" w:color="000000" w:sz="4" w:space="0"/>
            </w:tcBorders>
            <w:vAlign w:val="center"/>
          </w:tcPr>
          <w:p w14:paraId="20E1D0A5">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彩色防滑路面标线</w:t>
            </w:r>
          </w:p>
        </w:tc>
        <w:tc>
          <w:tcPr>
            <w:tcW w:w="3201" w:type="dxa"/>
            <w:tcBorders>
              <w:top w:val="single" w:color="000000" w:sz="4" w:space="0"/>
              <w:left w:val="single" w:color="000000" w:sz="4" w:space="0"/>
              <w:bottom w:val="single" w:color="000000" w:sz="4" w:space="0"/>
              <w:right w:val="single" w:color="000000" w:sz="4" w:space="0"/>
            </w:tcBorders>
            <w:vAlign w:val="center"/>
          </w:tcPr>
          <w:p w14:paraId="25CBDED7">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厚度≥3.0mm，含地面、夯平、图形制作、底胶浸倒、陶珠散布、余珠清除。</w:t>
            </w:r>
          </w:p>
        </w:tc>
        <w:tc>
          <w:tcPr>
            <w:tcW w:w="810" w:type="dxa"/>
            <w:tcBorders>
              <w:top w:val="single" w:color="auto" w:sz="4" w:space="0"/>
              <w:left w:val="nil"/>
              <w:bottom w:val="single" w:color="auto" w:sz="4" w:space="0"/>
              <w:right w:val="single" w:color="000000" w:sz="4" w:space="0"/>
            </w:tcBorders>
            <w:vAlign w:val="center"/>
          </w:tcPr>
          <w:p w14:paraId="0F24EDDD">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m2</w:t>
            </w:r>
          </w:p>
        </w:tc>
        <w:tc>
          <w:tcPr>
            <w:tcW w:w="1305" w:type="dxa"/>
            <w:tcBorders>
              <w:top w:val="single" w:color="auto" w:sz="4" w:space="0"/>
              <w:left w:val="nil"/>
              <w:bottom w:val="single" w:color="auto" w:sz="4" w:space="0"/>
              <w:right w:val="single" w:color="000000" w:sz="4" w:space="0"/>
            </w:tcBorders>
            <w:vAlign w:val="center"/>
          </w:tcPr>
          <w:p w14:paraId="0C8BB726">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200</w:t>
            </w:r>
          </w:p>
        </w:tc>
        <w:tc>
          <w:tcPr>
            <w:tcW w:w="2431" w:type="dxa"/>
            <w:tcBorders>
              <w:top w:val="single" w:color="auto" w:sz="4" w:space="0"/>
              <w:left w:val="nil"/>
              <w:bottom w:val="single" w:color="auto" w:sz="4" w:space="0"/>
              <w:right w:val="single" w:color="000000" w:sz="4" w:space="0"/>
            </w:tcBorders>
            <w:vAlign w:val="center"/>
          </w:tcPr>
          <w:p w14:paraId="4118A606">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eastAsia="zh-CN"/>
              </w:rPr>
            </w:pPr>
          </w:p>
        </w:tc>
      </w:tr>
      <w:tr w14:paraId="778B628B">
        <w:tblPrEx>
          <w:tblCellMar>
            <w:top w:w="0" w:type="dxa"/>
            <w:left w:w="108" w:type="dxa"/>
            <w:bottom w:w="0" w:type="dxa"/>
            <w:right w:w="108" w:type="dxa"/>
          </w:tblCellMar>
        </w:tblPrEx>
        <w:trPr>
          <w:trHeight w:val="462"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131657D7">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4</w:t>
            </w:r>
          </w:p>
        </w:tc>
        <w:tc>
          <w:tcPr>
            <w:tcW w:w="1350" w:type="dxa"/>
            <w:tcBorders>
              <w:top w:val="single" w:color="000000" w:sz="4" w:space="0"/>
              <w:left w:val="single" w:color="000000" w:sz="4" w:space="0"/>
              <w:bottom w:val="single" w:color="000000" w:sz="4" w:space="0"/>
              <w:right w:val="single" w:color="000000" w:sz="4" w:space="0"/>
            </w:tcBorders>
            <w:vAlign w:val="center"/>
          </w:tcPr>
          <w:p w14:paraId="0FEDBCE9">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双组份反光型标线（喷涂）</w:t>
            </w:r>
          </w:p>
        </w:tc>
        <w:tc>
          <w:tcPr>
            <w:tcW w:w="3201" w:type="dxa"/>
            <w:tcBorders>
              <w:top w:val="single" w:color="000000" w:sz="4" w:space="0"/>
              <w:left w:val="single" w:color="000000" w:sz="4" w:space="0"/>
              <w:bottom w:val="single" w:color="000000" w:sz="4" w:space="0"/>
              <w:right w:val="single" w:color="000000" w:sz="4" w:space="0"/>
            </w:tcBorders>
            <w:vAlign w:val="center"/>
          </w:tcPr>
          <w:p w14:paraId="35F8A06A">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详见技术参数</w:t>
            </w:r>
          </w:p>
        </w:tc>
        <w:tc>
          <w:tcPr>
            <w:tcW w:w="810" w:type="dxa"/>
            <w:tcBorders>
              <w:top w:val="single" w:color="auto" w:sz="4" w:space="0"/>
              <w:left w:val="nil"/>
              <w:bottom w:val="single" w:color="auto" w:sz="4" w:space="0"/>
              <w:right w:val="single" w:color="000000" w:sz="4" w:space="0"/>
            </w:tcBorders>
            <w:vAlign w:val="center"/>
          </w:tcPr>
          <w:p w14:paraId="68B24E12">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m2</w:t>
            </w:r>
          </w:p>
        </w:tc>
        <w:tc>
          <w:tcPr>
            <w:tcW w:w="1305" w:type="dxa"/>
            <w:tcBorders>
              <w:top w:val="single" w:color="auto" w:sz="4" w:space="0"/>
              <w:left w:val="nil"/>
              <w:bottom w:val="single" w:color="auto" w:sz="4" w:space="0"/>
              <w:right w:val="single" w:color="000000" w:sz="4" w:space="0"/>
            </w:tcBorders>
            <w:vAlign w:val="center"/>
          </w:tcPr>
          <w:p w14:paraId="744CE4CF">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80</w:t>
            </w:r>
          </w:p>
        </w:tc>
        <w:tc>
          <w:tcPr>
            <w:tcW w:w="2431" w:type="dxa"/>
            <w:tcBorders>
              <w:top w:val="single" w:color="auto" w:sz="4" w:space="0"/>
              <w:left w:val="nil"/>
              <w:bottom w:val="single" w:color="auto" w:sz="4" w:space="0"/>
              <w:right w:val="single" w:color="000000" w:sz="4" w:space="0"/>
            </w:tcBorders>
            <w:vAlign w:val="center"/>
          </w:tcPr>
          <w:p w14:paraId="13A69342">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eastAsia="zh-CN"/>
              </w:rPr>
            </w:pPr>
          </w:p>
        </w:tc>
      </w:tr>
      <w:tr w14:paraId="14D5C6AE">
        <w:tblPrEx>
          <w:tblCellMar>
            <w:top w:w="0" w:type="dxa"/>
            <w:left w:w="108" w:type="dxa"/>
            <w:bottom w:w="0" w:type="dxa"/>
            <w:right w:w="108" w:type="dxa"/>
          </w:tblCellMar>
        </w:tblPrEx>
        <w:trPr>
          <w:trHeight w:val="462"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5098BB22">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5</w:t>
            </w:r>
          </w:p>
        </w:tc>
        <w:tc>
          <w:tcPr>
            <w:tcW w:w="1350" w:type="dxa"/>
            <w:tcBorders>
              <w:top w:val="single" w:color="000000" w:sz="4" w:space="0"/>
              <w:left w:val="single" w:color="000000" w:sz="4" w:space="0"/>
              <w:bottom w:val="single" w:color="000000" w:sz="4" w:space="0"/>
              <w:right w:val="single" w:color="000000" w:sz="4" w:space="0"/>
            </w:tcBorders>
            <w:vAlign w:val="center"/>
          </w:tcPr>
          <w:p w14:paraId="438A2880">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双组份突起型反光标线（甩涂、刮涂、点涂）</w:t>
            </w:r>
          </w:p>
        </w:tc>
        <w:tc>
          <w:tcPr>
            <w:tcW w:w="3201" w:type="dxa"/>
            <w:tcBorders>
              <w:top w:val="single" w:color="000000" w:sz="4" w:space="0"/>
              <w:left w:val="single" w:color="000000" w:sz="4" w:space="0"/>
              <w:bottom w:val="single" w:color="000000" w:sz="4" w:space="0"/>
              <w:right w:val="single" w:color="000000" w:sz="4" w:space="0"/>
            </w:tcBorders>
            <w:vAlign w:val="center"/>
          </w:tcPr>
          <w:p w14:paraId="69ECE157">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详见技术参数</w:t>
            </w:r>
          </w:p>
        </w:tc>
        <w:tc>
          <w:tcPr>
            <w:tcW w:w="810" w:type="dxa"/>
            <w:tcBorders>
              <w:top w:val="single" w:color="auto" w:sz="4" w:space="0"/>
              <w:left w:val="nil"/>
              <w:bottom w:val="single" w:color="auto" w:sz="4" w:space="0"/>
              <w:right w:val="single" w:color="000000" w:sz="4" w:space="0"/>
            </w:tcBorders>
            <w:vAlign w:val="center"/>
          </w:tcPr>
          <w:p w14:paraId="1A0514E6">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m2</w:t>
            </w:r>
          </w:p>
        </w:tc>
        <w:tc>
          <w:tcPr>
            <w:tcW w:w="1305" w:type="dxa"/>
            <w:tcBorders>
              <w:top w:val="single" w:color="auto" w:sz="4" w:space="0"/>
              <w:left w:val="nil"/>
              <w:bottom w:val="single" w:color="auto" w:sz="4" w:space="0"/>
              <w:right w:val="single" w:color="000000" w:sz="4" w:space="0"/>
            </w:tcBorders>
            <w:vAlign w:val="center"/>
          </w:tcPr>
          <w:p w14:paraId="1C53859B">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120</w:t>
            </w:r>
          </w:p>
        </w:tc>
        <w:tc>
          <w:tcPr>
            <w:tcW w:w="2431" w:type="dxa"/>
            <w:tcBorders>
              <w:top w:val="single" w:color="auto" w:sz="4" w:space="0"/>
              <w:left w:val="nil"/>
              <w:bottom w:val="single" w:color="auto" w:sz="4" w:space="0"/>
              <w:right w:val="single" w:color="000000" w:sz="4" w:space="0"/>
            </w:tcBorders>
            <w:vAlign w:val="center"/>
          </w:tcPr>
          <w:p w14:paraId="6EC43FCF">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eastAsia="zh-CN"/>
              </w:rPr>
            </w:pPr>
          </w:p>
        </w:tc>
      </w:tr>
      <w:tr w14:paraId="2E14BB65">
        <w:tblPrEx>
          <w:tblCellMar>
            <w:top w:w="0" w:type="dxa"/>
            <w:left w:w="108" w:type="dxa"/>
            <w:bottom w:w="0" w:type="dxa"/>
            <w:right w:w="108" w:type="dxa"/>
          </w:tblCellMar>
        </w:tblPrEx>
        <w:trPr>
          <w:trHeight w:val="462"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3492B89F">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6</w:t>
            </w:r>
          </w:p>
        </w:tc>
        <w:tc>
          <w:tcPr>
            <w:tcW w:w="1350" w:type="dxa"/>
            <w:tcBorders>
              <w:top w:val="single" w:color="000000" w:sz="4" w:space="0"/>
              <w:left w:val="single" w:color="000000" w:sz="4" w:space="0"/>
              <w:bottom w:val="single" w:color="000000" w:sz="4" w:space="0"/>
              <w:right w:val="single" w:color="000000" w:sz="4" w:space="0"/>
            </w:tcBorders>
            <w:vAlign w:val="center"/>
          </w:tcPr>
          <w:p w14:paraId="360E207E">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热熔雨夜标线</w:t>
            </w:r>
          </w:p>
        </w:tc>
        <w:tc>
          <w:tcPr>
            <w:tcW w:w="3201" w:type="dxa"/>
            <w:tcBorders>
              <w:top w:val="single" w:color="000000" w:sz="4" w:space="0"/>
              <w:left w:val="single" w:color="000000" w:sz="4" w:space="0"/>
              <w:bottom w:val="single" w:color="000000" w:sz="4" w:space="0"/>
              <w:right w:val="single" w:color="000000" w:sz="4" w:space="0"/>
            </w:tcBorders>
            <w:vAlign w:val="center"/>
          </w:tcPr>
          <w:p w14:paraId="391FF669">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详见技术参数</w:t>
            </w:r>
          </w:p>
        </w:tc>
        <w:tc>
          <w:tcPr>
            <w:tcW w:w="810" w:type="dxa"/>
            <w:tcBorders>
              <w:top w:val="single" w:color="auto" w:sz="4" w:space="0"/>
              <w:left w:val="nil"/>
              <w:bottom w:val="single" w:color="auto" w:sz="4" w:space="0"/>
              <w:right w:val="single" w:color="000000" w:sz="4" w:space="0"/>
            </w:tcBorders>
            <w:vAlign w:val="center"/>
          </w:tcPr>
          <w:p w14:paraId="71C29FDA">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m2</w:t>
            </w:r>
          </w:p>
        </w:tc>
        <w:tc>
          <w:tcPr>
            <w:tcW w:w="1305" w:type="dxa"/>
            <w:tcBorders>
              <w:top w:val="single" w:color="auto" w:sz="4" w:space="0"/>
              <w:left w:val="nil"/>
              <w:bottom w:val="single" w:color="auto" w:sz="4" w:space="0"/>
              <w:right w:val="single" w:color="000000" w:sz="4" w:space="0"/>
            </w:tcBorders>
            <w:vAlign w:val="center"/>
          </w:tcPr>
          <w:p w14:paraId="779D0D61">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178</w:t>
            </w:r>
          </w:p>
        </w:tc>
        <w:tc>
          <w:tcPr>
            <w:tcW w:w="2431" w:type="dxa"/>
            <w:tcBorders>
              <w:top w:val="single" w:color="auto" w:sz="4" w:space="0"/>
              <w:left w:val="nil"/>
              <w:bottom w:val="single" w:color="auto" w:sz="4" w:space="0"/>
              <w:right w:val="single" w:color="000000" w:sz="4" w:space="0"/>
            </w:tcBorders>
            <w:vAlign w:val="center"/>
          </w:tcPr>
          <w:p w14:paraId="72980E14">
            <w:pPr>
              <w:keepNext w:val="0"/>
              <w:keepLines w:val="0"/>
              <w:pageBreakBefore w:val="0"/>
              <w:widowControl/>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eastAsia="zh-CN"/>
              </w:rPr>
            </w:pPr>
          </w:p>
        </w:tc>
      </w:tr>
      <w:tr w14:paraId="72A2C521">
        <w:tblPrEx>
          <w:tblCellMar>
            <w:top w:w="0" w:type="dxa"/>
            <w:left w:w="108" w:type="dxa"/>
            <w:bottom w:w="0" w:type="dxa"/>
            <w:right w:w="108" w:type="dxa"/>
          </w:tblCellMar>
        </w:tblPrEx>
        <w:trPr>
          <w:trHeight w:val="462"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6B5008E1">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7</w:t>
            </w:r>
          </w:p>
        </w:tc>
        <w:tc>
          <w:tcPr>
            <w:tcW w:w="1350" w:type="dxa"/>
            <w:tcBorders>
              <w:top w:val="single" w:color="000000" w:sz="4" w:space="0"/>
              <w:left w:val="single" w:color="000000" w:sz="4" w:space="0"/>
              <w:bottom w:val="single" w:color="000000" w:sz="4" w:space="0"/>
              <w:right w:val="single" w:color="000000" w:sz="4" w:space="0"/>
            </w:tcBorders>
            <w:vAlign w:val="center"/>
          </w:tcPr>
          <w:p w14:paraId="79BD7F46">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高压水除线</w:t>
            </w:r>
          </w:p>
        </w:tc>
        <w:tc>
          <w:tcPr>
            <w:tcW w:w="3201" w:type="dxa"/>
            <w:tcBorders>
              <w:top w:val="single" w:color="000000" w:sz="4" w:space="0"/>
              <w:left w:val="single" w:color="000000" w:sz="4" w:space="0"/>
              <w:bottom w:val="single" w:color="000000" w:sz="4" w:space="0"/>
              <w:right w:val="single" w:color="000000" w:sz="4" w:space="0"/>
            </w:tcBorders>
            <w:vAlign w:val="center"/>
          </w:tcPr>
          <w:p w14:paraId="5B2217EA">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超高压水磨清洗法，清除老标线，无明显痕迹</w:t>
            </w:r>
          </w:p>
        </w:tc>
        <w:tc>
          <w:tcPr>
            <w:tcW w:w="810" w:type="dxa"/>
            <w:tcBorders>
              <w:top w:val="single" w:color="auto" w:sz="4" w:space="0"/>
              <w:left w:val="nil"/>
              <w:bottom w:val="single" w:color="auto" w:sz="4" w:space="0"/>
              <w:right w:val="single" w:color="000000" w:sz="4" w:space="0"/>
            </w:tcBorders>
            <w:vAlign w:val="center"/>
          </w:tcPr>
          <w:p w14:paraId="21DB8A34">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m2</w:t>
            </w:r>
          </w:p>
        </w:tc>
        <w:tc>
          <w:tcPr>
            <w:tcW w:w="1305" w:type="dxa"/>
            <w:tcBorders>
              <w:top w:val="single" w:color="auto" w:sz="4" w:space="0"/>
              <w:left w:val="nil"/>
              <w:bottom w:val="single" w:color="auto" w:sz="4" w:space="0"/>
              <w:right w:val="single" w:color="000000" w:sz="4" w:space="0"/>
            </w:tcBorders>
            <w:vAlign w:val="center"/>
          </w:tcPr>
          <w:p w14:paraId="0FED5AF2">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440" w:lineRule="exact"/>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45</w:t>
            </w:r>
          </w:p>
        </w:tc>
        <w:tc>
          <w:tcPr>
            <w:tcW w:w="2431" w:type="dxa"/>
            <w:tcBorders>
              <w:top w:val="single" w:color="auto" w:sz="4" w:space="0"/>
              <w:left w:val="nil"/>
              <w:bottom w:val="single" w:color="auto" w:sz="4" w:space="0"/>
              <w:right w:val="single" w:color="000000" w:sz="4" w:space="0"/>
            </w:tcBorders>
            <w:vAlign w:val="center"/>
          </w:tcPr>
          <w:p w14:paraId="0B274FD4">
            <w:pPr>
              <w:keepNext w:val="0"/>
              <w:keepLines w:val="0"/>
              <w:pageBreakBefore w:val="0"/>
              <w:widowControl/>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eastAsia="zh-CN"/>
              </w:rPr>
            </w:pPr>
          </w:p>
        </w:tc>
      </w:tr>
    </w:tbl>
    <w:p w14:paraId="666505FD">
      <w:pPr>
        <w:numPr>
          <w:ilvl w:val="0"/>
          <w:numId w:val="0"/>
        </w:num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b/>
          <w:bCs/>
          <w:color w:val="auto"/>
          <w:sz w:val="24"/>
          <w:highlight w:val="none"/>
          <w:lang w:val="en-US" w:eastAsia="zh-CN"/>
        </w:rPr>
        <w:t>注：1、</w:t>
      </w:r>
      <w:r>
        <w:rPr>
          <w:rFonts w:hint="eastAsia" w:asciiTheme="minorEastAsia" w:hAnsiTheme="minorEastAsia" w:eastAsiaTheme="minorEastAsia" w:cstheme="minorEastAsia"/>
          <w:color w:val="auto"/>
          <w:sz w:val="24"/>
          <w:highlight w:val="none"/>
        </w:rPr>
        <w:t>材料数量均为预估工作量，履约时以实际发生工作量结算，结算金额不超过本项目预算</w:t>
      </w:r>
      <w:r>
        <w:rPr>
          <w:rFonts w:hint="eastAsia" w:asciiTheme="minorEastAsia" w:hAnsiTheme="minorEastAsia" w:eastAsiaTheme="minorEastAsia" w:cstheme="minorEastAsia"/>
          <w:color w:val="auto"/>
          <w:sz w:val="24"/>
          <w:highlight w:val="none"/>
          <w:lang w:eastAsia="zh-CN"/>
        </w:rPr>
        <w:t>。</w:t>
      </w:r>
    </w:p>
    <w:p w14:paraId="2C431DA4">
      <w:pPr>
        <w:numPr>
          <w:ilvl w:val="0"/>
          <w:numId w:val="0"/>
        </w:numPr>
        <w:spacing w:line="360" w:lineRule="auto"/>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color w:val="auto"/>
          <w:kern w:val="28"/>
          <w:sz w:val="24"/>
          <w:highlight w:val="none"/>
          <w:lang w:val="en-US" w:eastAsia="zh-CN"/>
        </w:rPr>
        <w:t>2、</w:t>
      </w:r>
      <w:r>
        <w:rPr>
          <w:rFonts w:hint="eastAsia" w:asciiTheme="minorEastAsia" w:hAnsiTheme="minorEastAsia" w:eastAsiaTheme="minorEastAsia" w:cstheme="minorEastAsia"/>
          <w:b/>
          <w:color w:val="auto"/>
          <w:kern w:val="28"/>
          <w:sz w:val="24"/>
          <w:highlight w:val="none"/>
        </w:rPr>
        <w:t>最终的结算价（最终结算金额=</w:t>
      </w:r>
      <w:r>
        <w:rPr>
          <w:rFonts w:hint="eastAsia" w:asciiTheme="minorEastAsia" w:hAnsiTheme="minorEastAsia" w:eastAsiaTheme="minorEastAsia" w:cstheme="minorEastAsia"/>
          <w:b/>
          <w:color w:val="auto"/>
          <w:kern w:val="28"/>
          <w:sz w:val="24"/>
          <w:highlight w:val="none"/>
          <w:lang w:val="en-US" w:eastAsia="zh-CN"/>
        </w:rPr>
        <w:t>实际工作量</w:t>
      </w:r>
      <w:r>
        <w:rPr>
          <w:rFonts w:hint="eastAsia" w:asciiTheme="minorEastAsia" w:hAnsiTheme="minorEastAsia" w:eastAsiaTheme="minorEastAsia" w:cstheme="minorEastAsia"/>
          <w:b/>
          <w:color w:val="auto"/>
          <w:kern w:val="28"/>
          <w:sz w:val="24"/>
          <w:highlight w:val="none"/>
        </w:rPr>
        <w:t>*成交单价，成交单价=</w:t>
      </w:r>
      <w:r>
        <w:rPr>
          <w:rFonts w:hint="eastAsia" w:asciiTheme="minorEastAsia" w:hAnsiTheme="minorEastAsia" w:eastAsiaTheme="minorEastAsia" w:cstheme="minorEastAsia"/>
          <w:b/>
          <w:color w:val="auto"/>
          <w:kern w:val="28"/>
          <w:sz w:val="24"/>
          <w:highlight w:val="none"/>
          <w:lang w:val="en-US" w:eastAsia="zh-CN"/>
        </w:rPr>
        <w:t>上限</w:t>
      </w:r>
      <w:r>
        <w:rPr>
          <w:rFonts w:hint="eastAsia" w:asciiTheme="minorEastAsia" w:hAnsiTheme="minorEastAsia" w:eastAsiaTheme="minorEastAsia" w:cstheme="minorEastAsia"/>
          <w:b/>
          <w:color w:val="auto"/>
          <w:kern w:val="28"/>
          <w:sz w:val="24"/>
          <w:highlight w:val="none"/>
        </w:rPr>
        <w:t>单价*成交结算率）</w:t>
      </w:r>
      <w:r>
        <w:rPr>
          <w:rFonts w:hint="eastAsia" w:asciiTheme="minorEastAsia" w:hAnsiTheme="minorEastAsia" w:eastAsiaTheme="minorEastAsia" w:cstheme="minorEastAsia"/>
          <w:b/>
          <w:color w:val="auto"/>
          <w:kern w:val="28"/>
          <w:sz w:val="24"/>
          <w:highlight w:val="none"/>
          <w:lang w:eastAsia="zh-CN"/>
        </w:rPr>
        <w:t>。</w:t>
      </w:r>
      <w:r>
        <w:rPr>
          <w:rFonts w:hint="eastAsia" w:asciiTheme="minorEastAsia" w:hAnsiTheme="minorEastAsia" w:eastAsiaTheme="minorEastAsia" w:cstheme="minorEastAsia"/>
          <w:b w:val="0"/>
          <w:color w:val="auto"/>
          <w:sz w:val="24"/>
          <w:szCs w:val="24"/>
          <w:highlight w:val="none"/>
        </w:rPr>
        <w:t>本项目总结算价不超过400万元，实际发生工作量按实结算</w:t>
      </w:r>
      <w:r>
        <w:rPr>
          <w:rFonts w:hint="eastAsia" w:asciiTheme="minorEastAsia" w:hAnsiTheme="minorEastAsia" w:eastAsiaTheme="minorEastAsia" w:cstheme="minorEastAsia"/>
          <w:b w:val="0"/>
          <w:color w:val="auto"/>
          <w:sz w:val="24"/>
          <w:szCs w:val="24"/>
          <w:highlight w:val="none"/>
          <w:lang w:eastAsia="zh-CN"/>
        </w:rPr>
        <w:t>。</w:t>
      </w:r>
    </w:p>
    <w:p w14:paraId="5778C912">
      <w:pPr>
        <w:numPr>
          <w:ilvl w:val="0"/>
          <w:numId w:val="8"/>
        </w:num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技术标准和要求</w:t>
      </w:r>
    </w:p>
    <w:p w14:paraId="49D662F2">
      <w:pPr>
        <w:pStyle w:val="104"/>
        <w:rPr>
          <w:color w:val="auto"/>
          <w:highlight w:val="none"/>
        </w:rPr>
      </w:pPr>
    </w:p>
    <w:p w14:paraId="43D3DF01">
      <w:pPr>
        <w:spacing w:line="360" w:lineRule="auto"/>
        <w:ind w:firstLine="354" w:firstLineChars="147"/>
        <w:rPr>
          <w:rFonts w:ascii="宋体" w:hAnsi="宋体"/>
          <w:b/>
          <w:color w:val="auto"/>
          <w:sz w:val="24"/>
          <w:highlight w:val="none"/>
        </w:rPr>
      </w:pPr>
      <w:r>
        <w:rPr>
          <w:rFonts w:hint="eastAsia" w:ascii="宋体" w:hAnsi="宋体"/>
          <w:b/>
          <w:color w:val="auto"/>
          <w:sz w:val="24"/>
          <w:highlight w:val="none"/>
        </w:rPr>
        <w:t>2.1、供货要求</w:t>
      </w:r>
    </w:p>
    <w:p w14:paraId="3FF2E576">
      <w:pPr>
        <w:spacing w:line="360" w:lineRule="auto"/>
        <w:ind w:firstLine="352" w:firstLineChars="147"/>
        <w:rPr>
          <w:rFonts w:ascii="宋体" w:hAnsi="宋体"/>
          <w:color w:val="auto"/>
          <w:sz w:val="24"/>
          <w:highlight w:val="none"/>
        </w:rPr>
      </w:pPr>
      <w:r>
        <w:rPr>
          <w:rFonts w:hint="eastAsia" w:ascii="宋体" w:hAnsi="宋体"/>
          <w:color w:val="auto"/>
          <w:sz w:val="24"/>
          <w:highlight w:val="none"/>
        </w:rPr>
        <w:t>（1）本项目采购内容为标线（包含修补市区标线</w:t>
      </w:r>
      <w:r>
        <w:rPr>
          <w:rFonts w:hint="default" w:ascii="宋体" w:hAnsi="宋体"/>
          <w:color w:val="auto"/>
          <w:sz w:val="24"/>
          <w:highlight w:val="none"/>
        </w:rPr>
        <w:t>8</w:t>
      </w:r>
      <w:r>
        <w:rPr>
          <w:rFonts w:hint="eastAsia" w:ascii="宋体" w:hAnsi="宋体"/>
          <w:color w:val="auto"/>
          <w:sz w:val="24"/>
          <w:highlight w:val="none"/>
        </w:rPr>
        <w:t>万平方米左右，除线</w:t>
      </w:r>
      <w:r>
        <w:rPr>
          <w:rFonts w:hint="default" w:ascii="宋体" w:hAnsi="宋体"/>
          <w:color w:val="auto"/>
          <w:sz w:val="24"/>
          <w:highlight w:val="none"/>
        </w:rPr>
        <w:t>1</w:t>
      </w:r>
      <w:r>
        <w:rPr>
          <w:rFonts w:hint="eastAsia" w:ascii="宋体" w:hAnsi="宋体"/>
          <w:color w:val="auto"/>
          <w:sz w:val="24"/>
          <w:highlight w:val="none"/>
        </w:rPr>
        <w:t>万平方米左右等）及其全部附件、辅材、备品备件、专用工具等为完成本项目所需的所有设备的提供，人工及技术和售后服务等。</w:t>
      </w:r>
    </w:p>
    <w:p w14:paraId="3882A891">
      <w:pPr>
        <w:spacing w:line="360" w:lineRule="auto"/>
        <w:ind w:firstLine="352" w:firstLineChars="147"/>
        <w:rPr>
          <w:color w:val="auto"/>
          <w:sz w:val="24"/>
          <w:highlight w:val="none"/>
        </w:rPr>
      </w:pPr>
      <w:r>
        <w:rPr>
          <w:rFonts w:hint="eastAsia" w:ascii="宋体" w:hAnsi="宋体"/>
          <w:color w:val="auto"/>
          <w:sz w:val="24"/>
          <w:highlight w:val="none"/>
        </w:rPr>
        <w:t>（2）本次招标将从资格审查、制造、供货、运输、安装、备品配件、验收、售后服务、维修技术力量、培训等各个方面，对投标供应商进行全方位的综合考评。</w:t>
      </w:r>
    </w:p>
    <w:p w14:paraId="022B2E1F">
      <w:pPr>
        <w:spacing w:line="360" w:lineRule="auto"/>
        <w:ind w:firstLine="354" w:firstLineChars="147"/>
        <w:rPr>
          <w:rFonts w:ascii="宋体" w:hAnsi="宋体"/>
          <w:color w:val="auto"/>
          <w:sz w:val="24"/>
          <w:highlight w:val="none"/>
        </w:rPr>
      </w:pPr>
      <w:r>
        <w:rPr>
          <w:rFonts w:hint="eastAsia" w:ascii="宋体" w:hAnsi="宋体"/>
          <w:b/>
          <w:color w:val="auto"/>
          <w:sz w:val="24"/>
          <w:highlight w:val="none"/>
        </w:rPr>
        <w:t>2.2、技术规范及规格要求</w:t>
      </w:r>
      <w:r>
        <w:rPr>
          <w:rFonts w:ascii="宋体" w:hAnsi="宋体"/>
          <w:b/>
          <w:color w:val="auto"/>
          <w:sz w:val="24"/>
          <w:highlight w:val="none"/>
        </w:rPr>
        <w:tab/>
      </w:r>
    </w:p>
    <w:p w14:paraId="0EB546AF">
      <w:pPr>
        <w:spacing w:line="360" w:lineRule="auto"/>
        <w:ind w:firstLine="354" w:firstLineChars="147"/>
        <w:rPr>
          <w:rFonts w:ascii="宋体" w:hAnsi="宋体"/>
          <w:b/>
          <w:color w:val="auto"/>
          <w:sz w:val="24"/>
          <w:highlight w:val="none"/>
        </w:rPr>
      </w:pPr>
      <w:r>
        <w:rPr>
          <w:rFonts w:hint="eastAsia" w:ascii="宋体" w:hAnsi="宋体"/>
          <w:b/>
          <w:color w:val="auto"/>
          <w:sz w:val="24"/>
          <w:highlight w:val="none"/>
        </w:rPr>
        <w:t>2.2.1、技术规范</w:t>
      </w:r>
    </w:p>
    <w:p w14:paraId="240678FA">
      <w:pPr>
        <w:spacing w:line="360" w:lineRule="auto"/>
        <w:ind w:firstLine="352" w:firstLineChars="147"/>
        <w:rPr>
          <w:rFonts w:ascii="宋体" w:hAnsi="宋体"/>
          <w:color w:val="auto"/>
          <w:sz w:val="24"/>
          <w:highlight w:val="none"/>
        </w:rPr>
      </w:pPr>
      <w:r>
        <w:rPr>
          <w:rFonts w:hint="eastAsia" w:ascii="宋体" w:hAnsi="宋体"/>
          <w:color w:val="auto"/>
          <w:sz w:val="24"/>
          <w:highlight w:val="none"/>
        </w:rPr>
        <w:t>（1）《道路交通标志和标线》（GB5768）</w:t>
      </w:r>
    </w:p>
    <w:p w14:paraId="67CB053F">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（2）《道路交通反光膜》(GB/T 18833－2012)</w:t>
      </w:r>
    </w:p>
    <w:p w14:paraId="24EFE434">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（3）《交通建设工程工程量清单计价规范第1部分 公路工程(DB33T628.1-2007)</w:t>
      </w:r>
    </w:p>
    <w:p w14:paraId="194516B3">
      <w:pPr>
        <w:spacing w:line="360" w:lineRule="auto"/>
        <w:ind w:firstLine="360" w:firstLineChars="150"/>
        <w:rPr>
          <w:rFonts w:ascii="宋体" w:hAnsi="宋体" w:cs="宋体"/>
          <w:color w:val="auto"/>
          <w:sz w:val="24"/>
          <w:highlight w:val="none"/>
        </w:rPr>
      </w:pPr>
      <w:r>
        <w:rPr>
          <w:rFonts w:hint="eastAsia" w:ascii="宋体" w:hAnsi="宋体"/>
          <w:color w:val="auto"/>
          <w:sz w:val="24"/>
          <w:highlight w:val="none"/>
        </w:rPr>
        <w:t>（4）</w:t>
      </w:r>
      <w:r>
        <w:rPr>
          <w:rFonts w:hint="eastAsia" w:ascii="宋体" w:hAnsi="宋体" w:cs="宋体"/>
          <w:color w:val="auto"/>
          <w:sz w:val="24"/>
          <w:highlight w:val="none"/>
        </w:rPr>
        <w:t>《公安交通管理外场设备基础施工通用要求》（GA/T 652-2017）</w:t>
      </w:r>
    </w:p>
    <w:p w14:paraId="79EC8447">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（5）《城市道路交叉口设计规程》</w:t>
      </w:r>
      <w:r>
        <w:rPr>
          <w:rFonts w:ascii="宋体" w:hAnsi="宋体"/>
          <w:color w:val="auto"/>
          <w:sz w:val="24"/>
          <w:highlight w:val="none"/>
        </w:rPr>
        <w:t>(CJJ152-2010)</w:t>
      </w:r>
    </w:p>
    <w:p w14:paraId="79ABC455">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（6）《城市道路工程设计规范》</w:t>
      </w:r>
      <w:r>
        <w:rPr>
          <w:rFonts w:ascii="宋体" w:hAnsi="宋体"/>
          <w:color w:val="auto"/>
          <w:sz w:val="24"/>
          <w:highlight w:val="none"/>
        </w:rPr>
        <w:t>(CJJ37-2012)</w:t>
      </w:r>
    </w:p>
    <w:p w14:paraId="77E17899">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（7）《城市道路机动车道宽度设计规范》</w:t>
      </w:r>
      <w:r>
        <w:rPr>
          <w:rFonts w:ascii="宋体" w:hAnsi="宋体"/>
          <w:color w:val="auto"/>
          <w:sz w:val="24"/>
          <w:highlight w:val="none"/>
        </w:rPr>
        <w:t>(DB331057-2008)</w:t>
      </w:r>
    </w:p>
    <w:p w14:paraId="5BC71F66">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（8）《道路交通标线质量要求和检测方法》</w:t>
      </w:r>
      <w:r>
        <w:rPr>
          <w:rFonts w:ascii="宋体" w:hAnsi="宋体"/>
          <w:color w:val="auto"/>
          <w:sz w:val="24"/>
          <w:highlight w:val="none"/>
        </w:rPr>
        <w:t>(GBT16311-2005)</w:t>
      </w:r>
    </w:p>
    <w:p w14:paraId="75741933">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（9）《浙江省城市道路交通标志和标线设置规范》(DB33</w:t>
      </w:r>
      <w:r>
        <w:rPr>
          <w:rFonts w:hint="eastAsia" w:ascii="宋体" w:hAnsi="宋体" w:cs="宋体"/>
          <w:color w:val="auto"/>
          <w:sz w:val="24"/>
          <w:highlight w:val="none"/>
        </w:rPr>
        <w:t>/</w:t>
      </w:r>
      <w:r>
        <w:rPr>
          <w:rFonts w:hint="eastAsia" w:ascii="宋体" w:hAnsi="宋体"/>
          <w:color w:val="auto"/>
          <w:sz w:val="24"/>
          <w:highlight w:val="none"/>
        </w:rPr>
        <w:t xml:space="preserve">T818-2010) </w:t>
      </w:r>
    </w:p>
    <w:p w14:paraId="0CDFDF9E">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 xml:space="preserve"> JTJ001—2003</w:t>
      </w:r>
      <w:r>
        <w:rPr>
          <w:rFonts w:hint="eastAsia" w:ascii="宋体" w:hAnsi="宋体"/>
          <w:color w:val="auto"/>
          <w:sz w:val="24"/>
          <w:highlight w:val="none"/>
        </w:rPr>
        <w:t>《公路工程技术标准》行业标准。</w:t>
      </w:r>
      <w:r>
        <w:rPr>
          <w:rFonts w:ascii="宋体" w:hAnsi="宋体"/>
          <w:color w:val="auto"/>
          <w:sz w:val="24"/>
          <w:highlight w:val="none"/>
        </w:rPr>
        <w:t xml:space="preserve"> </w:t>
      </w:r>
    </w:p>
    <w:p w14:paraId="44711E3D">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DBJ08-39-1994</w:t>
      </w:r>
      <w:r>
        <w:rPr>
          <w:rFonts w:hint="eastAsia" w:ascii="宋体" w:hAnsi="宋体"/>
          <w:color w:val="auto"/>
          <w:sz w:val="24"/>
          <w:highlight w:val="none"/>
        </w:rPr>
        <w:t>《道路交通管理设施设置技术规范》。</w:t>
      </w:r>
      <w:r>
        <w:rPr>
          <w:rFonts w:ascii="宋体" w:hAnsi="宋体"/>
          <w:color w:val="auto"/>
          <w:sz w:val="24"/>
          <w:highlight w:val="none"/>
        </w:rPr>
        <w:t xml:space="preserve"> </w:t>
      </w:r>
    </w:p>
    <w:p w14:paraId="71134EE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（12）《城市道路交通标志和标线设置规范》（GB51038-2015)</w:t>
      </w:r>
    </w:p>
    <w:p w14:paraId="30F4D763">
      <w:pPr>
        <w:spacing w:line="360" w:lineRule="auto"/>
        <w:ind w:firstLine="360" w:firstLineChars="150"/>
        <w:rPr>
          <w:rFonts w:hint="default" w:ascii="宋体" w:hAnsi="宋体" w:eastAsia="宋体"/>
          <w:color w:val="auto"/>
          <w:sz w:val="24"/>
          <w:highlight w:val="none"/>
          <w:lang w:val="en-US" w:eastAsia="zh-CN"/>
        </w:rPr>
      </w:pPr>
      <w:r>
        <w:rPr>
          <w:rFonts w:hint="eastAsia" w:ascii="宋体" w:hAnsi="宋体" w:cs="宋体"/>
          <w:color w:val="auto"/>
          <w:sz w:val="24"/>
          <w:highlight w:val="none"/>
        </w:rPr>
        <w:t>（13）</w:t>
      </w:r>
      <w:r>
        <w:rPr>
          <w:rFonts w:hint="eastAsia"/>
          <w:color w:val="auto"/>
          <w:sz w:val="24"/>
          <w:highlight w:val="none"/>
        </w:rPr>
        <w:t>《路面标线涂料》</w:t>
      </w:r>
      <w:r>
        <w:rPr>
          <w:rFonts w:hint="eastAsia" w:ascii="宋体" w:hAnsi="宋体"/>
          <w:color w:val="auto"/>
          <w:sz w:val="24"/>
          <w:highlight w:val="none"/>
        </w:rPr>
        <w:t>JT/T280-20</w:t>
      </w:r>
      <w:r>
        <w:rPr>
          <w:rFonts w:hint="eastAsia" w:ascii="宋体" w:hAnsi="宋体"/>
          <w:color w:val="auto"/>
          <w:sz w:val="24"/>
          <w:highlight w:val="none"/>
          <w:lang w:val="en-US" w:eastAsia="zh-CN"/>
        </w:rPr>
        <w:t>22</w:t>
      </w:r>
    </w:p>
    <w:p w14:paraId="7732EF7A">
      <w:pPr>
        <w:spacing w:line="360" w:lineRule="auto"/>
        <w:ind w:firstLine="360" w:firstLineChars="150"/>
        <w:rPr>
          <w:color w:val="auto"/>
          <w:sz w:val="24"/>
          <w:highlight w:val="none"/>
        </w:rPr>
      </w:pPr>
      <w:r>
        <w:rPr>
          <w:rFonts w:hint="eastAsia"/>
          <w:color w:val="auto"/>
          <w:sz w:val="24"/>
          <w:highlight w:val="none"/>
        </w:rPr>
        <w:t>（14）按现行的国家、省、市施工验收规范、质量评定标准及有关规定。合同工期内的标准、规范，招标文件中的技术要求等</w:t>
      </w:r>
      <w:r>
        <w:rPr>
          <w:color w:val="auto"/>
          <w:sz w:val="24"/>
          <w:highlight w:val="none"/>
        </w:rPr>
        <w:t>。</w:t>
      </w:r>
      <w:r>
        <w:rPr>
          <w:rFonts w:hint="eastAsia"/>
          <w:color w:val="auto"/>
          <w:sz w:val="24"/>
          <w:highlight w:val="none"/>
        </w:rPr>
        <w:t>如有新版标准则按新发行的标准执行。</w:t>
      </w:r>
    </w:p>
    <w:p w14:paraId="061BD5BC">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2.2.2、技术规格及要求</w:t>
      </w:r>
    </w:p>
    <w:p w14:paraId="6033008F">
      <w:pPr>
        <w:autoSpaceDE w:val="0"/>
        <w:autoSpaceDN w:val="0"/>
        <w:adjustRightInd w:val="0"/>
        <w:snapToGrid w:val="0"/>
        <w:spacing w:line="360" w:lineRule="auto"/>
        <w:rPr>
          <w:rFonts w:ascii="宋体" w:hAnsi="宋体" w:cs="宋体"/>
          <w:b/>
          <w:color w:val="auto"/>
          <w:sz w:val="24"/>
          <w:highlight w:val="none"/>
          <w:lang w:val="zh-CN" w:bidi="ar"/>
        </w:rPr>
      </w:pPr>
      <w:r>
        <w:rPr>
          <w:rFonts w:hint="eastAsia" w:ascii="宋体" w:hAnsi="宋体" w:cs="宋体"/>
          <w:b/>
          <w:color w:val="auto"/>
          <w:sz w:val="24"/>
          <w:highlight w:val="none"/>
          <w:lang w:val="zh-CN" w:bidi="ar"/>
        </w:rPr>
        <w:t>反光热熔标线</w:t>
      </w:r>
    </w:p>
    <w:p w14:paraId="4017BB1B">
      <w:pPr>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①密度（g/cm3）:1.8~2.3</w:t>
      </w:r>
    </w:p>
    <w:p w14:paraId="42838692">
      <w:pPr>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②软化点(℃):90~125</w:t>
      </w:r>
    </w:p>
    <w:p w14:paraId="2F62D955">
      <w:pPr>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③选用热熔型反光涂料，内含反光微珠必须≥</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0%，施划时面洒反光微珠</w:t>
      </w:r>
    </w:p>
    <w:p w14:paraId="18E803F3">
      <w:pPr>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④初始施划时逆反射系数：白色≥150，黄色≥100</w:t>
      </w:r>
    </w:p>
    <w:p w14:paraId="4E4E91FB">
      <w:pPr>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⑤不粘胎干燥时间≤3min，开放交通干燥时间≤6min</w:t>
      </w:r>
    </w:p>
    <w:p w14:paraId="1B28CC16">
      <w:pPr>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⑥抗压强度（MPa）:≥12</w:t>
      </w:r>
    </w:p>
    <w:p w14:paraId="0F699BBF">
      <w:pPr>
        <w:autoSpaceDE w:val="0"/>
        <w:autoSpaceDN w:val="0"/>
        <w:snapToGrid w:val="0"/>
        <w:spacing w:line="360" w:lineRule="auto"/>
        <w:rPr>
          <w:rFonts w:ascii="宋体" w:hAnsi="宋体" w:cs="宋体"/>
          <w:b/>
          <w:color w:val="auto"/>
          <w:sz w:val="24"/>
          <w:highlight w:val="none"/>
          <w:lang w:val="zh-CN" w:bidi="ar"/>
        </w:rPr>
      </w:pPr>
      <w:r>
        <w:rPr>
          <w:rFonts w:hint="eastAsia" w:ascii="宋体" w:hAnsi="宋体" w:cs="宋体"/>
          <w:color w:val="auto"/>
          <w:sz w:val="24"/>
          <w:highlight w:val="none"/>
        </w:rPr>
        <w:t>⑦耐磨性（mg）:200 转/1000g 后减重≤80（JM—100 橡胶砂轮）</w:t>
      </w:r>
    </w:p>
    <w:p w14:paraId="537E0DA2">
      <w:pPr>
        <w:autoSpaceDE w:val="0"/>
        <w:autoSpaceDN w:val="0"/>
        <w:adjustRightInd w:val="0"/>
        <w:snapToGrid w:val="0"/>
        <w:spacing w:line="360" w:lineRule="auto"/>
        <w:rPr>
          <w:rFonts w:ascii="宋体" w:hAnsi="宋体" w:cs="宋体"/>
          <w:b/>
          <w:color w:val="auto"/>
          <w:sz w:val="24"/>
          <w:highlight w:val="none"/>
          <w:lang w:bidi="ar"/>
        </w:rPr>
      </w:pPr>
      <w:r>
        <w:rPr>
          <w:rFonts w:hint="eastAsia" w:ascii="宋体" w:hAnsi="宋体" w:cs="宋体"/>
          <w:b/>
          <w:color w:val="auto"/>
          <w:sz w:val="24"/>
          <w:highlight w:val="none"/>
          <w:lang w:bidi="ar"/>
        </w:rPr>
        <w:t>热熔突起型标线</w:t>
      </w:r>
    </w:p>
    <w:p w14:paraId="60FD0BAD">
      <w:pPr>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①密度（g/cm3）:1.8~2.3</w:t>
      </w:r>
    </w:p>
    <w:p w14:paraId="5A197AFF">
      <w:pPr>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②软化点(℃):≥100</w:t>
      </w:r>
    </w:p>
    <w:p w14:paraId="08AA4FAE">
      <w:pPr>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③选用热熔型反光涂料，内含反光微珠必须≥</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0%，施划时面洒反光微珠</w:t>
      </w:r>
    </w:p>
    <w:p w14:paraId="0E8ECCEC">
      <w:pPr>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④不粘胎干燥时间≤3min，开放交通干燥时间≤6min</w:t>
      </w:r>
    </w:p>
    <w:p w14:paraId="0D0B96B6">
      <w:pPr>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⑤抗压强度（MPa）:23℃±1≥12,50℃±2≥2,</w:t>
      </w:r>
    </w:p>
    <w:p w14:paraId="23DABC3E">
      <w:pPr>
        <w:autoSpaceDE w:val="0"/>
        <w:autoSpaceDN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⑥热熔型厚度≥6mm,长划70mm空110mm,宽150mm线划3颗;宽200mm线划4颗</w:t>
      </w:r>
    </w:p>
    <w:p w14:paraId="08F513F3">
      <w:pPr>
        <w:autoSpaceDE w:val="0"/>
        <w:autoSpaceDN w:val="0"/>
        <w:adjustRightInd w:val="0"/>
        <w:snapToGrid w:val="0"/>
        <w:spacing w:line="360" w:lineRule="auto"/>
        <w:rPr>
          <w:rFonts w:ascii="宋体" w:hAnsi="宋体" w:cs="宋体"/>
          <w:b/>
          <w:color w:val="auto"/>
          <w:sz w:val="24"/>
          <w:highlight w:val="none"/>
          <w:lang w:bidi="ar"/>
        </w:rPr>
      </w:pPr>
      <w:r>
        <w:rPr>
          <w:rFonts w:hint="eastAsia" w:ascii="宋体" w:hAnsi="宋体" w:cs="宋体"/>
          <w:b/>
          <w:color w:val="auto"/>
          <w:sz w:val="24"/>
          <w:highlight w:val="none"/>
          <w:lang w:val="zh-CN" w:bidi="ar"/>
        </w:rPr>
        <w:t>反光水性标线</w:t>
      </w:r>
      <w:r>
        <w:rPr>
          <w:rFonts w:hint="eastAsia" w:ascii="宋体" w:hAnsi="宋体" w:cs="宋体"/>
          <w:b/>
          <w:color w:val="auto"/>
          <w:sz w:val="24"/>
          <w:highlight w:val="none"/>
          <w:lang w:bidi="ar"/>
        </w:rPr>
        <w:t>°</w:t>
      </w:r>
    </w:p>
    <w:p w14:paraId="57DA04C6">
      <w:pPr>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①粘度（KU 值）:80～120</w:t>
      </w:r>
    </w:p>
    <w:p w14:paraId="2B2CB07A">
      <w:pPr>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②密度（g/cm3）:≥1.6</w:t>
      </w:r>
    </w:p>
    <w:p w14:paraId="411C58C4">
      <w:pPr>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③选用环保型水性标线涂料</w:t>
      </w:r>
    </w:p>
    <w:p w14:paraId="5C15D7EC">
      <w:pPr>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④施划时面撒反光微珠</w:t>
      </w:r>
    </w:p>
    <w:p w14:paraId="59F96223">
      <w:pPr>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⑤初始施划时逆反射系数：白色≥200，黄色≥150</w:t>
      </w:r>
    </w:p>
    <w:p w14:paraId="756784B1">
      <w:pPr>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⑥标线厚度≥0.7mm</w:t>
      </w:r>
    </w:p>
    <w:p w14:paraId="2C3C1900">
      <w:pPr>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⑦不粘胎干燥时间≤10min，开放交通干燥时间≤20min</w:t>
      </w:r>
    </w:p>
    <w:p w14:paraId="1E3C2A12">
      <w:pPr>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⑧耐磨性（mg）:200 转/1000g 后减重≤40</w:t>
      </w:r>
    </w:p>
    <w:p w14:paraId="555626BF">
      <w:pPr>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⑨固体含量（%）:≥75</w:t>
      </w:r>
    </w:p>
    <w:p w14:paraId="523FA7B9">
      <w:pPr>
        <w:autoSpaceDE w:val="0"/>
        <w:autoSpaceDN w:val="0"/>
        <w:adjustRightInd w:val="0"/>
        <w:snapToGrid w:val="0"/>
        <w:spacing w:line="360" w:lineRule="auto"/>
        <w:rPr>
          <w:rFonts w:ascii="宋体" w:hAnsi="宋体" w:cs="宋体"/>
          <w:b/>
          <w:color w:val="auto"/>
          <w:sz w:val="24"/>
          <w:highlight w:val="none"/>
          <w:lang w:val="zh-CN" w:bidi="ar"/>
        </w:rPr>
      </w:pPr>
      <w:r>
        <w:rPr>
          <w:rFonts w:hint="eastAsia" w:ascii="宋体" w:hAnsi="宋体" w:cs="宋体"/>
          <w:b/>
          <w:color w:val="auto"/>
          <w:sz w:val="24"/>
          <w:highlight w:val="none"/>
          <w:lang w:val="zh-CN" w:bidi="ar"/>
        </w:rPr>
        <w:t>双组份反光型</w:t>
      </w:r>
      <w:r>
        <w:rPr>
          <w:rFonts w:hint="eastAsia" w:ascii="宋体" w:hAnsi="宋体" w:cs="宋体"/>
          <w:b/>
          <w:color w:val="auto"/>
          <w:sz w:val="24"/>
          <w:highlight w:val="none"/>
          <w:lang w:val="en-US" w:eastAsia="zh-CN" w:bidi="ar"/>
        </w:rPr>
        <w:t>标线</w:t>
      </w:r>
      <w:r>
        <w:rPr>
          <w:rFonts w:hint="eastAsia" w:ascii="宋体" w:hAnsi="宋体" w:cs="宋体"/>
          <w:b/>
          <w:color w:val="auto"/>
          <w:sz w:val="24"/>
          <w:highlight w:val="none"/>
          <w:lang w:val="zh-CN" w:bidi="ar"/>
        </w:rPr>
        <w:t>（喷涂）</w:t>
      </w:r>
    </w:p>
    <w:p w14:paraId="13B8EF08">
      <w:pPr>
        <w:pStyle w:val="112"/>
        <w:numPr>
          <w:ilvl w:val="0"/>
          <w:numId w:val="9"/>
        </w:numPr>
        <w:autoSpaceDE w:val="0"/>
        <w:autoSpaceDN w:val="0"/>
        <w:snapToGrid w:val="0"/>
        <w:spacing w:line="360" w:lineRule="auto"/>
        <w:ind w:firstLineChars="0"/>
        <w:rPr>
          <w:rFonts w:ascii="宋体" w:hAnsi="宋体" w:cs="宋体"/>
          <w:color w:val="auto"/>
          <w:sz w:val="24"/>
          <w:highlight w:val="none"/>
        </w:rPr>
      </w:pPr>
      <w:r>
        <w:rPr>
          <w:rFonts w:hint="eastAsia" w:ascii="宋体" w:hAnsi="宋体" w:cs="宋体"/>
          <w:color w:val="auto"/>
          <w:sz w:val="24"/>
          <w:highlight w:val="none"/>
          <w:lang w:val="zh-CN"/>
        </w:rPr>
        <w:t>材料密度（g/cm</w:t>
      </w:r>
      <w:r>
        <w:rPr>
          <w:rFonts w:hint="eastAsia" w:ascii="宋体" w:hAnsi="宋体" w:cs="宋体"/>
          <w:color w:val="auto"/>
          <w:sz w:val="18"/>
          <w:szCs w:val="18"/>
          <w:highlight w:val="none"/>
          <w:vertAlign w:val="superscript"/>
          <w:lang w:val="zh-CN"/>
        </w:rPr>
        <w:t>3</w:t>
      </w:r>
      <w:r>
        <w:rPr>
          <w:rFonts w:hint="eastAsia" w:ascii="宋体" w:hAnsi="宋体" w:cs="宋体"/>
          <w:color w:val="auto"/>
          <w:sz w:val="24"/>
          <w:highlight w:val="none"/>
          <w:lang w:val="zh-CN"/>
        </w:rPr>
        <w:t>）：</w:t>
      </w:r>
      <w:r>
        <w:rPr>
          <w:rFonts w:ascii="宋体" w:hAnsi="宋体"/>
          <w:color w:val="auto"/>
          <w:sz w:val="24"/>
          <w:highlight w:val="none"/>
        </w:rPr>
        <w:t>1.5~2.0</w:t>
      </w:r>
    </w:p>
    <w:p w14:paraId="2D737140">
      <w:pPr>
        <w:pStyle w:val="112"/>
        <w:numPr>
          <w:ilvl w:val="0"/>
          <w:numId w:val="9"/>
        </w:numPr>
        <w:autoSpaceDE w:val="0"/>
        <w:autoSpaceDN w:val="0"/>
        <w:snapToGrid w:val="0"/>
        <w:spacing w:line="360" w:lineRule="auto"/>
        <w:ind w:firstLineChars="0"/>
        <w:rPr>
          <w:rFonts w:ascii="宋体" w:hAnsi="宋体" w:cs="宋体"/>
          <w:color w:val="auto"/>
          <w:sz w:val="24"/>
          <w:highlight w:val="none"/>
        </w:rPr>
      </w:pPr>
      <w:r>
        <w:rPr>
          <w:rFonts w:ascii="宋体" w:hAnsi="宋体" w:cs="宋体"/>
          <w:color w:val="auto"/>
          <w:sz w:val="24"/>
          <w:highlight w:val="none"/>
          <w:lang w:val="zh-CN"/>
        </w:rPr>
        <w:t>施工性能</w:t>
      </w:r>
      <w:r>
        <w:rPr>
          <w:rFonts w:hint="eastAsia" w:ascii="宋体" w:hAnsi="宋体" w:cs="宋体"/>
          <w:color w:val="auto"/>
          <w:sz w:val="24"/>
          <w:highlight w:val="none"/>
          <w:lang w:val="zh-CN"/>
        </w:rPr>
        <w:t>：按生产厂的要求，</w:t>
      </w:r>
      <w:r>
        <w:rPr>
          <w:rFonts w:ascii="宋体" w:hAnsi="宋体" w:cs="宋体"/>
          <w:color w:val="auto"/>
          <w:sz w:val="24"/>
          <w:highlight w:val="none"/>
          <w:lang w:val="zh-CN"/>
        </w:rPr>
        <w:t>将A、B组份按一定比例混合搅拌均匀后，施工性能良好</w:t>
      </w:r>
    </w:p>
    <w:p w14:paraId="3088DB99">
      <w:pPr>
        <w:pStyle w:val="112"/>
        <w:numPr>
          <w:ilvl w:val="0"/>
          <w:numId w:val="9"/>
        </w:numPr>
        <w:autoSpaceDE w:val="0"/>
        <w:autoSpaceDN w:val="0"/>
        <w:snapToGrid w:val="0"/>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涂膜外观：涂膜固化后应无皱纹、斑点、起泡、裂纹、脱落、粘贴等现象</w:t>
      </w:r>
    </w:p>
    <w:p w14:paraId="2A3A7FE7">
      <w:pPr>
        <w:pStyle w:val="112"/>
        <w:numPr>
          <w:ilvl w:val="0"/>
          <w:numId w:val="9"/>
        </w:numPr>
        <w:autoSpaceDE w:val="0"/>
        <w:autoSpaceDN w:val="0"/>
        <w:snapToGrid w:val="0"/>
        <w:spacing w:line="360" w:lineRule="auto"/>
        <w:ind w:firstLineChars="0"/>
        <w:rPr>
          <w:rFonts w:ascii="宋体" w:hAnsi="宋体" w:cs="宋体"/>
          <w:color w:val="auto"/>
          <w:sz w:val="24"/>
          <w:highlight w:val="none"/>
        </w:rPr>
      </w:pPr>
      <w:r>
        <w:rPr>
          <w:rFonts w:hint="eastAsia" w:ascii="宋体" w:hAnsi="宋体" w:cs="宋体"/>
          <w:color w:val="auto"/>
          <w:sz w:val="24"/>
          <w:highlight w:val="none"/>
          <w:lang w:val="zh-CN"/>
        </w:rPr>
        <w:t>不粘胎干燥时间：≤</w:t>
      </w:r>
      <w:r>
        <w:rPr>
          <w:rFonts w:ascii="宋体" w:hAnsi="宋体" w:cs="宋体"/>
          <w:color w:val="auto"/>
          <w:sz w:val="24"/>
          <w:highlight w:val="none"/>
          <w:lang w:val="zh-CN"/>
        </w:rPr>
        <w:t>30</w:t>
      </w:r>
      <w:r>
        <w:rPr>
          <w:rFonts w:hint="eastAsia" w:ascii="宋体" w:hAnsi="宋体" w:cs="宋体"/>
          <w:color w:val="auto"/>
          <w:sz w:val="24"/>
          <w:highlight w:val="none"/>
          <w:lang w:val="zh-CN"/>
        </w:rPr>
        <w:t>min</w:t>
      </w:r>
    </w:p>
    <w:p w14:paraId="218F4E37">
      <w:pPr>
        <w:pStyle w:val="112"/>
        <w:numPr>
          <w:ilvl w:val="0"/>
          <w:numId w:val="9"/>
        </w:numPr>
        <w:autoSpaceDE w:val="0"/>
        <w:autoSpaceDN w:val="0"/>
        <w:snapToGrid w:val="0"/>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耐磨性（mg）:200转/1000g后减重≤</w:t>
      </w:r>
      <w:r>
        <w:rPr>
          <w:rFonts w:ascii="宋体" w:hAnsi="宋体" w:cs="宋体"/>
          <w:color w:val="auto"/>
          <w:sz w:val="24"/>
          <w:highlight w:val="none"/>
        </w:rPr>
        <w:t>4</w:t>
      </w:r>
      <w:r>
        <w:rPr>
          <w:rFonts w:hint="eastAsia" w:ascii="宋体" w:hAnsi="宋体" w:cs="宋体"/>
          <w:color w:val="auto"/>
          <w:sz w:val="24"/>
          <w:highlight w:val="none"/>
        </w:rPr>
        <w:t>0</w:t>
      </w:r>
      <w:r>
        <w:rPr>
          <w:rFonts w:ascii="宋体" w:hAnsi="宋体" w:cs="宋体"/>
          <w:color w:val="auto"/>
          <w:sz w:val="24"/>
          <w:highlight w:val="none"/>
        </w:rPr>
        <w:t xml:space="preserve">  (</w:t>
      </w:r>
      <w:r>
        <w:rPr>
          <w:rFonts w:hint="eastAsia" w:ascii="宋体" w:hAnsi="宋体" w:cs="宋体"/>
          <w:color w:val="auto"/>
          <w:sz w:val="24"/>
          <w:highlight w:val="none"/>
        </w:rPr>
        <w:t>JM</w:t>
      </w:r>
      <w:r>
        <w:rPr>
          <w:rFonts w:ascii="宋体" w:hAnsi="宋体" w:cs="宋体"/>
          <w:color w:val="auto"/>
          <w:sz w:val="24"/>
          <w:highlight w:val="none"/>
        </w:rPr>
        <w:t xml:space="preserve">-100 </w:t>
      </w:r>
      <w:r>
        <w:rPr>
          <w:rFonts w:hint="eastAsia" w:ascii="宋体" w:hAnsi="宋体" w:cs="宋体"/>
          <w:color w:val="auto"/>
          <w:sz w:val="24"/>
          <w:highlight w:val="none"/>
        </w:rPr>
        <w:t>橡胶砂轮</w:t>
      </w:r>
      <w:r>
        <w:rPr>
          <w:rFonts w:ascii="宋体" w:hAnsi="宋体" w:cs="宋体"/>
          <w:color w:val="auto"/>
          <w:sz w:val="24"/>
          <w:highlight w:val="none"/>
        </w:rPr>
        <w:t>)</w:t>
      </w:r>
    </w:p>
    <w:p w14:paraId="002DD750">
      <w:pPr>
        <w:pStyle w:val="112"/>
        <w:numPr>
          <w:ilvl w:val="0"/>
          <w:numId w:val="9"/>
        </w:numPr>
        <w:autoSpaceDE w:val="0"/>
        <w:autoSpaceDN w:val="0"/>
        <w:snapToGrid w:val="0"/>
        <w:spacing w:line="360" w:lineRule="auto"/>
        <w:ind w:firstLineChars="0"/>
        <w:rPr>
          <w:rFonts w:ascii="宋体" w:hAnsi="宋体" w:cs="宋体"/>
          <w:color w:val="auto"/>
          <w:sz w:val="24"/>
          <w:highlight w:val="none"/>
          <w:lang w:val="zh-CN"/>
        </w:rPr>
      </w:pPr>
      <w:r>
        <w:rPr>
          <w:rFonts w:hint="eastAsia" w:ascii="宋体" w:hAnsi="宋体" w:cs="宋体"/>
          <w:color w:val="auto"/>
          <w:sz w:val="24"/>
          <w:highlight w:val="none"/>
          <w:lang w:val="zh-CN"/>
        </w:rPr>
        <w:t>预混玻璃微珠含量：≥</w:t>
      </w:r>
      <w:r>
        <w:rPr>
          <w:rFonts w:ascii="宋体" w:hAnsi="宋体" w:cs="宋体"/>
          <w:color w:val="auto"/>
          <w:sz w:val="24"/>
          <w:highlight w:val="none"/>
          <w:lang w:val="zh-CN"/>
        </w:rPr>
        <w:t>3</w:t>
      </w:r>
      <w:r>
        <w:rPr>
          <w:rFonts w:hint="eastAsia" w:ascii="宋体" w:hAnsi="宋体" w:cs="宋体"/>
          <w:color w:val="auto"/>
          <w:sz w:val="24"/>
          <w:highlight w:val="none"/>
          <w:lang w:val="zh-CN"/>
        </w:rPr>
        <w:t>0%，标线厚度：≥0.</w:t>
      </w:r>
      <w:r>
        <w:rPr>
          <w:rFonts w:ascii="宋体" w:hAnsi="宋体" w:cs="宋体"/>
          <w:color w:val="auto"/>
          <w:sz w:val="24"/>
          <w:highlight w:val="none"/>
          <w:lang w:val="zh-CN"/>
        </w:rPr>
        <w:t>5</w:t>
      </w:r>
      <w:r>
        <w:rPr>
          <w:rFonts w:hint="eastAsia" w:ascii="宋体" w:hAnsi="宋体" w:cs="宋体"/>
          <w:color w:val="auto"/>
          <w:sz w:val="24"/>
          <w:highlight w:val="none"/>
          <w:lang w:val="zh-CN"/>
        </w:rPr>
        <w:t>mm</w:t>
      </w:r>
    </w:p>
    <w:p w14:paraId="0BEFA62A">
      <w:pPr>
        <w:pStyle w:val="112"/>
        <w:numPr>
          <w:ilvl w:val="0"/>
          <w:numId w:val="9"/>
        </w:numPr>
        <w:autoSpaceDE w:val="0"/>
        <w:autoSpaceDN w:val="0"/>
        <w:snapToGrid w:val="0"/>
        <w:spacing w:line="360" w:lineRule="auto"/>
        <w:ind w:firstLineChars="0"/>
        <w:rPr>
          <w:rFonts w:ascii="宋体" w:hAnsi="宋体" w:cs="宋体"/>
          <w:color w:val="auto"/>
          <w:sz w:val="24"/>
          <w:highlight w:val="none"/>
          <w:lang w:val="zh-CN"/>
        </w:rPr>
      </w:pPr>
      <w:r>
        <w:rPr>
          <w:rFonts w:hint="eastAsia" w:ascii="宋体" w:hAnsi="宋体" w:cs="宋体"/>
          <w:color w:val="auto"/>
          <w:sz w:val="24"/>
          <w:highlight w:val="none"/>
          <w:lang w:val="zh-CN"/>
        </w:rPr>
        <w:t>初始施划逆反射系数：白色≥</w:t>
      </w:r>
      <w:r>
        <w:rPr>
          <w:rFonts w:hint="eastAsia" w:ascii="宋体" w:hAnsi="宋体" w:cs="宋体"/>
          <w:color w:val="auto"/>
          <w:sz w:val="24"/>
          <w:highlight w:val="none"/>
          <w:lang w:val="en-US" w:eastAsia="zh-CN"/>
        </w:rPr>
        <w:t>35</w:t>
      </w:r>
      <w:r>
        <w:rPr>
          <w:rFonts w:hint="eastAsia" w:ascii="宋体" w:hAnsi="宋体" w:cs="宋体"/>
          <w:color w:val="auto"/>
          <w:sz w:val="24"/>
          <w:highlight w:val="none"/>
          <w:lang w:val="zh-CN"/>
        </w:rPr>
        <w:t>0，黄色≥</w:t>
      </w:r>
      <w:r>
        <w:rPr>
          <w:rFonts w:hint="eastAsia" w:ascii="宋体" w:hAnsi="宋体" w:cs="宋体"/>
          <w:color w:val="auto"/>
          <w:sz w:val="24"/>
          <w:highlight w:val="none"/>
          <w:lang w:val="en-US" w:eastAsia="zh-CN"/>
        </w:rPr>
        <w:t>20</w:t>
      </w:r>
      <w:r>
        <w:rPr>
          <w:rFonts w:hint="eastAsia" w:ascii="宋体" w:hAnsi="宋体" w:cs="宋体"/>
          <w:color w:val="auto"/>
          <w:sz w:val="24"/>
          <w:highlight w:val="none"/>
          <w:lang w:val="zh-CN"/>
        </w:rPr>
        <w:t>0</w:t>
      </w:r>
    </w:p>
    <w:p w14:paraId="1D2BFA24">
      <w:pPr>
        <w:pStyle w:val="112"/>
        <w:numPr>
          <w:ilvl w:val="0"/>
          <w:numId w:val="9"/>
        </w:numPr>
        <w:autoSpaceDE w:val="0"/>
        <w:autoSpaceDN w:val="0"/>
        <w:snapToGrid w:val="0"/>
        <w:spacing w:line="360" w:lineRule="auto"/>
        <w:ind w:firstLineChars="0"/>
        <w:rPr>
          <w:rFonts w:ascii="宋体" w:hAnsi="宋体" w:cs="宋体"/>
          <w:color w:val="auto"/>
          <w:sz w:val="24"/>
          <w:highlight w:val="none"/>
        </w:rPr>
      </w:pPr>
      <w:r>
        <w:rPr>
          <w:rFonts w:ascii="宋体" w:hAnsi="宋体" w:cs="宋体"/>
          <w:color w:val="auto"/>
          <w:sz w:val="24"/>
          <w:highlight w:val="none"/>
          <w:lang w:val="zh-CN"/>
        </w:rPr>
        <w:t>耐水性</w:t>
      </w:r>
      <w:r>
        <w:rPr>
          <w:rFonts w:hint="eastAsia" w:ascii="宋体" w:hAnsi="宋体" w:cs="宋体"/>
          <w:color w:val="auto"/>
          <w:sz w:val="24"/>
          <w:highlight w:val="none"/>
          <w:lang w:val="zh-CN"/>
        </w:rPr>
        <w:t>：</w:t>
      </w:r>
      <w:r>
        <w:rPr>
          <w:rFonts w:ascii="宋体" w:hAnsi="宋体" w:cs="宋体"/>
          <w:color w:val="auto"/>
          <w:sz w:val="24"/>
          <w:highlight w:val="none"/>
          <w:lang w:val="zh-CN"/>
        </w:rPr>
        <w:t>在水中浸24h应无异常现象</w:t>
      </w:r>
    </w:p>
    <w:p w14:paraId="46962147">
      <w:pPr>
        <w:pStyle w:val="112"/>
        <w:numPr>
          <w:ilvl w:val="0"/>
          <w:numId w:val="9"/>
        </w:numPr>
        <w:autoSpaceDE w:val="0"/>
        <w:autoSpaceDN w:val="0"/>
        <w:snapToGrid w:val="0"/>
        <w:spacing w:line="360" w:lineRule="auto"/>
        <w:ind w:firstLineChars="0"/>
        <w:rPr>
          <w:rFonts w:ascii="宋体" w:hAnsi="宋体" w:cs="宋体"/>
          <w:color w:val="auto"/>
          <w:sz w:val="24"/>
          <w:highlight w:val="none"/>
        </w:rPr>
      </w:pPr>
      <w:r>
        <w:rPr>
          <w:rFonts w:ascii="宋体" w:hAnsi="宋体" w:cs="宋体"/>
          <w:color w:val="auto"/>
          <w:sz w:val="24"/>
          <w:highlight w:val="none"/>
          <w:lang w:val="zh-CN"/>
        </w:rPr>
        <w:t>耐碱性</w:t>
      </w:r>
      <w:r>
        <w:rPr>
          <w:rFonts w:hint="eastAsia" w:ascii="宋体" w:hAnsi="宋体" w:cs="宋体"/>
          <w:color w:val="auto"/>
          <w:sz w:val="24"/>
          <w:highlight w:val="none"/>
          <w:lang w:val="zh-CN"/>
        </w:rPr>
        <w:t>：</w:t>
      </w:r>
      <w:r>
        <w:rPr>
          <w:rFonts w:ascii="宋体" w:hAnsi="宋体" w:cs="宋体"/>
          <w:color w:val="auto"/>
          <w:sz w:val="24"/>
          <w:highlight w:val="none"/>
          <w:lang w:val="zh-CN"/>
        </w:rPr>
        <w:t>在氢氧化钙饱和溶液中浸24h应无异常</w:t>
      </w:r>
    </w:p>
    <w:p w14:paraId="4AE8495E">
      <w:pPr>
        <w:pStyle w:val="33"/>
        <w:rPr>
          <w:color w:val="auto"/>
          <w:highlight w:val="none"/>
        </w:rPr>
      </w:pPr>
    </w:p>
    <w:p w14:paraId="6C577887">
      <w:pPr>
        <w:autoSpaceDE w:val="0"/>
        <w:autoSpaceDN w:val="0"/>
        <w:adjustRightInd w:val="0"/>
        <w:snapToGrid w:val="0"/>
        <w:spacing w:line="360" w:lineRule="auto"/>
        <w:rPr>
          <w:rFonts w:ascii="宋体" w:hAnsi="宋体" w:cs="宋体"/>
          <w:b/>
          <w:color w:val="auto"/>
          <w:sz w:val="24"/>
          <w:highlight w:val="none"/>
          <w:lang w:val="zh-CN" w:bidi="ar"/>
        </w:rPr>
      </w:pPr>
      <w:r>
        <w:rPr>
          <w:rFonts w:hint="eastAsia" w:ascii="宋体" w:hAnsi="宋体" w:cs="宋体"/>
          <w:b/>
          <w:color w:val="auto"/>
          <w:sz w:val="24"/>
          <w:highlight w:val="none"/>
          <w:lang w:val="zh-CN" w:bidi="ar"/>
        </w:rPr>
        <w:t>双组份突起型反光</w:t>
      </w:r>
      <w:r>
        <w:rPr>
          <w:rFonts w:hint="eastAsia" w:ascii="宋体" w:hAnsi="宋体" w:cs="宋体"/>
          <w:b/>
          <w:color w:val="auto"/>
          <w:sz w:val="24"/>
          <w:highlight w:val="none"/>
          <w:lang w:val="en-US" w:eastAsia="zh-CN" w:bidi="ar"/>
        </w:rPr>
        <w:t>标线</w:t>
      </w:r>
      <w:r>
        <w:rPr>
          <w:rFonts w:hint="eastAsia" w:ascii="宋体" w:hAnsi="宋体" w:cs="宋体"/>
          <w:b/>
          <w:color w:val="auto"/>
          <w:sz w:val="24"/>
          <w:highlight w:val="none"/>
          <w:lang w:val="zh-CN" w:bidi="ar"/>
        </w:rPr>
        <w:t>（</w:t>
      </w:r>
      <w:r>
        <w:rPr>
          <w:rFonts w:hint="eastAsia" w:ascii="宋体" w:hAnsi="宋体" w:cs="宋体"/>
          <w:b/>
          <w:color w:val="auto"/>
          <w:sz w:val="24"/>
          <w:highlight w:val="none"/>
          <w:lang w:val="en-US" w:eastAsia="zh-CN" w:bidi="ar"/>
        </w:rPr>
        <w:t>甩涂、刮涂、点涂</w:t>
      </w:r>
      <w:r>
        <w:rPr>
          <w:rFonts w:hint="eastAsia" w:ascii="宋体" w:hAnsi="宋体" w:cs="宋体"/>
          <w:b/>
          <w:color w:val="auto"/>
          <w:sz w:val="24"/>
          <w:highlight w:val="none"/>
          <w:lang w:val="zh-CN" w:bidi="ar"/>
        </w:rPr>
        <w:t>）</w:t>
      </w:r>
    </w:p>
    <w:p w14:paraId="4765C258">
      <w:pPr>
        <w:pStyle w:val="112"/>
        <w:numPr>
          <w:ilvl w:val="0"/>
          <w:numId w:val="10"/>
        </w:numPr>
        <w:autoSpaceDE w:val="0"/>
        <w:autoSpaceDN w:val="0"/>
        <w:snapToGrid w:val="0"/>
        <w:spacing w:line="360" w:lineRule="auto"/>
        <w:ind w:firstLineChars="0"/>
        <w:rPr>
          <w:rFonts w:ascii="宋体" w:hAnsi="宋体" w:cs="宋体"/>
          <w:color w:val="auto"/>
          <w:sz w:val="24"/>
          <w:highlight w:val="none"/>
          <w:lang w:val="zh-CN"/>
        </w:rPr>
      </w:pPr>
      <w:bookmarkStart w:id="88" w:name="_Hlk129436754"/>
      <w:r>
        <w:rPr>
          <w:rFonts w:hint="eastAsia" w:ascii="宋体" w:hAnsi="宋体" w:cs="宋体"/>
          <w:color w:val="auto"/>
          <w:sz w:val="24"/>
          <w:highlight w:val="none"/>
          <w:lang w:val="zh-CN"/>
        </w:rPr>
        <w:t>材料密度（g/cm</w:t>
      </w:r>
      <w:r>
        <w:rPr>
          <w:rFonts w:hint="eastAsia" w:ascii="宋体" w:hAnsi="宋体" w:cs="宋体"/>
          <w:color w:val="auto"/>
          <w:sz w:val="18"/>
          <w:szCs w:val="18"/>
          <w:highlight w:val="none"/>
          <w:vertAlign w:val="superscript"/>
          <w:lang w:val="zh-CN"/>
        </w:rPr>
        <w:t>3</w:t>
      </w:r>
      <w:r>
        <w:rPr>
          <w:rFonts w:hint="eastAsia" w:ascii="宋体" w:hAnsi="宋体" w:cs="宋体"/>
          <w:color w:val="auto"/>
          <w:sz w:val="24"/>
          <w:highlight w:val="none"/>
          <w:lang w:val="zh-CN"/>
        </w:rPr>
        <w:t>）：</w:t>
      </w:r>
      <w:bookmarkEnd w:id="88"/>
      <w:r>
        <w:rPr>
          <w:rFonts w:ascii="宋体" w:hAnsi="宋体"/>
          <w:color w:val="auto"/>
          <w:sz w:val="24"/>
          <w:highlight w:val="none"/>
        </w:rPr>
        <w:t>1.5~2.0</w:t>
      </w:r>
    </w:p>
    <w:p w14:paraId="205CCBFE">
      <w:pPr>
        <w:pStyle w:val="112"/>
        <w:numPr>
          <w:ilvl w:val="0"/>
          <w:numId w:val="10"/>
        </w:numPr>
        <w:autoSpaceDE w:val="0"/>
        <w:autoSpaceDN w:val="0"/>
        <w:snapToGrid w:val="0"/>
        <w:spacing w:line="360" w:lineRule="auto"/>
        <w:ind w:firstLineChars="0"/>
        <w:rPr>
          <w:rFonts w:ascii="宋体" w:hAnsi="宋体" w:cs="宋体"/>
          <w:color w:val="auto"/>
          <w:sz w:val="24"/>
          <w:highlight w:val="none"/>
        </w:rPr>
      </w:pPr>
      <w:r>
        <w:rPr>
          <w:rFonts w:ascii="宋体" w:hAnsi="宋体" w:cs="宋体"/>
          <w:color w:val="auto"/>
          <w:sz w:val="24"/>
          <w:highlight w:val="none"/>
          <w:lang w:val="zh-CN"/>
        </w:rPr>
        <w:t>施工性能</w:t>
      </w:r>
      <w:r>
        <w:rPr>
          <w:rFonts w:hint="eastAsia" w:ascii="宋体" w:hAnsi="宋体" w:cs="宋体"/>
          <w:color w:val="auto"/>
          <w:sz w:val="24"/>
          <w:highlight w:val="none"/>
          <w:lang w:val="zh-CN"/>
        </w:rPr>
        <w:t>：按生产厂的要求，</w:t>
      </w:r>
      <w:r>
        <w:rPr>
          <w:rFonts w:ascii="宋体" w:hAnsi="宋体" w:cs="宋体"/>
          <w:color w:val="auto"/>
          <w:sz w:val="24"/>
          <w:highlight w:val="none"/>
          <w:lang w:val="zh-CN"/>
        </w:rPr>
        <w:t>将A、B组份按一定比例混合搅拌均匀后，施工性能良好</w:t>
      </w:r>
    </w:p>
    <w:p w14:paraId="6E698FB5">
      <w:pPr>
        <w:pStyle w:val="112"/>
        <w:numPr>
          <w:ilvl w:val="0"/>
          <w:numId w:val="10"/>
        </w:numPr>
        <w:autoSpaceDE w:val="0"/>
        <w:autoSpaceDN w:val="0"/>
        <w:snapToGrid w:val="0"/>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涂膜外观：涂膜固化后应无皱纹、斑点、起泡、裂纹、脱落、粘贴等现象</w:t>
      </w:r>
    </w:p>
    <w:p w14:paraId="6CC85388">
      <w:pPr>
        <w:pStyle w:val="112"/>
        <w:numPr>
          <w:ilvl w:val="0"/>
          <w:numId w:val="10"/>
        </w:numPr>
        <w:autoSpaceDE w:val="0"/>
        <w:autoSpaceDN w:val="0"/>
        <w:snapToGrid w:val="0"/>
        <w:spacing w:line="360" w:lineRule="auto"/>
        <w:ind w:firstLineChars="0"/>
        <w:rPr>
          <w:rFonts w:ascii="宋体" w:hAnsi="宋体" w:cs="宋体"/>
          <w:color w:val="auto"/>
          <w:sz w:val="24"/>
          <w:highlight w:val="none"/>
        </w:rPr>
      </w:pPr>
      <w:r>
        <w:rPr>
          <w:rFonts w:hint="eastAsia" w:ascii="宋体" w:hAnsi="宋体" w:cs="宋体"/>
          <w:color w:val="auto"/>
          <w:sz w:val="24"/>
          <w:highlight w:val="none"/>
          <w:lang w:val="zh-CN"/>
        </w:rPr>
        <w:t>不粘胎干燥时间：≤3</w:t>
      </w:r>
      <w:r>
        <w:rPr>
          <w:rFonts w:ascii="宋体" w:hAnsi="宋体" w:cs="宋体"/>
          <w:color w:val="auto"/>
          <w:sz w:val="24"/>
          <w:highlight w:val="none"/>
          <w:lang w:val="zh-CN"/>
        </w:rPr>
        <w:t>0</w:t>
      </w:r>
      <w:r>
        <w:rPr>
          <w:rFonts w:hint="eastAsia" w:ascii="宋体" w:hAnsi="宋体" w:cs="宋体"/>
          <w:color w:val="auto"/>
          <w:sz w:val="24"/>
          <w:highlight w:val="none"/>
          <w:lang w:val="zh-CN"/>
        </w:rPr>
        <w:t>min</w:t>
      </w:r>
    </w:p>
    <w:p w14:paraId="31BFA14D">
      <w:pPr>
        <w:pStyle w:val="112"/>
        <w:numPr>
          <w:ilvl w:val="0"/>
          <w:numId w:val="10"/>
        </w:numPr>
        <w:autoSpaceDE w:val="0"/>
        <w:autoSpaceDN w:val="0"/>
        <w:snapToGrid w:val="0"/>
        <w:spacing w:line="360" w:lineRule="auto"/>
        <w:ind w:firstLineChars="0"/>
        <w:rPr>
          <w:rFonts w:hint="eastAsia" w:ascii="宋体" w:hAnsi="宋体" w:cs="宋体"/>
          <w:color w:val="auto"/>
          <w:sz w:val="24"/>
          <w:highlight w:val="none"/>
        </w:rPr>
      </w:pPr>
      <w:r>
        <w:rPr>
          <w:rFonts w:hint="eastAsia" w:ascii="宋体" w:hAnsi="宋体" w:cs="宋体"/>
          <w:color w:val="auto"/>
          <w:sz w:val="24"/>
          <w:highlight w:val="none"/>
        </w:rPr>
        <w:t>耐磨性（mg）:200转/1000g后减重≤40  (JM-100 橡胶砂轮)</w:t>
      </w:r>
    </w:p>
    <w:p w14:paraId="772F36A5">
      <w:pPr>
        <w:pStyle w:val="112"/>
        <w:numPr>
          <w:ilvl w:val="0"/>
          <w:numId w:val="10"/>
        </w:numPr>
        <w:autoSpaceDE w:val="0"/>
        <w:autoSpaceDN w:val="0"/>
        <w:snapToGrid w:val="0"/>
        <w:spacing w:line="360" w:lineRule="auto"/>
        <w:ind w:firstLineChars="0"/>
        <w:rPr>
          <w:rFonts w:hint="eastAsia" w:ascii="宋体" w:hAnsi="宋体" w:cs="宋体"/>
          <w:color w:val="auto"/>
          <w:sz w:val="24"/>
          <w:highlight w:val="none"/>
        </w:rPr>
      </w:pPr>
      <w:r>
        <w:rPr>
          <w:rFonts w:hint="eastAsia" w:ascii="宋体" w:hAnsi="宋体" w:cs="宋体"/>
          <w:color w:val="auto"/>
          <w:sz w:val="24"/>
          <w:highlight w:val="none"/>
        </w:rPr>
        <w:t>预混玻璃微珠含量：≥30%，</w:t>
      </w:r>
      <w:r>
        <w:rPr>
          <w:rFonts w:hint="eastAsia" w:ascii="宋体" w:hAnsi="宋体" w:cs="宋体"/>
          <w:color w:val="auto"/>
          <w:sz w:val="24"/>
          <w:highlight w:val="none"/>
          <w:lang w:val="zh-CN"/>
        </w:rPr>
        <w:t>标线厚度：1-</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zh-CN"/>
        </w:rPr>
        <w:t>mm</w:t>
      </w:r>
    </w:p>
    <w:p w14:paraId="73F06F3A">
      <w:pPr>
        <w:pStyle w:val="112"/>
        <w:numPr>
          <w:ilvl w:val="0"/>
          <w:numId w:val="10"/>
        </w:numPr>
        <w:autoSpaceDE w:val="0"/>
        <w:autoSpaceDN w:val="0"/>
        <w:snapToGrid w:val="0"/>
        <w:spacing w:line="360" w:lineRule="auto"/>
        <w:ind w:firstLineChars="0"/>
        <w:rPr>
          <w:rFonts w:hint="eastAsia" w:ascii="宋体" w:hAnsi="宋体" w:cs="宋体"/>
          <w:color w:val="auto"/>
          <w:sz w:val="24"/>
          <w:highlight w:val="none"/>
          <w:lang w:val="zh-CN"/>
        </w:rPr>
      </w:pPr>
      <w:r>
        <w:rPr>
          <w:rFonts w:hint="eastAsia" w:ascii="宋体" w:hAnsi="宋体" w:cs="宋体"/>
          <w:color w:val="auto"/>
          <w:sz w:val="24"/>
          <w:highlight w:val="none"/>
          <w:lang w:val="zh-CN"/>
        </w:rPr>
        <w:t>初始施划时逆反射系数：白色≥</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50，黄色≥200（</w:t>
      </w:r>
      <w:r>
        <w:rPr>
          <w:rFonts w:hint="eastAsia" w:ascii="宋体" w:hAnsi="宋体" w:cs="宋体"/>
          <w:color w:val="auto"/>
          <w:sz w:val="24"/>
          <w:highlight w:val="none"/>
        </w:rPr>
        <w:t>初始施划时逆反射系数：白色≥350，黄色≥200</w:t>
      </w:r>
      <w:r>
        <w:rPr>
          <w:rFonts w:hint="eastAsia" w:ascii="宋体" w:hAnsi="宋体" w:cs="宋体"/>
          <w:color w:val="auto"/>
          <w:sz w:val="24"/>
          <w:highlight w:val="none"/>
          <w:lang w:val="zh-CN"/>
        </w:rPr>
        <w:t>）</w:t>
      </w:r>
    </w:p>
    <w:p w14:paraId="6740044D">
      <w:pPr>
        <w:pStyle w:val="112"/>
        <w:numPr>
          <w:ilvl w:val="0"/>
          <w:numId w:val="10"/>
        </w:numPr>
        <w:autoSpaceDE w:val="0"/>
        <w:autoSpaceDN w:val="0"/>
        <w:snapToGrid w:val="0"/>
        <w:spacing w:line="360" w:lineRule="auto"/>
        <w:ind w:firstLineChars="0"/>
        <w:rPr>
          <w:rFonts w:hint="eastAsia" w:ascii="宋体" w:hAnsi="宋体" w:cs="宋体"/>
          <w:color w:val="auto"/>
          <w:sz w:val="24"/>
          <w:highlight w:val="none"/>
          <w:lang w:val="zh-CN"/>
        </w:rPr>
      </w:pPr>
      <w:r>
        <w:rPr>
          <w:rFonts w:hint="eastAsia" w:ascii="宋体" w:hAnsi="宋体" w:cs="宋体"/>
          <w:color w:val="auto"/>
          <w:sz w:val="24"/>
          <w:highlight w:val="none"/>
          <w:lang w:val="zh-CN"/>
        </w:rPr>
        <w:t>遮盖率：60-80%</w:t>
      </w:r>
    </w:p>
    <w:p w14:paraId="2AE8BE28">
      <w:pPr>
        <w:pStyle w:val="112"/>
        <w:numPr>
          <w:ilvl w:val="0"/>
          <w:numId w:val="10"/>
        </w:numPr>
        <w:autoSpaceDE w:val="0"/>
        <w:autoSpaceDN w:val="0"/>
        <w:snapToGrid w:val="0"/>
        <w:spacing w:line="360" w:lineRule="auto"/>
        <w:ind w:firstLineChars="0"/>
        <w:rPr>
          <w:rFonts w:ascii="宋体" w:hAnsi="宋体" w:cs="宋体"/>
          <w:color w:val="auto"/>
          <w:sz w:val="24"/>
          <w:highlight w:val="none"/>
          <w:lang w:val="zh-CN"/>
        </w:rPr>
      </w:pPr>
      <w:r>
        <w:rPr>
          <w:rFonts w:ascii="宋体" w:hAnsi="宋体" w:cs="宋体"/>
          <w:color w:val="auto"/>
          <w:sz w:val="24"/>
          <w:highlight w:val="none"/>
          <w:lang w:val="zh-CN"/>
        </w:rPr>
        <w:t>耐水性</w:t>
      </w:r>
      <w:r>
        <w:rPr>
          <w:rFonts w:hint="eastAsia" w:ascii="宋体" w:hAnsi="宋体" w:cs="宋体"/>
          <w:color w:val="auto"/>
          <w:sz w:val="24"/>
          <w:highlight w:val="none"/>
          <w:lang w:val="zh-CN"/>
        </w:rPr>
        <w:t>：</w:t>
      </w:r>
      <w:r>
        <w:rPr>
          <w:rFonts w:ascii="宋体" w:hAnsi="宋体" w:cs="宋体"/>
          <w:color w:val="auto"/>
          <w:sz w:val="24"/>
          <w:highlight w:val="none"/>
          <w:lang w:val="zh-CN"/>
        </w:rPr>
        <w:t>在水中浸24h应无异常现象</w:t>
      </w:r>
    </w:p>
    <w:p w14:paraId="50D230DE">
      <w:pPr>
        <w:pStyle w:val="112"/>
        <w:numPr>
          <w:ilvl w:val="0"/>
          <w:numId w:val="10"/>
        </w:numPr>
        <w:autoSpaceDE w:val="0"/>
        <w:autoSpaceDN w:val="0"/>
        <w:snapToGrid w:val="0"/>
        <w:spacing w:line="360" w:lineRule="auto"/>
        <w:ind w:firstLineChars="0"/>
        <w:rPr>
          <w:rFonts w:ascii="宋体" w:hAnsi="宋体" w:cs="宋体"/>
          <w:color w:val="auto"/>
          <w:sz w:val="24"/>
          <w:highlight w:val="none"/>
          <w:lang w:val="zh-CN"/>
        </w:rPr>
      </w:pPr>
      <w:r>
        <w:rPr>
          <w:rFonts w:ascii="宋体" w:hAnsi="宋体" w:cs="宋体"/>
          <w:color w:val="auto"/>
          <w:sz w:val="24"/>
          <w:highlight w:val="none"/>
          <w:lang w:val="zh-CN"/>
        </w:rPr>
        <w:t>耐碱性</w:t>
      </w:r>
      <w:r>
        <w:rPr>
          <w:rFonts w:hint="eastAsia" w:ascii="宋体" w:hAnsi="宋体" w:cs="宋体"/>
          <w:color w:val="auto"/>
          <w:sz w:val="24"/>
          <w:highlight w:val="none"/>
          <w:lang w:val="zh-CN"/>
        </w:rPr>
        <w:t>：</w:t>
      </w:r>
      <w:r>
        <w:rPr>
          <w:rFonts w:ascii="宋体" w:hAnsi="宋体" w:cs="宋体"/>
          <w:color w:val="auto"/>
          <w:sz w:val="24"/>
          <w:highlight w:val="none"/>
          <w:lang w:val="zh-CN"/>
        </w:rPr>
        <w:t>在氢氧化钙饱和溶液中浸24h应无异常</w:t>
      </w:r>
    </w:p>
    <w:p w14:paraId="17A11341">
      <w:pPr>
        <w:pStyle w:val="46"/>
        <w:ind w:firstLine="210"/>
        <w:rPr>
          <w:color w:val="auto"/>
          <w:highlight w:val="none"/>
          <w:lang w:val="zh-CN"/>
        </w:rPr>
      </w:pPr>
    </w:p>
    <w:p w14:paraId="28897235">
      <w:pPr>
        <w:autoSpaceDE w:val="0"/>
        <w:autoSpaceDN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lang w:bidi="ar"/>
        </w:rPr>
        <w:t>热熔雨夜标线的技术要求</w:t>
      </w:r>
    </w:p>
    <w:p w14:paraId="2DEFC397">
      <w:pPr>
        <w:autoSpaceDE w:val="0"/>
        <w:autoSpaceDN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bidi="ar"/>
        </w:rPr>
        <w:t>1、热熔雨夜标线应符合</w:t>
      </w:r>
      <w:r>
        <w:rPr>
          <w:rFonts w:hint="eastAsia" w:ascii="宋体" w:hAnsi="宋体" w:cs="Calibri Light"/>
          <w:color w:val="auto"/>
          <w:kern w:val="0"/>
          <w:sz w:val="24"/>
          <w:highlight w:val="none"/>
        </w:rPr>
        <w:t>最新的</w:t>
      </w:r>
      <w:r>
        <w:rPr>
          <w:rFonts w:hint="eastAsia" w:ascii="宋体" w:hAnsi="宋体" w:cs="宋体"/>
          <w:color w:val="auto"/>
          <w:sz w:val="24"/>
          <w:highlight w:val="none"/>
          <w:lang w:bidi="ar"/>
        </w:rPr>
        <w:t>GB/T 16311《道路交通标线质量要求和检测方法》关于热熔标线的相关技术要求。</w:t>
      </w:r>
    </w:p>
    <w:p w14:paraId="33BB5765">
      <w:pPr>
        <w:autoSpaceDE w:val="0"/>
        <w:autoSpaceDN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bidi="ar"/>
        </w:rPr>
        <w:t>（1）</w:t>
      </w:r>
      <w:r>
        <w:rPr>
          <w:rFonts w:hint="eastAsia" w:ascii="宋体" w:hAnsi="宋体" w:cs="宋体"/>
          <w:snapToGrid w:val="0"/>
          <w:color w:val="auto"/>
          <w:sz w:val="24"/>
          <w:highlight w:val="none"/>
          <w:lang w:bidi="ar"/>
        </w:rPr>
        <w:t xml:space="preserve"> </w:t>
      </w:r>
      <w:r>
        <w:rPr>
          <w:rFonts w:hint="eastAsia" w:ascii="宋体" w:hAnsi="宋体" w:cs="宋体"/>
          <w:color w:val="auto"/>
          <w:sz w:val="24"/>
          <w:highlight w:val="none"/>
          <w:lang w:bidi="ar"/>
        </w:rPr>
        <w:t>热熔雨夜标线，白色反光标线的逆反射色应为白色，黄色反光标线的逆反射色应为黄色，测试方法应符合JT/T690的相关说明。</w:t>
      </w:r>
    </w:p>
    <w:p w14:paraId="1DBC0920">
      <w:pPr>
        <w:autoSpaceDE w:val="0"/>
        <w:autoSpaceDN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bidi="ar"/>
        </w:rPr>
        <w:t>（2）光学逆反射性能</w:t>
      </w:r>
    </w:p>
    <w:p w14:paraId="3B60010F">
      <w:pPr>
        <w:autoSpaceDE w:val="0"/>
        <w:autoSpaceDN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bidi="ar"/>
        </w:rPr>
        <w:t>a. 新划白色标线的初始逆反射亮度系数应满足，干燥状态下的平均值不低于500 mcd·m-2·lx-1,潮湿状态下的平均值不低于350mcd·m-2·lx-1。新划黄色标线的初始逆反射亮度系数应满足，干燥状态下的平均值不低于350 mcd·m-2·lx-1,潮湿状态下的平均值不低于150 mcd·m-2·lx-1。</w:t>
      </w:r>
    </w:p>
    <w:p w14:paraId="6510FBF5">
      <w:pPr>
        <w:autoSpaceDE w:val="0"/>
        <w:autoSpaceDN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bidi="ar"/>
        </w:rPr>
        <w:t>干燥状态的测试方法参考ASTM E1710，潮湿状态的测试方法参考ASTM E2177，测试仪器以Delta公司的LTL-X设备为准。</w:t>
      </w:r>
    </w:p>
    <w:p w14:paraId="369109D4">
      <w:pPr>
        <w:autoSpaceDE w:val="0"/>
        <w:autoSpaceDN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bidi="ar"/>
        </w:rPr>
        <w:t>b. 正常使用期间，雨夜反光标线应满足夜间可视的要求。</w:t>
      </w:r>
    </w:p>
    <w:p w14:paraId="32EDB449">
      <w:pPr>
        <w:autoSpaceDE w:val="0"/>
        <w:autoSpaceDN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bidi="ar"/>
        </w:rPr>
        <w:t>三个月后，干燥状态下白色边线亮度系数平均值不低于300 mcd·m-2·lx-1，潮湿状态下白色边线亮度系数的平均值不低于150 mcd·m-2·lx-1。</w:t>
      </w:r>
    </w:p>
    <w:p w14:paraId="2B78CD29">
      <w:pPr>
        <w:autoSpaceDE w:val="0"/>
        <w:autoSpaceDN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bidi="ar"/>
        </w:rPr>
        <w:t>三个月后，干燥状态下黄色边线亮度系数平均值不低于200 mcd·m-2·lx-1，潮湿状态下黄色边线亮度系数的平均值不低于100 mcd·m-2·lx-1。</w:t>
      </w:r>
    </w:p>
    <w:p w14:paraId="543C1E78">
      <w:pPr>
        <w:autoSpaceDE w:val="0"/>
        <w:autoSpaceDN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bidi="ar"/>
        </w:rPr>
        <w:t>干燥状态的测试方法参考ASTM E1710，潮湿状态的测试方法参考ASTM E2177，测试仪器以Delta公司的LTL-X设备为准。</w:t>
      </w:r>
    </w:p>
    <w:p w14:paraId="2489D807">
      <w:pPr>
        <w:numPr>
          <w:ilvl w:val="0"/>
          <w:numId w:val="11"/>
        </w:numPr>
        <w:autoSpaceDE w:val="0"/>
        <w:autoSpaceDN w:val="0"/>
        <w:adjustRightInd w:val="0"/>
        <w:snapToGrid w:val="0"/>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在热熔标线施划表面撒播白色或黄色雨夜反光珠和玻璃珠，雨夜珠撒播量不低于260g/m2，玻璃珠撒播量不低于600g/m2。雨夜珠应为全天候高亮雨夜珠，外观为不规则形状，表层为微晶陶瓷珠涂层结构。</w:t>
      </w:r>
    </w:p>
    <w:p w14:paraId="31C648E9">
      <w:pPr>
        <w:pStyle w:val="14"/>
        <w:spacing w:line="360" w:lineRule="auto"/>
        <w:ind w:firstLine="0"/>
        <w:rPr>
          <w:rFonts w:ascii="宋体" w:hAnsi="宋体" w:cs="宋体"/>
          <w:color w:val="auto"/>
          <w:sz w:val="24"/>
          <w:szCs w:val="24"/>
          <w:highlight w:val="none"/>
        </w:rPr>
      </w:pPr>
      <w:r>
        <w:rPr>
          <w:rFonts w:hint="eastAsia" w:ascii="宋体" w:hAnsi="宋体" w:cs="宋体"/>
          <w:b/>
          <w:color w:val="auto"/>
          <w:sz w:val="24"/>
          <w:szCs w:val="24"/>
          <w:highlight w:val="none"/>
          <w:lang w:bidi="ar"/>
        </w:rPr>
        <w:t>雨夜标线涂料的技术要求：</w:t>
      </w:r>
    </w:p>
    <w:p w14:paraId="496ECAC6">
      <w:pPr>
        <w:autoSpaceDE w:val="0"/>
        <w:autoSpaceDN w:val="0"/>
        <w:adjustRightInd w:val="0"/>
        <w:snapToGrid w:val="0"/>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热熔涂料基本组成应满足</w:t>
      </w:r>
      <w:r>
        <w:rPr>
          <w:rFonts w:hint="eastAsia" w:ascii="宋体" w:hAnsi="宋体"/>
          <w:color w:val="auto"/>
          <w:sz w:val="24"/>
          <w:highlight w:val="none"/>
        </w:rPr>
        <w:t>JT/T280-20</w:t>
      </w:r>
      <w:r>
        <w:rPr>
          <w:rFonts w:hint="eastAsia" w:ascii="宋体" w:hAnsi="宋体"/>
          <w:color w:val="auto"/>
          <w:sz w:val="24"/>
          <w:highlight w:val="none"/>
          <w:lang w:val="en-US" w:eastAsia="zh-CN"/>
        </w:rPr>
        <w:t>22</w:t>
      </w:r>
      <w:r>
        <w:rPr>
          <w:rFonts w:hint="eastAsia" w:ascii="宋体" w:hAnsi="宋体" w:cs="宋体"/>
          <w:color w:val="auto"/>
          <w:sz w:val="24"/>
          <w:highlight w:val="none"/>
          <w:lang w:bidi="ar"/>
        </w:rPr>
        <w:t>的要求</w:t>
      </w:r>
    </w:p>
    <w:tbl>
      <w:tblPr>
        <w:tblStyle w:val="48"/>
        <w:tblW w:w="7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3085"/>
        <w:gridCol w:w="1800"/>
        <w:gridCol w:w="1620"/>
      </w:tblGrid>
      <w:tr w14:paraId="2987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766AB6FA">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序号</w:t>
            </w:r>
          </w:p>
        </w:tc>
        <w:tc>
          <w:tcPr>
            <w:tcW w:w="308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1C06C1F0">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项目</w:t>
            </w:r>
          </w:p>
        </w:tc>
        <w:tc>
          <w:tcPr>
            <w:tcW w:w="180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78668F4">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技术要求</w:t>
            </w:r>
          </w:p>
        </w:tc>
        <w:tc>
          <w:tcPr>
            <w:tcW w:w="16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8EDE277">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检测方法</w:t>
            </w:r>
          </w:p>
        </w:tc>
      </w:tr>
      <w:tr w14:paraId="2CC98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13182DC2">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1</w:t>
            </w:r>
          </w:p>
        </w:tc>
        <w:tc>
          <w:tcPr>
            <w:tcW w:w="308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22F2FF30">
            <w:pPr>
              <w:keepNext w:val="0"/>
              <w:keepLines w:val="0"/>
              <w:suppressLineNumbers w:val="0"/>
              <w:adjustRightInd w:val="0"/>
              <w:snapToGrid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密度，g/cm3</w:t>
            </w:r>
          </w:p>
        </w:tc>
        <w:tc>
          <w:tcPr>
            <w:tcW w:w="180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5FD0B284">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2.0-2.6</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07B2226">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JTT 280</w:t>
            </w:r>
          </w:p>
        </w:tc>
      </w:tr>
      <w:tr w14:paraId="54ED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37C0B0BA">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2</w:t>
            </w:r>
          </w:p>
        </w:tc>
        <w:tc>
          <w:tcPr>
            <w:tcW w:w="308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578CA5C2">
            <w:pPr>
              <w:keepNext w:val="0"/>
              <w:keepLines w:val="0"/>
              <w:suppressLineNumbers w:val="0"/>
              <w:adjustRightInd w:val="0"/>
              <w:snapToGrid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软化点，℃，不低于</w:t>
            </w:r>
          </w:p>
        </w:tc>
        <w:tc>
          <w:tcPr>
            <w:tcW w:w="180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7F066150">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105</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FC1837E">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p>
        </w:tc>
      </w:tr>
      <w:tr w14:paraId="5B64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47323EC4">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3</w:t>
            </w:r>
          </w:p>
        </w:tc>
        <w:tc>
          <w:tcPr>
            <w:tcW w:w="308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6D723FE7">
            <w:pPr>
              <w:keepNext w:val="0"/>
              <w:keepLines w:val="0"/>
              <w:suppressLineNumbers w:val="0"/>
              <w:adjustRightInd w:val="0"/>
              <w:snapToGrid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不粘胎干燥时间，min，不高于</w:t>
            </w:r>
          </w:p>
        </w:tc>
        <w:tc>
          <w:tcPr>
            <w:tcW w:w="180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441D7CDE">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 3</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87A8FFE">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p>
        </w:tc>
      </w:tr>
      <w:tr w14:paraId="2A30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D39079C">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4</w:t>
            </w:r>
          </w:p>
        </w:tc>
        <w:tc>
          <w:tcPr>
            <w:tcW w:w="308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6E513509">
            <w:pPr>
              <w:keepNext w:val="0"/>
              <w:keepLines w:val="0"/>
              <w:suppressLineNumbers w:val="0"/>
              <w:adjustRightInd w:val="0"/>
              <w:snapToGrid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色度性能（白色、黄色）</w:t>
            </w:r>
          </w:p>
        </w:tc>
        <w:tc>
          <w:tcPr>
            <w:tcW w:w="180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29BA71EE">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 </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FE3716D">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p>
        </w:tc>
      </w:tr>
      <w:tr w14:paraId="40EC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FF17376">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p>
        </w:tc>
        <w:tc>
          <w:tcPr>
            <w:tcW w:w="308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3BC70173">
            <w:pPr>
              <w:keepNext w:val="0"/>
              <w:keepLines w:val="0"/>
              <w:suppressLineNumbers w:val="0"/>
              <w:adjustRightInd w:val="0"/>
              <w:snapToGrid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     色品坐标</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5EBB0F1">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满足JT/T 280-2004</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D94A854">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p>
        </w:tc>
      </w:tr>
      <w:tr w14:paraId="73C0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3C29649">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p>
        </w:tc>
        <w:tc>
          <w:tcPr>
            <w:tcW w:w="308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4DB56212">
            <w:pPr>
              <w:keepNext w:val="0"/>
              <w:keepLines w:val="0"/>
              <w:suppressLineNumbers w:val="0"/>
              <w:adjustRightInd w:val="0"/>
              <w:snapToGrid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      亮度因数</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DA9BE64">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A1AE049">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p>
        </w:tc>
      </w:tr>
      <w:tr w14:paraId="5A4B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3C64924A">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5</w:t>
            </w:r>
          </w:p>
        </w:tc>
        <w:tc>
          <w:tcPr>
            <w:tcW w:w="308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62048075">
            <w:pPr>
              <w:keepNext w:val="0"/>
              <w:keepLines w:val="0"/>
              <w:suppressLineNumbers w:val="0"/>
              <w:adjustRightInd w:val="0"/>
              <w:snapToGrid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抗压强度，Mpa，不低于</w:t>
            </w:r>
          </w:p>
        </w:tc>
        <w:tc>
          <w:tcPr>
            <w:tcW w:w="180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6A5CAEE9">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15</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0AE9D0C">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p>
        </w:tc>
      </w:tr>
      <w:tr w14:paraId="66CB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5CE45863">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6</w:t>
            </w:r>
          </w:p>
        </w:tc>
        <w:tc>
          <w:tcPr>
            <w:tcW w:w="308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020068C8">
            <w:pPr>
              <w:keepNext w:val="0"/>
              <w:keepLines w:val="0"/>
              <w:suppressLineNumbers w:val="0"/>
              <w:adjustRightInd w:val="0"/>
              <w:snapToGrid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耐磨性，mg，不高于</w:t>
            </w:r>
          </w:p>
        </w:tc>
        <w:tc>
          <w:tcPr>
            <w:tcW w:w="180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7C2F9DD5">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70</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A84D16F">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p>
        </w:tc>
      </w:tr>
      <w:tr w14:paraId="1938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14AF8CD9">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7</w:t>
            </w:r>
          </w:p>
        </w:tc>
        <w:tc>
          <w:tcPr>
            <w:tcW w:w="308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323D0860">
            <w:pPr>
              <w:keepNext w:val="0"/>
              <w:keepLines w:val="0"/>
              <w:suppressLineNumbers w:val="0"/>
              <w:adjustRightInd w:val="0"/>
              <w:snapToGrid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玻璃珠含量，%，不低于</w:t>
            </w:r>
          </w:p>
        </w:tc>
        <w:tc>
          <w:tcPr>
            <w:tcW w:w="180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65885F38">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bidi="ar"/>
              </w:rPr>
              <w:t>30</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F26653F">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p>
        </w:tc>
      </w:tr>
      <w:tr w14:paraId="2EA3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04AD68B3">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8</w:t>
            </w:r>
          </w:p>
        </w:tc>
        <w:tc>
          <w:tcPr>
            <w:tcW w:w="308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7AD0CA69">
            <w:pPr>
              <w:keepNext w:val="0"/>
              <w:keepLines w:val="0"/>
              <w:suppressLineNumbers w:val="0"/>
              <w:adjustRightInd w:val="0"/>
              <w:snapToGrid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流动度，S</w:t>
            </w:r>
          </w:p>
        </w:tc>
        <w:tc>
          <w:tcPr>
            <w:tcW w:w="180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23A898C6">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35±5</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16DFEE9">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p>
        </w:tc>
      </w:tr>
      <w:tr w14:paraId="0D1B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38181AEF">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9</w:t>
            </w:r>
          </w:p>
        </w:tc>
        <w:tc>
          <w:tcPr>
            <w:tcW w:w="308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2A3F139A">
            <w:pPr>
              <w:keepNext w:val="0"/>
              <w:keepLines w:val="0"/>
              <w:suppressLineNumbers w:val="0"/>
              <w:adjustRightInd w:val="0"/>
              <w:snapToGrid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耐水性</w:t>
            </w:r>
          </w:p>
        </w:tc>
        <w:tc>
          <w:tcPr>
            <w:tcW w:w="180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0ACDDE2C">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通过</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7C1FC44">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p>
        </w:tc>
      </w:tr>
      <w:tr w14:paraId="4353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0CFC6CDC">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10</w:t>
            </w:r>
          </w:p>
        </w:tc>
        <w:tc>
          <w:tcPr>
            <w:tcW w:w="308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35B260D8">
            <w:pPr>
              <w:keepNext w:val="0"/>
              <w:keepLines w:val="0"/>
              <w:suppressLineNumbers w:val="0"/>
              <w:adjustRightInd w:val="0"/>
              <w:snapToGrid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耐碱性</w:t>
            </w:r>
          </w:p>
        </w:tc>
        <w:tc>
          <w:tcPr>
            <w:tcW w:w="180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34A0AB23">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通过</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D5AF2FE">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p>
        </w:tc>
      </w:tr>
      <w:tr w14:paraId="171F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0F557A5D">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11</w:t>
            </w:r>
          </w:p>
        </w:tc>
        <w:tc>
          <w:tcPr>
            <w:tcW w:w="308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1C17DA6D">
            <w:pPr>
              <w:keepNext w:val="0"/>
              <w:keepLines w:val="0"/>
              <w:suppressLineNumbers w:val="0"/>
              <w:adjustRightInd w:val="0"/>
              <w:snapToGrid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低温开裂性</w:t>
            </w:r>
          </w:p>
        </w:tc>
        <w:tc>
          <w:tcPr>
            <w:tcW w:w="180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247E427B">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通过</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878B994">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p>
        </w:tc>
      </w:tr>
      <w:tr w14:paraId="7992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6B4E2761">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12</w:t>
            </w:r>
          </w:p>
        </w:tc>
        <w:tc>
          <w:tcPr>
            <w:tcW w:w="308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35B21238">
            <w:pPr>
              <w:keepNext w:val="0"/>
              <w:keepLines w:val="0"/>
              <w:suppressLineNumbers w:val="0"/>
              <w:adjustRightInd w:val="0"/>
              <w:snapToGrid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加热稳定性</w:t>
            </w:r>
          </w:p>
        </w:tc>
        <w:tc>
          <w:tcPr>
            <w:tcW w:w="180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0092F733">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通过</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C01609A">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p>
        </w:tc>
      </w:tr>
      <w:tr w14:paraId="1E37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54B3B6B9">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13</w:t>
            </w:r>
          </w:p>
        </w:tc>
        <w:tc>
          <w:tcPr>
            <w:tcW w:w="308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371C3C7D">
            <w:pPr>
              <w:keepNext w:val="0"/>
              <w:keepLines w:val="0"/>
              <w:suppressLineNumbers w:val="0"/>
              <w:adjustRightInd w:val="0"/>
              <w:snapToGrid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表面邵氏硬度，D，不低于</w:t>
            </w:r>
          </w:p>
        </w:tc>
        <w:tc>
          <w:tcPr>
            <w:tcW w:w="180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1C572F80">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70</w:t>
            </w:r>
          </w:p>
        </w:tc>
        <w:tc>
          <w:tcPr>
            <w:tcW w:w="16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787DE29F">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邵氏硬度计</w:t>
            </w:r>
          </w:p>
        </w:tc>
      </w:tr>
      <w:tr w14:paraId="156D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54C3C8DD">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14</w:t>
            </w:r>
          </w:p>
        </w:tc>
        <w:tc>
          <w:tcPr>
            <w:tcW w:w="308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0A742CEA">
            <w:pPr>
              <w:keepNext w:val="0"/>
              <w:keepLines w:val="0"/>
              <w:suppressLineNumbers w:val="0"/>
              <w:adjustRightInd w:val="0"/>
              <w:snapToGrid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落球冲击强度，N.m，不低于</w:t>
            </w:r>
          </w:p>
        </w:tc>
        <w:tc>
          <w:tcPr>
            <w:tcW w:w="180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30F07FAD">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0.75</w:t>
            </w:r>
          </w:p>
        </w:tc>
        <w:tc>
          <w:tcPr>
            <w:tcW w:w="16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6B6668D7">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冲击强度仪</w:t>
            </w:r>
          </w:p>
        </w:tc>
      </w:tr>
      <w:tr w14:paraId="1E22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2243E942">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15</w:t>
            </w:r>
          </w:p>
        </w:tc>
        <w:tc>
          <w:tcPr>
            <w:tcW w:w="308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44AAA7B0">
            <w:pPr>
              <w:keepNext w:val="0"/>
              <w:keepLines w:val="0"/>
              <w:suppressLineNumbers w:val="0"/>
              <w:adjustRightInd w:val="0"/>
              <w:snapToGrid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总有机物含量，wt%，不低于</w:t>
            </w:r>
          </w:p>
        </w:tc>
        <w:tc>
          <w:tcPr>
            <w:tcW w:w="180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2BEFBE4F">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19</w:t>
            </w:r>
          </w:p>
        </w:tc>
        <w:tc>
          <w:tcPr>
            <w:tcW w:w="16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309EEBB3">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高温烧结法</w:t>
            </w:r>
          </w:p>
        </w:tc>
      </w:tr>
      <w:tr w14:paraId="0EB3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58A33EC0">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16</w:t>
            </w:r>
          </w:p>
        </w:tc>
        <w:tc>
          <w:tcPr>
            <w:tcW w:w="308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1C880023">
            <w:pPr>
              <w:keepNext w:val="0"/>
              <w:keepLines w:val="0"/>
              <w:suppressLineNumbers w:val="0"/>
              <w:adjustRightInd w:val="0"/>
              <w:snapToGrid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Elements粘结性能</w:t>
            </w:r>
          </w:p>
        </w:tc>
        <w:tc>
          <w:tcPr>
            <w:tcW w:w="180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6D89252A">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通过</w:t>
            </w:r>
          </w:p>
        </w:tc>
        <w:tc>
          <w:tcPr>
            <w:tcW w:w="16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14:paraId="4551B1D9">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bidi="ar"/>
              </w:rPr>
              <w:t>内部</w:t>
            </w:r>
          </w:p>
        </w:tc>
      </w:tr>
    </w:tbl>
    <w:p w14:paraId="0C71246A">
      <w:pPr>
        <w:autoSpaceDE w:val="0"/>
        <w:autoSpaceDN w:val="0"/>
        <w:adjustRightInd w:val="0"/>
        <w:snapToGrid w:val="0"/>
        <w:spacing w:line="440" w:lineRule="exact"/>
        <w:jc w:val="center"/>
        <w:rPr>
          <w:b/>
          <w:color w:val="auto"/>
          <w:szCs w:val="21"/>
          <w:highlight w:val="none"/>
        </w:rPr>
      </w:pPr>
      <w:r>
        <w:rPr>
          <w:rFonts w:hint="eastAsia" w:cs="宋体"/>
          <w:b/>
          <w:color w:val="auto"/>
          <w:szCs w:val="21"/>
          <w:highlight w:val="none"/>
          <w:lang w:bidi="ar"/>
        </w:rPr>
        <w:t>热熔涂料配方性能指标</w:t>
      </w:r>
    </w:p>
    <w:p w14:paraId="6C1C3A65">
      <w:pPr>
        <w:pStyle w:val="14"/>
        <w:jc w:val="center"/>
        <w:rPr>
          <w:color w:val="auto"/>
          <w:szCs w:val="21"/>
          <w:highlight w:val="none"/>
        </w:rPr>
      </w:pPr>
    </w:p>
    <w:p w14:paraId="513263E7">
      <w:pPr>
        <w:autoSpaceDE w:val="0"/>
        <w:autoSpaceDN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lang w:bidi="ar"/>
        </w:rPr>
        <w:t>面撒玻璃珠的技术指标</w:t>
      </w:r>
    </w:p>
    <w:p w14:paraId="7593F292">
      <w:pPr>
        <w:autoSpaceDE w:val="0"/>
        <w:autoSpaceDN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bidi="ar"/>
        </w:rPr>
        <w:t>玻璃珠应满足</w:t>
      </w:r>
      <w:r>
        <w:rPr>
          <w:rFonts w:hint="eastAsia" w:ascii="宋体" w:hAnsi="宋体" w:cs="宋体"/>
          <w:color w:val="auto"/>
          <w:sz w:val="24"/>
          <w:highlight w:val="none"/>
          <w:lang w:eastAsia="zh-CN" w:bidi="ar"/>
        </w:rPr>
        <w:t>GB/T 24722-2020</w:t>
      </w:r>
      <w:r>
        <w:rPr>
          <w:rFonts w:hint="eastAsia" w:ascii="宋体" w:hAnsi="宋体" w:cs="宋体"/>
          <w:color w:val="auto"/>
          <w:sz w:val="24"/>
          <w:highlight w:val="none"/>
          <w:lang w:bidi="ar"/>
        </w:rPr>
        <w:t>的标准，玻璃珠应为无色透明的球体结构，成圆率不低于80%，玻璃珠表面应没有坑槽或划痕，折射率不低于1.5。平均粒径在0.8-1.2 mm。</w:t>
      </w:r>
    </w:p>
    <w:p w14:paraId="65C35AB2">
      <w:pPr>
        <w:autoSpaceDE w:val="0"/>
        <w:autoSpaceDN w:val="0"/>
        <w:snapToGrid w:val="0"/>
        <w:spacing w:line="360" w:lineRule="auto"/>
        <w:rPr>
          <w:rFonts w:ascii="宋体" w:hAnsi="宋体" w:cs="宋体"/>
          <w:color w:val="auto"/>
          <w:sz w:val="24"/>
          <w:highlight w:val="none"/>
        </w:rPr>
      </w:pPr>
    </w:p>
    <w:p w14:paraId="5CA66ABA">
      <w:pPr>
        <w:autoSpaceDE w:val="0"/>
        <w:autoSpaceDN w:val="0"/>
        <w:snapToGrid w:val="0"/>
        <w:spacing w:line="360" w:lineRule="auto"/>
        <w:ind w:firstLine="120" w:firstLineChars="50"/>
        <w:rPr>
          <w:rFonts w:ascii="宋体" w:hAnsi="宋体" w:cs="宋体"/>
          <w:b/>
          <w:color w:val="auto"/>
          <w:sz w:val="24"/>
          <w:highlight w:val="none"/>
        </w:rPr>
      </w:pPr>
      <w:r>
        <w:rPr>
          <w:rFonts w:hint="eastAsia" w:ascii="宋体" w:hAnsi="宋体" w:cs="宋体"/>
          <w:b/>
          <w:color w:val="auto"/>
          <w:sz w:val="24"/>
          <w:highlight w:val="none"/>
        </w:rPr>
        <w:t>标线施划、除线要求</w:t>
      </w:r>
    </w:p>
    <w:p w14:paraId="5F78B322">
      <w:pPr>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（1）对需要铲除的旧线，要做到铲除后不会引起驾驶员的误解和投诉。</w:t>
      </w:r>
    </w:p>
    <w:p w14:paraId="70F365A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rPr>
        <w:t>交叉路口驶入段的导向车道内应有导向箭头标明各车道的行驶方向。距路口最近的第一组导向箭头在距停止线2m处设置，第二组在导向车道的起始位置设置，箭头起始端部与导向车道线起始端部平齐，第三组作为预告箭头，在距第二组箭头前30m～50m间隔设置，预告箭头指示方向应与前方导向车道允许行驶方向保持一致。道路设计速度≤40km/h，导向箭头设置2组；道路设计速度40~100km/h，导向箭头设置3组。</w:t>
      </w:r>
    </w:p>
    <w:p w14:paraId="094F8145">
      <w:pPr>
        <w:spacing w:line="360" w:lineRule="auto"/>
        <w:rPr>
          <w:rFonts w:ascii="宋体" w:hAnsi="宋体" w:cs="宋体"/>
          <w:color w:val="auto"/>
          <w:kern w:val="0"/>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rPr>
        <w:t>标线施工注意：(a)交通标线的划法应符合国家和地方的有关规定，做到整齐、清晰、醒目,色泽与漆膜厚薄均匀；划漆线条流畅，线性规则。(b)交通标线材料应具有良好的耐磨性、防滑性和辨认性，并按照规范采用符合要求的涂料。(c)交通标线施工前要清洗地面，除净灰尘和泥土，然后按设计要求放样漆划。标线或底漆施划后，应放置锥形交通路标，待标线干燥后才能撤走。(d)交通标线施工禁止在雨天和潮湿冰冻的路面上进行。热熔型涂料施工时气温不低于10℃。(e)标线涂层厚度为1.8mm；突起型标线涂层突起部分的高度为3~7mm，基线的厚度为1.8mm。(f)撒布在标线涂层上的玻璃珠应分布均匀，其撒布量为0.3kg/ m</w:t>
      </w:r>
      <w:r>
        <w:rPr>
          <w:rFonts w:hint="eastAsia" w:ascii="宋体" w:hAnsi="宋体" w:cs="宋体"/>
          <w:color w:val="auto"/>
          <w:kern w:val="0"/>
          <w:sz w:val="24"/>
          <w:highlight w:val="none"/>
          <w:vertAlign w:val="superscript"/>
        </w:rPr>
        <w:t>2</w:t>
      </w:r>
      <w:r>
        <w:rPr>
          <w:rFonts w:hint="eastAsia" w:ascii="宋体" w:hAnsi="宋体" w:cs="宋体"/>
          <w:color w:val="auto"/>
          <w:kern w:val="0"/>
          <w:sz w:val="24"/>
          <w:highlight w:val="none"/>
        </w:rPr>
        <w:t>~0.4g/ m</w:t>
      </w:r>
      <w:r>
        <w:rPr>
          <w:rFonts w:hint="eastAsia" w:ascii="宋体" w:hAnsi="宋体" w:cs="宋体"/>
          <w:color w:val="auto"/>
          <w:kern w:val="0"/>
          <w:sz w:val="24"/>
          <w:highlight w:val="none"/>
          <w:vertAlign w:val="superscript"/>
        </w:rPr>
        <w:t>2</w:t>
      </w:r>
      <w:r>
        <w:rPr>
          <w:rFonts w:hint="eastAsia" w:ascii="宋体" w:hAnsi="宋体" w:cs="宋体"/>
          <w:color w:val="auto"/>
          <w:kern w:val="0"/>
          <w:sz w:val="24"/>
          <w:highlight w:val="none"/>
        </w:rPr>
        <w:t>。（g）标线施工前要和业主方一起踏看施工范围，制作施工计划，并每周向业主方反馈施工进度。</w:t>
      </w:r>
    </w:p>
    <w:p w14:paraId="6C85CB23">
      <w:pPr>
        <w:spacing w:line="360" w:lineRule="auto"/>
        <w:rPr>
          <w:rFonts w:ascii="宋体" w:hAnsi="宋体" w:cs="宋体"/>
          <w:b/>
          <w:color w:val="auto"/>
          <w:sz w:val="24"/>
          <w:highlight w:val="none"/>
        </w:rPr>
      </w:pPr>
      <w:r>
        <w:rPr>
          <w:rFonts w:hint="eastAsia" w:ascii="宋体" w:hAnsi="宋体" w:cs="宋体"/>
          <w:bCs/>
          <w:color w:val="auto"/>
          <w:sz w:val="24"/>
          <w:highlight w:val="none"/>
        </w:rPr>
        <w:t>（4）设备的质量标准、检测标准、测试手段、安装标准</w:t>
      </w:r>
    </w:p>
    <w:p w14:paraId="034F7321">
      <w:pPr>
        <w:spacing w:line="360" w:lineRule="auto"/>
        <w:rPr>
          <w:rFonts w:ascii="宋体" w:hAnsi="宋体" w:cs="宋体"/>
          <w:color w:val="auto"/>
          <w:sz w:val="24"/>
          <w:highlight w:val="none"/>
        </w:rPr>
      </w:pPr>
      <w:r>
        <w:rPr>
          <w:rFonts w:hint="eastAsia" w:ascii="宋体" w:hAnsi="宋体" w:cs="宋体"/>
          <w:color w:val="auto"/>
          <w:sz w:val="24"/>
          <w:highlight w:val="none"/>
        </w:rPr>
        <w:t>●JTGF80/1-2004《公路工程质量检验评定标准》</w:t>
      </w:r>
    </w:p>
    <w:p w14:paraId="3ED5D01B">
      <w:pPr>
        <w:spacing w:line="360" w:lineRule="auto"/>
        <w:rPr>
          <w:rFonts w:ascii="宋体" w:hAnsi="宋体" w:cs="宋体"/>
          <w:color w:val="auto"/>
          <w:sz w:val="24"/>
          <w:highlight w:val="none"/>
        </w:rPr>
      </w:pPr>
      <w:r>
        <w:rPr>
          <w:rFonts w:hint="eastAsia" w:ascii="宋体" w:hAnsi="宋体" w:cs="宋体"/>
          <w:color w:val="auto"/>
          <w:sz w:val="24"/>
          <w:highlight w:val="none"/>
        </w:rPr>
        <w:t>●GA/T652-2016《公安交通管理外场设备基础施工通用要求》</w:t>
      </w:r>
    </w:p>
    <w:p w14:paraId="6CF98A3E">
      <w:pPr>
        <w:spacing w:line="360" w:lineRule="auto"/>
        <w:rPr>
          <w:rFonts w:ascii="宋体" w:hAnsi="宋体" w:cs="宋体"/>
          <w:color w:val="auto"/>
          <w:sz w:val="24"/>
          <w:highlight w:val="none"/>
        </w:rPr>
      </w:pPr>
      <w:r>
        <w:rPr>
          <w:rFonts w:hint="eastAsia" w:ascii="宋体" w:hAnsi="宋体" w:cs="宋体"/>
          <w:color w:val="auto"/>
          <w:sz w:val="24"/>
          <w:highlight w:val="none"/>
        </w:rPr>
        <w:t>●GB/T16311-2005《道路交通标线质量要求和检测方法》等相关规范</w:t>
      </w:r>
    </w:p>
    <w:p w14:paraId="5B4D8F81">
      <w:pPr>
        <w:tabs>
          <w:tab w:val="left" w:pos="3589"/>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验收时中标人应提供每个路口、路段标线的工作量清单，标线路口的工作量清单要描述各个方向的工作量。（道路交通标线的箭头、文字或字母、图形、区域等特殊路面标线按区域面积（以设计特殊标线前、后、左、右四侧的最外缘涂敷点或线连接成的顺中心线方向矩形面积）计算数量，其他路面标线按涂敷实际面积计算数量；路面标线玻璃珠包含在涂敷面积内，不单独计量。）</w:t>
      </w:r>
    </w:p>
    <w:p w14:paraId="09CEBB35">
      <w:pPr>
        <w:tabs>
          <w:tab w:val="left" w:pos="3589"/>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现场对样品进行测量打分。中标人的样品由双方确认交由采购人进行封存保管，作为检验施工方施工质量、效果的标准之一，在本项目验收合格后退还。样品不能体现或影射任何与投标人有关的信息，否则按无效标处理。</w:t>
      </w:r>
    </w:p>
    <w:p w14:paraId="3C192959">
      <w:pPr>
        <w:pStyle w:val="14"/>
        <w:numPr>
          <w:ilvl w:val="0"/>
          <w:numId w:val="8"/>
        </w:num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中标人</w:t>
      </w:r>
      <w:r>
        <w:rPr>
          <w:rFonts w:hint="eastAsia" w:ascii="宋体" w:hAnsi="宋体" w:cs="宋体"/>
          <w:b/>
          <w:bCs/>
          <w:color w:val="auto"/>
          <w:sz w:val="24"/>
          <w:szCs w:val="24"/>
          <w:highlight w:val="none"/>
        </w:rPr>
        <w:t>职责、权限</w:t>
      </w:r>
    </w:p>
    <w:p w14:paraId="2F454BF7">
      <w:pPr>
        <w:pStyle w:val="14"/>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 xml:space="preserve">(1)按有关技术规范进行施工，确保项目质量。 </w:t>
      </w:r>
    </w:p>
    <w:p w14:paraId="4D3C5F38">
      <w:pPr>
        <w:pStyle w:val="14"/>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 xml:space="preserve">(2)服从采购人、监理工作的进程安排，及时进场并保证工期。 </w:t>
      </w:r>
    </w:p>
    <w:p w14:paraId="60BD0085">
      <w:pPr>
        <w:pStyle w:val="14"/>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 xml:space="preserve">(3)接到采购人更改通知时，按更改要求进行工程项目更改，并向监理报备。 </w:t>
      </w:r>
    </w:p>
    <w:p w14:paraId="020C6061">
      <w:pPr>
        <w:pStyle w:val="14"/>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 xml:space="preserve">(4)应严格按本次招投标的规定要求履行并承担自己的职责。 </w:t>
      </w:r>
    </w:p>
    <w:p w14:paraId="3EC5460E">
      <w:pPr>
        <w:pStyle w:val="14"/>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 xml:space="preserve">(5)按图纸要求、合同条款、技术规范等要求，承担项目的维修、维护等工作。 </w:t>
      </w:r>
    </w:p>
    <w:p w14:paraId="3D48A2FB">
      <w:pPr>
        <w:pStyle w:val="14"/>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 xml:space="preserve">(6)所使用的主要原材料均需要提供检测报告或质量保证单。 </w:t>
      </w:r>
    </w:p>
    <w:p w14:paraId="1CAC5C15">
      <w:pPr>
        <w:pStyle w:val="14"/>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 xml:space="preserve">(7)接受采购人的各项工作业务指导。 </w:t>
      </w:r>
    </w:p>
    <w:p w14:paraId="5A7BC5EC">
      <w:pPr>
        <w:pStyle w:val="14"/>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 xml:space="preserve">(8)负责施工场地的安全文明生产。 </w:t>
      </w:r>
    </w:p>
    <w:p w14:paraId="415986C8">
      <w:pPr>
        <w:pStyle w:val="14"/>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 xml:space="preserve">(9)建立项目施工的质量保证体系。 </w:t>
      </w:r>
    </w:p>
    <w:p w14:paraId="123029E4">
      <w:pPr>
        <w:pStyle w:val="14"/>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 xml:space="preserve">(10)负责交通安全设施施工场地、车辆、机械设备、原材料等的施工保障。 </w:t>
      </w:r>
    </w:p>
    <w:p w14:paraId="7587FE9F">
      <w:pPr>
        <w:pStyle w:val="14"/>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 xml:space="preserve">(11)接受交通警察局、监理对文明施工、安全施工、质量、施工时效等的监管。 </w:t>
      </w:r>
    </w:p>
    <w:p w14:paraId="3F07F2F6">
      <w:pPr>
        <w:pStyle w:val="14"/>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 xml:space="preserve">(12)及时反馈联系单。 </w:t>
      </w:r>
    </w:p>
    <w:p w14:paraId="09446567">
      <w:pPr>
        <w:pStyle w:val="14"/>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 xml:space="preserve">(13)中标人提供正常施工必须的所有人工（包括工种）、机械设备（包括车辆）、主要原材料等； </w:t>
      </w:r>
    </w:p>
    <w:p w14:paraId="1E1F8905">
      <w:pPr>
        <w:pStyle w:val="14"/>
        <w:spacing w:line="360" w:lineRule="auto"/>
        <w:ind w:firstLine="0"/>
        <w:rPr>
          <w:rFonts w:ascii="宋体" w:hAnsi="宋体" w:cs="宋体"/>
          <w:color w:val="auto"/>
          <w:kern w:val="0"/>
          <w:sz w:val="24"/>
          <w:szCs w:val="24"/>
          <w:highlight w:val="none"/>
        </w:rPr>
      </w:pP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14</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监理在巡查过程中发现</w:t>
      </w:r>
      <w:r>
        <w:rPr>
          <w:rFonts w:hint="eastAsia" w:ascii="宋体" w:hAnsi="宋体" w:cs="宋体"/>
          <w:color w:val="auto"/>
          <w:kern w:val="0"/>
          <w:sz w:val="24"/>
          <w:szCs w:val="24"/>
          <w:highlight w:val="none"/>
          <w:lang w:eastAsia="zh-CN"/>
        </w:rPr>
        <w:t>中标人</w:t>
      </w:r>
      <w:r>
        <w:rPr>
          <w:rFonts w:hint="eastAsia" w:ascii="宋体" w:hAnsi="宋体" w:cs="宋体"/>
          <w:color w:val="auto"/>
          <w:kern w:val="0"/>
          <w:sz w:val="24"/>
          <w:szCs w:val="24"/>
          <w:highlight w:val="none"/>
        </w:rPr>
        <w:t xml:space="preserve">在施工中不按国家有关标准设置，经采购人确认后，施工单位无条件返工，并承担因返工额外产生的费用； </w:t>
      </w:r>
    </w:p>
    <w:p w14:paraId="16724056">
      <w:pPr>
        <w:pStyle w:val="14"/>
        <w:spacing w:line="360" w:lineRule="auto"/>
        <w:ind w:firstLine="0"/>
        <w:rPr>
          <w:rFonts w:ascii="宋体" w:hAnsi="宋体" w:cs="宋体"/>
          <w:color w:val="auto"/>
          <w:kern w:val="0"/>
          <w:sz w:val="24"/>
          <w:szCs w:val="24"/>
          <w:highlight w:val="none"/>
        </w:rPr>
      </w:pP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15</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 xml:space="preserve">施工结束后中标人提供完工清单，监理及采购人按规定验收； </w:t>
      </w:r>
    </w:p>
    <w:p w14:paraId="5CFC1BF1">
      <w:pPr>
        <w:pStyle w:val="14"/>
        <w:spacing w:line="360" w:lineRule="auto"/>
        <w:ind w:firstLine="0"/>
        <w:rPr>
          <w:rFonts w:ascii="宋体" w:hAnsi="宋体" w:cs="宋体"/>
          <w:color w:val="auto"/>
          <w:kern w:val="0"/>
          <w:sz w:val="24"/>
          <w:szCs w:val="24"/>
          <w:highlight w:val="none"/>
        </w:rPr>
      </w:pP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16</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lang w:eastAsia="zh-CN"/>
        </w:rPr>
        <w:t>中标人</w:t>
      </w:r>
      <w:r>
        <w:rPr>
          <w:rFonts w:hint="eastAsia" w:ascii="宋体" w:hAnsi="宋体" w:cs="宋体"/>
          <w:color w:val="auto"/>
          <w:kern w:val="0"/>
          <w:sz w:val="24"/>
          <w:szCs w:val="24"/>
          <w:highlight w:val="none"/>
        </w:rPr>
        <w:t xml:space="preserve">有下列行为之一的，采购人有权终止合同。 </w:t>
      </w:r>
    </w:p>
    <w:p w14:paraId="35894B29">
      <w:pPr>
        <w:pStyle w:val="14"/>
        <w:spacing w:line="360" w:lineRule="auto"/>
        <w:ind w:firstLine="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A、不符合工程技术标准的； </w:t>
      </w:r>
    </w:p>
    <w:p w14:paraId="25B3B440">
      <w:pPr>
        <w:pStyle w:val="14"/>
        <w:spacing w:line="360" w:lineRule="auto"/>
        <w:ind w:firstLine="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B、偷工减料的； </w:t>
      </w:r>
    </w:p>
    <w:p w14:paraId="14BCED2F">
      <w:pPr>
        <w:pStyle w:val="14"/>
        <w:spacing w:line="360" w:lineRule="auto"/>
        <w:ind w:firstLine="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C、不按图施工的； </w:t>
      </w:r>
    </w:p>
    <w:p w14:paraId="5ABF29E3">
      <w:pPr>
        <w:pStyle w:val="14"/>
        <w:spacing w:line="360" w:lineRule="auto"/>
        <w:ind w:firstLine="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D、造成重特大责任事故的； </w:t>
      </w:r>
    </w:p>
    <w:p w14:paraId="1344942E">
      <w:pPr>
        <w:pStyle w:val="14"/>
        <w:spacing w:line="360" w:lineRule="auto"/>
        <w:ind w:firstLine="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E、不文明安全施工的； </w:t>
      </w:r>
    </w:p>
    <w:p w14:paraId="40BBD92E">
      <w:pPr>
        <w:pStyle w:val="14"/>
        <w:spacing w:line="360" w:lineRule="auto"/>
        <w:ind w:firstLine="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F、不服从现场民警指挥的； </w:t>
      </w:r>
    </w:p>
    <w:p w14:paraId="27BD2600">
      <w:pPr>
        <w:pStyle w:val="14"/>
        <w:spacing w:line="360" w:lineRule="auto"/>
        <w:ind w:firstLine="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G、擅自增设或变更交通安全设施的； </w:t>
      </w:r>
    </w:p>
    <w:p w14:paraId="081DB6CF">
      <w:pPr>
        <w:pStyle w:val="14"/>
        <w:spacing w:line="360" w:lineRule="auto"/>
        <w:ind w:firstLine="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H、全部或部分工程违法转包； </w:t>
      </w:r>
    </w:p>
    <w:p w14:paraId="77D0908F">
      <w:pPr>
        <w:pStyle w:val="14"/>
        <w:spacing w:line="360" w:lineRule="auto"/>
        <w:ind w:firstLine="0"/>
        <w:rPr>
          <w:rFonts w:ascii="宋体" w:hAnsi="宋体" w:cs="宋体"/>
          <w:color w:val="auto"/>
          <w:kern w:val="0"/>
          <w:sz w:val="24"/>
          <w:szCs w:val="24"/>
          <w:highlight w:val="none"/>
        </w:rPr>
      </w:pPr>
      <w:r>
        <w:rPr>
          <w:rFonts w:hint="eastAsia" w:ascii="宋体" w:hAnsi="宋体" w:cs="宋体"/>
          <w:color w:val="auto"/>
          <w:kern w:val="0"/>
          <w:sz w:val="24"/>
          <w:szCs w:val="24"/>
          <w:highlight w:val="none"/>
        </w:rPr>
        <w:t>I、多次未按合同履行维护维修工作的；</w:t>
      </w:r>
    </w:p>
    <w:p w14:paraId="0ED7A6BC">
      <w:pPr>
        <w:pStyle w:val="14"/>
        <w:spacing w:line="360" w:lineRule="auto"/>
        <w:ind w:firstLine="0"/>
        <w:rPr>
          <w:rFonts w:hint="eastAsia" w:asciiTheme="minorEastAsia" w:hAnsiTheme="minorEastAsia" w:eastAsiaTheme="minorEastAsia" w:cstheme="minorEastAsia"/>
          <w:color w:val="auto"/>
          <w:kern w:val="0"/>
          <w:sz w:val="24"/>
          <w:szCs w:val="24"/>
          <w:highlight w:val="none"/>
        </w:rPr>
      </w:pP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18</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中标人在开展施工前应先制定完善的施工方案，自行办理道路挖掘手续的审批手续，并承担相关费用，尽可能减小因施工对道路通行带来的影响，施工时服从现场交</w:t>
      </w:r>
      <w:r>
        <w:rPr>
          <w:rFonts w:hint="eastAsia" w:asciiTheme="minorEastAsia" w:hAnsiTheme="minorEastAsia" w:eastAsiaTheme="minorEastAsia" w:cstheme="minorEastAsia"/>
          <w:color w:val="auto"/>
          <w:kern w:val="0"/>
          <w:sz w:val="24"/>
          <w:szCs w:val="24"/>
          <w:highlight w:val="none"/>
        </w:rPr>
        <w:t xml:space="preserve">警的管理及指挥； </w:t>
      </w:r>
    </w:p>
    <w:p w14:paraId="4CDD1400">
      <w:pPr>
        <w:pStyle w:val="14"/>
        <w:spacing w:line="360" w:lineRule="auto"/>
        <w:ind w:firstLine="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0"/>
          <w:sz w:val="24"/>
          <w:szCs w:val="24"/>
          <w:highlight w:val="none"/>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0"/>
          <w:sz w:val="24"/>
          <w:szCs w:val="24"/>
          <w:highlight w:val="none"/>
        </w:rPr>
        <w:t>中标人在台州市区内需有专门的工作场地、工作人员、车辆、设备。</w:t>
      </w:r>
    </w:p>
    <w:p w14:paraId="7F3074B9">
      <w:pPr>
        <w:pStyle w:val="112"/>
        <w:numPr>
          <w:ilvl w:val="0"/>
          <w:numId w:val="12"/>
        </w:numPr>
        <w:spacing w:line="360" w:lineRule="auto"/>
        <w:ind w:firstLineChars="0"/>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商务需求</w:t>
      </w:r>
    </w:p>
    <w:p w14:paraId="1A31B039">
      <w:pPr>
        <w:tabs>
          <w:tab w:val="left" w:pos="0"/>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1、质保期</w:t>
      </w:r>
      <w:r>
        <w:rPr>
          <w:rFonts w:hint="eastAsia" w:asciiTheme="minorEastAsia" w:hAnsiTheme="minorEastAsia" w:eastAsiaTheme="minorEastAsia" w:cstheme="minorEastAsia"/>
          <w:color w:val="auto"/>
          <w:sz w:val="24"/>
          <w:highlight w:val="none"/>
        </w:rPr>
        <w:t>：质保期自交付验收合格之日起，主次干道标线不少于1年，支路标线不少于2年（技术需求中有列明质保期的按照技术需求中的要求）</w:t>
      </w:r>
    </w:p>
    <w:p w14:paraId="7C6EB62C">
      <w:pPr>
        <w:tabs>
          <w:tab w:val="left" w:pos="0"/>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2、交货期（交付期）：</w:t>
      </w:r>
      <w:r>
        <w:rPr>
          <w:rFonts w:hint="eastAsia" w:asciiTheme="minorEastAsia" w:hAnsiTheme="minorEastAsia" w:eastAsiaTheme="minorEastAsia" w:cstheme="minorEastAsia"/>
          <w:b w:val="0"/>
          <w:bCs/>
          <w:smallCaps w:val="0"/>
          <w:color w:val="auto"/>
          <w:kern w:val="0"/>
          <w:sz w:val="24"/>
          <w:szCs w:val="24"/>
          <w:highlight w:val="none"/>
          <w:lang w:val="en-US" w:eastAsia="zh-CN" w:bidi="ar-SA"/>
        </w:rPr>
        <w:t>自合同签订之日起180天</w:t>
      </w:r>
      <w:r>
        <w:rPr>
          <w:rFonts w:hint="eastAsia" w:asciiTheme="minorEastAsia" w:hAnsiTheme="minorEastAsia" w:eastAsiaTheme="minorEastAsia" w:cstheme="minorEastAsia"/>
          <w:color w:val="auto"/>
          <w:sz w:val="24"/>
          <w:highlight w:val="none"/>
        </w:rPr>
        <w:t>。</w:t>
      </w:r>
    </w:p>
    <w:p w14:paraId="5CCFEC7A">
      <w:pPr>
        <w:pStyle w:val="21"/>
        <w:spacing w:line="360" w:lineRule="auto"/>
        <w:ind w:left="0" w:leftChars="0" w:firstLine="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3、履约保证金：</w:t>
      </w:r>
      <w:r>
        <w:rPr>
          <w:rFonts w:hint="eastAsia" w:asciiTheme="minorEastAsia" w:hAnsiTheme="minorEastAsia" w:eastAsiaTheme="minorEastAsia" w:cstheme="minorEastAsia"/>
          <w:color w:val="auto"/>
          <w:sz w:val="24"/>
          <w:highlight w:val="none"/>
        </w:rPr>
        <w:t>履约保证金为4</w:t>
      </w:r>
      <w:r>
        <w:rPr>
          <w:rFonts w:hint="eastAsia" w:asciiTheme="minorEastAsia" w:hAnsiTheme="minorEastAsia" w:eastAsiaTheme="minorEastAsia" w:cstheme="minorEastAsia"/>
          <w:color w:val="auto"/>
          <w:sz w:val="24"/>
          <w:highlight w:val="none"/>
          <w:lang w:val="en-US" w:eastAsia="zh-CN"/>
        </w:rPr>
        <w:t>0000元</w:t>
      </w:r>
      <w:r>
        <w:rPr>
          <w:rFonts w:hint="eastAsia" w:asciiTheme="minorEastAsia" w:hAnsiTheme="minorEastAsia" w:eastAsiaTheme="minorEastAsia" w:cstheme="minorEastAsia"/>
          <w:color w:val="auto"/>
          <w:sz w:val="24"/>
          <w:highlight w:val="none"/>
        </w:rPr>
        <w:t>，签订合同后 3 个工作日内</w:t>
      </w:r>
      <w:r>
        <w:rPr>
          <w:rFonts w:hint="eastAsia" w:asciiTheme="minorEastAsia" w:hAnsiTheme="minorEastAsia" w:eastAsiaTheme="minorEastAsia" w:cstheme="minorEastAsia"/>
          <w:color w:val="auto"/>
          <w:sz w:val="24"/>
          <w:highlight w:val="none"/>
          <w:lang w:val="en-US" w:eastAsia="zh-CN"/>
        </w:rPr>
        <w:t>向</w:t>
      </w:r>
      <w:r>
        <w:rPr>
          <w:rFonts w:hint="eastAsia" w:asciiTheme="minorEastAsia" w:hAnsiTheme="minorEastAsia" w:eastAsiaTheme="minorEastAsia" w:cstheme="minorEastAsia"/>
          <w:color w:val="auto"/>
          <w:sz w:val="24"/>
          <w:highlight w:val="none"/>
        </w:rPr>
        <w:t>采购人提交（履约保证金可采用支票、汇票、保函、担保等形式），验收合格后无息退还。</w:t>
      </w:r>
    </w:p>
    <w:p w14:paraId="5E0A286C">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b/>
          <w:bCs/>
          <w:color w:val="auto"/>
          <w:sz w:val="24"/>
          <w:highlight w:val="none"/>
        </w:rPr>
        <w:t>4、付款条件：</w:t>
      </w:r>
      <w:r>
        <w:rPr>
          <w:rFonts w:hint="eastAsia" w:asciiTheme="minorEastAsia" w:hAnsiTheme="minorEastAsia" w:eastAsiaTheme="minorEastAsia" w:cstheme="minorEastAsia"/>
          <w:color w:val="auto"/>
          <w:sz w:val="24"/>
          <w:highlight w:val="none"/>
        </w:rPr>
        <w:t>合同签订，中标人提供发票后7个工作日内，支付合同总额的40%作为预付款，合同签订后180天内完成项目，通过初验中标人提供发票后7个工作日内支付至实际工程量结算金额的90%，项目整体竣工验收合格并经审核结束，中标人提供发票后7个工作日内支付剩余结算金额</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bCs/>
          <w:color w:val="auto"/>
          <w:sz w:val="24"/>
          <w:highlight w:val="none"/>
        </w:rPr>
        <w:t>以上款项支付期限为财政资金到位</w:t>
      </w:r>
      <w:r>
        <w:rPr>
          <w:rFonts w:hint="eastAsia" w:asciiTheme="minorEastAsia" w:hAnsiTheme="minorEastAsia" w:eastAsiaTheme="minorEastAsia" w:cstheme="minorEastAsia"/>
          <w:bCs/>
          <w:color w:val="auto"/>
          <w:sz w:val="24"/>
          <w:highlight w:val="none"/>
          <w:lang w:eastAsia="zh-CN"/>
        </w:rPr>
        <w:t>。</w:t>
      </w:r>
    </w:p>
    <w:p w14:paraId="473BF02C">
      <w:pPr>
        <w:pStyle w:val="112"/>
        <w:spacing w:line="360" w:lineRule="auto"/>
        <w:ind w:firstLine="0" w:firstLineChars="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kern w:val="28"/>
          <w:sz w:val="24"/>
          <w:highlight w:val="none"/>
        </w:rPr>
        <w:t>最终的结算价（最终结算金额=</w:t>
      </w:r>
      <w:r>
        <w:rPr>
          <w:rFonts w:hint="eastAsia" w:asciiTheme="minorEastAsia" w:hAnsiTheme="minorEastAsia" w:eastAsiaTheme="minorEastAsia" w:cstheme="minorEastAsia"/>
          <w:b/>
          <w:color w:val="auto"/>
          <w:kern w:val="28"/>
          <w:sz w:val="24"/>
          <w:highlight w:val="none"/>
          <w:lang w:val="en-US" w:eastAsia="zh-CN"/>
        </w:rPr>
        <w:t>实际工作量</w:t>
      </w:r>
      <w:r>
        <w:rPr>
          <w:rFonts w:hint="eastAsia" w:asciiTheme="minorEastAsia" w:hAnsiTheme="minorEastAsia" w:eastAsiaTheme="minorEastAsia" w:cstheme="minorEastAsia"/>
          <w:b/>
          <w:color w:val="auto"/>
          <w:kern w:val="28"/>
          <w:sz w:val="24"/>
          <w:highlight w:val="none"/>
        </w:rPr>
        <w:t>*成交单价，成交单价=</w:t>
      </w:r>
      <w:r>
        <w:rPr>
          <w:rFonts w:hint="eastAsia" w:asciiTheme="minorEastAsia" w:hAnsiTheme="minorEastAsia" w:eastAsiaTheme="minorEastAsia" w:cstheme="minorEastAsia"/>
          <w:b/>
          <w:color w:val="auto"/>
          <w:kern w:val="28"/>
          <w:sz w:val="24"/>
          <w:highlight w:val="none"/>
          <w:lang w:val="en-US" w:eastAsia="zh-CN"/>
        </w:rPr>
        <w:t>上限</w:t>
      </w:r>
      <w:r>
        <w:rPr>
          <w:rFonts w:hint="eastAsia" w:asciiTheme="minorEastAsia" w:hAnsiTheme="minorEastAsia" w:eastAsiaTheme="minorEastAsia" w:cstheme="minorEastAsia"/>
          <w:b/>
          <w:color w:val="auto"/>
          <w:kern w:val="28"/>
          <w:sz w:val="24"/>
          <w:highlight w:val="none"/>
        </w:rPr>
        <w:t>单价*成交结算率）</w:t>
      </w:r>
      <w:r>
        <w:rPr>
          <w:rFonts w:hint="eastAsia" w:asciiTheme="minorEastAsia" w:hAnsiTheme="minorEastAsia" w:eastAsiaTheme="minorEastAsia" w:cstheme="minorEastAsia"/>
          <w:b/>
          <w:bCs/>
          <w:color w:val="auto"/>
          <w:sz w:val="24"/>
          <w:szCs w:val="24"/>
          <w:highlight w:val="none"/>
        </w:rPr>
        <w:t>5、其他说明：</w:t>
      </w:r>
    </w:p>
    <w:p w14:paraId="765AE53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投标报价包含实现本项目的所有功能及安全保障工作所需费用，</w:t>
      </w:r>
      <w:r>
        <w:rPr>
          <w:rFonts w:hint="eastAsia" w:asciiTheme="minorEastAsia" w:hAnsiTheme="minorEastAsia" w:eastAsiaTheme="minorEastAsia" w:cstheme="minorEastAsia"/>
          <w:color w:val="auto"/>
          <w:sz w:val="24"/>
          <w:highlight w:val="none"/>
        </w:rPr>
        <w:t>其应包括（但不限于）材料、设备、劳务、人员工资、奖金、各种加班费、食宿与交通、手续审批、安全、管理、质保、保险、利润、税金、</w:t>
      </w:r>
      <w:r>
        <w:rPr>
          <w:rFonts w:hint="eastAsia" w:asciiTheme="minorEastAsia" w:hAnsiTheme="minorEastAsia" w:eastAsiaTheme="minorEastAsia" w:cstheme="minorEastAsia"/>
          <w:color w:val="auto"/>
          <w:sz w:val="24"/>
          <w:highlight w:val="none"/>
          <w:lang w:val="en-US" w:eastAsia="zh-CN"/>
        </w:rPr>
        <w:t>验收费用、招标代理服务费、</w:t>
      </w:r>
      <w:r>
        <w:rPr>
          <w:rFonts w:hint="eastAsia" w:asciiTheme="minorEastAsia" w:hAnsiTheme="minorEastAsia" w:eastAsiaTheme="minorEastAsia" w:cstheme="minorEastAsia"/>
          <w:color w:val="auto"/>
          <w:sz w:val="24"/>
          <w:highlight w:val="none"/>
        </w:rPr>
        <w:t>政策性文件规定及合同包含的所有风险、责任等所有费用（即整个项目直至履约完成，采购人不再另行支付费用）全部费用已包含在开标一览表的投标总报价中。</w:t>
      </w:r>
    </w:p>
    <w:p w14:paraId="3C2FFA85">
      <w:pPr>
        <w:pStyle w:val="14"/>
        <w:spacing w:line="360" w:lineRule="auto"/>
        <w:ind w:firstLine="482" w:firstLineChars="200"/>
        <w:rPr>
          <w:rFonts w:hint="eastAsia" w:asciiTheme="minorEastAsia" w:hAnsiTheme="minorEastAsia" w:eastAsiaTheme="minorEastAsia"/>
          <w:b/>
          <w:color w:val="auto"/>
          <w:kern w:val="0"/>
          <w:sz w:val="24"/>
          <w:highlight w:val="none"/>
        </w:rPr>
        <w:sectPr>
          <w:headerReference r:id="rId8" w:type="first"/>
          <w:footerReference r:id="rId9" w:type="default"/>
          <w:pgSz w:w="11906" w:h="16838"/>
          <w:pgMar w:top="1440" w:right="1418" w:bottom="1440" w:left="1418" w:header="851" w:footer="851" w:gutter="0"/>
          <w:cols w:space="720" w:num="1"/>
          <w:docGrid w:linePitch="312" w:charSpace="0"/>
        </w:sectPr>
      </w:pPr>
    </w:p>
    <w:p w14:paraId="1ED30341">
      <w:pPr>
        <w:pageBreakBefore/>
        <w:snapToGrid w:val="0"/>
        <w:spacing w:line="360" w:lineRule="auto"/>
        <w:jc w:val="center"/>
        <w:outlineLvl w:val="0"/>
        <w:rPr>
          <w:rFonts w:asciiTheme="minorEastAsia" w:hAnsiTheme="minorEastAsia" w:eastAsiaTheme="minorEastAsia"/>
          <w:b/>
          <w:color w:val="auto"/>
          <w:sz w:val="32"/>
          <w:szCs w:val="32"/>
          <w:highlight w:val="none"/>
        </w:rPr>
      </w:pPr>
      <w:bookmarkStart w:id="89" w:name="_Toc21037"/>
      <w:r>
        <w:rPr>
          <w:rFonts w:hint="eastAsia" w:asciiTheme="minorEastAsia" w:hAnsiTheme="minorEastAsia" w:eastAsiaTheme="minorEastAsia"/>
          <w:b/>
          <w:color w:val="auto"/>
          <w:sz w:val="32"/>
          <w:szCs w:val="32"/>
          <w:highlight w:val="none"/>
        </w:rPr>
        <w:t>第六部分 拟签订的合同文本</w:t>
      </w:r>
      <w:bookmarkEnd w:id="89"/>
    </w:p>
    <w:p w14:paraId="5B6AEFD9">
      <w:pPr>
        <w:widowControl w:val="0"/>
        <w:snapToGrid w:val="0"/>
        <w:spacing w:before="156" w:beforeLines="50" w:after="156" w:afterLines="50" w:line="360" w:lineRule="auto"/>
        <w:ind w:firstLine="482" w:firstLineChars="200"/>
        <w:jc w:val="center"/>
        <w:rPr>
          <w:rFonts w:ascii="宋体" w:hAnsi="宋体" w:eastAsia="宋体" w:cs="宋体"/>
          <w:b/>
          <w:snapToGrid w:val="0"/>
          <w:color w:val="auto"/>
          <w:kern w:val="2"/>
          <w:sz w:val="24"/>
          <w:szCs w:val="24"/>
          <w:highlight w:val="none"/>
          <w:lang w:val="en-US" w:eastAsia="zh-CN" w:bidi="ar-SA"/>
        </w:rPr>
      </w:pPr>
      <w:r>
        <w:rPr>
          <w:rFonts w:hint="eastAsia" w:ascii="宋体" w:hAnsi="宋体" w:eastAsia="宋体" w:cs="宋体"/>
          <w:b/>
          <w:snapToGrid w:val="0"/>
          <w:color w:val="auto"/>
          <w:kern w:val="2"/>
          <w:sz w:val="24"/>
          <w:szCs w:val="24"/>
          <w:highlight w:val="none"/>
          <w:lang w:val="en-US" w:eastAsia="zh-CN" w:bidi="ar-SA"/>
        </w:rPr>
        <w:t>（本合同为参考，具体结合采购需求及中标人投标承诺，以实际签署为准）</w:t>
      </w:r>
    </w:p>
    <w:bookmarkEnd w:id="87"/>
    <w:p w14:paraId="3115C3E9">
      <w:pPr>
        <w:pStyle w:val="26"/>
        <w:snapToGrid w:val="0"/>
        <w:spacing w:before="120" w:after="120" w:line="360" w:lineRule="auto"/>
        <w:rPr>
          <w:rFonts w:asciiTheme="minorEastAsia" w:hAnsiTheme="minorEastAsia" w:eastAsiaTheme="minorEastAsia"/>
          <w:color w:val="auto"/>
          <w:sz w:val="24"/>
          <w:highlight w:val="none"/>
        </w:rPr>
      </w:pPr>
      <w:bookmarkStart w:id="90" w:name="_Toc6437"/>
      <w:bookmarkStart w:id="91" w:name="_Toc31348"/>
      <w:r>
        <w:rPr>
          <w:rFonts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lang w:eastAsia="zh-CN"/>
        </w:rPr>
        <w:t>202</w:t>
      </w:r>
      <w:r>
        <w:rPr>
          <w:rFonts w:hint="default" w:asciiTheme="minorEastAsia" w:hAnsiTheme="minorEastAsia" w:eastAsiaTheme="minorEastAsia"/>
          <w:color w:val="auto"/>
          <w:sz w:val="24"/>
          <w:highlight w:val="none"/>
          <w:lang w:eastAsia="zh-CN"/>
        </w:rPr>
        <w:t>4</w:t>
      </w:r>
      <w:r>
        <w:rPr>
          <w:rFonts w:hint="eastAsia" w:asciiTheme="minorEastAsia" w:hAnsiTheme="minorEastAsia" w:eastAsiaTheme="minorEastAsia"/>
          <w:color w:val="auto"/>
          <w:sz w:val="24"/>
          <w:highlight w:val="none"/>
        </w:rPr>
        <w:t>年台州市区交通标线采购项目</w:t>
      </w:r>
    </w:p>
    <w:p w14:paraId="5A7617B6">
      <w:pPr>
        <w:pStyle w:val="26"/>
        <w:snapToGrid w:val="0"/>
        <w:spacing w:before="120" w:after="120"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项目编号：</w:t>
      </w:r>
    </w:p>
    <w:p w14:paraId="118FA7DC">
      <w:pPr>
        <w:pStyle w:val="26"/>
        <w:snapToGrid w:val="0"/>
        <w:spacing w:before="120" w:after="120" w:line="360" w:lineRule="auto"/>
        <w:rPr>
          <w:rFonts w:hAnsi="宋体"/>
          <w:color w:val="auto"/>
          <w:sz w:val="24"/>
          <w:highlight w:val="none"/>
        </w:rPr>
      </w:pPr>
      <w:r>
        <w:rPr>
          <w:rFonts w:hAnsi="宋体"/>
          <w:color w:val="auto"/>
          <w:sz w:val="24"/>
          <w:highlight w:val="none"/>
        </w:rPr>
        <w:t>甲方：（</w:t>
      </w:r>
      <w:r>
        <w:rPr>
          <w:rFonts w:hint="eastAsia" w:hAnsi="宋体"/>
          <w:color w:val="auto"/>
          <w:sz w:val="24"/>
          <w:highlight w:val="none"/>
        </w:rPr>
        <w:t>采购单位</w:t>
      </w:r>
      <w:r>
        <w:rPr>
          <w:rFonts w:hAnsi="宋体"/>
          <w:color w:val="auto"/>
          <w:sz w:val="24"/>
          <w:highlight w:val="none"/>
        </w:rPr>
        <w:t>）</w:t>
      </w:r>
      <w:r>
        <w:rPr>
          <w:rFonts w:hint="eastAsia" w:hAnsi="宋体"/>
          <w:color w:val="auto"/>
          <w:sz w:val="24"/>
          <w:highlight w:val="none"/>
        </w:rPr>
        <w:t xml:space="preserve">                            所在地：                              </w:t>
      </w:r>
    </w:p>
    <w:p w14:paraId="14C7F199">
      <w:pPr>
        <w:pStyle w:val="26"/>
        <w:snapToGrid w:val="0"/>
        <w:spacing w:before="120" w:after="120" w:line="360" w:lineRule="auto"/>
        <w:rPr>
          <w:rFonts w:hAnsi="宋体"/>
          <w:color w:val="auto"/>
          <w:sz w:val="24"/>
          <w:highlight w:val="none"/>
        </w:rPr>
      </w:pPr>
      <w:r>
        <w:rPr>
          <w:rFonts w:hAnsi="宋体"/>
          <w:color w:val="auto"/>
          <w:sz w:val="24"/>
          <w:highlight w:val="none"/>
        </w:rPr>
        <w:t>乙方：（</w:t>
      </w:r>
      <w:r>
        <w:rPr>
          <w:rFonts w:hint="eastAsia" w:hAnsi="宋体"/>
          <w:color w:val="auto"/>
          <w:sz w:val="24"/>
          <w:highlight w:val="none"/>
        </w:rPr>
        <w:t>中标供应商</w:t>
      </w:r>
      <w:r>
        <w:rPr>
          <w:rFonts w:hAnsi="宋体"/>
          <w:color w:val="auto"/>
          <w:sz w:val="24"/>
          <w:highlight w:val="none"/>
        </w:rPr>
        <w:t>）</w:t>
      </w:r>
      <w:r>
        <w:rPr>
          <w:rFonts w:hint="eastAsia" w:hAnsi="宋体"/>
          <w:color w:val="auto"/>
          <w:sz w:val="24"/>
          <w:highlight w:val="none"/>
        </w:rPr>
        <w:t xml:space="preserve">                          所在地：</w:t>
      </w:r>
    </w:p>
    <w:p w14:paraId="74C846DA">
      <w:pPr>
        <w:pStyle w:val="26"/>
        <w:snapToGrid w:val="0"/>
        <w:spacing w:before="120" w:after="120" w:line="360" w:lineRule="auto"/>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甲、乙双方根据</w:t>
      </w:r>
      <w:r>
        <w:rPr>
          <w:rFonts w:hint="eastAsia" w:asciiTheme="minorEastAsia" w:hAnsiTheme="minorEastAsia" w:eastAsiaTheme="minorEastAsia"/>
          <w:b/>
          <w:bCs/>
          <w:color w:val="auto"/>
          <w:sz w:val="24"/>
          <w:highlight w:val="none"/>
          <w:u w:val="single"/>
          <w:lang w:eastAsia="zh-CN"/>
        </w:rPr>
        <w:t>202</w:t>
      </w:r>
      <w:r>
        <w:rPr>
          <w:rFonts w:hint="default" w:asciiTheme="minorEastAsia" w:hAnsiTheme="minorEastAsia" w:eastAsiaTheme="minorEastAsia"/>
          <w:b/>
          <w:bCs/>
          <w:color w:val="auto"/>
          <w:sz w:val="24"/>
          <w:highlight w:val="none"/>
          <w:u w:val="single"/>
          <w:lang w:eastAsia="zh-CN"/>
        </w:rPr>
        <w:t>4</w:t>
      </w:r>
      <w:r>
        <w:rPr>
          <w:rFonts w:hint="eastAsia" w:asciiTheme="minorEastAsia" w:hAnsiTheme="minorEastAsia" w:eastAsiaTheme="minorEastAsia"/>
          <w:b/>
          <w:bCs/>
          <w:color w:val="auto"/>
          <w:sz w:val="24"/>
          <w:highlight w:val="none"/>
          <w:u w:val="single"/>
        </w:rPr>
        <w:t>年台州市区交通标线采购</w:t>
      </w:r>
      <w:r>
        <w:rPr>
          <w:rFonts w:asciiTheme="minorEastAsia" w:hAnsiTheme="minorEastAsia" w:eastAsiaTheme="minorEastAsia"/>
          <w:b/>
          <w:bCs/>
          <w:color w:val="auto"/>
          <w:sz w:val="24"/>
          <w:highlight w:val="none"/>
          <w:u w:val="single"/>
        </w:rPr>
        <w:t>项目</w:t>
      </w:r>
      <w:r>
        <w:rPr>
          <w:rFonts w:asciiTheme="minorEastAsia" w:hAnsiTheme="minorEastAsia" w:eastAsiaTheme="minorEastAsia"/>
          <w:color w:val="auto"/>
          <w:sz w:val="24"/>
          <w:highlight w:val="none"/>
        </w:rPr>
        <w:t>公开招标的结果，签署本合同。</w:t>
      </w:r>
    </w:p>
    <w:p w14:paraId="4B613354">
      <w:pPr>
        <w:spacing w:line="360" w:lineRule="auto"/>
        <w:rPr>
          <w:rFonts w:ascii="宋体"/>
          <w:color w:val="auto"/>
          <w:sz w:val="24"/>
          <w:highlight w:val="none"/>
          <w:lang w:val="zh-CN"/>
        </w:rPr>
      </w:pPr>
      <w:r>
        <w:rPr>
          <w:rFonts w:hint="eastAsia" w:ascii="宋体"/>
          <w:color w:val="auto"/>
          <w:sz w:val="24"/>
          <w:highlight w:val="none"/>
          <w:lang w:val="zh-CN"/>
        </w:rPr>
        <w:t xml:space="preserve">一、合同文件： </w:t>
      </w:r>
    </w:p>
    <w:p w14:paraId="71628B6E">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1、合同条款。</w:t>
      </w:r>
    </w:p>
    <w:p w14:paraId="10BBB257">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2、中标通知书。</w:t>
      </w:r>
    </w:p>
    <w:p w14:paraId="710282BB">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3、更正补充文件。</w:t>
      </w:r>
    </w:p>
    <w:p w14:paraId="4FD3B889">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4、采购文件。</w:t>
      </w:r>
    </w:p>
    <w:p w14:paraId="61DA0887">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5、中标供应商投标文件。</w:t>
      </w:r>
    </w:p>
    <w:p w14:paraId="76984897">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6、其他。</w:t>
      </w:r>
    </w:p>
    <w:p w14:paraId="0D65ADBF">
      <w:pPr>
        <w:pStyle w:val="26"/>
        <w:snapToGrid w:val="0"/>
        <w:spacing w:line="360" w:lineRule="auto"/>
        <w:ind w:firstLine="480" w:firstLineChars="200"/>
        <w:rPr>
          <w:rFonts w:hAnsi="Times New Roman"/>
          <w:color w:val="auto"/>
          <w:sz w:val="24"/>
          <w:highlight w:val="none"/>
          <w:lang w:val="zh-CN"/>
        </w:rPr>
      </w:pPr>
      <w:r>
        <w:rPr>
          <w:rFonts w:hint="eastAsia"/>
          <w:color w:val="auto"/>
          <w:sz w:val="24"/>
          <w:highlight w:val="none"/>
          <w:lang w:val="zh-CN"/>
        </w:rPr>
        <w:t>上述所指合同文件应认为是互相补充和解释的，但是有模棱两可或互相矛盾之处，以其所列内容顺序为准。</w:t>
      </w:r>
    </w:p>
    <w:p w14:paraId="71FA38BA">
      <w:pPr>
        <w:pStyle w:val="26"/>
        <w:numPr>
          <w:ilvl w:val="0"/>
          <w:numId w:val="13"/>
        </w:numPr>
        <w:snapToGrid w:val="0"/>
        <w:spacing w:before="120" w:after="120" w:line="360" w:lineRule="auto"/>
        <w:ind w:left="539"/>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货物内容</w:t>
      </w:r>
    </w:p>
    <w:p w14:paraId="2F0AEA46">
      <w:pPr>
        <w:pageBreakBefore w:val="0"/>
        <w:numPr>
          <w:ilvl w:val="0"/>
          <w:numId w:val="8"/>
        </w:numPr>
        <w:kinsoku/>
        <w:wordWrap/>
        <w:overflowPunct/>
        <w:topLinePunct w:val="0"/>
        <w:bidi w:val="0"/>
        <w:snapToGrid/>
        <w:spacing w:line="440" w:lineRule="exact"/>
        <w:ind w:firstLine="482" w:firstLineChars="200"/>
        <w:textAlignment w:val="auto"/>
        <w:rPr>
          <w:rFonts w:asciiTheme="minorEastAsia" w:hAnsiTheme="minorEastAsia" w:eastAsiaTheme="minorEastAsia"/>
          <w:color w:val="auto"/>
          <w:sz w:val="24"/>
          <w:highlight w:val="none"/>
        </w:rPr>
      </w:pPr>
      <w:r>
        <w:rPr>
          <w:rFonts w:hint="eastAsia" w:ascii="宋体" w:hAnsi="宋体" w:cs="宋体"/>
          <w:b/>
          <w:bCs/>
          <w:color w:val="auto"/>
          <w:sz w:val="24"/>
          <w:highlight w:val="none"/>
        </w:rPr>
        <w:t>采购清单</w:t>
      </w:r>
    </w:p>
    <w:tbl>
      <w:tblPr>
        <w:tblStyle w:val="48"/>
        <w:tblW w:w="9802" w:type="dxa"/>
        <w:jc w:val="center"/>
        <w:tblLayout w:type="fixed"/>
        <w:tblCellMar>
          <w:top w:w="0" w:type="dxa"/>
          <w:left w:w="108" w:type="dxa"/>
          <w:bottom w:w="0" w:type="dxa"/>
          <w:right w:w="108" w:type="dxa"/>
        </w:tblCellMar>
      </w:tblPr>
      <w:tblGrid>
        <w:gridCol w:w="705"/>
        <w:gridCol w:w="1534"/>
        <w:gridCol w:w="3017"/>
        <w:gridCol w:w="810"/>
        <w:gridCol w:w="1305"/>
        <w:gridCol w:w="2431"/>
      </w:tblGrid>
      <w:tr w14:paraId="1515FD50">
        <w:tblPrEx>
          <w:tblCellMar>
            <w:top w:w="0" w:type="dxa"/>
            <w:left w:w="108" w:type="dxa"/>
            <w:bottom w:w="0" w:type="dxa"/>
            <w:right w:w="108" w:type="dxa"/>
          </w:tblCellMar>
        </w:tblPrEx>
        <w:trPr>
          <w:trHeight w:val="399"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10F6113A">
            <w:pPr>
              <w:keepNext w:val="0"/>
              <w:keepLines w:val="0"/>
              <w:pageBreakBefore w:val="0"/>
              <w:widowControl/>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534"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6FA3555F">
            <w:pPr>
              <w:keepNext w:val="0"/>
              <w:keepLines w:val="0"/>
              <w:pageBreakBefore w:val="0"/>
              <w:widowControl/>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3017"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551D3D95">
            <w:pPr>
              <w:keepNext w:val="0"/>
              <w:keepLines w:val="0"/>
              <w:pageBreakBefore w:val="0"/>
              <w:widowControl/>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规格型号</w:t>
            </w:r>
          </w:p>
        </w:tc>
        <w:tc>
          <w:tcPr>
            <w:tcW w:w="810" w:type="dxa"/>
            <w:tcBorders>
              <w:top w:val="single" w:color="000000" w:sz="4" w:space="0"/>
              <w:left w:val="nil"/>
              <w:right w:val="single" w:color="000000" w:sz="4" w:space="0"/>
            </w:tcBorders>
            <w:shd w:val="clear" w:color="auto" w:fill="EEECE1" w:themeFill="background2"/>
            <w:vAlign w:val="center"/>
          </w:tcPr>
          <w:p w14:paraId="539BB9F8">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单位</w:t>
            </w:r>
          </w:p>
        </w:tc>
        <w:tc>
          <w:tcPr>
            <w:tcW w:w="1305" w:type="dxa"/>
            <w:tcBorders>
              <w:top w:val="single" w:color="000000" w:sz="4" w:space="0"/>
              <w:left w:val="nil"/>
              <w:right w:val="single" w:color="000000" w:sz="4" w:space="0"/>
            </w:tcBorders>
            <w:shd w:val="clear" w:color="auto" w:fill="EEECE1" w:themeFill="background2"/>
            <w:vAlign w:val="center"/>
          </w:tcPr>
          <w:p w14:paraId="26D01B89">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上限单价（元）</w:t>
            </w:r>
          </w:p>
        </w:tc>
        <w:tc>
          <w:tcPr>
            <w:tcW w:w="2431" w:type="dxa"/>
            <w:tcBorders>
              <w:top w:val="single" w:color="000000" w:sz="4" w:space="0"/>
              <w:left w:val="nil"/>
              <w:right w:val="single" w:color="000000" w:sz="4" w:space="0"/>
            </w:tcBorders>
            <w:shd w:val="clear" w:color="auto" w:fill="EEECE1" w:themeFill="background2"/>
            <w:vAlign w:val="center"/>
          </w:tcPr>
          <w:p w14:paraId="7591D3E5">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53769E13">
        <w:tblPrEx>
          <w:tblCellMar>
            <w:top w:w="0" w:type="dxa"/>
            <w:left w:w="108" w:type="dxa"/>
            <w:bottom w:w="0" w:type="dxa"/>
            <w:right w:w="108" w:type="dxa"/>
          </w:tblCellMar>
        </w:tblPrEx>
        <w:trPr>
          <w:trHeight w:val="462"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4DF8926F">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1</w:t>
            </w:r>
          </w:p>
        </w:tc>
        <w:tc>
          <w:tcPr>
            <w:tcW w:w="1534" w:type="dxa"/>
            <w:tcBorders>
              <w:top w:val="single" w:color="000000" w:sz="4" w:space="0"/>
              <w:left w:val="single" w:color="000000" w:sz="4" w:space="0"/>
              <w:bottom w:val="single" w:color="000000" w:sz="4" w:space="0"/>
              <w:right w:val="single" w:color="000000" w:sz="4" w:space="0"/>
            </w:tcBorders>
            <w:vAlign w:val="center"/>
          </w:tcPr>
          <w:p w14:paraId="4E0B8751">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普通热熔标线</w:t>
            </w:r>
          </w:p>
        </w:tc>
        <w:tc>
          <w:tcPr>
            <w:tcW w:w="3017" w:type="dxa"/>
            <w:tcBorders>
              <w:top w:val="single" w:color="000000" w:sz="4" w:space="0"/>
              <w:left w:val="single" w:color="000000" w:sz="4" w:space="0"/>
              <w:bottom w:val="single" w:color="000000" w:sz="4" w:space="0"/>
              <w:right w:val="single" w:color="000000" w:sz="4" w:space="0"/>
            </w:tcBorders>
            <w:vAlign w:val="center"/>
          </w:tcPr>
          <w:p w14:paraId="38C417BF">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eastAsia" w:cs="Times New Roman" w:asciiTheme="minorEastAsia" w:hAnsiTheme="minorEastAsia" w:eastAsiaTheme="minorEastAsia"/>
                <w:color w:val="auto"/>
                <w:sz w:val="24"/>
                <w:highlight w:val="none"/>
                <w:lang w:eastAsia="zh-CN"/>
              </w:rPr>
            </w:pPr>
            <w:r>
              <w:rPr>
                <w:rFonts w:hint="eastAsia" w:cs="Times New Roman" w:asciiTheme="minorEastAsia" w:hAnsiTheme="minorEastAsia" w:eastAsiaTheme="minorEastAsia"/>
                <w:color w:val="auto"/>
                <w:sz w:val="24"/>
                <w:highlight w:val="none"/>
              </w:rPr>
              <w:t>热熔反光型标线 厚度</w:t>
            </w:r>
            <w:r>
              <w:rPr>
                <w:rFonts w:hint="eastAsia" w:cs="Times New Roman" w:asciiTheme="minorEastAsia" w:hAnsiTheme="minorEastAsia" w:eastAsiaTheme="minorEastAsia"/>
                <w:color w:val="auto"/>
                <w:sz w:val="24"/>
                <w:highlight w:val="none"/>
                <w:lang w:val="en-US" w:eastAsia="zh-CN"/>
              </w:rPr>
              <w:t>1.8</w:t>
            </w:r>
            <w:r>
              <w:rPr>
                <w:rFonts w:hint="eastAsia" w:cs="Times New Roman" w:asciiTheme="minorEastAsia" w:hAnsiTheme="minorEastAsia" w:eastAsiaTheme="minorEastAsia"/>
                <w:color w:val="auto"/>
                <w:sz w:val="24"/>
                <w:highlight w:val="none"/>
              </w:rPr>
              <w:t>mm以上，均匀撒布反光珠</w:t>
            </w:r>
          </w:p>
        </w:tc>
        <w:tc>
          <w:tcPr>
            <w:tcW w:w="810" w:type="dxa"/>
            <w:tcBorders>
              <w:top w:val="single" w:color="auto" w:sz="4" w:space="0"/>
              <w:left w:val="nil"/>
              <w:bottom w:val="single" w:color="auto" w:sz="4" w:space="0"/>
              <w:right w:val="single" w:color="000000" w:sz="4" w:space="0"/>
            </w:tcBorders>
            <w:vAlign w:val="center"/>
          </w:tcPr>
          <w:p w14:paraId="6168CEDB">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m2</w:t>
            </w:r>
          </w:p>
        </w:tc>
        <w:tc>
          <w:tcPr>
            <w:tcW w:w="1305" w:type="dxa"/>
            <w:tcBorders>
              <w:top w:val="single" w:color="auto" w:sz="4" w:space="0"/>
              <w:left w:val="nil"/>
              <w:bottom w:val="single" w:color="auto" w:sz="4" w:space="0"/>
              <w:right w:val="single" w:color="000000" w:sz="4" w:space="0"/>
            </w:tcBorders>
            <w:vAlign w:val="center"/>
          </w:tcPr>
          <w:p w14:paraId="7BE260A9">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45</w:t>
            </w:r>
          </w:p>
        </w:tc>
        <w:tc>
          <w:tcPr>
            <w:tcW w:w="2431" w:type="dxa"/>
            <w:tcBorders>
              <w:top w:val="single" w:color="auto" w:sz="4" w:space="0"/>
              <w:left w:val="nil"/>
              <w:bottom w:val="single" w:color="auto" w:sz="4" w:space="0"/>
              <w:right w:val="single" w:color="000000" w:sz="4" w:space="0"/>
            </w:tcBorders>
            <w:vAlign w:val="center"/>
          </w:tcPr>
          <w:p w14:paraId="4D416B41">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cs="宋体"/>
                <w:color w:val="auto"/>
                <w:kern w:val="0"/>
                <w:szCs w:val="21"/>
                <w:highlight w:val="none"/>
                <w:lang w:bidi="ar"/>
              </w:rPr>
              <w:t>详见技术参数，含部分的彩色标线</w:t>
            </w:r>
          </w:p>
        </w:tc>
      </w:tr>
      <w:tr w14:paraId="7825CB72">
        <w:tblPrEx>
          <w:tblCellMar>
            <w:top w:w="0" w:type="dxa"/>
            <w:left w:w="108" w:type="dxa"/>
            <w:bottom w:w="0" w:type="dxa"/>
            <w:right w:w="108" w:type="dxa"/>
          </w:tblCellMar>
        </w:tblPrEx>
        <w:trPr>
          <w:trHeight w:val="462"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4610E43C">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2</w:t>
            </w:r>
          </w:p>
        </w:tc>
        <w:tc>
          <w:tcPr>
            <w:tcW w:w="1534" w:type="dxa"/>
            <w:tcBorders>
              <w:top w:val="single" w:color="000000" w:sz="4" w:space="0"/>
              <w:left w:val="single" w:color="000000" w:sz="4" w:space="0"/>
              <w:bottom w:val="single" w:color="000000" w:sz="4" w:space="0"/>
              <w:right w:val="single" w:color="000000" w:sz="4" w:space="0"/>
            </w:tcBorders>
            <w:vAlign w:val="center"/>
          </w:tcPr>
          <w:p w14:paraId="4F238298">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普通热熔振荡标线</w:t>
            </w:r>
          </w:p>
        </w:tc>
        <w:tc>
          <w:tcPr>
            <w:tcW w:w="3017" w:type="dxa"/>
            <w:tcBorders>
              <w:top w:val="single" w:color="000000" w:sz="4" w:space="0"/>
              <w:left w:val="single" w:color="000000" w:sz="4" w:space="0"/>
              <w:bottom w:val="single" w:color="000000" w:sz="4" w:space="0"/>
              <w:right w:val="single" w:color="000000" w:sz="4" w:space="0"/>
            </w:tcBorders>
            <w:vAlign w:val="center"/>
          </w:tcPr>
          <w:p w14:paraId="31284F0B">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热熔型厚度≥6mm,长划70mm空110mm,宽150mm线划3颗;宽200mm线划4颗。其中纵向减速震荡标线按照每个0.3平方米计算（包含尾部变小部分）</w:t>
            </w:r>
          </w:p>
        </w:tc>
        <w:tc>
          <w:tcPr>
            <w:tcW w:w="810" w:type="dxa"/>
            <w:tcBorders>
              <w:top w:val="single" w:color="auto" w:sz="4" w:space="0"/>
              <w:left w:val="nil"/>
              <w:bottom w:val="single" w:color="auto" w:sz="4" w:space="0"/>
              <w:right w:val="single" w:color="000000" w:sz="4" w:space="0"/>
            </w:tcBorders>
            <w:vAlign w:val="center"/>
          </w:tcPr>
          <w:p w14:paraId="40F11F09">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m2</w:t>
            </w:r>
          </w:p>
        </w:tc>
        <w:tc>
          <w:tcPr>
            <w:tcW w:w="1305" w:type="dxa"/>
            <w:tcBorders>
              <w:top w:val="single" w:color="auto" w:sz="4" w:space="0"/>
              <w:left w:val="nil"/>
              <w:bottom w:val="single" w:color="auto" w:sz="4" w:space="0"/>
              <w:right w:val="single" w:color="000000" w:sz="4" w:space="0"/>
            </w:tcBorders>
            <w:vAlign w:val="center"/>
          </w:tcPr>
          <w:p w14:paraId="541F5B91">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default" w:cs="Times New Roman" w:asciiTheme="minorEastAsia" w:hAnsiTheme="minorEastAsia" w:eastAsiaTheme="minorEastAsia"/>
                <w:color w:val="auto"/>
                <w:sz w:val="24"/>
                <w:highlight w:val="none"/>
                <w:lang w:val="en-US"/>
              </w:rPr>
            </w:pPr>
            <w:r>
              <w:rPr>
                <w:rFonts w:hint="eastAsia" w:cs="Times New Roman" w:asciiTheme="minorEastAsia" w:hAnsiTheme="minorEastAsia" w:eastAsiaTheme="minorEastAsia"/>
                <w:color w:val="auto"/>
                <w:sz w:val="24"/>
                <w:highlight w:val="none"/>
                <w:lang w:val="en-US" w:eastAsia="zh-CN"/>
              </w:rPr>
              <w:t>90</w:t>
            </w:r>
          </w:p>
        </w:tc>
        <w:tc>
          <w:tcPr>
            <w:tcW w:w="2431" w:type="dxa"/>
            <w:tcBorders>
              <w:top w:val="single" w:color="auto" w:sz="4" w:space="0"/>
              <w:left w:val="nil"/>
              <w:bottom w:val="single" w:color="auto" w:sz="4" w:space="0"/>
              <w:right w:val="single" w:color="000000" w:sz="4" w:space="0"/>
            </w:tcBorders>
            <w:vAlign w:val="center"/>
          </w:tcPr>
          <w:p w14:paraId="15011F97">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kern w:val="0"/>
                <w:szCs w:val="21"/>
                <w:highlight w:val="none"/>
                <w:lang w:val="en-US" w:eastAsia="zh-CN" w:bidi="ar"/>
              </w:rPr>
              <w:t xml:space="preserve"> </w:t>
            </w:r>
            <w:r>
              <w:rPr>
                <w:rFonts w:hint="eastAsia" w:ascii="宋体" w:hAnsi="宋体" w:cs="宋体"/>
                <w:color w:val="auto"/>
                <w:kern w:val="0"/>
                <w:szCs w:val="21"/>
                <w:highlight w:val="none"/>
                <w:lang w:bidi="ar"/>
              </w:rPr>
              <w:t>其中纵向减速震荡标线按照每个0.3平方米计算（包含尾部变小部分）</w:t>
            </w:r>
          </w:p>
        </w:tc>
      </w:tr>
      <w:tr w14:paraId="576B1149">
        <w:tblPrEx>
          <w:tblCellMar>
            <w:top w:w="0" w:type="dxa"/>
            <w:left w:w="108" w:type="dxa"/>
            <w:bottom w:w="0" w:type="dxa"/>
            <w:right w:w="108" w:type="dxa"/>
          </w:tblCellMar>
        </w:tblPrEx>
        <w:trPr>
          <w:trHeight w:val="462"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24E239F7">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3</w:t>
            </w:r>
          </w:p>
        </w:tc>
        <w:tc>
          <w:tcPr>
            <w:tcW w:w="1534" w:type="dxa"/>
            <w:tcBorders>
              <w:top w:val="single" w:color="000000" w:sz="4" w:space="0"/>
              <w:left w:val="single" w:color="000000" w:sz="4" w:space="0"/>
              <w:bottom w:val="single" w:color="000000" w:sz="4" w:space="0"/>
              <w:right w:val="single" w:color="000000" w:sz="4" w:space="0"/>
            </w:tcBorders>
            <w:vAlign w:val="center"/>
          </w:tcPr>
          <w:p w14:paraId="0FE088C1">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彩色防滑路面标线</w:t>
            </w:r>
          </w:p>
        </w:tc>
        <w:tc>
          <w:tcPr>
            <w:tcW w:w="3017" w:type="dxa"/>
            <w:tcBorders>
              <w:top w:val="single" w:color="000000" w:sz="4" w:space="0"/>
              <w:left w:val="single" w:color="000000" w:sz="4" w:space="0"/>
              <w:bottom w:val="single" w:color="000000" w:sz="4" w:space="0"/>
              <w:right w:val="single" w:color="000000" w:sz="4" w:space="0"/>
            </w:tcBorders>
            <w:vAlign w:val="center"/>
          </w:tcPr>
          <w:p w14:paraId="44A2C192">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厚度≥3.0mm，含地面、夯平、图形制作、底胶浸倒、陶珠散布、余珠清除。</w:t>
            </w:r>
          </w:p>
        </w:tc>
        <w:tc>
          <w:tcPr>
            <w:tcW w:w="810" w:type="dxa"/>
            <w:tcBorders>
              <w:top w:val="single" w:color="auto" w:sz="4" w:space="0"/>
              <w:left w:val="nil"/>
              <w:bottom w:val="single" w:color="auto" w:sz="4" w:space="0"/>
              <w:right w:val="single" w:color="000000" w:sz="4" w:space="0"/>
            </w:tcBorders>
            <w:vAlign w:val="center"/>
          </w:tcPr>
          <w:p w14:paraId="3BFA79C8">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m2</w:t>
            </w:r>
          </w:p>
        </w:tc>
        <w:tc>
          <w:tcPr>
            <w:tcW w:w="1305" w:type="dxa"/>
            <w:tcBorders>
              <w:top w:val="single" w:color="auto" w:sz="4" w:space="0"/>
              <w:left w:val="nil"/>
              <w:bottom w:val="single" w:color="auto" w:sz="4" w:space="0"/>
              <w:right w:val="single" w:color="000000" w:sz="4" w:space="0"/>
            </w:tcBorders>
            <w:vAlign w:val="center"/>
          </w:tcPr>
          <w:p w14:paraId="14FA88A1">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default" w:cs="Times New Roman" w:asciiTheme="minorEastAsia" w:hAnsiTheme="minorEastAsia" w:eastAsiaTheme="minorEastAsia"/>
                <w:color w:val="auto"/>
                <w:sz w:val="24"/>
                <w:highlight w:val="none"/>
                <w:lang w:val="en-US"/>
              </w:rPr>
            </w:pPr>
            <w:r>
              <w:rPr>
                <w:rFonts w:hint="eastAsia" w:cs="Times New Roman" w:asciiTheme="minorEastAsia" w:hAnsiTheme="minorEastAsia" w:eastAsiaTheme="minorEastAsia"/>
                <w:color w:val="auto"/>
                <w:sz w:val="24"/>
                <w:highlight w:val="none"/>
                <w:lang w:val="en-US" w:eastAsia="zh-CN"/>
              </w:rPr>
              <w:t>180</w:t>
            </w:r>
          </w:p>
        </w:tc>
        <w:tc>
          <w:tcPr>
            <w:tcW w:w="2431" w:type="dxa"/>
            <w:tcBorders>
              <w:top w:val="single" w:color="auto" w:sz="4" w:space="0"/>
              <w:left w:val="nil"/>
              <w:bottom w:val="single" w:color="auto" w:sz="4" w:space="0"/>
              <w:right w:val="single" w:color="000000" w:sz="4" w:space="0"/>
            </w:tcBorders>
            <w:vAlign w:val="center"/>
          </w:tcPr>
          <w:p w14:paraId="3FE3CB40">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p>
        </w:tc>
      </w:tr>
      <w:tr w14:paraId="61640FFE">
        <w:tblPrEx>
          <w:tblCellMar>
            <w:top w:w="0" w:type="dxa"/>
            <w:left w:w="108" w:type="dxa"/>
            <w:bottom w:w="0" w:type="dxa"/>
            <w:right w:w="108" w:type="dxa"/>
          </w:tblCellMar>
        </w:tblPrEx>
        <w:trPr>
          <w:trHeight w:val="462"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1DA07D3A">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4</w:t>
            </w:r>
          </w:p>
        </w:tc>
        <w:tc>
          <w:tcPr>
            <w:tcW w:w="1534" w:type="dxa"/>
            <w:tcBorders>
              <w:top w:val="single" w:color="000000" w:sz="4" w:space="0"/>
              <w:left w:val="single" w:color="000000" w:sz="4" w:space="0"/>
              <w:bottom w:val="single" w:color="000000" w:sz="4" w:space="0"/>
              <w:right w:val="single" w:color="000000" w:sz="4" w:space="0"/>
            </w:tcBorders>
            <w:vAlign w:val="center"/>
          </w:tcPr>
          <w:p w14:paraId="5FE60F44">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双组份反光型标线（喷涂）</w:t>
            </w:r>
          </w:p>
        </w:tc>
        <w:tc>
          <w:tcPr>
            <w:tcW w:w="3017" w:type="dxa"/>
            <w:tcBorders>
              <w:top w:val="single" w:color="000000" w:sz="4" w:space="0"/>
              <w:left w:val="single" w:color="000000" w:sz="4" w:space="0"/>
              <w:bottom w:val="single" w:color="000000" w:sz="4" w:space="0"/>
              <w:right w:val="single" w:color="000000" w:sz="4" w:space="0"/>
            </w:tcBorders>
            <w:vAlign w:val="center"/>
          </w:tcPr>
          <w:p w14:paraId="74E834C6">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详见技术参数</w:t>
            </w:r>
          </w:p>
        </w:tc>
        <w:tc>
          <w:tcPr>
            <w:tcW w:w="810" w:type="dxa"/>
            <w:tcBorders>
              <w:top w:val="single" w:color="auto" w:sz="4" w:space="0"/>
              <w:left w:val="nil"/>
              <w:bottom w:val="single" w:color="auto" w:sz="4" w:space="0"/>
              <w:right w:val="single" w:color="000000" w:sz="4" w:space="0"/>
            </w:tcBorders>
            <w:vAlign w:val="center"/>
          </w:tcPr>
          <w:p w14:paraId="45A8ADFF">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m2</w:t>
            </w:r>
          </w:p>
        </w:tc>
        <w:tc>
          <w:tcPr>
            <w:tcW w:w="1305" w:type="dxa"/>
            <w:tcBorders>
              <w:top w:val="single" w:color="auto" w:sz="4" w:space="0"/>
              <w:left w:val="nil"/>
              <w:bottom w:val="single" w:color="auto" w:sz="4" w:space="0"/>
              <w:right w:val="single" w:color="000000" w:sz="4" w:space="0"/>
            </w:tcBorders>
            <w:vAlign w:val="center"/>
          </w:tcPr>
          <w:p w14:paraId="381323D6">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80</w:t>
            </w:r>
          </w:p>
        </w:tc>
        <w:tc>
          <w:tcPr>
            <w:tcW w:w="2431" w:type="dxa"/>
            <w:tcBorders>
              <w:top w:val="single" w:color="auto" w:sz="4" w:space="0"/>
              <w:left w:val="nil"/>
              <w:bottom w:val="single" w:color="auto" w:sz="4" w:space="0"/>
              <w:right w:val="single" w:color="000000" w:sz="4" w:space="0"/>
            </w:tcBorders>
            <w:vAlign w:val="center"/>
          </w:tcPr>
          <w:p w14:paraId="4F078CBB">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p>
        </w:tc>
      </w:tr>
      <w:tr w14:paraId="36B97796">
        <w:tblPrEx>
          <w:tblCellMar>
            <w:top w:w="0" w:type="dxa"/>
            <w:left w:w="108" w:type="dxa"/>
            <w:bottom w:w="0" w:type="dxa"/>
            <w:right w:w="108" w:type="dxa"/>
          </w:tblCellMar>
        </w:tblPrEx>
        <w:trPr>
          <w:trHeight w:val="462"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622FE2A6">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5</w:t>
            </w:r>
          </w:p>
        </w:tc>
        <w:tc>
          <w:tcPr>
            <w:tcW w:w="1534" w:type="dxa"/>
            <w:tcBorders>
              <w:top w:val="single" w:color="000000" w:sz="4" w:space="0"/>
              <w:left w:val="single" w:color="000000" w:sz="4" w:space="0"/>
              <w:bottom w:val="single" w:color="000000" w:sz="4" w:space="0"/>
              <w:right w:val="single" w:color="000000" w:sz="4" w:space="0"/>
            </w:tcBorders>
            <w:vAlign w:val="center"/>
          </w:tcPr>
          <w:p w14:paraId="246217F9">
            <w:pPr>
              <w:pStyle w:val="33"/>
              <w:keepNext w:val="0"/>
              <w:keepLines w:val="0"/>
              <w:suppressLineNumbers w:val="0"/>
              <w:spacing w:before="0" w:beforeAutospacing="0" w:after="0" w:afterAutospacing="0" w:line="240" w:lineRule="auto"/>
              <w:ind w:left="0" w:right="0"/>
              <w:rPr>
                <w:rFonts w:hint="eastAsia" w:cs="Times New Roman" w:asciiTheme="minorEastAsia" w:hAnsiTheme="minorEastAsia" w:eastAsiaTheme="minorEastAsia"/>
                <w:color w:val="auto"/>
                <w:kern w:val="2"/>
                <w:sz w:val="24"/>
                <w:szCs w:val="24"/>
                <w:highlight w:val="none"/>
                <w:lang w:val="en-US" w:eastAsia="zh-CN" w:bidi="ar-SA"/>
              </w:rPr>
            </w:pPr>
          </w:p>
          <w:p w14:paraId="28D1BD77">
            <w:pPr>
              <w:keepNext w:val="0"/>
              <w:keepLines w:val="0"/>
              <w:suppressLineNumbers w:val="0"/>
              <w:autoSpaceDE w:val="0"/>
              <w:autoSpaceDN w:val="0"/>
              <w:adjustRightInd w:val="0"/>
              <w:snapToGrid w:val="0"/>
              <w:spacing w:before="0" w:beforeAutospacing="0" w:after="0" w:afterAutospacing="0" w:line="240" w:lineRule="auto"/>
              <w:ind w:left="0" w:right="0"/>
              <w:rPr>
                <w:rFonts w:hint="eastAsia" w:cs="Times New Roman" w:asciiTheme="minorEastAsia" w:hAnsiTheme="minorEastAsia" w:eastAsiaTheme="minorEastAsia"/>
                <w:color w:val="auto"/>
                <w:kern w:val="2"/>
                <w:sz w:val="24"/>
                <w:szCs w:val="24"/>
                <w:highlight w:val="none"/>
                <w:lang w:val="zh-CN" w:eastAsia="zh-CN" w:bidi="ar-SA"/>
              </w:rPr>
            </w:pPr>
            <w:r>
              <w:rPr>
                <w:rFonts w:hint="eastAsia" w:cs="Times New Roman" w:asciiTheme="minorEastAsia" w:hAnsiTheme="minorEastAsia" w:eastAsiaTheme="minorEastAsia"/>
                <w:color w:val="auto"/>
                <w:kern w:val="2"/>
                <w:sz w:val="24"/>
                <w:szCs w:val="24"/>
                <w:highlight w:val="none"/>
                <w:lang w:val="zh-CN" w:eastAsia="zh-CN" w:bidi="ar-SA"/>
              </w:rPr>
              <w:t>双组份突起型反光</w:t>
            </w:r>
            <w:r>
              <w:rPr>
                <w:rFonts w:hint="eastAsia" w:cs="Times New Roman" w:asciiTheme="minorEastAsia" w:hAnsiTheme="minorEastAsia" w:eastAsiaTheme="minorEastAsia"/>
                <w:color w:val="auto"/>
                <w:kern w:val="2"/>
                <w:sz w:val="24"/>
                <w:szCs w:val="24"/>
                <w:highlight w:val="none"/>
                <w:lang w:val="en-US" w:eastAsia="zh-CN" w:bidi="ar-SA"/>
              </w:rPr>
              <w:t>标线</w:t>
            </w:r>
            <w:r>
              <w:rPr>
                <w:rFonts w:hint="eastAsia" w:cs="Times New Roman" w:asciiTheme="minorEastAsia" w:hAnsiTheme="minorEastAsia" w:eastAsiaTheme="minorEastAsia"/>
                <w:color w:val="auto"/>
                <w:kern w:val="2"/>
                <w:sz w:val="24"/>
                <w:szCs w:val="24"/>
                <w:highlight w:val="none"/>
                <w:lang w:val="zh-CN" w:eastAsia="zh-CN" w:bidi="ar-SA"/>
              </w:rPr>
              <w:t>（</w:t>
            </w:r>
            <w:r>
              <w:rPr>
                <w:rFonts w:hint="eastAsia" w:cs="Times New Roman" w:asciiTheme="minorEastAsia" w:hAnsiTheme="minorEastAsia" w:eastAsiaTheme="minorEastAsia"/>
                <w:color w:val="auto"/>
                <w:kern w:val="2"/>
                <w:sz w:val="24"/>
                <w:szCs w:val="24"/>
                <w:highlight w:val="none"/>
                <w:lang w:val="en-US" w:eastAsia="zh-CN" w:bidi="ar-SA"/>
              </w:rPr>
              <w:t>甩涂、刮涂、点涂</w:t>
            </w:r>
            <w:r>
              <w:rPr>
                <w:rFonts w:hint="eastAsia" w:cs="Times New Roman" w:asciiTheme="minorEastAsia" w:hAnsiTheme="minorEastAsia" w:eastAsiaTheme="minorEastAsia"/>
                <w:color w:val="auto"/>
                <w:kern w:val="2"/>
                <w:sz w:val="24"/>
                <w:szCs w:val="24"/>
                <w:highlight w:val="none"/>
                <w:lang w:val="zh-CN" w:eastAsia="zh-CN" w:bidi="ar-SA"/>
              </w:rPr>
              <w:t>）</w:t>
            </w:r>
          </w:p>
          <w:p w14:paraId="7BE04DED">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eastAsia" w:cs="Times New Roman" w:asciiTheme="minorEastAsia" w:hAnsiTheme="minorEastAsia" w:eastAsiaTheme="minorEastAsia"/>
                <w:color w:val="auto"/>
                <w:sz w:val="24"/>
                <w:highlight w:val="none"/>
              </w:rPr>
            </w:pPr>
          </w:p>
        </w:tc>
        <w:tc>
          <w:tcPr>
            <w:tcW w:w="3017" w:type="dxa"/>
            <w:tcBorders>
              <w:top w:val="single" w:color="000000" w:sz="4" w:space="0"/>
              <w:left w:val="single" w:color="000000" w:sz="4" w:space="0"/>
              <w:bottom w:val="single" w:color="000000" w:sz="4" w:space="0"/>
              <w:right w:val="single" w:color="000000" w:sz="4" w:space="0"/>
            </w:tcBorders>
            <w:vAlign w:val="center"/>
          </w:tcPr>
          <w:p w14:paraId="136BBFE4">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详见技术参数</w:t>
            </w:r>
          </w:p>
        </w:tc>
        <w:tc>
          <w:tcPr>
            <w:tcW w:w="810" w:type="dxa"/>
            <w:tcBorders>
              <w:top w:val="single" w:color="auto" w:sz="4" w:space="0"/>
              <w:left w:val="nil"/>
              <w:bottom w:val="single" w:color="auto" w:sz="4" w:space="0"/>
              <w:right w:val="single" w:color="000000" w:sz="4" w:space="0"/>
            </w:tcBorders>
            <w:vAlign w:val="center"/>
          </w:tcPr>
          <w:p w14:paraId="6645FC70">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m2</w:t>
            </w:r>
          </w:p>
        </w:tc>
        <w:tc>
          <w:tcPr>
            <w:tcW w:w="1305" w:type="dxa"/>
            <w:tcBorders>
              <w:top w:val="single" w:color="auto" w:sz="4" w:space="0"/>
              <w:left w:val="nil"/>
              <w:bottom w:val="single" w:color="auto" w:sz="4" w:space="0"/>
              <w:right w:val="single" w:color="000000" w:sz="4" w:space="0"/>
            </w:tcBorders>
            <w:vAlign w:val="center"/>
          </w:tcPr>
          <w:p w14:paraId="6B581DC6">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120</w:t>
            </w:r>
          </w:p>
        </w:tc>
        <w:tc>
          <w:tcPr>
            <w:tcW w:w="2431" w:type="dxa"/>
            <w:tcBorders>
              <w:top w:val="single" w:color="auto" w:sz="4" w:space="0"/>
              <w:left w:val="nil"/>
              <w:bottom w:val="single" w:color="auto" w:sz="4" w:space="0"/>
              <w:right w:val="single" w:color="000000" w:sz="4" w:space="0"/>
            </w:tcBorders>
            <w:vAlign w:val="center"/>
          </w:tcPr>
          <w:p w14:paraId="75A129EF">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p>
        </w:tc>
      </w:tr>
      <w:tr w14:paraId="58C7A16D">
        <w:tblPrEx>
          <w:tblCellMar>
            <w:top w:w="0" w:type="dxa"/>
            <w:left w:w="108" w:type="dxa"/>
            <w:bottom w:w="0" w:type="dxa"/>
            <w:right w:w="108" w:type="dxa"/>
          </w:tblCellMar>
        </w:tblPrEx>
        <w:trPr>
          <w:trHeight w:val="462"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51A64B5F">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6</w:t>
            </w:r>
          </w:p>
        </w:tc>
        <w:tc>
          <w:tcPr>
            <w:tcW w:w="1534" w:type="dxa"/>
            <w:tcBorders>
              <w:top w:val="single" w:color="000000" w:sz="4" w:space="0"/>
              <w:left w:val="single" w:color="000000" w:sz="4" w:space="0"/>
              <w:bottom w:val="single" w:color="000000" w:sz="4" w:space="0"/>
              <w:right w:val="single" w:color="000000" w:sz="4" w:space="0"/>
            </w:tcBorders>
            <w:vAlign w:val="center"/>
          </w:tcPr>
          <w:p w14:paraId="3362F4B7">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热熔雨夜标线</w:t>
            </w:r>
          </w:p>
        </w:tc>
        <w:tc>
          <w:tcPr>
            <w:tcW w:w="3017" w:type="dxa"/>
            <w:tcBorders>
              <w:top w:val="single" w:color="000000" w:sz="4" w:space="0"/>
              <w:left w:val="single" w:color="000000" w:sz="4" w:space="0"/>
              <w:bottom w:val="single" w:color="000000" w:sz="4" w:space="0"/>
              <w:right w:val="single" w:color="000000" w:sz="4" w:space="0"/>
            </w:tcBorders>
            <w:vAlign w:val="center"/>
          </w:tcPr>
          <w:p w14:paraId="593E0732">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详见技术参数</w:t>
            </w:r>
          </w:p>
        </w:tc>
        <w:tc>
          <w:tcPr>
            <w:tcW w:w="810" w:type="dxa"/>
            <w:tcBorders>
              <w:top w:val="single" w:color="auto" w:sz="4" w:space="0"/>
              <w:left w:val="nil"/>
              <w:bottom w:val="single" w:color="auto" w:sz="4" w:space="0"/>
              <w:right w:val="single" w:color="000000" w:sz="4" w:space="0"/>
            </w:tcBorders>
            <w:vAlign w:val="center"/>
          </w:tcPr>
          <w:p w14:paraId="5EA3AA4C">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m2</w:t>
            </w:r>
          </w:p>
        </w:tc>
        <w:tc>
          <w:tcPr>
            <w:tcW w:w="1305" w:type="dxa"/>
            <w:tcBorders>
              <w:top w:val="single" w:color="auto" w:sz="4" w:space="0"/>
              <w:left w:val="nil"/>
              <w:bottom w:val="single" w:color="auto" w:sz="4" w:space="0"/>
              <w:right w:val="single" w:color="000000" w:sz="4" w:space="0"/>
            </w:tcBorders>
            <w:vAlign w:val="center"/>
          </w:tcPr>
          <w:p w14:paraId="24E9393C">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178</w:t>
            </w:r>
          </w:p>
        </w:tc>
        <w:tc>
          <w:tcPr>
            <w:tcW w:w="2431" w:type="dxa"/>
            <w:tcBorders>
              <w:top w:val="single" w:color="auto" w:sz="4" w:space="0"/>
              <w:left w:val="nil"/>
              <w:bottom w:val="single" w:color="auto" w:sz="4" w:space="0"/>
              <w:right w:val="single" w:color="000000" w:sz="4" w:space="0"/>
            </w:tcBorders>
            <w:vAlign w:val="center"/>
          </w:tcPr>
          <w:p w14:paraId="1F99BA3C">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p>
        </w:tc>
      </w:tr>
      <w:tr w14:paraId="43ED52DF">
        <w:tblPrEx>
          <w:tblCellMar>
            <w:top w:w="0" w:type="dxa"/>
            <w:left w:w="108" w:type="dxa"/>
            <w:bottom w:w="0" w:type="dxa"/>
            <w:right w:w="108" w:type="dxa"/>
          </w:tblCellMar>
        </w:tblPrEx>
        <w:trPr>
          <w:trHeight w:val="462"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77705E10">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7</w:t>
            </w:r>
          </w:p>
        </w:tc>
        <w:tc>
          <w:tcPr>
            <w:tcW w:w="1534" w:type="dxa"/>
            <w:tcBorders>
              <w:top w:val="single" w:color="000000" w:sz="4" w:space="0"/>
              <w:left w:val="single" w:color="000000" w:sz="4" w:space="0"/>
              <w:bottom w:val="single" w:color="000000" w:sz="4" w:space="0"/>
              <w:right w:val="single" w:color="000000" w:sz="4" w:space="0"/>
            </w:tcBorders>
            <w:vAlign w:val="center"/>
          </w:tcPr>
          <w:p w14:paraId="6CC968FA">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高压水除线</w:t>
            </w:r>
          </w:p>
        </w:tc>
        <w:tc>
          <w:tcPr>
            <w:tcW w:w="3017" w:type="dxa"/>
            <w:tcBorders>
              <w:top w:val="single" w:color="000000" w:sz="4" w:space="0"/>
              <w:left w:val="single" w:color="000000" w:sz="4" w:space="0"/>
              <w:bottom w:val="single" w:color="000000" w:sz="4" w:space="0"/>
              <w:right w:val="single" w:color="000000" w:sz="4" w:space="0"/>
            </w:tcBorders>
            <w:vAlign w:val="center"/>
          </w:tcPr>
          <w:p w14:paraId="079443CE">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超高压水磨清洗法，清除老标线，无明显痕迹</w:t>
            </w:r>
          </w:p>
        </w:tc>
        <w:tc>
          <w:tcPr>
            <w:tcW w:w="810" w:type="dxa"/>
            <w:tcBorders>
              <w:top w:val="single" w:color="auto" w:sz="4" w:space="0"/>
              <w:left w:val="nil"/>
              <w:bottom w:val="single" w:color="auto" w:sz="4" w:space="0"/>
              <w:right w:val="single" w:color="000000" w:sz="4" w:space="0"/>
            </w:tcBorders>
            <w:vAlign w:val="center"/>
          </w:tcPr>
          <w:p w14:paraId="2AF47175">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m2</w:t>
            </w:r>
          </w:p>
        </w:tc>
        <w:tc>
          <w:tcPr>
            <w:tcW w:w="1305" w:type="dxa"/>
            <w:tcBorders>
              <w:top w:val="single" w:color="auto" w:sz="4" w:space="0"/>
              <w:left w:val="nil"/>
              <w:bottom w:val="single" w:color="auto" w:sz="4" w:space="0"/>
              <w:right w:val="single" w:color="000000" w:sz="4" w:space="0"/>
            </w:tcBorders>
            <w:vAlign w:val="center"/>
          </w:tcPr>
          <w:p w14:paraId="1C45390A">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25"/>
              <w:jc w:val="center"/>
              <w:textAlignment w:val="auto"/>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45</w:t>
            </w:r>
          </w:p>
        </w:tc>
        <w:tc>
          <w:tcPr>
            <w:tcW w:w="2431" w:type="dxa"/>
            <w:tcBorders>
              <w:top w:val="single" w:color="auto" w:sz="4" w:space="0"/>
              <w:left w:val="nil"/>
              <w:bottom w:val="single" w:color="auto" w:sz="4" w:space="0"/>
              <w:right w:val="single" w:color="000000" w:sz="4" w:space="0"/>
            </w:tcBorders>
            <w:vAlign w:val="center"/>
          </w:tcPr>
          <w:p w14:paraId="3C5268FB">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eastAsia="zh-CN"/>
              </w:rPr>
            </w:pPr>
          </w:p>
        </w:tc>
      </w:tr>
    </w:tbl>
    <w:p w14:paraId="6C37D0FD">
      <w:pPr>
        <w:numPr>
          <w:ilvl w:val="0"/>
          <w:numId w:val="0"/>
        </w:numPr>
        <w:spacing w:line="360" w:lineRule="auto"/>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注：</w:t>
      </w:r>
    </w:p>
    <w:p w14:paraId="0D828627">
      <w:pPr>
        <w:numPr>
          <w:ilvl w:val="0"/>
          <w:numId w:val="0"/>
        </w:numPr>
        <w:spacing w:line="360" w:lineRule="auto"/>
        <w:rPr>
          <w:rFonts w:hint="eastAsia" w:asciiTheme="minorEastAsia" w:hAnsiTheme="minorEastAsia" w:eastAsiaTheme="minorEastAsia" w:cstheme="minorEastAsia"/>
          <w:b w:val="0"/>
          <w:bCs w:val="0"/>
          <w:color w:val="auto"/>
          <w:sz w:val="24"/>
          <w:highlight w:val="none"/>
          <w:lang w:eastAsia="zh-CN"/>
        </w:rPr>
      </w:pPr>
      <w:r>
        <w:rPr>
          <w:rFonts w:hint="eastAsia" w:asciiTheme="minorEastAsia" w:hAnsiTheme="minorEastAsia" w:eastAsiaTheme="minorEastAsia" w:cstheme="minorEastAsia"/>
          <w:b w:val="0"/>
          <w:bCs w:val="0"/>
          <w:color w:val="auto"/>
          <w:sz w:val="24"/>
          <w:highlight w:val="none"/>
          <w:lang w:val="en-US" w:eastAsia="zh-CN"/>
        </w:rPr>
        <w:t>1、</w:t>
      </w:r>
      <w:r>
        <w:rPr>
          <w:rFonts w:hint="eastAsia" w:asciiTheme="minorEastAsia" w:hAnsiTheme="minorEastAsia" w:eastAsiaTheme="minorEastAsia" w:cstheme="minorEastAsia"/>
          <w:b w:val="0"/>
          <w:bCs w:val="0"/>
          <w:color w:val="auto"/>
          <w:sz w:val="24"/>
          <w:highlight w:val="none"/>
        </w:rPr>
        <w:t>材料数量均为预估工作量，履约时以实际发生工作量结算，结算金额不超过本项目预算</w:t>
      </w:r>
      <w:r>
        <w:rPr>
          <w:rFonts w:hint="eastAsia" w:asciiTheme="minorEastAsia" w:hAnsiTheme="minorEastAsia" w:eastAsiaTheme="minorEastAsia" w:cstheme="minorEastAsia"/>
          <w:b w:val="0"/>
          <w:bCs w:val="0"/>
          <w:color w:val="auto"/>
          <w:sz w:val="24"/>
          <w:highlight w:val="none"/>
          <w:lang w:eastAsia="zh-CN"/>
        </w:rPr>
        <w:t>。</w:t>
      </w:r>
    </w:p>
    <w:p w14:paraId="53EB7931">
      <w:pPr>
        <w:numPr>
          <w:ilvl w:val="0"/>
          <w:numId w:val="0"/>
        </w:numPr>
        <w:spacing w:line="360" w:lineRule="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cstheme="minorEastAsia"/>
          <w:b/>
          <w:bCs/>
          <w:color w:val="auto"/>
          <w:kern w:val="28"/>
          <w:sz w:val="24"/>
          <w:highlight w:val="none"/>
          <w:lang w:val="en-US" w:eastAsia="zh-CN"/>
        </w:rPr>
        <w:t>2、</w:t>
      </w:r>
      <w:r>
        <w:rPr>
          <w:rFonts w:hint="eastAsia" w:asciiTheme="minorEastAsia" w:hAnsiTheme="minorEastAsia" w:eastAsiaTheme="minorEastAsia" w:cstheme="minorEastAsia"/>
          <w:b/>
          <w:bCs/>
          <w:color w:val="auto"/>
          <w:kern w:val="28"/>
          <w:sz w:val="24"/>
          <w:highlight w:val="none"/>
        </w:rPr>
        <w:t>最终的结算价（最终结算金额=</w:t>
      </w:r>
      <w:r>
        <w:rPr>
          <w:rFonts w:hint="eastAsia" w:asciiTheme="minorEastAsia" w:hAnsiTheme="minorEastAsia" w:eastAsiaTheme="minorEastAsia" w:cstheme="minorEastAsia"/>
          <w:b/>
          <w:bCs/>
          <w:color w:val="auto"/>
          <w:kern w:val="28"/>
          <w:sz w:val="24"/>
          <w:highlight w:val="none"/>
          <w:lang w:val="en-US" w:eastAsia="zh-CN"/>
        </w:rPr>
        <w:t>实际工作量</w:t>
      </w:r>
      <w:r>
        <w:rPr>
          <w:rFonts w:hint="eastAsia" w:asciiTheme="minorEastAsia" w:hAnsiTheme="minorEastAsia" w:eastAsiaTheme="minorEastAsia" w:cstheme="minorEastAsia"/>
          <w:b/>
          <w:bCs/>
          <w:color w:val="auto"/>
          <w:kern w:val="28"/>
          <w:sz w:val="24"/>
          <w:highlight w:val="none"/>
        </w:rPr>
        <w:t>*成交单价，成交单价=</w:t>
      </w:r>
      <w:r>
        <w:rPr>
          <w:rFonts w:hint="eastAsia" w:asciiTheme="minorEastAsia" w:hAnsiTheme="minorEastAsia" w:eastAsiaTheme="minorEastAsia" w:cstheme="minorEastAsia"/>
          <w:b/>
          <w:bCs/>
          <w:color w:val="auto"/>
          <w:kern w:val="28"/>
          <w:sz w:val="24"/>
          <w:highlight w:val="none"/>
          <w:lang w:val="en-US" w:eastAsia="zh-CN"/>
        </w:rPr>
        <w:t>上限</w:t>
      </w:r>
      <w:r>
        <w:rPr>
          <w:rFonts w:hint="eastAsia" w:asciiTheme="minorEastAsia" w:hAnsiTheme="minorEastAsia" w:eastAsiaTheme="minorEastAsia" w:cstheme="minorEastAsia"/>
          <w:b/>
          <w:bCs/>
          <w:color w:val="auto"/>
          <w:kern w:val="28"/>
          <w:sz w:val="24"/>
          <w:highlight w:val="none"/>
        </w:rPr>
        <w:t>单价*成交结算率）</w:t>
      </w:r>
      <w:r>
        <w:rPr>
          <w:rFonts w:hint="eastAsia" w:asciiTheme="minorEastAsia" w:hAnsiTheme="minorEastAsia" w:eastAsiaTheme="minorEastAsia" w:cstheme="minorEastAsia"/>
          <w:b/>
          <w:bCs/>
          <w:color w:val="auto"/>
          <w:kern w:val="28"/>
          <w:sz w:val="24"/>
          <w:highlight w:val="none"/>
          <w:lang w:eastAsia="zh-CN"/>
        </w:rPr>
        <w:t>。</w:t>
      </w:r>
      <w:r>
        <w:rPr>
          <w:rFonts w:hint="eastAsia" w:asciiTheme="minorEastAsia" w:hAnsiTheme="minorEastAsia" w:eastAsiaTheme="minorEastAsia" w:cstheme="minorEastAsia"/>
          <w:b/>
          <w:bCs/>
          <w:color w:val="auto"/>
          <w:sz w:val="24"/>
          <w:szCs w:val="24"/>
          <w:highlight w:val="none"/>
        </w:rPr>
        <w:t>本项目总结算价不超过400万元，实际发生工作量按实结算</w:t>
      </w:r>
      <w:r>
        <w:rPr>
          <w:rFonts w:hint="eastAsia" w:asciiTheme="minorEastAsia" w:hAnsiTheme="minorEastAsia" w:eastAsiaTheme="minorEastAsia" w:cstheme="minorEastAsia"/>
          <w:b/>
          <w:bCs/>
          <w:color w:val="auto"/>
          <w:sz w:val="24"/>
          <w:szCs w:val="24"/>
          <w:highlight w:val="none"/>
          <w:lang w:eastAsia="zh-CN"/>
        </w:rPr>
        <w:t>。</w:t>
      </w:r>
    </w:p>
    <w:p w14:paraId="4603F433">
      <w:pPr>
        <w:pStyle w:val="26"/>
        <w:snapToGrid w:val="0"/>
        <w:spacing w:before="120" w:after="12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二</w:t>
      </w:r>
      <w:r>
        <w:rPr>
          <w:rFonts w:asciiTheme="minorEastAsia" w:hAnsiTheme="minorEastAsia" w:eastAsiaTheme="minorEastAsia"/>
          <w:b/>
          <w:color w:val="auto"/>
          <w:sz w:val="24"/>
          <w:highlight w:val="none"/>
        </w:rPr>
        <w:t>、合同金额</w:t>
      </w:r>
    </w:p>
    <w:p w14:paraId="35F1D261">
      <w:pPr>
        <w:pStyle w:val="26"/>
        <w:snapToGrid w:val="0"/>
        <w:spacing w:before="120" w:after="120" w:line="360" w:lineRule="auto"/>
        <w:ind w:left="410" w:hanging="410" w:hangingChars="171"/>
        <w:rPr>
          <w:rFonts w:hint="default" w:asciiTheme="minorEastAsia" w:hAnsiTheme="minorEastAsia" w:eastAsiaTheme="minorEastAsia"/>
          <w:color w:val="auto"/>
          <w:sz w:val="24"/>
          <w:highlight w:val="none"/>
          <w:lang w:val="en-US" w:eastAsia="zh-CN"/>
        </w:rPr>
      </w:pPr>
      <w:r>
        <w:rPr>
          <w:rFonts w:asciiTheme="minorEastAsia" w:hAnsiTheme="minorEastAsia" w:eastAsiaTheme="minorEastAsia"/>
          <w:color w:val="auto"/>
          <w:sz w:val="24"/>
          <w:highlight w:val="none"/>
        </w:rPr>
        <w:t>本合同</w:t>
      </w:r>
      <w:r>
        <w:rPr>
          <w:rFonts w:hint="eastAsia" w:asciiTheme="minorEastAsia" w:hAnsiTheme="minorEastAsia" w:eastAsiaTheme="minorEastAsia"/>
          <w:color w:val="auto"/>
          <w:sz w:val="24"/>
          <w:highlight w:val="none"/>
          <w:lang w:val="en-US" w:eastAsia="zh-CN"/>
        </w:rPr>
        <w:t>结算率</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_______________</w:t>
      </w:r>
      <w:r>
        <w:rPr>
          <w:rFonts w:hint="eastAsia" w:asciiTheme="minorEastAsia" w:hAnsiTheme="minorEastAsia" w:eastAsiaTheme="minorEastAsia"/>
          <w:color w:val="auto"/>
          <w:sz w:val="24"/>
          <w:highlight w:val="none"/>
          <w:lang w:val="en-US" w:eastAsia="zh-CN"/>
        </w:rPr>
        <w:t>%</w:t>
      </w:r>
    </w:p>
    <w:p w14:paraId="1285B81A">
      <w:pPr>
        <w:pStyle w:val="26"/>
        <w:snapToGrid w:val="0"/>
        <w:spacing w:before="120" w:after="120" w:line="360" w:lineRule="auto"/>
        <w:ind w:left="410" w:hanging="410" w:hangingChars="171"/>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本合同金额为（大写）：</w:t>
      </w:r>
      <w:r>
        <w:rPr>
          <w:rFonts w:hint="eastAsia" w:asciiTheme="minorEastAsia" w:hAnsiTheme="minorEastAsia" w:eastAsiaTheme="minorEastAsia"/>
          <w:color w:val="auto"/>
          <w:sz w:val="24"/>
          <w:highlight w:val="none"/>
          <w:u w:val="single"/>
          <w:lang w:eastAsia="zh-CN"/>
        </w:rPr>
        <w:t>肆佰万元</w:t>
      </w:r>
      <w:r>
        <w:rPr>
          <w:rFonts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lang w:val="en-US" w:eastAsia="zh-CN"/>
        </w:rPr>
        <w:t>4000000.00</w:t>
      </w:r>
      <w:r>
        <w:rPr>
          <w:rFonts w:cs="宋体" w:asciiTheme="minorEastAsia" w:hAnsiTheme="minorEastAsia" w:eastAsiaTheme="minorEastAsia"/>
          <w:color w:val="auto"/>
          <w:sz w:val="24"/>
          <w:highlight w:val="none"/>
        </w:rPr>
        <w:t>_</w:t>
      </w:r>
      <w:r>
        <w:rPr>
          <w:rFonts w:asciiTheme="minorEastAsia" w:hAnsiTheme="minorEastAsia" w:eastAsiaTheme="minorEastAsia"/>
          <w:color w:val="auto"/>
          <w:sz w:val="24"/>
          <w:highlight w:val="none"/>
        </w:rPr>
        <w:t>元）人民币。</w:t>
      </w:r>
    </w:p>
    <w:p w14:paraId="796B46A4">
      <w:pPr>
        <w:pStyle w:val="26"/>
        <w:snapToGrid w:val="0"/>
        <w:spacing w:before="120" w:after="120" w:line="360" w:lineRule="auto"/>
        <w:ind w:firstLine="240" w:firstLineChars="100"/>
        <w:rPr>
          <w:rFonts w:hint="eastAsia" w:cs="Times New Roman" w:eastAsiaTheme="minorEastAsia"/>
          <w:color w:val="auto"/>
          <w:sz w:val="24"/>
          <w:highlight w:val="none"/>
          <w:lang w:eastAsia="zh-CN"/>
        </w:rPr>
      </w:pPr>
      <w:r>
        <w:rPr>
          <w:rFonts w:hint="eastAsia" w:eastAsia="宋体" w:cs="Times New Roman"/>
          <w:color w:val="auto"/>
          <w:sz w:val="24"/>
          <w:highlight w:val="none"/>
          <w:lang w:eastAsia="zh-CN"/>
        </w:rPr>
        <w:t>注：</w:t>
      </w:r>
      <w:r>
        <w:rPr>
          <w:rFonts w:hint="eastAsia" w:cs="Times New Roman"/>
          <w:color w:val="auto"/>
          <w:sz w:val="24"/>
          <w:highlight w:val="none"/>
        </w:rPr>
        <w:t>该金额中包括但不限于</w:t>
      </w:r>
      <w:r>
        <w:rPr>
          <w:rFonts w:hint="eastAsia" w:asciiTheme="minorEastAsia" w:hAnsiTheme="minorEastAsia" w:eastAsiaTheme="minorEastAsia"/>
          <w:bCs/>
          <w:color w:val="auto"/>
          <w:kern w:val="0"/>
          <w:sz w:val="24"/>
          <w:highlight w:val="none"/>
        </w:rPr>
        <w:t>本项目采购需求和投入使用的所有费用，包括（但不限于）材料、设备、劳务、人员工资、奖金、各种加班费、食宿与交通、手续审批、安全、管理、质保、保险、利润、税金、</w:t>
      </w:r>
      <w:r>
        <w:rPr>
          <w:rFonts w:hint="eastAsia" w:ascii="宋体" w:hAnsi="宋体" w:cs="宋体"/>
          <w:color w:val="auto"/>
          <w:sz w:val="24"/>
          <w:highlight w:val="none"/>
          <w:lang w:val="en-US" w:eastAsia="zh-CN"/>
        </w:rPr>
        <w:t>验收费用、招标代理服务费、</w:t>
      </w:r>
      <w:r>
        <w:rPr>
          <w:rFonts w:hint="eastAsia" w:asciiTheme="minorEastAsia" w:hAnsiTheme="minorEastAsia" w:eastAsiaTheme="minorEastAsia"/>
          <w:bCs/>
          <w:color w:val="auto"/>
          <w:kern w:val="0"/>
          <w:sz w:val="24"/>
          <w:highlight w:val="none"/>
        </w:rPr>
        <w:t>政策性文件规定及合同包含的所有风险、责任</w:t>
      </w:r>
      <w:r>
        <w:rPr>
          <w:rFonts w:hint="eastAsia" w:asciiTheme="minorEastAsia" w:hAnsiTheme="minorEastAsia" w:eastAsiaTheme="minorEastAsia"/>
          <w:bCs/>
          <w:color w:val="auto"/>
          <w:kern w:val="0"/>
          <w:sz w:val="24"/>
          <w:highlight w:val="none"/>
          <w:lang w:eastAsia="zh-CN"/>
        </w:rPr>
        <w:t>、</w:t>
      </w:r>
      <w:r>
        <w:rPr>
          <w:rFonts w:hint="eastAsia" w:asciiTheme="minorEastAsia" w:hAnsiTheme="minorEastAsia" w:eastAsiaTheme="minorEastAsia"/>
          <w:bCs/>
          <w:color w:val="auto"/>
          <w:kern w:val="0"/>
          <w:sz w:val="24"/>
          <w:highlight w:val="none"/>
          <w:lang w:val="en-US" w:eastAsia="zh-CN"/>
        </w:rPr>
        <w:t>招标代理服务费</w:t>
      </w:r>
      <w:r>
        <w:rPr>
          <w:rFonts w:hint="eastAsia" w:asciiTheme="minorEastAsia" w:hAnsiTheme="minorEastAsia" w:eastAsiaTheme="minorEastAsia"/>
          <w:bCs/>
          <w:color w:val="auto"/>
          <w:kern w:val="0"/>
          <w:sz w:val="24"/>
          <w:highlight w:val="none"/>
        </w:rPr>
        <w:t>等所有费用</w:t>
      </w:r>
      <w:r>
        <w:rPr>
          <w:rFonts w:hint="eastAsia" w:asciiTheme="minorEastAsia" w:hAnsiTheme="minorEastAsia" w:eastAsiaTheme="minorEastAsia"/>
          <w:bCs/>
          <w:color w:val="auto"/>
          <w:kern w:val="0"/>
          <w:sz w:val="24"/>
          <w:highlight w:val="none"/>
          <w:lang w:eastAsia="zh-CN"/>
        </w:rPr>
        <w:t>。</w:t>
      </w:r>
    </w:p>
    <w:p w14:paraId="7C4C99CF">
      <w:pPr>
        <w:pStyle w:val="26"/>
        <w:snapToGrid w:val="0"/>
        <w:spacing w:before="120" w:after="12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w:t>
      </w:r>
      <w:r>
        <w:rPr>
          <w:rFonts w:asciiTheme="minorEastAsia" w:hAnsiTheme="minorEastAsia" w:eastAsiaTheme="minorEastAsia"/>
          <w:b/>
          <w:color w:val="auto"/>
          <w:sz w:val="24"/>
          <w:highlight w:val="none"/>
        </w:rPr>
        <w:t>、技术资料</w:t>
      </w:r>
    </w:p>
    <w:p w14:paraId="01408A69">
      <w:pPr>
        <w:pStyle w:val="26"/>
        <w:snapToGrid w:val="0"/>
        <w:spacing w:before="120" w:after="120" w:line="360" w:lineRule="auto"/>
        <w:ind w:left="410" w:hanging="410" w:hangingChars="171"/>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乙方应按招标文件规定的时间向甲方提供使用货物的有关技术资料。</w:t>
      </w:r>
    </w:p>
    <w:p w14:paraId="3B02DBA5">
      <w:pPr>
        <w:pStyle w:val="26"/>
        <w:snapToGrid w:val="0"/>
        <w:spacing w:before="120" w:after="12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A159D91">
      <w:pPr>
        <w:pStyle w:val="26"/>
        <w:snapToGrid w:val="0"/>
        <w:spacing w:before="120" w:after="120" w:line="360" w:lineRule="auto"/>
        <w:ind w:left="412" w:hanging="412" w:hangingChars="17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w:t>
      </w:r>
      <w:r>
        <w:rPr>
          <w:rFonts w:asciiTheme="minorEastAsia" w:hAnsiTheme="minorEastAsia" w:eastAsiaTheme="minorEastAsia"/>
          <w:b/>
          <w:color w:val="auto"/>
          <w:sz w:val="24"/>
          <w:highlight w:val="none"/>
        </w:rPr>
        <w:t>、知识产权</w:t>
      </w:r>
    </w:p>
    <w:p w14:paraId="157D9B84">
      <w:pPr>
        <w:pStyle w:val="26"/>
        <w:snapToGrid w:val="0"/>
        <w:spacing w:before="120" w:after="12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乙方应保证所提供的货物或其任何一部分均不会侵犯任何第三方的知识产权。</w:t>
      </w:r>
    </w:p>
    <w:p w14:paraId="0832FF0C">
      <w:pPr>
        <w:pStyle w:val="26"/>
        <w:snapToGrid w:val="0"/>
        <w:spacing w:before="120" w:after="12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若侵犯,由乙方赔偿甲方因此遭受的损失（包括但不限于应对及追偿过程中所支付的律师费、差旅费、诉讼费、保全费、鉴定费、评估费等）。</w:t>
      </w:r>
    </w:p>
    <w:p w14:paraId="54B79F28">
      <w:pPr>
        <w:pStyle w:val="26"/>
        <w:snapToGrid w:val="0"/>
        <w:spacing w:before="120" w:after="120"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六</w:t>
      </w:r>
      <w:r>
        <w:rPr>
          <w:rFonts w:asciiTheme="minorEastAsia" w:hAnsiTheme="minorEastAsia" w:eastAsiaTheme="minorEastAsia"/>
          <w:b/>
          <w:color w:val="auto"/>
          <w:sz w:val="24"/>
          <w:highlight w:val="none"/>
        </w:rPr>
        <w:t>、产权担保</w:t>
      </w:r>
    </w:p>
    <w:p w14:paraId="64F7A852">
      <w:pPr>
        <w:pStyle w:val="26"/>
        <w:snapToGrid w:val="0"/>
        <w:spacing w:before="120" w:after="120" w:line="360" w:lineRule="auto"/>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乙方保证所交付的货物的所有权完全属于乙方且无任何抵押、查封等产权瑕疵。</w:t>
      </w:r>
    </w:p>
    <w:p w14:paraId="513B3CCA">
      <w:pPr>
        <w:pStyle w:val="26"/>
        <w:snapToGrid w:val="0"/>
        <w:spacing w:before="120" w:after="120" w:line="360" w:lineRule="auto"/>
        <w:ind w:left="410" w:hanging="410" w:hangingChars="17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、履约保证金</w:t>
      </w:r>
    </w:p>
    <w:p w14:paraId="7AF09CBD">
      <w:pPr>
        <w:pStyle w:val="26"/>
        <w:snapToGrid w:val="0"/>
        <w:spacing w:before="120" w:after="120" w:line="360" w:lineRule="auto"/>
        <w:ind w:left="408" w:hanging="408" w:hangingChars="17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履约保证金金额为</w:t>
      </w:r>
      <w:r>
        <w:rPr>
          <w:rFonts w:hint="default" w:asciiTheme="majorEastAsia" w:hAnsiTheme="majorEastAsia" w:eastAsiaTheme="majorEastAsia" w:cstheme="majorEastAsia"/>
          <w:color w:val="auto"/>
          <w:sz w:val="24"/>
          <w:highlight w:val="none"/>
        </w:rPr>
        <w:t>4</w:t>
      </w:r>
      <w:r>
        <w:rPr>
          <w:rFonts w:hint="eastAsia" w:asciiTheme="majorEastAsia" w:hAnsiTheme="majorEastAsia" w:eastAsiaTheme="majorEastAsia" w:cstheme="majorEastAsia"/>
          <w:color w:val="auto"/>
          <w:sz w:val="24"/>
          <w:highlight w:val="none"/>
          <w:u w:val="single"/>
          <w:lang w:val="en-US" w:eastAsia="zh-CN"/>
        </w:rPr>
        <w:t>0000</w:t>
      </w:r>
      <w:r>
        <w:rPr>
          <w:rFonts w:hint="eastAsia" w:asciiTheme="majorEastAsia" w:hAnsiTheme="majorEastAsia" w:eastAsiaTheme="majorEastAsia" w:cstheme="majorEastAsia"/>
          <w:color w:val="auto"/>
          <w:sz w:val="24"/>
          <w:highlight w:val="none"/>
        </w:rPr>
        <w:t>元</w:t>
      </w:r>
      <w:r>
        <w:rPr>
          <w:rFonts w:hint="eastAsia" w:hAnsi="宋体" w:cs="宋体"/>
          <w:color w:val="auto"/>
          <w:sz w:val="24"/>
          <w:highlight w:val="none"/>
        </w:rPr>
        <w:t>，</w:t>
      </w:r>
      <w:r>
        <w:rPr>
          <w:rFonts w:hint="eastAsia" w:asciiTheme="majorEastAsia" w:hAnsiTheme="majorEastAsia" w:eastAsiaTheme="majorEastAsia" w:cstheme="majorEastAsia"/>
          <w:color w:val="auto"/>
          <w:sz w:val="24"/>
          <w:highlight w:val="none"/>
          <w:lang w:val="zh-CN"/>
        </w:rPr>
        <w:t>签订合同后 3 个工作日内向甲方提交。</w:t>
      </w:r>
    </w:p>
    <w:p w14:paraId="1861517E">
      <w:pPr>
        <w:pStyle w:val="26"/>
        <w:snapToGrid w:val="0"/>
        <w:spacing w:before="120" w:after="120" w:line="360" w:lineRule="auto"/>
        <w:rPr>
          <w:rFonts w:hAnsi="宋体" w:cs="宋体"/>
          <w:color w:val="auto"/>
          <w:sz w:val="24"/>
          <w:highlight w:val="none"/>
        </w:rPr>
      </w:pPr>
      <w:r>
        <w:rPr>
          <w:rFonts w:hint="eastAsia" w:hAnsi="宋体" w:cs="宋体"/>
          <w:color w:val="auto"/>
          <w:sz w:val="24"/>
          <w:highlight w:val="none"/>
        </w:rPr>
        <w:t>（履约保证金可采用支票、汇票、保函、担保等形式），验收合格后无息退还。</w:t>
      </w:r>
    </w:p>
    <w:p w14:paraId="31CFBB55">
      <w:pPr>
        <w:pStyle w:val="26"/>
        <w:snapToGrid w:val="0"/>
        <w:spacing w:before="120" w:after="120" w:line="360" w:lineRule="auto"/>
        <w:ind w:left="410" w:hanging="410" w:hangingChars="17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八、转包或分包</w:t>
      </w:r>
    </w:p>
    <w:p w14:paraId="4C905344">
      <w:pPr>
        <w:snapToGrid w:val="0"/>
        <w:spacing w:before="156" w:beforeLines="50" w:after="156" w:afterLines="50"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本合同范围的货物，应由</w:t>
      </w:r>
      <w:r>
        <w:rPr>
          <w:rFonts w:asciiTheme="minorEastAsia" w:hAnsiTheme="minorEastAsia" w:eastAsiaTheme="minorEastAsia"/>
          <w:color w:val="auto"/>
          <w:sz w:val="24"/>
          <w:highlight w:val="none"/>
        </w:rPr>
        <w:t>乙</w:t>
      </w:r>
      <w:r>
        <w:rPr>
          <w:rFonts w:hint="eastAsia" w:asciiTheme="minorEastAsia" w:hAnsiTheme="minorEastAsia" w:eastAsiaTheme="minorEastAsia"/>
          <w:color w:val="auto"/>
          <w:sz w:val="24"/>
          <w:highlight w:val="none"/>
        </w:rPr>
        <w:t>方直接供应，不得转让他人供应；</w:t>
      </w:r>
    </w:p>
    <w:p w14:paraId="0123BB85">
      <w:pPr>
        <w:snapToGrid w:val="0"/>
        <w:spacing w:before="156" w:beforeLines="50" w:after="156" w:afterLines="50"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除非得到</w:t>
      </w:r>
      <w:r>
        <w:rPr>
          <w:rFonts w:asciiTheme="minorEastAsia" w:hAnsiTheme="minorEastAsia" w:eastAsiaTheme="minorEastAsia"/>
          <w:color w:val="auto"/>
          <w:sz w:val="24"/>
          <w:highlight w:val="none"/>
        </w:rPr>
        <w:t>甲</w:t>
      </w:r>
      <w:r>
        <w:rPr>
          <w:rFonts w:hint="eastAsia" w:asciiTheme="minorEastAsia" w:hAnsiTheme="minorEastAsia" w:eastAsiaTheme="minorEastAsia"/>
          <w:color w:val="auto"/>
          <w:sz w:val="24"/>
          <w:highlight w:val="none"/>
        </w:rPr>
        <w:t>方的书面同意，</w:t>
      </w:r>
      <w:r>
        <w:rPr>
          <w:rFonts w:asciiTheme="minorEastAsia" w:hAnsiTheme="minorEastAsia" w:eastAsiaTheme="minorEastAsia"/>
          <w:color w:val="auto"/>
          <w:sz w:val="24"/>
          <w:highlight w:val="none"/>
        </w:rPr>
        <w:t>乙</w:t>
      </w:r>
      <w:r>
        <w:rPr>
          <w:rFonts w:hint="eastAsia" w:asciiTheme="minorEastAsia" w:hAnsiTheme="minorEastAsia" w:eastAsiaTheme="minorEastAsia"/>
          <w:color w:val="auto"/>
          <w:sz w:val="24"/>
          <w:highlight w:val="none"/>
        </w:rPr>
        <w:t>方不得将本合同范围的货物全部或部分分包给他人供应；</w:t>
      </w:r>
    </w:p>
    <w:p w14:paraId="778F011B">
      <w:pPr>
        <w:snapToGrid w:val="0"/>
        <w:spacing w:before="156" w:beforeLines="50" w:after="156" w:afterLines="50"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如有转让和未经</w:t>
      </w:r>
      <w:r>
        <w:rPr>
          <w:rFonts w:asciiTheme="minorEastAsia" w:hAnsiTheme="minorEastAsia" w:eastAsiaTheme="minorEastAsia"/>
          <w:color w:val="auto"/>
          <w:sz w:val="24"/>
          <w:highlight w:val="none"/>
        </w:rPr>
        <w:t>甲</w:t>
      </w:r>
      <w:r>
        <w:rPr>
          <w:rFonts w:hint="eastAsia" w:asciiTheme="minorEastAsia" w:hAnsiTheme="minorEastAsia" w:eastAsiaTheme="minorEastAsia"/>
          <w:color w:val="auto"/>
          <w:sz w:val="24"/>
          <w:highlight w:val="none"/>
        </w:rPr>
        <w:t>方同意的分包行为，</w:t>
      </w:r>
      <w:r>
        <w:rPr>
          <w:rFonts w:asciiTheme="minorEastAsia" w:hAnsiTheme="minorEastAsia" w:eastAsiaTheme="minorEastAsia"/>
          <w:color w:val="auto"/>
          <w:sz w:val="24"/>
          <w:highlight w:val="none"/>
        </w:rPr>
        <w:t>甲</w:t>
      </w:r>
      <w:r>
        <w:rPr>
          <w:rFonts w:hint="eastAsia" w:asciiTheme="minorEastAsia" w:hAnsiTheme="minorEastAsia" w:eastAsiaTheme="minorEastAsia"/>
          <w:color w:val="auto"/>
          <w:sz w:val="24"/>
          <w:highlight w:val="none"/>
        </w:rPr>
        <w:t>方有权解除合同，没收履约保证金并追究乙方的违约责任</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lang w:eastAsia="zh-CN"/>
        </w:rPr>
        <w:t>还</w:t>
      </w:r>
      <w:r>
        <w:rPr>
          <w:rFonts w:asciiTheme="minorEastAsia" w:hAnsiTheme="minorEastAsia" w:eastAsiaTheme="minorEastAsia"/>
          <w:color w:val="auto"/>
          <w:sz w:val="24"/>
          <w:highlight w:val="none"/>
        </w:rPr>
        <w:t>应向甲方支付合同总值</w:t>
      </w:r>
      <w:r>
        <w:rPr>
          <w:rFonts w:hint="eastAsia" w:asciiTheme="minorEastAsia" w:hAnsiTheme="minorEastAsia" w:eastAsiaTheme="minorEastAsia"/>
          <w:color w:val="auto"/>
          <w:sz w:val="24"/>
          <w:highlight w:val="none"/>
          <w:u w:val="single"/>
          <w:lang w:val="en-US" w:eastAsia="zh-CN"/>
        </w:rPr>
        <w:t>6</w:t>
      </w:r>
      <w:r>
        <w:rPr>
          <w:rFonts w:asciiTheme="minorEastAsia" w:hAnsiTheme="minorEastAsia" w:eastAsiaTheme="minorEastAsia"/>
          <w:color w:val="auto"/>
          <w:sz w:val="24"/>
          <w:highlight w:val="none"/>
          <w:u w:val="single"/>
        </w:rPr>
        <w:t>%</w:t>
      </w:r>
      <w:r>
        <w:rPr>
          <w:rFonts w:asciiTheme="minorEastAsia" w:hAnsiTheme="minorEastAsia" w:eastAsiaTheme="minorEastAsia"/>
          <w:color w:val="auto"/>
          <w:sz w:val="24"/>
          <w:highlight w:val="none"/>
        </w:rPr>
        <w:t>的违约金，如造成甲方损失超过违约金的，超出部分由乙方继续承担赔偿责任</w:t>
      </w:r>
      <w:r>
        <w:rPr>
          <w:rFonts w:hint="eastAsia" w:asciiTheme="minorEastAsia" w:hAnsiTheme="minorEastAsia" w:eastAsiaTheme="minorEastAsia"/>
          <w:color w:val="auto"/>
          <w:sz w:val="24"/>
          <w:highlight w:val="none"/>
        </w:rPr>
        <w:t>。</w:t>
      </w:r>
    </w:p>
    <w:p w14:paraId="3B16794A">
      <w:pPr>
        <w:pStyle w:val="26"/>
        <w:snapToGrid w:val="0"/>
        <w:spacing w:before="120" w:after="12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九</w:t>
      </w:r>
      <w:r>
        <w:rPr>
          <w:rFonts w:asciiTheme="minorEastAsia" w:hAnsiTheme="minorEastAsia" w:eastAsiaTheme="minorEastAsia"/>
          <w:b/>
          <w:color w:val="auto"/>
          <w:sz w:val="24"/>
          <w:highlight w:val="none"/>
        </w:rPr>
        <w:t>、质保期</w:t>
      </w:r>
    </w:p>
    <w:p w14:paraId="1F8E4B3C">
      <w:pPr>
        <w:tabs>
          <w:tab w:val="left" w:pos="0"/>
        </w:tabs>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eastAsia="zh-CN"/>
        </w:rPr>
        <w:t>、</w:t>
      </w:r>
      <w:r>
        <w:rPr>
          <w:rFonts w:hint="eastAsia" w:ascii="宋体" w:hAnsi="宋体" w:cs="宋体"/>
          <w:color w:val="auto"/>
          <w:sz w:val="24"/>
          <w:highlight w:val="none"/>
        </w:rPr>
        <w:t>主次干道标线不少于1年，支路标线不少于2年（技术需求中有列明质保期的按照技术需求中的要求）</w:t>
      </w:r>
      <w:r>
        <w:rPr>
          <w:rFonts w:asciiTheme="minorEastAsia" w:hAnsiTheme="minorEastAsia" w:eastAsiaTheme="minorEastAsia"/>
          <w:color w:val="auto"/>
          <w:sz w:val="24"/>
          <w:highlight w:val="none"/>
        </w:rPr>
        <w:t>（自交</w:t>
      </w:r>
      <w:r>
        <w:rPr>
          <w:rFonts w:hint="eastAsia" w:asciiTheme="minorEastAsia" w:hAnsiTheme="minorEastAsia" w:eastAsiaTheme="minorEastAsia"/>
          <w:color w:val="auto"/>
          <w:sz w:val="24"/>
          <w:highlight w:val="none"/>
        </w:rPr>
        <w:t>付</w:t>
      </w:r>
      <w:r>
        <w:rPr>
          <w:rFonts w:asciiTheme="minorEastAsia" w:hAnsiTheme="minorEastAsia" w:eastAsiaTheme="minorEastAsia"/>
          <w:color w:val="auto"/>
          <w:sz w:val="24"/>
          <w:highlight w:val="none"/>
        </w:rPr>
        <w:t>验收合格之日起计）</w:t>
      </w:r>
    </w:p>
    <w:p w14:paraId="028522B7">
      <w:pPr>
        <w:pStyle w:val="26"/>
        <w:snapToGrid w:val="0"/>
        <w:spacing w:before="120" w:after="12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w:t>
      </w:r>
      <w:r>
        <w:rPr>
          <w:rFonts w:asciiTheme="minorEastAsia" w:hAnsiTheme="minorEastAsia" w:eastAsiaTheme="minorEastAsia"/>
          <w:b/>
          <w:color w:val="auto"/>
          <w:sz w:val="24"/>
          <w:highlight w:val="none"/>
        </w:rPr>
        <w:t>、交货期及</w:t>
      </w:r>
      <w:r>
        <w:rPr>
          <w:rFonts w:hint="eastAsia" w:asciiTheme="minorEastAsia" w:hAnsiTheme="minorEastAsia" w:eastAsiaTheme="minorEastAsia"/>
          <w:b/>
          <w:color w:val="auto"/>
          <w:sz w:val="24"/>
          <w:highlight w:val="none"/>
          <w:lang w:eastAsia="zh-CN"/>
        </w:rPr>
        <w:t>项目</w:t>
      </w:r>
      <w:r>
        <w:rPr>
          <w:rFonts w:asciiTheme="minorEastAsia" w:hAnsiTheme="minorEastAsia" w:eastAsiaTheme="minorEastAsia"/>
          <w:b/>
          <w:color w:val="auto"/>
          <w:sz w:val="24"/>
          <w:highlight w:val="none"/>
        </w:rPr>
        <w:t>地点</w:t>
      </w:r>
    </w:p>
    <w:p w14:paraId="7AEB2C96">
      <w:pPr>
        <w:pStyle w:val="26"/>
        <w:snapToGrid w:val="0"/>
        <w:spacing w:before="120" w:after="120" w:line="360" w:lineRule="auto"/>
        <w:rPr>
          <w:rFonts w:hint="default" w:asciiTheme="minorEastAsia" w:hAnsiTheme="minorEastAsia" w:eastAsiaTheme="minorEastAsia"/>
          <w:bCs/>
          <w:color w:val="auto"/>
          <w:sz w:val="24"/>
          <w:highlight w:val="none"/>
          <w:lang w:val="en-US" w:eastAsia="zh-CN"/>
        </w:rPr>
      </w:pPr>
      <w:r>
        <w:rPr>
          <w:rFonts w:asciiTheme="minorEastAsia" w:hAnsiTheme="minorEastAsia" w:eastAsiaTheme="minorEastAsia"/>
          <w:bCs/>
          <w:color w:val="auto"/>
          <w:sz w:val="24"/>
          <w:highlight w:val="none"/>
        </w:rPr>
        <w:t>1</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rPr>
        <w:t>交货期（交付期）：</w:t>
      </w:r>
      <w:r>
        <w:rPr>
          <w:rFonts w:hint="eastAsia" w:asciiTheme="minorEastAsia" w:hAnsiTheme="minorEastAsia" w:eastAsiaTheme="minorEastAsia"/>
          <w:bCs/>
          <w:color w:val="auto"/>
          <w:sz w:val="24"/>
          <w:highlight w:val="none"/>
          <w:lang w:eastAsia="zh-CN"/>
        </w:rPr>
        <w:t>自合同签订之日起</w:t>
      </w:r>
      <w:r>
        <w:rPr>
          <w:rFonts w:hint="eastAsia" w:asciiTheme="minorEastAsia" w:hAnsiTheme="minorEastAsia" w:eastAsiaTheme="minorEastAsia"/>
          <w:bCs/>
          <w:color w:val="auto"/>
          <w:sz w:val="24"/>
          <w:highlight w:val="none"/>
          <w:lang w:val="en-US" w:eastAsia="zh-CN"/>
        </w:rPr>
        <w:t>180天</w:t>
      </w:r>
    </w:p>
    <w:p w14:paraId="25C914D6">
      <w:pPr>
        <w:pStyle w:val="26"/>
        <w:snapToGrid w:val="0"/>
        <w:spacing w:before="120" w:after="120" w:line="360" w:lineRule="auto"/>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Cs/>
          <w:color w:val="auto"/>
          <w:sz w:val="24"/>
          <w:highlight w:val="none"/>
          <w:lang w:val="en-US" w:eastAsia="zh-CN"/>
        </w:rPr>
        <w:t>2、</w:t>
      </w:r>
      <w:r>
        <w:rPr>
          <w:rFonts w:hint="eastAsia" w:asciiTheme="minorEastAsia" w:hAnsiTheme="minorEastAsia" w:eastAsiaTheme="minorEastAsia"/>
          <w:bCs/>
          <w:color w:val="auto"/>
          <w:sz w:val="24"/>
          <w:highlight w:val="none"/>
          <w:lang w:eastAsia="zh-CN"/>
        </w:rPr>
        <w:t>项目</w:t>
      </w:r>
      <w:r>
        <w:rPr>
          <w:rFonts w:asciiTheme="minorEastAsia" w:hAnsiTheme="minorEastAsia" w:eastAsiaTheme="minorEastAsia"/>
          <w:bCs/>
          <w:color w:val="auto"/>
          <w:sz w:val="24"/>
          <w:highlight w:val="none"/>
        </w:rPr>
        <w:t>地点：</w:t>
      </w:r>
      <w:r>
        <w:rPr>
          <w:rFonts w:hint="eastAsia" w:cs="Times New Roman" w:asciiTheme="minorEastAsia" w:hAnsiTheme="minorEastAsia" w:eastAsiaTheme="minorEastAsia"/>
          <w:color w:val="auto"/>
          <w:sz w:val="24"/>
          <w:highlight w:val="none"/>
        </w:rPr>
        <w:t>椒江区域、黄岩区域、路桥区域、台州湾产业集聚区管委会区域、台州经济开发区管委会区域内的道路</w:t>
      </w:r>
      <w:r>
        <w:rPr>
          <w:rFonts w:hint="eastAsia" w:cs="Times New Roman" w:asciiTheme="minorEastAsia" w:hAnsiTheme="minorEastAsia" w:eastAsiaTheme="minorEastAsia"/>
          <w:color w:val="auto"/>
          <w:sz w:val="24"/>
          <w:highlight w:val="none"/>
          <w:lang w:eastAsia="zh-CN"/>
        </w:rPr>
        <w:t>。</w:t>
      </w:r>
    </w:p>
    <w:p w14:paraId="2840961F">
      <w:pPr>
        <w:pStyle w:val="26"/>
        <w:snapToGrid w:val="0"/>
        <w:spacing w:before="120" w:after="120"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、货款支付</w:t>
      </w:r>
    </w:p>
    <w:p w14:paraId="2D2A7B7D">
      <w:pPr>
        <w:pStyle w:val="26"/>
        <w:snapToGrid w:val="0"/>
        <w:spacing w:before="120" w:after="120" w:line="360" w:lineRule="auto"/>
        <w:rPr>
          <w:rFonts w:hint="eastAsia" w:cs="宋体" w:asciiTheme="minorEastAsia" w:hAnsiTheme="minorEastAsia" w:eastAsiaTheme="minorEastAsia"/>
          <w:color w:val="auto"/>
          <w:sz w:val="24"/>
          <w:highlight w:val="none"/>
          <w:lang w:eastAsia="zh-CN"/>
        </w:rPr>
      </w:pP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lang w:eastAsia="zh-CN"/>
        </w:rPr>
        <w:t>、</w:t>
      </w:r>
      <w:r>
        <w:rPr>
          <w:rFonts w:cs="宋体" w:asciiTheme="minorEastAsia" w:hAnsiTheme="minorEastAsia" w:eastAsiaTheme="minorEastAsia"/>
          <w:color w:val="auto"/>
          <w:sz w:val="24"/>
          <w:highlight w:val="none"/>
        </w:rPr>
        <w:t>付款方式：</w:t>
      </w:r>
      <w:r>
        <w:rPr>
          <w:rFonts w:hint="eastAsia" w:cs="宋体" w:asciiTheme="minorEastAsia" w:hAnsiTheme="minorEastAsia" w:eastAsiaTheme="minorEastAsia"/>
          <w:color w:val="auto"/>
          <w:sz w:val="24"/>
          <w:highlight w:val="none"/>
        </w:rPr>
        <w:t>合同签订，</w:t>
      </w:r>
      <w:r>
        <w:rPr>
          <w:rFonts w:hint="eastAsia" w:cs="宋体" w:asciiTheme="minorEastAsia" w:hAnsiTheme="minorEastAsia" w:eastAsiaTheme="minorEastAsia"/>
          <w:color w:val="auto"/>
          <w:sz w:val="24"/>
          <w:highlight w:val="none"/>
          <w:lang w:eastAsia="zh-CN"/>
        </w:rPr>
        <w:t>乙方</w:t>
      </w:r>
      <w:r>
        <w:rPr>
          <w:rFonts w:hint="eastAsia" w:cs="宋体" w:asciiTheme="minorEastAsia" w:hAnsiTheme="minorEastAsia" w:eastAsiaTheme="minorEastAsia"/>
          <w:color w:val="auto"/>
          <w:sz w:val="24"/>
          <w:highlight w:val="none"/>
        </w:rPr>
        <w:t>提供发票后7个工作日内，支付合同总额的</w:t>
      </w:r>
      <w:r>
        <w:rPr>
          <w:rFonts w:cs="宋体" w:asciiTheme="minorEastAsia" w:hAnsiTheme="minorEastAsia" w:eastAsiaTheme="minorEastAsia"/>
          <w:color w:val="auto"/>
          <w:sz w:val="24"/>
          <w:highlight w:val="none"/>
        </w:rPr>
        <w:t>40</w:t>
      </w:r>
      <w:r>
        <w:rPr>
          <w:rFonts w:hint="eastAsia" w:cs="宋体" w:asciiTheme="minorEastAsia" w:hAnsiTheme="minorEastAsia" w:eastAsiaTheme="minorEastAsia"/>
          <w:color w:val="auto"/>
          <w:sz w:val="24"/>
          <w:highlight w:val="none"/>
        </w:rPr>
        <w:t>%作为预付款，合同签订后</w:t>
      </w:r>
      <w:r>
        <w:rPr>
          <w:rFonts w:hint="default" w:cs="宋体" w:asciiTheme="minorEastAsia" w:hAnsiTheme="minorEastAsia" w:eastAsiaTheme="minorEastAsia"/>
          <w:color w:val="auto"/>
          <w:sz w:val="24"/>
          <w:highlight w:val="none"/>
        </w:rPr>
        <w:t>18</w:t>
      </w:r>
      <w:r>
        <w:rPr>
          <w:rFonts w:hint="eastAsia" w:cs="宋体" w:asciiTheme="minorEastAsia" w:hAnsiTheme="minorEastAsia" w:eastAsiaTheme="minorEastAsia"/>
          <w:color w:val="auto"/>
          <w:sz w:val="24"/>
          <w:highlight w:val="none"/>
        </w:rPr>
        <w:t>0天内完成项目，通过初验</w:t>
      </w:r>
      <w:r>
        <w:rPr>
          <w:rFonts w:hint="eastAsia" w:cs="宋体" w:asciiTheme="minorEastAsia" w:hAnsiTheme="minorEastAsia" w:eastAsiaTheme="minorEastAsia"/>
          <w:color w:val="auto"/>
          <w:sz w:val="24"/>
          <w:highlight w:val="none"/>
          <w:lang w:eastAsia="zh-CN"/>
        </w:rPr>
        <w:t>乙方</w:t>
      </w:r>
      <w:r>
        <w:rPr>
          <w:rFonts w:hint="eastAsia" w:cs="宋体" w:asciiTheme="minorEastAsia" w:hAnsiTheme="minorEastAsia" w:eastAsiaTheme="minorEastAsia"/>
          <w:color w:val="auto"/>
          <w:sz w:val="24"/>
          <w:highlight w:val="none"/>
        </w:rPr>
        <w:t>提供发票后7个工作日内支付至实际工程量结算金额的</w:t>
      </w:r>
      <w:r>
        <w:rPr>
          <w:rFonts w:hint="default" w:cs="宋体" w:asciiTheme="minorEastAsia" w:hAnsiTheme="minorEastAsia" w:eastAsiaTheme="minorEastAsia"/>
          <w:color w:val="auto"/>
          <w:sz w:val="24"/>
          <w:highlight w:val="none"/>
        </w:rPr>
        <w:t>9</w:t>
      </w:r>
      <w:r>
        <w:rPr>
          <w:rFonts w:hint="eastAsia" w:cs="宋体" w:asciiTheme="minorEastAsia" w:hAnsiTheme="minorEastAsia" w:eastAsiaTheme="minorEastAsia"/>
          <w:color w:val="auto"/>
          <w:sz w:val="24"/>
          <w:highlight w:val="none"/>
        </w:rPr>
        <w:t>0%，项目整体竣工验收合格并经审核结束，</w:t>
      </w:r>
      <w:r>
        <w:rPr>
          <w:rFonts w:hint="eastAsia" w:cs="宋体" w:asciiTheme="minorEastAsia" w:hAnsiTheme="minorEastAsia" w:eastAsiaTheme="minorEastAsia"/>
          <w:color w:val="auto"/>
          <w:sz w:val="24"/>
          <w:highlight w:val="none"/>
          <w:lang w:eastAsia="zh-CN"/>
        </w:rPr>
        <w:t>乙方</w:t>
      </w:r>
      <w:r>
        <w:rPr>
          <w:rFonts w:hint="eastAsia" w:cs="宋体" w:asciiTheme="minorEastAsia" w:hAnsiTheme="minorEastAsia" w:eastAsiaTheme="minorEastAsia"/>
          <w:color w:val="auto"/>
          <w:sz w:val="24"/>
          <w:highlight w:val="none"/>
        </w:rPr>
        <w:t>提供发票后7个工作日内支付剩余结算金额；以上款项支付期限为财政资金到位</w:t>
      </w:r>
      <w:r>
        <w:rPr>
          <w:rFonts w:hint="eastAsia" w:cs="宋体" w:asciiTheme="minorEastAsia" w:hAnsiTheme="minorEastAsia" w:eastAsiaTheme="minorEastAsia"/>
          <w:color w:val="auto"/>
          <w:sz w:val="24"/>
          <w:highlight w:val="none"/>
          <w:lang w:eastAsia="zh-CN"/>
        </w:rPr>
        <w:t>。</w:t>
      </w:r>
    </w:p>
    <w:p w14:paraId="5AC39059">
      <w:pPr>
        <w:pStyle w:val="26"/>
        <w:snapToGrid w:val="0"/>
        <w:spacing w:before="120" w:after="120" w:line="360" w:lineRule="auto"/>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2、最终的结算价（最终结算金额=实际工作量*成交单价，成交单价=上限单价*成交结算率）</w:t>
      </w:r>
      <w:r>
        <w:rPr>
          <w:rFonts w:hint="eastAsia" w:cs="宋体" w:asciiTheme="minorEastAsia" w:hAnsiTheme="minorEastAsia" w:eastAsiaTheme="minorEastAsia"/>
          <w:color w:val="auto"/>
          <w:sz w:val="24"/>
          <w:highlight w:val="none"/>
          <w:lang w:val="zh-CN" w:eastAsia="zh-CN"/>
        </w:rPr>
        <w:t>。</w:t>
      </w:r>
    </w:p>
    <w:p w14:paraId="62761E6C">
      <w:pPr>
        <w:snapToGrid w:val="0"/>
        <w:spacing w:before="156" w:beforeLines="50" w:after="156" w:afterLines="5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十二、税费</w:t>
      </w:r>
    </w:p>
    <w:p w14:paraId="45F145B9">
      <w:pPr>
        <w:snapToGrid w:val="0"/>
        <w:spacing w:before="156" w:beforeLines="50" w:after="156" w:afterLines="5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本合同执行中相关的一切税费均由</w:t>
      </w:r>
      <w:r>
        <w:rPr>
          <w:rFonts w:asciiTheme="minorEastAsia" w:hAnsiTheme="minorEastAsia" w:eastAsiaTheme="minorEastAsia"/>
          <w:color w:val="auto"/>
          <w:sz w:val="24"/>
          <w:highlight w:val="none"/>
        </w:rPr>
        <w:t>乙</w:t>
      </w:r>
      <w:r>
        <w:rPr>
          <w:rFonts w:hint="eastAsia" w:asciiTheme="minorEastAsia" w:hAnsiTheme="minorEastAsia" w:eastAsiaTheme="minorEastAsia"/>
          <w:color w:val="auto"/>
          <w:sz w:val="24"/>
          <w:highlight w:val="none"/>
        </w:rPr>
        <w:t>方负担。</w:t>
      </w:r>
    </w:p>
    <w:p w14:paraId="1CD6CED6">
      <w:pPr>
        <w:pStyle w:val="26"/>
        <w:snapToGrid w:val="0"/>
        <w:spacing w:before="120" w:after="120" w:line="360" w:lineRule="auto"/>
        <w:ind w:left="412" w:hanging="412" w:hangingChars="171"/>
        <w:rPr>
          <w:rFonts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三</w:t>
      </w:r>
      <w:r>
        <w:rPr>
          <w:rFonts w:asciiTheme="minorEastAsia" w:hAnsiTheme="minorEastAsia" w:eastAsiaTheme="minorEastAsia"/>
          <w:b/>
          <w:color w:val="auto"/>
          <w:sz w:val="24"/>
          <w:highlight w:val="none"/>
        </w:rPr>
        <w:t>、质量保证及售后服务</w:t>
      </w:r>
    </w:p>
    <w:p w14:paraId="18CDC271">
      <w:pPr>
        <w:pStyle w:val="26"/>
        <w:snapToGrid w:val="0"/>
        <w:spacing w:before="120" w:after="12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乙方应按招标文件规定的货物性能、技术要求、质量标准向甲方提供未经使用的全新产品。</w:t>
      </w:r>
    </w:p>
    <w:p w14:paraId="3975E0A8">
      <w:pPr>
        <w:pStyle w:val="26"/>
        <w:snapToGrid w:val="0"/>
        <w:spacing w:before="120" w:after="12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乙方提供的</w:t>
      </w:r>
      <w:r>
        <w:rPr>
          <w:rFonts w:hint="eastAsia" w:asciiTheme="minorEastAsia" w:hAnsiTheme="minorEastAsia" w:eastAsiaTheme="minorEastAsia"/>
          <w:color w:val="auto"/>
          <w:sz w:val="24"/>
          <w:highlight w:val="none"/>
        </w:rPr>
        <w:t>成果</w:t>
      </w:r>
      <w:r>
        <w:rPr>
          <w:rFonts w:asciiTheme="minorEastAsia" w:hAnsiTheme="minorEastAsia" w:eastAsiaTheme="minorEastAsia"/>
          <w:color w:val="auto"/>
          <w:sz w:val="24"/>
          <w:highlight w:val="none"/>
        </w:rPr>
        <w:t>在质</w:t>
      </w:r>
      <w:r>
        <w:rPr>
          <w:rFonts w:hint="eastAsia" w:asciiTheme="minorEastAsia" w:hAnsiTheme="minorEastAsia" w:eastAsiaTheme="minorEastAsia"/>
          <w:color w:val="auto"/>
          <w:sz w:val="24"/>
          <w:highlight w:val="none"/>
        </w:rPr>
        <w:t>保</w:t>
      </w:r>
      <w:r>
        <w:rPr>
          <w:rFonts w:asciiTheme="minorEastAsia" w:hAnsiTheme="minorEastAsia" w:eastAsiaTheme="minorEastAsia"/>
          <w:color w:val="auto"/>
          <w:sz w:val="24"/>
          <w:highlight w:val="none"/>
        </w:rPr>
        <w:t>期内因本身的质量问题发生故障，</w:t>
      </w:r>
      <w:r>
        <w:rPr>
          <w:rFonts w:hint="eastAsia" w:asciiTheme="minorEastAsia" w:hAnsiTheme="minorEastAsia" w:eastAsiaTheme="minorEastAsia"/>
          <w:color w:val="auto"/>
          <w:sz w:val="24"/>
          <w:highlight w:val="none"/>
        </w:rPr>
        <w:t>乙方应负责免费提供后续服务。</w:t>
      </w:r>
      <w:r>
        <w:rPr>
          <w:rFonts w:asciiTheme="minorEastAsia" w:hAnsiTheme="minorEastAsia" w:eastAsiaTheme="minorEastAsia"/>
          <w:color w:val="auto"/>
          <w:sz w:val="24"/>
          <w:highlight w:val="none"/>
        </w:rPr>
        <w:t>对达不到技术要求者，根据实际情况，经双方协商，可按以下办法处理：</w:t>
      </w:r>
    </w:p>
    <w:p w14:paraId="40BF06AD">
      <w:pPr>
        <w:pStyle w:val="26"/>
        <w:snapToGrid w:val="0"/>
        <w:spacing w:before="120" w:after="120" w:line="360" w:lineRule="auto"/>
        <w:ind w:firstLine="420"/>
        <w:rPr>
          <w:rFonts w:hAnsi="宋体"/>
          <w:color w:val="auto"/>
          <w:sz w:val="24"/>
          <w:highlight w:val="none"/>
        </w:rPr>
      </w:pPr>
      <w:r>
        <w:rPr>
          <w:rFonts w:hAnsi="宋体"/>
          <w:color w:val="auto"/>
          <w:sz w:val="24"/>
          <w:highlight w:val="none"/>
        </w:rPr>
        <w:t>⑴重做：由乙方承担所发生的全部费用。</w:t>
      </w:r>
    </w:p>
    <w:p w14:paraId="6EAD51A6">
      <w:pPr>
        <w:pStyle w:val="26"/>
        <w:snapToGrid w:val="0"/>
        <w:spacing w:before="120" w:after="120" w:line="360" w:lineRule="auto"/>
        <w:ind w:firstLine="420"/>
        <w:rPr>
          <w:rFonts w:hAnsi="宋体"/>
          <w:color w:val="auto"/>
          <w:sz w:val="24"/>
          <w:highlight w:val="none"/>
        </w:rPr>
      </w:pPr>
      <w:r>
        <w:rPr>
          <w:rFonts w:hAnsi="宋体"/>
          <w:color w:val="auto"/>
          <w:sz w:val="24"/>
          <w:highlight w:val="none"/>
        </w:rPr>
        <w:t>⑵贬值处理：由甲乙双方合议定价。</w:t>
      </w:r>
    </w:p>
    <w:p w14:paraId="12A6F095">
      <w:pPr>
        <w:pStyle w:val="26"/>
        <w:snapToGrid w:val="0"/>
        <w:spacing w:before="120" w:after="120" w:line="360" w:lineRule="auto"/>
        <w:ind w:left="420" w:left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⑶退货处理：乙方应退还甲方支付的合同款，同时应承担该货物的直接费用（运输、</w:t>
      </w:r>
      <w:r>
        <w:rPr>
          <w:rFonts w:hint="eastAsia" w:asciiTheme="minorEastAsia" w:hAnsiTheme="minorEastAsia" w:eastAsiaTheme="minorEastAsia"/>
          <w:color w:val="auto"/>
          <w:sz w:val="24"/>
          <w:highlight w:val="none"/>
        </w:rPr>
        <w:t>清洗、</w:t>
      </w:r>
      <w:r>
        <w:rPr>
          <w:rFonts w:asciiTheme="minorEastAsia" w:hAnsiTheme="minorEastAsia" w:eastAsiaTheme="minorEastAsia"/>
          <w:color w:val="auto"/>
          <w:sz w:val="24"/>
          <w:highlight w:val="none"/>
        </w:rPr>
        <w:t>保险、检验、货款利息及银行手续费等）。</w:t>
      </w:r>
    </w:p>
    <w:p w14:paraId="7680A155">
      <w:pPr>
        <w:pStyle w:val="26"/>
        <w:snapToGrid w:val="0"/>
        <w:spacing w:before="120" w:after="120"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如在使用过程中发生质量问题，乙方在接到甲方</w:t>
      </w:r>
      <w:r>
        <w:rPr>
          <w:rFonts w:hint="eastAsia" w:asciiTheme="minorEastAsia" w:hAnsiTheme="minorEastAsia" w:eastAsiaTheme="minorEastAsia"/>
          <w:color w:val="auto"/>
          <w:sz w:val="24"/>
          <w:highlight w:val="none"/>
          <w:lang w:val="en-US" w:eastAsia="zh-CN"/>
        </w:rPr>
        <w:t>电话2分钟响应，0.5小时上门技术服务，3小时内修复或更换</w:t>
      </w:r>
      <w:r>
        <w:rPr>
          <w:rFonts w:hint="eastAsia" w:asciiTheme="minorEastAsia" w:hAnsiTheme="minorEastAsia" w:eastAsiaTheme="minorEastAsia"/>
          <w:color w:val="auto"/>
          <w:sz w:val="24"/>
          <w:highlight w:val="none"/>
          <w:lang w:eastAsia="zh-CN"/>
        </w:rPr>
        <w:t>。</w:t>
      </w:r>
    </w:p>
    <w:p w14:paraId="1AAE0A19">
      <w:pPr>
        <w:pStyle w:val="26"/>
        <w:snapToGrid w:val="0"/>
        <w:spacing w:before="120" w:after="120"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在质保期内，乙方应对</w:t>
      </w:r>
      <w:r>
        <w:rPr>
          <w:rFonts w:hint="eastAsia" w:asciiTheme="minorEastAsia" w:hAnsiTheme="minorEastAsia" w:eastAsiaTheme="minorEastAsia"/>
          <w:color w:val="auto"/>
          <w:sz w:val="24"/>
          <w:highlight w:val="none"/>
        </w:rPr>
        <w:t>成果</w:t>
      </w:r>
      <w:r>
        <w:rPr>
          <w:rFonts w:asciiTheme="minorEastAsia" w:hAnsiTheme="minorEastAsia" w:eastAsiaTheme="minorEastAsia"/>
          <w:color w:val="auto"/>
          <w:sz w:val="24"/>
          <w:highlight w:val="none"/>
        </w:rPr>
        <w:t>出现的质量及安全问题负责处理解决并承担一切费用。</w:t>
      </w:r>
    </w:p>
    <w:p w14:paraId="151694B2">
      <w:pPr>
        <w:pStyle w:val="26"/>
        <w:numPr>
          <w:ilvl w:val="0"/>
          <w:numId w:val="0"/>
        </w:numPr>
        <w:snapToGrid w:val="0"/>
        <w:spacing w:before="120" w:after="12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上述的免费保修期为</w:t>
      </w:r>
      <w:r>
        <w:rPr>
          <w:rFonts w:hint="eastAsia" w:hAnsi="宋体" w:cs="宋体"/>
          <w:color w:val="auto"/>
          <w:sz w:val="24"/>
          <w:highlight w:val="none"/>
        </w:rPr>
        <w:t>主次干道标线不少于1年，支路标线不少于2年（技术需求中有列明质保期的按照技术需求中的要求）</w:t>
      </w:r>
      <w:r>
        <w:rPr>
          <w:rFonts w:asciiTheme="minorEastAsia" w:hAnsiTheme="minorEastAsia" w:eastAsiaTheme="minorEastAsia"/>
          <w:color w:val="auto"/>
          <w:sz w:val="24"/>
          <w:highlight w:val="none"/>
        </w:rPr>
        <w:t>（自交</w:t>
      </w:r>
      <w:r>
        <w:rPr>
          <w:rFonts w:hint="eastAsia" w:asciiTheme="minorEastAsia" w:hAnsiTheme="minorEastAsia" w:eastAsiaTheme="minorEastAsia"/>
          <w:color w:val="auto"/>
          <w:sz w:val="24"/>
          <w:highlight w:val="none"/>
        </w:rPr>
        <w:t>付</w:t>
      </w:r>
      <w:r>
        <w:rPr>
          <w:rFonts w:asciiTheme="minorEastAsia" w:hAnsiTheme="minorEastAsia" w:eastAsiaTheme="minorEastAsia"/>
          <w:color w:val="auto"/>
          <w:sz w:val="24"/>
          <w:highlight w:val="none"/>
        </w:rPr>
        <w:t>验收合格之日起计），因人为因素出现的故障不在免费保修范围内。</w:t>
      </w:r>
      <w:r>
        <w:rPr>
          <w:rFonts w:hint="eastAsia" w:asciiTheme="minorEastAsia" w:hAnsiTheme="minorEastAsia" w:eastAsiaTheme="minorEastAsia"/>
          <w:color w:val="auto"/>
          <w:sz w:val="24"/>
          <w:highlight w:val="none"/>
        </w:rPr>
        <w:t>超过保修期的机器设备，终生维修，维修时只收部件成本费。</w:t>
      </w:r>
    </w:p>
    <w:p w14:paraId="75E189B3">
      <w:pPr>
        <w:pStyle w:val="26"/>
        <w:numPr>
          <w:ilvl w:val="0"/>
          <w:numId w:val="14"/>
        </w:numPr>
        <w:snapToGrid w:val="0"/>
        <w:spacing w:before="120" w:after="120"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调试和验收</w:t>
      </w:r>
    </w:p>
    <w:p w14:paraId="5CD6981A">
      <w:pPr>
        <w:pStyle w:val="26"/>
        <w:snapToGrid w:val="0"/>
        <w:spacing w:before="120" w:after="120" w:line="360" w:lineRule="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1、甲方对乙方完工的标线及水除线,依据招标文件上的技术规格要求和国家有关质量标准进行现场初步验收，外观、施工质量、效果符合招标文件技术要求的，给予通过，初步验收不合格的不通过。</w:t>
      </w:r>
    </w:p>
    <w:p w14:paraId="36A46DB3">
      <w:pPr>
        <w:pStyle w:val="26"/>
        <w:snapToGrid w:val="0"/>
        <w:spacing w:before="120" w:after="120" w:line="360" w:lineRule="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验收时乙方应提供每个路口、路段标线的工作量清单，标线路口的工作量清单要描述各个方向的工作量。道路交通标线的箭头、文字或字母、图形、区域等特殊路面标线按区域面积(以设计特殊标线前、后、左、右四侧的最外缘涂敷点或线连接成的顺中心线方向矩形面积)计算数量，其他路面标线按涂敷实际面积计算数量;路面标线玻璃珠包含在涂敷面积内，不单独计量。)</w:t>
      </w:r>
    </w:p>
    <w:p w14:paraId="73B01BEB">
      <w:pPr>
        <w:pStyle w:val="26"/>
        <w:snapToGrid w:val="0"/>
        <w:spacing w:before="120" w:after="120" w:line="360" w:lineRule="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3、乙方交货前应对产品作出全面检查和对验收文件进行整理，并列出清单，作为甲方收货验收和使用的技术条件依据，检验的结果应随货物交甲方。</w:t>
      </w:r>
    </w:p>
    <w:p w14:paraId="596DCAB8">
      <w:pPr>
        <w:pStyle w:val="26"/>
        <w:snapToGrid w:val="0"/>
        <w:spacing w:before="120" w:after="120" w:line="360" w:lineRule="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4、甲方对乙方提供的货物在使用前进行调试时，乙方需负责安装并培训甲方的使用操作人员，并协助甲方一起调试，直到符合技术要求，甲方才做最终验收。</w:t>
      </w:r>
    </w:p>
    <w:p w14:paraId="7DB2466F">
      <w:pPr>
        <w:pStyle w:val="26"/>
        <w:snapToGrid w:val="0"/>
        <w:spacing w:before="120" w:after="120" w:line="360" w:lineRule="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5、对技术复杂的货物，甲方应请国家认可的专业检测机构参与初步验收及最终验收，并由其出具质量检测报告。</w:t>
      </w:r>
    </w:p>
    <w:p w14:paraId="6A0FCD9C">
      <w:pPr>
        <w:pStyle w:val="26"/>
        <w:snapToGrid w:val="0"/>
        <w:spacing w:before="120" w:after="120" w:line="360" w:lineRule="auto"/>
        <w:ind w:left="480" w:hanging="480" w:hangingChars="200"/>
        <w:rPr>
          <w:rFonts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6、验收时乙方必须在现场，验收完毕后作出验收结果报告;验收费用由甲方负责。</w:t>
      </w:r>
    </w:p>
    <w:p w14:paraId="00A8C5C3">
      <w:pPr>
        <w:pStyle w:val="26"/>
        <w:snapToGrid w:val="0"/>
        <w:spacing w:before="120" w:after="120"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五</w:t>
      </w:r>
      <w:r>
        <w:rPr>
          <w:rFonts w:asciiTheme="minorEastAsia" w:hAnsiTheme="minorEastAsia" w:eastAsiaTheme="minorEastAsia"/>
          <w:b/>
          <w:color w:val="auto"/>
          <w:sz w:val="24"/>
          <w:highlight w:val="none"/>
        </w:rPr>
        <w:t>、货物包装、发运及运输</w:t>
      </w:r>
    </w:p>
    <w:p w14:paraId="36E9BD0D">
      <w:pPr>
        <w:pStyle w:val="26"/>
        <w:snapToGrid w:val="0"/>
        <w:spacing w:before="120" w:after="12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乙方应在货物发运前对其进行满足运输距离、防潮、防震、防锈和防破损装卸等要求包装，以保证货物安全运达甲方指定地点。</w:t>
      </w:r>
    </w:p>
    <w:p w14:paraId="11900CDC">
      <w:pPr>
        <w:pStyle w:val="26"/>
        <w:snapToGrid w:val="0"/>
        <w:spacing w:before="120" w:after="120" w:line="360" w:lineRule="auto"/>
        <w:ind w:left="480" w:hanging="480" w:hanging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使用说明书、质量检验证明书、随配附件和工具以及清单一并附于货物内。</w:t>
      </w:r>
    </w:p>
    <w:p w14:paraId="4E4A3F5B">
      <w:pPr>
        <w:pStyle w:val="26"/>
        <w:snapToGrid w:val="0"/>
        <w:spacing w:before="120" w:after="12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乙方在货物发运手续办理完毕后24小时内或货到甲方48小时前通知甲方，以准备接货。</w:t>
      </w:r>
    </w:p>
    <w:p w14:paraId="539DED7B">
      <w:pPr>
        <w:pStyle w:val="26"/>
        <w:snapToGrid w:val="0"/>
        <w:spacing w:before="120" w:after="120" w:line="360" w:lineRule="auto"/>
        <w:ind w:left="480" w:hanging="480" w:hanging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货物在交付甲方前发生的风险均由乙方负责。</w:t>
      </w:r>
    </w:p>
    <w:p w14:paraId="514751EB">
      <w:pPr>
        <w:pStyle w:val="26"/>
        <w:snapToGrid w:val="0"/>
        <w:spacing w:before="120" w:after="12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货物在规定的交付期限内由乙方送达甲方指定的地点视为交付，乙方同时需通知甲方货物已送达。</w:t>
      </w:r>
    </w:p>
    <w:p w14:paraId="1E9EBCB7">
      <w:pPr>
        <w:pStyle w:val="26"/>
        <w:snapToGrid w:val="0"/>
        <w:spacing w:line="360" w:lineRule="auto"/>
        <w:ind w:right="26"/>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6</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乙方运送的货物涉及商品包装和快递包装的，参考《商品包装政府采购需求标准（试行）》、《快递包装政府采购需求标准（试行）》(财办库〔2020〕123号)</w:t>
      </w:r>
      <w:r>
        <w:rPr>
          <w:rFonts w:hint="eastAsia" w:asciiTheme="minorEastAsia" w:hAnsiTheme="minorEastAsia" w:eastAsiaTheme="minorEastAsia"/>
          <w:color w:val="auto"/>
          <w:sz w:val="24"/>
          <w:highlight w:val="none"/>
          <w:lang w:eastAsia="zh-CN"/>
        </w:rPr>
        <w:t>。</w:t>
      </w:r>
    </w:p>
    <w:p w14:paraId="0B616E7F">
      <w:pPr>
        <w:pStyle w:val="26"/>
        <w:snapToGrid w:val="0"/>
        <w:spacing w:before="120" w:after="120"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六</w:t>
      </w:r>
      <w:r>
        <w:rPr>
          <w:rFonts w:asciiTheme="minorEastAsia" w:hAnsiTheme="minorEastAsia" w:eastAsiaTheme="minorEastAsia"/>
          <w:b/>
          <w:color w:val="auto"/>
          <w:sz w:val="24"/>
          <w:highlight w:val="none"/>
        </w:rPr>
        <w:t>、违约责任</w:t>
      </w:r>
    </w:p>
    <w:p w14:paraId="1201804D">
      <w:pPr>
        <w:pStyle w:val="26"/>
        <w:snapToGrid w:val="0"/>
        <w:spacing w:before="120" w:after="120" w:line="360" w:lineRule="auto"/>
        <w:ind w:left="410" w:hanging="410" w:hangingChars="17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甲方无正当理由拒收货物的，甲方向乙方偿付拒收货款总值的</w:t>
      </w:r>
      <w:r>
        <w:rPr>
          <w:rFonts w:asciiTheme="minorEastAsia" w:hAnsiTheme="minorEastAsia" w:eastAsiaTheme="minorEastAsia"/>
          <w:color w:val="auto"/>
          <w:sz w:val="24"/>
          <w:highlight w:val="none"/>
          <w:u w:val="single"/>
        </w:rPr>
        <w:t>百分之五</w:t>
      </w:r>
      <w:r>
        <w:rPr>
          <w:rFonts w:asciiTheme="minorEastAsia" w:hAnsiTheme="minorEastAsia" w:eastAsiaTheme="minorEastAsia"/>
          <w:color w:val="auto"/>
          <w:sz w:val="24"/>
          <w:highlight w:val="none"/>
        </w:rPr>
        <w:t>违约金。</w:t>
      </w:r>
    </w:p>
    <w:p w14:paraId="556D77A8">
      <w:pPr>
        <w:pStyle w:val="26"/>
        <w:snapToGrid w:val="0"/>
        <w:spacing w:before="120" w:after="12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甲方无故逾期验收和办理货款支付手续的,甲方应按逾期付款</w:t>
      </w:r>
      <w:r>
        <w:rPr>
          <w:rFonts w:hint="eastAsia" w:asciiTheme="minorEastAsia" w:hAnsiTheme="minorEastAsia" w:eastAsiaTheme="minorEastAsia"/>
          <w:color w:val="auto"/>
          <w:sz w:val="24"/>
          <w:highlight w:val="none"/>
        </w:rPr>
        <w:t>金</w:t>
      </w:r>
      <w:r>
        <w:rPr>
          <w:rFonts w:asciiTheme="minorEastAsia" w:hAnsiTheme="minorEastAsia" w:eastAsiaTheme="minorEastAsia"/>
          <w:color w:val="auto"/>
          <w:sz w:val="24"/>
          <w:highlight w:val="none"/>
        </w:rPr>
        <w:t>额</w:t>
      </w:r>
      <w:r>
        <w:rPr>
          <w:rFonts w:asciiTheme="minorEastAsia" w:hAnsiTheme="minorEastAsia" w:eastAsiaTheme="minorEastAsia"/>
          <w:color w:val="auto"/>
          <w:sz w:val="24"/>
          <w:highlight w:val="none"/>
          <w:u w:val="single"/>
        </w:rPr>
        <w:t>万分之五</w:t>
      </w:r>
      <w:r>
        <w:rPr>
          <w:rFonts w:hint="eastAsia" w:asciiTheme="minorEastAsia" w:hAnsiTheme="minorEastAsia" w:eastAsiaTheme="minorEastAsia"/>
          <w:color w:val="auto"/>
          <w:sz w:val="24"/>
          <w:highlight w:val="none"/>
        </w:rPr>
        <w:t>每</w:t>
      </w:r>
      <w:r>
        <w:rPr>
          <w:rFonts w:asciiTheme="minorEastAsia" w:hAnsiTheme="minorEastAsia" w:eastAsiaTheme="minorEastAsia"/>
          <w:color w:val="auto"/>
          <w:sz w:val="24"/>
          <w:highlight w:val="none"/>
        </w:rPr>
        <w:t>日向乙方支付违约金。</w:t>
      </w:r>
    </w:p>
    <w:p w14:paraId="43E59A06">
      <w:pPr>
        <w:pStyle w:val="26"/>
        <w:snapToGrid w:val="0"/>
        <w:spacing w:before="120" w:after="12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 xml:space="preserve"> 乙方逾期交付货物的，乙方应按逾期交货总额</w:t>
      </w:r>
      <w:r>
        <w:rPr>
          <w:rFonts w:asciiTheme="minorEastAsia" w:hAnsiTheme="minorEastAsia" w:eastAsiaTheme="minorEastAsia"/>
          <w:color w:val="auto"/>
          <w:sz w:val="24"/>
          <w:highlight w:val="none"/>
          <w:u w:val="single"/>
        </w:rPr>
        <w:t>千分之六</w:t>
      </w:r>
      <w:r>
        <w:rPr>
          <w:rFonts w:hint="eastAsia" w:asciiTheme="minorEastAsia" w:hAnsiTheme="minorEastAsia" w:eastAsiaTheme="minorEastAsia"/>
          <w:color w:val="auto"/>
          <w:sz w:val="24"/>
          <w:highlight w:val="none"/>
        </w:rPr>
        <w:t>每</w:t>
      </w:r>
      <w:r>
        <w:rPr>
          <w:rFonts w:asciiTheme="minorEastAsia" w:hAnsiTheme="minorEastAsia" w:eastAsiaTheme="minorEastAsia"/>
          <w:color w:val="auto"/>
          <w:sz w:val="24"/>
          <w:highlight w:val="none"/>
        </w:rPr>
        <w:t>日向甲方支付违约金，由甲方从待付货款中扣除。逾期超过约定日期</w:t>
      </w:r>
      <w:r>
        <w:rPr>
          <w:rFonts w:asciiTheme="minorEastAsia" w:hAnsiTheme="minorEastAsia" w:eastAsiaTheme="minorEastAsia"/>
          <w:color w:val="auto"/>
          <w:sz w:val="24"/>
          <w:highlight w:val="none"/>
          <w:u w:val="single"/>
        </w:rPr>
        <w:t>10</w:t>
      </w:r>
      <w:r>
        <w:rPr>
          <w:rFonts w:asciiTheme="minorEastAsia" w:hAnsiTheme="minorEastAsia" w:eastAsiaTheme="minorEastAsia"/>
          <w:color w:val="auto"/>
          <w:sz w:val="24"/>
          <w:highlight w:val="none"/>
        </w:rPr>
        <w:t>个工作日不能交货的，甲方可解除本合同。因乙方逾期交货或因其他违约行为导致甲方解除合同的，</w:t>
      </w:r>
      <w:r>
        <w:rPr>
          <w:rFonts w:hint="eastAsia" w:asciiTheme="minorEastAsia" w:hAnsiTheme="minorEastAsia" w:eastAsiaTheme="minorEastAsia"/>
          <w:color w:val="auto"/>
          <w:sz w:val="24"/>
          <w:highlight w:val="none"/>
        </w:rPr>
        <w:t>没收履约保证金并追究乙方的违约责任</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lang w:eastAsia="zh-CN"/>
        </w:rPr>
        <w:t>还</w:t>
      </w:r>
      <w:r>
        <w:rPr>
          <w:rFonts w:asciiTheme="minorEastAsia" w:hAnsiTheme="minorEastAsia" w:eastAsiaTheme="minorEastAsia"/>
          <w:color w:val="auto"/>
          <w:sz w:val="24"/>
          <w:highlight w:val="none"/>
        </w:rPr>
        <w:t>应向甲方支付合同总值</w:t>
      </w:r>
      <w:r>
        <w:rPr>
          <w:rFonts w:hint="eastAsia" w:asciiTheme="minorEastAsia" w:hAnsiTheme="minorEastAsia" w:eastAsiaTheme="minorEastAsia"/>
          <w:color w:val="auto"/>
          <w:sz w:val="24"/>
          <w:highlight w:val="none"/>
          <w:u w:val="single"/>
          <w:lang w:val="en-US" w:eastAsia="zh-CN"/>
        </w:rPr>
        <w:t>6</w:t>
      </w:r>
      <w:r>
        <w:rPr>
          <w:rFonts w:asciiTheme="minorEastAsia" w:hAnsiTheme="minorEastAsia" w:eastAsiaTheme="minorEastAsia"/>
          <w:color w:val="auto"/>
          <w:sz w:val="24"/>
          <w:highlight w:val="none"/>
          <w:u w:val="single"/>
        </w:rPr>
        <w:t>%</w:t>
      </w:r>
      <w:r>
        <w:rPr>
          <w:rFonts w:asciiTheme="minorEastAsia" w:hAnsiTheme="minorEastAsia" w:eastAsiaTheme="minorEastAsia"/>
          <w:color w:val="auto"/>
          <w:sz w:val="24"/>
          <w:highlight w:val="none"/>
        </w:rPr>
        <w:t xml:space="preserve">的违约金，如造成甲方损失超过违约金的，超出部分由乙方继续承担赔偿责任。 </w:t>
      </w:r>
    </w:p>
    <w:p w14:paraId="1D211B36">
      <w:pPr>
        <w:pStyle w:val="26"/>
        <w:snapToGrid w:val="0"/>
        <w:spacing w:before="120" w:after="12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7B05882">
      <w:pPr>
        <w:pStyle w:val="26"/>
        <w:snapToGrid w:val="0"/>
        <w:spacing w:before="120" w:after="12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若发生纠纷，由违约方赔偿守约方因纠纷所支付的费用（包括但不限于律师费、差旅费、诉讼费、保全费、鉴定费、评估费等）</w:t>
      </w:r>
    </w:p>
    <w:p w14:paraId="531E7B89">
      <w:pPr>
        <w:pStyle w:val="26"/>
        <w:snapToGrid w:val="0"/>
        <w:spacing w:before="120" w:after="120"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、不可抗力事件处理</w:t>
      </w:r>
    </w:p>
    <w:p w14:paraId="214F94EB">
      <w:pPr>
        <w:pStyle w:val="26"/>
        <w:snapToGrid w:val="0"/>
        <w:spacing w:before="120" w:after="12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在合同有效期内，任何一方因不可抗力事件导致不能履行合同，则合同履行期可延长，其延长期与不可抗力影响期相同。</w:t>
      </w:r>
    </w:p>
    <w:p w14:paraId="2776CE8B">
      <w:pPr>
        <w:pStyle w:val="26"/>
        <w:snapToGrid w:val="0"/>
        <w:spacing w:before="120" w:after="120"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不可抗力事件发生后，应立即通知对方，并寄送有关权威机构出具的证明。</w:t>
      </w:r>
    </w:p>
    <w:p w14:paraId="4DAA8EAF">
      <w:pPr>
        <w:pStyle w:val="26"/>
        <w:snapToGrid w:val="0"/>
        <w:spacing w:before="120" w:after="12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不可抗力事件延续120天以上，双方应通过友好协商，确定是否继续履行合同。</w:t>
      </w:r>
    </w:p>
    <w:p w14:paraId="124B1221">
      <w:pPr>
        <w:pStyle w:val="26"/>
        <w:snapToGrid w:val="0"/>
        <w:spacing w:before="120" w:after="120"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八</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解决争议的方法</w:t>
      </w:r>
    </w:p>
    <w:p w14:paraId="3B8DB028">
      <w:pPr>
        <w:pStyle w:val="26"/>
        <w:snapToGrid w:val="0"/>
        <w:spacing w:before="120" w:after="12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 </w:t>
      </w:r>
      <w:r>
        <w:rPr>
          <w:rFonts w:asciiTheme="minorEastAsia" w:hAnsiTheme="minorEastAsia" w:eastAsiaTheme="minorEastAsia"/>
          <w:color w:val="auto"/>
          <w:sz w:val="24"/>
          <w:highlight w:val="none"/>
        </w:rPr>
        <w:t>如双方在履行合同时发生纠纷，应协商解决；协商不成时，可提请政府采购管理部门调解；调解不成的通过</w:t>
      </w:r>
      <w:r>
        <w:rPr>
          <w:rFonts w:hint="eastAsia" w:asciiTheme="minorEastAsia" w:hAnsiTheme="minorEastAsia" w:eastAsiaTheme="minorEastAsia"/>
          <w:color w:val="auto"/>
          <w:sz w:val="24"/>
          <w:highlight w:val="none"/>
        </w:rPr>
        <w:t>通过以下第（一）方式解决</w:t>
      </w:r>
      <w:r>
        <w:rPr>
          <w:rFonts w:asciiTheme="minorEastAsia" w:hAnsiTheme="minorEastAsia" w:eastAsiaTheme="minorEastAsia"/>
          <w:color w:val="auto"/>
          <w:sz w:val="24"/>
          <w:highlight w:val="none"/>
        </w:rPr>
        <w:t>：</w:t>
      </w:r>
    </w:p>
    <w:p w14:paraId="1482B52C">
      <w:pPr>
        <w:pStyle w:val="26"/>
        <w:snapToGrid w:val="0"/>
        <w:spacing w:before="120" w:after="12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提交台州仲裁委员会仲裁。</w:t>
      </w:r>
    </w:p>
    <w:p w14:paraId="6345314C">
      <w:pPr>
        <w:pStyle w:val="26"/>
        <w:snapToGrid w:val="0"/>
        <w:spacing w:before="120" w:after="120" w:line="360" w:lineRule="auto"/>
        <w:rPr>
          <w:color w:val="auto"/>
          <w:sz w:val="24"/>
          <w:highlight w:val="none"/>
        </w:rPr>
      </w:pPr>
      <w:r>
        <w:rPr>
          <w:rFonts w:hint="eastAsia" w:asciiTheme="minorEastAsia" w:hAnsiTheme="minorEastAsia" w:eastAsiaTheme="minorEastAsia"/>
          <w:color w:val="auto"/>
          <w:sz w:val="24"/>
          <w:highlight w:val="none"/>
        </w:rPr>
        <w:t>（二）</w:t>
      </w:r>
      <w:r>
        <w:rPr>
          <w:rFonts w:asciiTheme="minorEastAsia" w:hAnsiTheme="minorEastAsia" w:eastAsiaTheme="minorEastAsia"/>
          <w:color w:val="auto"/>
          <w:sz w:val="24"/>
          <w:highlight w:val="none"/>
        </w:rPr>
        <w:t xml:space="preserve">依法向人民法院提起诉讼。 </w:t>
      </w:r>
    </w:p>
    <w:p w14:paraId="3E54A5C4">
      <w:pPr>
        <w:pStyle w:val="26"/>
        <w:tabs>
          <w:tab w:val="left" w:pos="5790"/>
        </w:tabs>
        <w:snapToGrid w:val="0"/>
        <w:spacing w:before="120" w:after="120"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rPr>
        <w:t>九</w:t>
      </w:r>
      <w:r>
        <w:rPr>
          <w:rFonts w:asciiTheme="minorEastAsia" w:hAnsiTheme="minorEastAsia" w:eastAsiaTheme="minorEastAsia"/>
          <w:b/>
          <w:color w:val="auto"/>
          <w:sz w:val="24"/>
          <w:highlight w:val="none"/>
        </w:rPr>
        <w:t>、合同生效及其它</w:t>
      </w:r>
      <w:r>
        <w:rPr>
          <w:rFonts w:asciiTheme="minorEastAsia" w:hAnsiTheme="minorEastAsia" w:eastAsiaTheme="minorEastAsia"/>
          <w:b/>
          <w:color w:val="auto"/>
          <w:sz w:val="24"/>
          <w:highlight w:val="none"/>
        </w:rPr>
        <w:tab/>
      </w:r>
    </w:p>
    <w:p w14:paraId="7AE55B90">
      <w:pPr>
        <w:pStyle w:val="26"/>
        <w:snapToGrid w:val="0"/>
        <w:spacing w:before="120" w:after="120" w:line="360" w:lineRule="auto"/>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1、</w:t>
      </w:r>
      <w:r>
        <w:rPr>
          <w:rFonts w:hint="eastAsia" w:cs="宋体" w:asciiTheme="minorEastAsia" w:hAnsiTheme="minorEastAsia" w:eastAsiaTheme="minorEastAsia"/>
          <w:color w:val="auto"/>
          <w:sz w:val="24"/>
          <w:highlight w:val="none"/>
        </w:rPr>
        <w:t>其他条款见《专用合同条款》</w:t>
      </w:r>
      <w:r>
        <w:rPr>
          <w:rFonts w:hint="eastAsia" w:cs="宋体" w:asciiTheme="minorEastAsia" w:hAnsiTheme="minorEastAsia" w:eastAsiaTheme="minorEastAsia"/>
          <w:color w:val="auto"/>
          <w:sz w:val="24"/>
          <w:highlight w:val="none"/>
          <w:lang w:eastAsia="zh-CN"/>
        </w:rPr>
        <w:t>。</w:t>
      </w:r>
    </w:p>
    <w:p w14:paraId="54E44415">
      <w:pPr>
        <w:pStyle w:val="26"/>
        <w:snapToGrid w:val="0"/>
        <w:spacing w:before="120" w:after="120"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eastAsia="zh-CN"/>
        </w:rPr>
        <w:t>、</w:t>
      </w:r>
      <w:r>
        <w:rPr>
          <w:rFonts w:cs="宋体" w:asciiTheme="minorEastAsia" w:hAnsiTheme="minorEastAsia" w:eastAsiaTheme="minorEastAsia"/>
          <w:color w:val="auto"/>
          <w:sz w:val="24"/>
          <w:highlight w:val="none"/>
        </w:rPr>
        <w:t>合同经双方法定代表人或授权代表</w:t>
      </w:r>
      <w:r>
        <w:rPr>
          <w:rFonts w:hint="eastAsia" w:cs="宋体" w:asciiTheme="minorEastAsia" w:hAnsiTheme="minorEastAsia" w:eastAsiaTheme="minorEastAsia"/>
          <w:color w:val="auto"/>
          <w:sz w:val="24"/>
          <w:highlight w:val="none"/>
        </w:rPr>
        <w:t>签字</w:t>
      </w:r>
      <w:r>
        <w:rPr>
          <w:rFonts w:cs="宋体" w:asciiTheme="minorEastAsia" w:hAnsiTheme="minorEastAsia" w:eastAsiaTheme="minorEastAsia"/>
          <w:color w:val="auto"/>
          <w:sz w:val="24"/>
          <w:highlight w:val="none"/>
        </w:rPr>
        <w:t>并加盖单位公章后生效。</w:t>
      </w:r>
    </w:p>
    <w:p w14:paraId="0D2564B0">
      <w:pPr>
        <w:pStyle w:val="26"/>
        <w:snapToGrid w:val="0"/>
        <w:spacing w:before="120" w:after="120"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lang w:eastAsia="zh-CN"/>
        </w:rPr>
        <w:t>、</w:t>
      </w:r>
      <w:r>
        <w:rPr>
          <w:rFonts w:cs="宋体" w:asciiTheme="minorEastAsia" w:hAnsiTheme="minorEastAsia" w:eastAsiaTheme="minorEastAsia"/>
          <w:color w:val="auto"/>
          <w:sz w:val="24"/>
          <w:highlight w:val="none"/>
        </w:rPr>
        <w:t>本合同未尽事宜，遵照《</w:t>
      </w:r>
      <w:r>
        <w:rPr>
          <w:rFonts w:cs="宋体" w:asciiTheme="minorEastAsia" w:hAnsiTheme="minorEastAsia" w:eastAsiaTheme="minorEastAsia"/>
          <w:color w:val="auto"/>
          <w:sz w:val="24"/>
          <w:highlight w:val="none"/>
        </w:rPr>
        <w:fldChar w:fldCharType="begin"/>
      </w:r>
      <w:r>
        <w:rPr>
          <w:rFonts w:cs="宋体" w:asciiTheme="minorEastAsia" w:hAnsiTheme="minorEastAsia" w:eastAsiaTheme="minorEastAsia"/>
          <w:color w:val="auto"/>
          <w:sz w:val="24"/>
          <w:highlight w:val="none"/>
        </w:rPr>
        <w:instrText xml:space="preserve"> HYPERLINK "https://baike.so.com/doc/24285488-25517578.html" \t "https://www.so.com/_blank" </w:instrText>
      </w:r>
      <w:r>
        <w:rPr>
          <w:rFonts w:cs="宋体" w:asciiTheme="minorEastAsia" w:hAnsiTheme="minorEastAsia" w:eastAsiaTheme="minorEastAsia"/>
          <w:color w:val="auto"/>
          <w:sz w:val="24"/>
          <w:highlight w:val="none"/>
        </w:rPr>
        <w:fldChar w:fldCharType="separate"/>
      </w:r>
      <w:r>
        <w:rPr>
          <w:rFonts w:cs="宋体" w:asciiTheme="minorEastAsia" w:hAnsiTheme="minorEastAsia" w:eastAsiaTheme="minorEastAsia"/>
          <w:color w:val="auto"/>
          <w:sz w:val="24"/>
          <w:highlight w:val="none"/>
        </w:rPr>
        <w:t>中华人民共和国民法典</w:t>
      </w:r>
      <w:r>
        <w:rPr>
          <w:rFonts w:cs="宋体" w:asciiTheme="minorEastAsia" w:hAnsiTheme="minorEastAsia" w:eastAsiaTheme="minorEastAsia"/>
          <w:color w:val="auto"/>
          <w:sz w:val="24"/>
          <w:highlight w:val="none"/>
        </w:rPr>
        <w:fldChar w:fldCharType="end"/>
      </w:r>
      <w:r>
        <w:rPr>
          <w:rFonts w:cs="宋体" w:asciiTheme="minorEastAsia" w:hAnsiTheme="minorEastAsia" w:eastAsiaTheme="minorEastAsia"/>
          <w:color w:val="auto"/>
          <w:sz w:val="24"/>
          <w:highlight w:val="none"/>
        </w:rPr>
        <w:t>》有关条文执行。</w:t>
      </w:r>
    </w:p>
    <w:p w14:paraId="7704ADCC">
      <w:pPr>
        <w:pStyle w:val="26"/>
        <w:snapToGrid w:val="0"/>
        <w:spacing w:before="120" w:after="120"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本合同一式</w:t>
      </w:r>
      <w:r>
        <w:rPr>
          <w:rFonts w:hint="eastAsia" w:cs="宋体" w:asciiTheme="minorEastAsia" w:hAnsiTheme="minorEastAsia" w:eastAsiaTheme="minorEastAsia"/>
          <w:color w:val="auto"/>
          <w:sz w:val="24"/>
          <w:highlight w:val="none"/>
          <w:lang w:eastAsia="zh-CN"/>
        </w:rPr>
        <w:t>捌</w:t>
      </w:r>
      <w:r>
        <w:rPr>
          <w:rFonts w:hint="eastAsia" w:cs="宋体" w:asciiTheme="minorEastAsia" w:hAnsiTheme="minorEastAsia" w:eastAsiaTheme="minorEastAsia"/>
          <w:color w:val="auto"/>
          <w:sz w:val="24"/>
          <w:highlight w:val="none"/>
        </w:rPr>
        <w:t>份。甲、乙双方各执</w:t>
      </w:r>
      <w:r>
        <w:rPr>
          <w:rFonts w:hint="eastAsia" w:cs="宋体" w:asciiTheme="minorEastAsia" w:hAnsiTheme="minorEastAsia" w:eastAsiaTheme="minorEastAsia"/>
          <w:color w:val="auto"/>
          <w:sz w:val="24"/>
          <w:highlight w:val="none"/>
          <w:lang w:eastAsia="zh-CN"/>
        </w:rPr>
        <w:t>肆</w:t>
      </w:r>
      <w:r>
        <w:rPr>
          <w:rFonts w:hint="eastAsia" w:cs="宋体" w:asciiTheme="minorEastAsia" w:hAnsiTheme="minorEastAsia" w:eastAsiaTheme="minorEastAsia"/>
          <w:color w:val="auto"/>
          <w:sz w:val="24"/>
          <w:highlight w:val="none"/>
        </w:rPr>
        <w:t>份。本项目未尽事宜以</w:t>
      </w:r>
      <w:r>
        <w:rPr>
          <w:rFonts w:hint="eastAsia" w:cs="宋体" w:asciiTheme="minorEastAsia" w:hAnsiTheme="minorEastAsia" w:eastAsiaTheme="minorEastAsia"/>
          <w:color w:val="auto"/>
          <w:sz w:val="24"/>
          <w:highlight w:val="none"/>
          <w:lang w:eastAsia="zh-CN"/>
        </w:rPr>
        <w:t>采购</w:t>
      </w:r>
      <w:r>
        <w:rPr>
          <w:rFonts w:hint="eastAsia" w:cs="宋体" w:asciiTheme="minorEastAsia" w:hAnsiTheme="minorEastAsia" w:eastAsiaTheme="minorEastAsia"/>
          <w:color w:val="auto"/>
          <w:sz w:val="24"/>
          <w:highlight w:val="none"/>
        </w:rPr>
        <w:t>文件、投标文件及澄清文件等为准。</w:t>
      </w:r>
    </w:p>
    <w:p w14:paraId="4482956F">
      <w:pPr>
        <w:widowControl/>
        <w:spacing w:line="360" w:lineRule="auto"/>
        <w:rPr>
          <w:rFonts w:asciiTheme="minorEastAsia" w:hAnsiTheme="minorEastAsia" w:eastAsiaTheme="minorEastAsia"/>
          <w:b/>
          <w:color w:val="auto"/>
          <w:sz w:val="24"/>
          <w:highlight w:val="none"/>
        </w:rPr>
      </w:pPr>
    </w:p>
    <w:p w14:paraId="67D69BF3">
      <w:pPr>
        <w:widowControl/>
        <w:spacing w:line="360" w:lineRule="auto"/>
        <w:rPr>
          <w:rFonts w:asciiTheme="minorEastAsia" w:hAnsiTheme="minorEastAsia" w:eastAsiaTheme="minorEastAsia"/>
          <w:b/>
          <w:color w:val="auto"/>
          <w:sz w:val="24"/>
          <w:highlight w:val="none"/>
        </w:rPr>
      </w:pPr>
    </w:p>
    <w:p w14:paraId="2E7C38EC">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甲方（公章）                                     乙方（公章）</w:t>
      </w:r>
    </w:p>
    <w:p w14:paraId="0251CE56">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                                     法定代表人：</w:t>
      </w:r>
    </w:p>
    <w:p w14:paraId="1A307937">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委托代理人：                                     委托代理人：</w:t>
      </w:r>
    </w:p>
    <w:p w14:paraId="7459BA6B">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联系电话：                                       联系电话：</w:t>
      </w:r>
    </w:p>
    <w:p w14:paraId="536A5358">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                                       开户银行：</w:t>
      </w:r>
    </w:p>
    <w:p w14:paraId="4DAFF6B8">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帐号：                                           帐号：</w:t>
      </w:r>
    </w:p>
    <w:p w14:paraId="2F407ACB">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地址及邮编：                                     地址及邮编：</w:t>
      </w:r>
    </w:p>
    <w:p w14:paraId="71A768D8">
      <w:pPr>
        <w:spacing w:line="360" w:lineRule="auto"/>
        <w:rPr>
          <w:rFonts w:asciiTheme="minorEastAsia" w:hAnsiTheme="minorEastAsia" w:eastAsiaTheme="minorEastAsia"/>
          <w:color w:val="auto"/>
          <w:sz w:val="24"/>
          <w:highlight w:val="none"/>
        </w:rPr>
      </w:pPr>
    </w:p>
    <w:p w14:paraId="318D0F39">
      <w:pPr>
        <w:autoSpaceDE w:val="0"/>
        <w:autoSpaceDN w:val="0"/>
        <w:adjustRightInd w:val="0"/>
        <w:spacing w:line="360" w:lineRule="auto"/>
        <w:rPr>
          <w:rFonts w:ascii="宋体" w:hAnsi="宋体"/>
          <w:b/>
          <w:color w:val="auto"/>
          <w:kern w:val="0"/>
          <w:sz w:val="30"/>
          <w:highlight w:val="none"/>
        </w:rPr>
      </w:pPr>
      <w:r>
        <w:rPr>
          <w:rFonts w:hint="eastAsia" w:asciiTheme="minorEastAsia" w:hAnsiTheme="minorEastAsia" w:eastAsiaTheme="minorEastAsia"/>
          <w:color w:val="auto"/>
          <w:sz w:val="24"/>
          <w:highlight w:val="none"/>
        </w:rPr>
        <w:t>签订时间：    年   月    日</w:t>
      </w:r>
    </w:p>
    <w:p w14:paraId="2F932500">
      <w:pPr>
        <w:pStyle w:val="47"/>
        <w:ind w:firstLine="482"/>
        <w:rPr>
          <w:rFonts w:ascii="宋体" w:hAnsi="宋体" w:cs="宋体"/>
          <w:b/>
          <w:snapToGrid w:val="0"/>
          <w:color w:val="auto"/>
          <w:kern w:val="0"/>
          <w:sz w:val="24"/>
          <w:highlight w:val="none"/>
        </w:rPr>
      </w:pPr>
    </w:p>
    <w:p w14:paraId="1C6AB456">
      <w:pPr>
        <w:jc w:val="center"/>
        <w:rPr>
          <w:rFonts w:ascii="宋体" w:hAnsi="宋体"/>
          <w:color w:val="auto"/>
          <w:highlight w:val="none"/>
        </w:rPr>
      </w:pPr>
    </w:p>
    <w:p w14:paraId="1F634E3F">
      <w:pPr>
        <w:rPr>
          <w:rFonts w:hint="eastAsia" w:eastAsia="黑体"/>
          <w:color w:val="auto"/>
          <w:sz w:val="32"/>
          <w:szCs w:val="32"/>
          <w:highlight w:val="none"/>
        </w:rPr>
      </w:pPr>
      <w:r>
        <w:rPr>
          <w:rFonts w:hint="eastAsia" w:eastAsia="黑体"/>
          <w:color w:val="auto"/>
          <w:sz w:val="32"/>
          <w:szCs w:val="32"/>
          <w:highlight w:val="none"/>
        </w:rPr>
        <w:br w:type="page"/>
      </w:r>
    </w:p>
    <w:p w14:paraId="31B6A798">
      <w:pPr>
        <w:pStyle w:val="2"/>
        <w:numPr>
          <w:ilvl w:val="0"/>
          <w:numId w:val="0"/>
        </w:numPr>
        <w:ind w:left="425" w:leftChars="0"/>
        <w:jc w:val="center"/>
        <w:rPr>
          <w:rFonts w:eastAsia="黑体"/>
          <w:color w:val="auto"/>
          <w:sz w:val="32"/>
          <w:szCs w:val="32"/>
          <w:highlight w:val="none"/>
        </w:rPr>
      </w:pPr>
      <w:r>
        <w:rPr>
          <w:rFonts w:hint="eastAsia" w:eastAsia="黑体"/>
          <w:color w:val="auto"/>
          <w:sz w:val="32"/>
          <w:szCs w:val="32"/>
          <w:highlight w:val="none"/>
        </w:rPr>
        <w:t>专用合同条款</w:t>
      </w:r>
    </w:p>
    <w:p w14:paraId="15FE6A82">
      <w:pPr>
        <w:rPr>
          <w:color w:val="auto"/>
          <w:highlight w:val="none"/>
        </w:rPr>
      </w:pPr>
    </w:p>
    <w:p w14:paraId="0E4E9A0D">
      <w:pPr>
        <w:pStyle w:val="5"/>
        <w:tabs>
          <w:tab w:val="left" w:pos="142"/>
          <w:tab w:val="left" w:pos="993"/>
          <w:tab w:val="left" w:pos="1418"/>
          <w:tab w:val="left" w:pos="1560"/>
        </w:tabs>
        <w:spacing w:before="0" w:after="0" w:line="3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一般约定</w:t>
      </w:r>
    </w:p>
    <w:p w14:paraId="6B349EDA">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1.1监理人：</w:t>
      </w:r>
    </w:p>
    <w:p w14:paraId="025466D5">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p w14:paraId="01A10509">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p>
    <w:p w14:paraId="177AA0F1">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0BCB3B47">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p>
    <w:p w14:paraId="2AAD1156">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p w14:paraId="16DF8045">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1.2法律 </w:t>
      </w:r>
    </w:p>
    <w:p w14:paraId="2DD86E88">
      <w:pPr>
        <w:autoSpaceDE w:val="0"/>
        <w:autoSpaceDN w:val="0"/>
        <w:adjustRightIn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 xml:space="preserve">《浙江省建设工程计价规则（2018版）》，《通用安装工程工程量计算规范》（GB 50856-2013）、《市政工程工程量计算规范》（GB 50857-2013）、《建设工程工程量计算规范（2013）浙江省补充规定》（浙建站计〔2013〕63号）、《建设工程工程量清单计算规范（2013）浙江省补充规定（二）》（浙建站计〔2014〕31号）、《台州市建设工程工程量清单实施细则》（台建规[2010]300号）、《交通建设工程工程量清单计价规范第1部分 公路工程(DB33T628.1-2007》等工程所在地现行的有关工程造价方面规定 </w:t>
      </w:r>
      <w:r>
        <w:rPr>
          <w:rFonts w:hint="eastAsia" w:ascii="宋体" w:hAnsi="宋体" w:eastAsia="宋体" w:cs="宋体"/>
          <w:color w:val="auto"/>
          <w:sz w:val="24"/>
          <w:szCs w:val="24"/>
          <w:highlight w:val="none"/>
        </w:rPr>
        <w:t>。</w:t>
      </w:r>
    </w:p>
    <w:p w14:paraId="4825200B">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1.3标准和规范</w:t>
      </w:r>
    </w:p>
    <w:p w14:paraId="5CB72169">
      <w:pPr>
        <w:spacing w:line="360" w:lineRule="exact"/>
        <w:ind w:firstLine="352" w:firstLineChars="1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1.3.1适用于项目的标准规范包括：</w:t>
      </w:r>
    </w:p>
    <w:p w14:paraId="06836864">
      <w:pPr>
        <w:spacing w:line="360" w:lineRule="exact"/>
        <w:ind w:firstLine="352" w:firstLineChars="1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（1）《道路交通标志和标线》（GB5768）</w:t>
      </w:r>
    </w:p>
    <w:p w14:paraId="0BA82AC8">
      <w:pPr>
        <w:spacing w:line="3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（2）《道路交通反光膜》(GB/T 18833－2012)</w:t>
      </w:r>
    </w:p>
    <w:p w14:paraId="76A1155D">
      <w:pPr>
        <w:spacing w:line="3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（3）《交通建设工程工程量清单计价规范第1部分 公路工程(DB33T628.1-2007)</w:t>
      </w:r>
    </w:p>
    <w:p w14:paraId="38C44D06">
      <w:pPr>
        <w:spacing w:line="3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（4）《公安交通管理外场设备基础施工通用要求》（GA/T 652-2017）</w:t>
      </w:r>
    </w:p>
    <w:p w14:paraId="4A645E7A">
      <w:pPr>
        <w:spacing w:line="3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（5）《城市道路交叉口设计规程》(CJJ152-2010)</w:t>
      </w:r>
    </w:p>
    <w:p w14:paraId="6F343F6B">
      <w:pPr>
        <w:spacing w:line="3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（6）《城市道路工程设计规范》(CJJ37-2012)</w:t>
      </w:r>
    </w:p>
    <w:p w14:paraId="6D14237B">
      <w:pPr>
        <w:spacing w:line="3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（7）《城市道路机动车道宽度设计规范》(DB331057-2008)</w:t>
      </w:r>
    </w:p>
    <w:p w14:paraId="10B05A20">
      <w:pPr>
        <w:spacing w:line="3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（8）最新《道路交通标线质量要求和检测方法》(GBT16311)</w:t>
      </w:r>
    </w:p>
    <w:p w14:paraId="3E18DE46">
      <w:pPr>
        <w:spacing w:line="3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（9）《浙江省城市道路交通标志和标线设置规范》(DB33/T818-2010) </w:t>
      </w:r>
    </w:p>
    <w:p w14:paraId="584CC5B8">
      <w:pPr>
        <w:spacing w:line="3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 JTJ001—2003《公路工程技术标准》行业标准。 </w:t>
      </w:r>
    </w:p>
    <w:p w14:paraId="35EB0357">
      <w:pPr>
        <w:spacing w:line="3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（11）DBJ08-39-1994《道路交通管理设施设置技术规范》。 </w:t>
      </w:r>
    </w:p>
    <w:p w14:paraId="50137C58">
      <w:pPr>
        <w:spacing w:line="3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（12）《城市道路交通标志和标线设置规范》（GB51038-2015)</w:t>
      </w:r>
    </w:p>
    <w:p w14:paraId="454EEDB1">
      <w:pPr>
        <w:spacing w:line="3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（13）《路面标线涂料》JT/T280--2022</w:t>
      </w:r>
    </w:p>
    <w:p w14:paraId="2F046FF5">
      <w:pPr>
        <w:spacing w:line="3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（14）按现行的国家、省、市施工验收规范、质量评定标准及有关规定。合同工期内的标准、规范，招标文件中的技术要求等。如有新版标准则按新发行的标准执行。</w:t>
      </w:r>
    </w:p>
    <w:p w14:paraId="5A4E7A9C">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乙方文件</w:t>
      </w:r>
    </w:p>
    <w:p w14:paraId="140E3B63">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需要由乙方提供的文件，包括：</w:t>
      </w:r>
      <w:r>
        <w:rPr>
          <w:rFonts w:hint="eastAsia" w:ascii="宋体" w:hAnsi="宋体" w:eastAsia="宋体" w:cs="宋体"/>
          <w:color w:val="auto"/>
          <w:sz w:val="24"/>
          <w:szCs w:val="24"/>
          <w:highlight w:val="none"/>
          <w:u w:val="single"/>
        </w:rPr>
        <w:t>项目总进度计划、项目月进度计划表等</w:t>
      </w:r>
    </w:p>
    <w:p w14:paraId="7E056729">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乙方提供的文件的期限为：</w:t>
      </w:r>
      <w:r>
        <w:rPr>
          <w:rFonts w:hint="eastAsia" w:ascii="宋体" w:hAnsi="宋体" w:eastAsia="宋体" w:cs="宋体"/>
          <w:color w:val="auto"/>
          <w:sz w:val="24"/>
          <w:szCs w:val="24"/>
          <w:highlight w:val="none"/>
          <w:u w:val="single"/>
        </w:rPr>
        <w:t>进度计划在接到开工通知（或确定开工日期）后7天内提交；每月20日前向发包方提交下一月进度计划；</w:t>
      </w:r>
    </w:p>
    <w:p w14:paraId="65EDB3D5">
      <w:pPr>
        <w:spacing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1.5乙方在施工过程中所采用的专利、专有技术、技术秘密的使用费的承担方式：</w:t>
      </w:r>
      <w:r>
        <w:rPr>
          <w:rFonts w:hint="eastAsia" w:ascii="宋体" w:hAnsi="宋体" w:eastAsia="宋体" w:cs="宋体"/>
          <w:color w:val="auto"/>
          <w:sz w:val="24"/>
          <w:szCs w:val="24"/>
          <w:highlight w:val="none"/>
          <w:u w:val="single"/>
        </w:rPr>
        <w:t>包含在签约合同价内</w:t>
      </w:r>
      <w:r>
        <w:rPr>
          <w:rFonts w:hint="eastAsia" w:ascii="宋体" w:hAnsi="宋体" w:eastAsia="宋体" w:cs="宋体"/>
          <w:color w:val="auto"/>
          <w:kern w:val="0"/>
          <w:sz w:val="24"/>
          <w:szCs w:val="24"/>
          <w:highlight w:val="none"/>
        </w:rPr>
        <w:t>。</w:t>
      </w:r>
    </w:p>
    <w:p w14:paraId="195CB18C">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1.6工作量清单错误的修正</w:t>
      </w:r>
    </w:p>
    <w:p w14:paraId="3E911F2C">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出现工作量清单错误时，是否调整合同价格：</w:t>
      </w:r>
      <w:r>
        <w:rPr>
          <w:rFonts w:hint="eastAsia" w:ascii="宋体" w:hAnsi="宋体" w:eastAsia="宋体" w:cs="宋体"/>
          <w:color w:val="auto"/>
          <w:sz w:val="24"/>
          <w:szCs w:val="24"/>
          <w:highlight w:val="none"/>
          <w:u w:val="single"/>
        </w:rPr>
        <w:t>以实际发生工作量结算，结算金额不超过本项目预算</w:t>
      </w:r>
      <w:r>
        <w:rPr>
          <w:rFonts w:hint="eastAsia" w:ascii="宋体" w:hAnsi="宋体" w:eastAsia="宋体" w:cs="宋体"/>
          <w:color w:val="auto"/>
          <w:kern w:val="0"/>
          <w:sz w:val="24"/>
          <w:szCs w:val="24"/>
          <w:highlight w:val="none"/>
          <w:u w:val="single"/>
        </w:rPr>
        <w:t>。</w:t>
      </w:r>
    </w:p>
    <w:p w14:paraId="7FBCD5B2">
      <w:pPr>
        <w:pStyle w:val="5"/>
        <w:tabs>
          <w:tab w:val="left" w:pos="142"/>
          <w:tab w:val="left" w:pos="993"/>
          <w:tab w:val="left" w:pos="1418"/>
          <w:tab w:val="left" w:pos="1560"/>
        </w:tabs>
        <w:spacing w:before="0" w:after="0" w:line="3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甲方</w:t>
      </w:r>
    </w:p>
    <w:p w14:paraId="2106F9B8">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2.1甲方代表</w:t>
      </w:r>
    </w:p>
    <w:p w14:paraId="67BD6287">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甲方代表：</w:t>
      </w:r>
    </w:p>
    <w:p w14:paraId="175F4ED0">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p w14:paraId="4A945217">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p>
    <w:p w14:paraId="6AF81878">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p w14:paraId="6E116847">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4D426C8E">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p>
    <w:p w14:paraId="7AA76FAC">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p w14:paraId="6D7107DC">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甲方对甲方代表的授权范围如下：。</w:t>
      </w:r>
    </w:p>
    <w:p w14:paraId="6ECDC843">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2.2施工现场、施工条件和基础资料的提供</w:t>
      </w:r>
    </w:p>
    <w:p w14:paraId="390AA4E7">
      <w:pPr>
        <w:pStyle w:val="5"/>
        <w:tabs>
          <w:tab w:val="left" w:pos="142"/>
          <w:tab w:val="left" w:pos="993"/>
          <w:tab w:val="left" w:pos="1418"/>
          <w:tab w:val="left" w:pos="1560"/>
        </w:tabs>
        <w:spacing w:before="0" w:after="0" w:line="3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乙方</w:t>
      </w:r>
    </w:p>
    <w:p w14:paraId="3DB8C2F6">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乙方的一般义务</w:t>
      </w:r>
    </w:p>
    <w:p w14:paraId="7AAF2B3D">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乙方提交的竣工资料的内容：</w:t>
      </w:r>
      <w:r>
        <w:rPr>
          <w:rFonts w:hint="eastAsia" w:ascii="宋体" w:hAnsi="宋体" w:eastAsia="宋体" w:cs="宋体"/>
          <w:color w:val="auto"/>
          <w:sz w:val="24"/>
          <w:szCs w:val="24"/>
          <w:highlight w:val="none"/>
          <w:u w:val="single"/>
        </w:rPr>
        <w:t>向甲方提交按规范规定应由乙方编制部分的竣工资料</w:t>
      </w:r>
      <w:r>
        <w:rPr>
          <w:rFonts w:hint="eastAsia" w:ascii="宋体" w:hAnsi="宋体" w:eastAsia="宋体" w:cs="宋体"/>
          <w:color w:val="auto"/>
          <w:sz w:val="24"/>
          <w:szCs w:val="24"/>
          <w:highlight w:val="none"/>
        </w:rPr>
        <w:t>。</w:t>
      </w:r>
    </w:p>
    <w:p w14:paraId="6EB9511D">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乙方需要提交的竣工资料套数：</w:t>
      </w:r>
      <w:r>
        <w:rPr>
          <w:rFonts w:hint="eastAsia" w:ascii="宋体" w:hAnsi="宋体" w:eastAsia="宋体" w:cs="宋体"/>
          <w:color w:val="auto"/>
          <w:sz w:val="24"/>
          <w:szCs w:val="24"/>
          <w:highlight w:val="none"/>
          <w:u w:val="single"/>
        </w:rPr>
        <w:t xml:space="preserve"> 纸质七套，电子资料1套。</w:t>
      </w:r>
    </w:p>
    <w:p w14:paraId="07238629">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乙方提交的竣工资料的费用承担：</w:t>
      </w:r>
      <w:r>
        <w:rPr>
          <w:rFonts w:hint="eastAsia" w:ascii="宋体" w:hAnsi="宋体" w:eastAsia="宋体" w:cs="宋体"/>
          <w:color w:val="auto"/>
          <w:sz w:val="24"/>
          <w:szCs w:val="24"/>
          <w:highlight w:val="none"/>
          <w:u w:val="single"/>
        </w:rPr>
        <w:t xml:space="preserve">由乙方承担 </w:t>
      </w:r>
      <w:r>
        <w:rPr>
          <w:rFonts w:hint="eastAsia" w:ascii="宋体" w:hAnsi="宋体" w:eastAsia="宋体" w:cs="宋体"/>
          <w:color w:val="auto"/>
          <w:sz w:val="24"/>
          <w:szCs w:val="24"/>
          <w:highlight w:val="none"/>
        </w:rPr>
        <w:t>。</w:t>
      </w:r>
    </w:p>
    <w:p w14:paraId="055E51CA">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乙方提交的竣工资料移交时间：</w:t>
      </w:r>
      <w:r>
        <w:rPr>
          <w:rFonts w:hint="eastAsia" w:ascii="宋体" w:hAnsi="宋体" w:eastAsia="宋体" w:cs="宋体"/>
          <w:color w:val="auto"/>
          <w:sz w:val="24"/>
          <w:szCs w:val="24"/>
          <w:highlight w:val="none"/>
          <w:u w:val="single"/>
        </w:rPr>
        <w:t>项目竣工验收合格后7天内</w:t>
      </w:r>
      <w:r>
        <w:rPr>
          <w:rFonts w:hint="eastAsia" w:ascii="宋体" w:hAnsi="宋体" w:eastAsia="宋体" w:cs="宋体"/>
          <w:color w:val="auto"/>
          <w:sz w:val="24"/>
          <w:szCs w:val="24"/>
          <w:highlight w:val="none"/>
        </w:rPr>
        <w:t>。</w:t>
      </w:r>
    </w:p>
    <w:p w14:paraId="07C1A860">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乙方提交的竣工资料形式要求：</w:t>
      </w:r>
      <w:r>
        <w:rPr>
          <w:rFonts w:hint="eastAsia" w:ascii="宋体" w:hAnsi="宋体" w:eastAsia="宋体" w:cs="宋体"/>
          <w:color w:val="auto"/>
          <w:sz w:val="24"/>
          <w:szCs w:val="24"/>
          <w:highlight w:val="none"/>
          <w:u w:val="single"/>
        </w:rPr>
        <w:t>纸质及相关电子资料</w:t>
      </w:r>
      <w:r>
        <w:rPr>
          <w:rFonts w:hint="eastAsia" w:ascii="宋体" w:hAnsi="宋体" w:eastAsia="宋体" w:cs="宋体"/>
          <w:color w:val="auto"/>
          <w:sz w:val="24"/>
          <w:szCs w:val="24"/>
          <w:highlight w:val="none"/>
        </w:rPr>
        <w:t>。</w:t>
      </w:r>
    </w:p>
    <w:p w14:paraId="31E890C7">
      <w:pPr>
        <w:spacing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（2）乙方应履行的其他义务：</w:t>
      </w:r>
    </w:p>
    <w:p w14:paraId="409A67A9">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a、在施工中必须严格按照规范操作，采取相应防护措施，对不按规范要求施工或未采取防护措施的，造成的损失由乙方承担。</w:t>
      </w:r>
    </w:p>
    <w:p w14:paraId="153EDF1A">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b 、本项目施工安全由乙方负总责。</w:t>
      </w:r>
    </w:p>
    <w:p w14:paraId="49C10C2F">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c 、按当地有关部门要求,由乙方办理有关施工场地交通、环卫和施工噪音管理等手续。</w:t>
      </w:r>
    </w:p>
    <w:p w14:paraId="522F025F">
      <w:pPr>
        <w:spacing w:line="360" w:lineRule="exact"/>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（3）乙方诚实信用的承诺：</w:t>
      </w:r>
      <w:r>
        <w:rPr>
          <w:rFonts w:hint="eastAsia" w:ascii="宋体" w:hAnsi="宋体" w:eastAsia="宋体" w:cs="宋体"/>
          <w:color w:val="auto"/>
          <w:kern w:val="0"/>
          <w:sz w:val="24"/>
          <w:szCs w:val="24"/>
          <w:highlight w:val="none"/>
          <w:u w:val="single"/>
        </w:rPr>
        <w:t xml:space="preserve"> 严格按投标文件要求和合同条款执行          。</w:t>
      </w:r>
    </w:p>
    <w:p w14:paraId="7BCBFDAB">
      <w:pPr>
        <w:spacing w:line="360" w:lineRule="exact"/>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（4）乙方使用新技术、工法、工艺的承诺</w:t>
      </w:r>
      <w:r>
        <w:rPr>
          <w:rFonts w:hint="eastAsia" w:ascii="宋体" w:hAnsi="宋体" w:eastAsia="宋体" w:cs="宋体"/>
          <w:color w:val="auto"/>
          <w:kern w:val="0"/>
          <w:sz w:val="24"/>
          <w:szCs w:val="24"/>
          <w:highlight w:val="none"/>
          <w:u w:val="single"/>
        </w:rPr>
        <w:t xml:space="preserve">：   /        。 </w:t>
      </w:r>
    </w:p>
    <w:p w14:paraId="09F2BFE2">
      <w:pPr>
        <w:spacing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3.2</w:t>
      </w:r>
      <w:r>
        <w:rPr>
          <w:rFonts w:hint="eastAsia" w:ascii="宋体" w:hAnsi="宋体" w:eastAsia="宋体" w:cs="宋体"/>
          <w:color w:val="auto"/>
          <w:kern w:val="0"/>
          <w:sz w:val="24"/>
          <w:szCs w:val="24"/>
          <w:highlight w:val="none"/>
        </w:rPr>
        <w:t>乙方应履行的其他义务：</w:t>
      </w:r>
    </w:p>
    <w:p w14:paraId="08F7442C">
      <w:pPr>
        <w:tabs>
          <w:tab w:val="left" w:pos="0"/>
        </w:tabs>
        <w:spacing w:line="3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（1）按有关技术规范进行施工，确保项目质量。 </w:t>
      </w:r>
    </w:p>
    <w:p w14:paraId="7CAFD14F">
      <w:pPr>
        <w:tabs>
          <w:tab w:val="left" w:pos="0"/>
        </w:tabs>
        <w:spacing w:line="3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（2）服从甲方、监理工作的进程安排，及时进场并保证工期。 </w:t>
      </w:r>
    </w:p>
    <w:p w14:paraId="6F1C3499">
      <w:pPr>
        <w:tabs>
          <w:tab w:val="left" w:pos="0"/>
        </w:tabs>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(3)接到甲方更改通知时，按更改要求进行项目更改，并向监理报备。 </w:t>
      </w:r>
    </w:p>
    <w:p w14:paraId="13997B60">
      <w:pPr>
        <w:tabs>
          <w:tab w:val="left" w:pos="0"/>
        </w:tabs>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(4)应严格按本次招投标的规定要求履行并承担自己的职责。 </w:t>
      </w:r>
    </w:p>
    <w:p w14:paraId="76F4DFB1">
      <w:pPr>
        <w:tabs>
          <w:tab w:val="left" w:pos="0"/>
        </w:tabs>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(5)按图纸要求、合同条款、技术规范等要求，承担项目的维修、维护等工作。 </w:t>
      </w:r>
    </w:p>
    <w:p w14:paraId="52B1A4D2">
      <w:pPr>
        <w:tabs>
          <w:tab w:val="left" w:pos="0"/>
        </w:tabs>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(6)所使用的主要原材料均需要提供检测报告或质量保证单。 </w:t>
      </w:r>
    </w:p>
    <w:p w14:paraId="1CF3EB4F">
      <w:pPr>
        <w:tabs>
          <w:tab w:val="left" w:pos="0"/>
        </w:tabs>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(7)接受甲方的各项工作业务指导。</w:t>
      </w:r>
    </w:p>
    <w:p w14:paraId="20607D3D">
      <w:pPr>
        <w:tabs>
          <w:tab w:val="left" w:pos="0"/>
        </w:tabs>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(8)负责施工场地的安全文明生产。</w:t>
      </w:r>
    </w:p>
    <w:p w14:paraId="760FC5C4">
      <w:pPr>
        <w:tabs>
          <w:tab w:val="left" w:pos="0"/>
        </w:tabs>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(9)建立项目施工的质量保证体系。</w:t>
      </w:r>
    </w:p>
    <w:p w14:paraId="305D02C7">
      <w:pPr>
        <w:tabs>
          <w:tab w:val="left" w:pos="0"/>
        </w:tabs>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(10)负责交通安全设施施工场地、车辆、机械设备、原材料等的施工保障。 </w:t>
      </w:r>
    </w:p>
    <w:p w14:paraId="19E53428">
      <w:pPr>
        <w:tabs>
          <w:tab w:val="left" w:pos="0"/>
        </w:tabs>
        <w:spacing w:line="3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(11)接受甲方、监理对文明施工、安全施工、质量、施工时效等的监管。 </w:t>
      </w:r>
    </w:p>
    <w:p w14:paraId="1B5071D9">
      <w:pPr>
        <w:tabs>
          <w:tab w:val="left" w:pos="0"/>
        </w:tabs>
        <w:spacing w:line="3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(12)及时反馈联系单。</w:t>
      </w:r>
    </w:p>
    <w:p w14:paraId="56CE4CE7">
      <w:pPr>
        <w:tabs>
          <w:tab w:val="left" w:pos="0"/>
        </w:tabs>
        <w:spacing w:line="3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（13）乙方应提供正常施工必须的所有人工（包括工种）、机械设备（包括车辆）、主要原材料等；</w:t>
      </w:r>
    </w:p>
    <w:p w14:paraId="34866BDC">
      <w:pPr>
        <w:tabs>
          <w:tab w:val="left" w:pos="0"/>
        </w:tabs>
        <w:spacing w:line="3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（14）监理在巡查过程中发现乙方在施工中不按国家有关标准设置，经甲方确认后，乙方无条件返工，并承担因返工额外产生的费用； </w:t>
      </w:r>
    </w:p>
    <w:p w14:paraId="41647FFC">
      <w:pPr>
        <w:tabs>
          <w:tab w:val="left" w:pos="0"/>
        </w:tabs>
        <w:spacing w:line="3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(15）施工结束后乙方提供完工清单，监理及甲方按规定验收；</w:t>
      </w:r>
    </w:p>
    <w:p w14:paraId="2CEE732A">
      <w:pPr>
        <w:tabs>
          <w:tab w:val="left" w:pos="0"/>
        </w:tabs>
        <w:spacing w:line="36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（16）乙方有下列行为之一的，甲方有权终止合同。 </w:t>
      </w:r>
    </w:p>
    <w:p w14:paraId="3A508D43">
      <w:pPr>
        <w:tabs>
          <w:tab w:val="left" w:pos="0"/>
        </w:tabs>
        <w:spacing w:line="36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A、不符合技术标准的； </w:t>
      </w:r>
    </w:p>
    <w:p w14:paraId="79291867">
      <w:pPr>
        <w:tabs>
          <w:tab w:val="left" w:pos="0"/>
        </w:tabs>
        <w:spacing w:line="36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B、偷工减料的； </w:t>
      </w:r>
    </w:p>
    <w:p w14:paraId="2B24FB90">
      <w:pPr>
        <w:tabs>
          <w:tab w:val="left" w:pos="0"/>
        </w:tabs>
        <w:spacing w:line="36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C、不按图施工的； </w:t>
      </w:r>
    </w:p>
    <w:p w14:paraId="1BDDE9F6">
      <w:pPr>
        <w:tabs>
          <w:tab w:val="left" w:pos="0"/>
        </w:tabs>
        <w:spacing w:line="36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D、造成重特大责任事故的； </w:t>
      </w:r>
    </w:p>
    <w:p w14:paraId="75FAC0B5">
      <w:pPr>
        <w:tabs>
          <w:tab w:val="left" w:pos="0"/>
        </w:tabs>
        <w:spacing w:line="36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E、不文明安全施工的； </w:t>
      </w:r>
    </w:p>
    <w:p w14:paraId="7533DAE8">
      <w:pPr>
        <w:tabs>
          <w:tab w:val="left" w:pos="0"/>
        </w:tabs>
        <w:spacing w:line="36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F、不服从现场民警指挥的； </w:t>
      </w:r>
    </w:p>
    <w:p w14:paraId="15D56BB4">
      <w:pPr>
        <w:tabs>
          <w:tab w:val="left" w:pos="0"/>
        </w:tabs>
        <w:spacing w:line="36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G、擅自增设或变更交通安全设施的； </w:t>
      </w:r>
    </w:p>
    <w:p w14:paraId="050915A2">
      <w:pPr>
        <w:tabs>
          <w:tab w:val="left" w:pos="0"/>
        </w:tabs>
        <w:spacing w:line="36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H 、全部或部分项目违法转包； </w:t>
      </w:r>
    </w:p>
    <w:p w14:paraId="3A6F9DD8">
      <w:pPr>
        <w:tabs>
          <w:tab w:val="left" w:pos="0"/>
        </w:tabs>
        <w:spacing w:line="36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I、多次未按合同履行维护维修工作的；</w:t>
      </w:r>
    </w:p>
    <w:p w14:paraId="119CFE4B">
      <w:pPr>
        <w:tabs>
          <w:tab w:val="left" w:pos="0"/>
        </w:tabs>
        <w:spacing w:line="3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（17）乙方在施工项目中应先制定完善的施工方案，尽可能减小因施工对道路通行带来的影响，施工时应服从现场交警的管理及指挥； </w:t>
      </w:r>
    </w:p>
    <w:p w14:paraId="7E09DD74">
      <w:pPr>
        <w:tabs>
          <w:tab w:val="left" w:pos="0"/>
        </w:tabs>
        <w:spacing w:line="36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（18）乙方在台州市区内需有专门的工作场地、工作人员、车辆、设备及维护工具承担交通警察局的交通安全设施任务。</w:t>
      </w:r>
    </w:p>
    <w:p w14:paraId="4BEFDAE7">
      <w:pPr>
        <w:tabs>
          <w:tab w:val="left" w:pos="0"/>
        </w:tabs>
        <w:spacing w:line="36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（19）乙方对抢修、维修不及时造成的后果，除进行赔偿外，还需根据产生的后果严重程度，承担相应的法律责任。</w:t>
      </w:r>
    </w:p>
    <w:p w14:paraId="0E510FCC">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3.3项目经理</w:t>
      </w:r>
    </w:p>
    <w:p w14:paraId="390F2426">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3.3.1 </w:t>
      </w:r>
      <w:r>
        <w:rPr>
          <w:rFonts w:hint="eastAsia" w:ascii="宋体" w:hAnsi="宋体" w:eastAsia="宋体" w:cs="宋体"/>
          <w:color w:val="auto"/>
          <w:sz w:val="24"/>
          <w:szCs w:val="24"/>
          <w:highlight w:val="none"/>
        </w:rPr>
        <w:t>项目经理：</w:t>
      </w:r>
    </w:p>
    <w:p w14:paraId="14EF47AA">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p w14:paraId="1ACC6393">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p>
    <w:p w14:paraId="2BDDC894">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1187C63B">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p>
    <w:p w14:paraId="6606F4BF">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p w14:paraId="404BFE00">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乙方对项目经理的授权范围如下：。</w:t>
      </w:r>
    </w:p>
    <w:p w14:paraId="78D3C605">
      <w:pPr>
        <w:spacing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关于项目经理每月在施工现场的时间要求：</w:t>
      </w:r>
      <w:r>
        <w:rPr>
          <w:rFonts w:hint="eastAsia" w:ascii="宋体" w:hAnsi="宋体" w:eastAsia="宋体" w:cs="宋体"/>
          <w:color w:val="auto"/>
          <w:sz w:val="24"/>
          <w:szCs w:val="24"/>
          <w:highlight w:val="none"/>
          <w:u w:val="single"/>
        </w:rPr>
        <w:t xml:space="preserve">月到岗率须达到《台州市施工现场关键岗位人员管理实施细则》（台建规[2006]330号）要求 </w:t>
      </w:r>
      <w:r>
        <w:rPr>
          <w:rFonts w:hint="eastAsia" w:ascii="宋体" w:hAnsi="宋体" w:eastAsia="宋体" w:cs="宋体"/>
          <w:color w:val="auto"/>
          <w:sz w:val="24"/>
          <w:szCs w:val="24"/>
          <w:highlight w:val="none"/>
        </w:rPr>
        <w:t xml:space="preserve"> 。</w:t>
      </w:r>
    </w:p>
    <w:p w14:paraId="30B3902A">
      <w:pPr>
        <w:spacing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u w:val="single"/>
        </w:rPr>
        <w:t>乙方未提交劳动合同，以及没有为项目经理缴纳社会保险证明的违约责任：甲方有权要求更换项目经理，由此增加的费用和（或）延误的工期由乙方承担，按每更换一人次扣除履约保证金额的20%；及至甲方可通知乙方全部解除合同，所有履约保证金归甲方，并赔偿甲方损失</w:t>
      </w:r>
      <w:r>
        <w:rPr>
          <w:rFonts w:hint="eastAsia" w:ascii="宋体" w:hAnsi="宋体" w:eastAsia="宋体" w:cs="宋体"/>
          <w:color w:val="auto"/>
          <w:sz w:val="24"/>
          <w:szCs w:val="24"/>
          <w:highlight w:val="none"/>
        </w:rPr>
        <w:t>。</w:t>
      </w:r>
    </w:p>
    <w:p w14:paraId="23837B19">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项目经理未经批准，擅自离开施工现场的违约责任：</w:t>
      </w:r>
      <w:r>
        <w:rPr>
          <w:rFonts w:hint="eastAsia" w:ascii="宋体" w:hAnsi="宋体" w:eastAsia="宋体" w:cs="宋体"/>
          <w:color w:val="auto"/>
          <w:sz w:val="24"/>
          <w:szCs w:val="24"/>
          <w:highlight w:val="none"/>
          <w:u w:val="single"/>
        </w:rPr>
        <w:t>月到岗率须达到《台州市施工现场关键岗位人员管理实施细则》（台建规[2006]330号）要求，不足天数，每天扣除履约保证金额的0.1%，每月结算；连续二个月达不到要求且项目经理不能到岗的，甲方有权终止合同，没收全部履约保证金，同时赔偿甲方由此造成的损失。另遇有项目检查、验收或参观等活动时，无特殊原因不得离开施工现场</w:t>
      </w:r>
      <w:r>
        <w:rPr>
          <w:rFonts w:hint="eastAsia" w:ascii="宋体" w:hAnsi="宋体" w:eastAsia="宋体" w:cs="宋体"/>
          <w:color w:val="auto"/>
          <w:sz w:val="24"/>
          <w:szCs w:val="24"/>
          <w:highlight w:val="none"/>
        </w:rPr>
        <w:t>。</w:t>
      </w:r>
    </w:p>
    <w:p w14:paraId="54DE482E">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乙方擅自更换项目经理的违约责任：</w:t>
      </w:r>
      <w:r>
        <w:rPr>
          <w:rFonts w:hint="eastAsia" w:ascii="宋体" w:hAnsi="宋体" w:eastAsia="宋体" w:cs="宋体"/>
          <w:color w:val="auto"/>
          <w:sz w:val="24"/>
          <w:szCs w:val="24"/>
          <w:highlight w:val="none"/>
          <w:u w:val="single"/>
        </w:rPr>
        <w:t>项目经理因发生重大安全事故不适合再任、生病住院、终止劳动合同关系（提供相关部门或单位证明材料）、被责令停止执业、羁押或判刑情形，无法继续担任项目经理，乙方向甲方提出申请，甲方应同意更换，并报所在地建设行政主管部门批准、备案，更换到位的项目经理资质、信用等级不低于原项目经理；除上述情形外不允许更换，如乙方擅自更换，按每更换一人次扣除履约保证金额的20%；及至甲方可通知乙方全部解除合同，所有履约保证金归甲方，并赔偿甲方损失</w:t>
      </w:r>
      <w:r>
        <w:rPr>
          <w:rFonts w:hint="eastAsia" w:ascii="宋体" w:hAnsi="宋体" w:eastAsia="宋体" w:cs="宋体"/>
          <w:color w:val="auto"/>
          <w:sz w:val="24"/>
          <w:szCs w:val="24"/>
          <w:highlight w:val="none"/>
        </w:rPr>
        <w:t>。</w:t>
      </w:r>
    </w:p>
    <w:p w14:paraId="2F3E2B79">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乙方无正当理由拒绝更换项目经理的违约责任：</w:t>
      </w:r>
      <w:r>
        <w:rPr>
          <w:rFonts w:hint="eastAsia" w:ascii="宋体" w:hAnsi="宋体" w:eastAsia="宋体" w:cs="宋体"/>
          <w:color w:val="auto"/>
          <w:sz w:val="24"/>
          <w:szCs w:val="24"/>
          <w:highlight w:val="none"/>
          <w:u w:val="single"/>
        </w:rPr>
        <w:t>甲方可通知乙方全部解除合同，所有履约保证金归甲方，同时赔偿甲方损失</w:t>
      </w:r>
      <w:r>
        <w:rPr>
          <w:rFonts w:hint="eastAsia" w:ascii="宋体" w:hAnsi="宋体" w:eastAsia="宋体" w:cs="宋体"/>
          <w:color w:val="auto"/>
          <w:sz w:val="24"/>
          <w:szCs w:val="24"/>
          <w:highlight w:val="none"/>
        </w:rPr>
        <w:t>。</w:t>
      </w:r>
    </w:p>
    <w:p w14:paraId="47FB7E26">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乙方人员</w:t>
      </w:r>
    </w:p>
    <w:p w14:paraId="7F8A8665">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乙方提交项目管理机构及施工现场管理人员安排报告的期限：</w:t>
      </w:r>
      <w:r>
        <w:rPr>
          <w:rFonts w:hint="eastAsia" w:ascii="宋体" w:hAnsi="宋体" w:eastAsia="宋体" w:cs="宋体"/>
          <w:color w:val="auto"/>
          <w:sz w:val="24"/>
          <w:szCs w:val="24"/>
          <w:highlight w:val="none"/>
          <w:u w:val="single"/>
        </w:rPr>
        <w:t>接到开工通知（或确定开工日期）后7天内</w:t>
      </w:r>
      <w:r>
        <w:rPr>
          <w:rFonts w:hint="eastAsia" w:ascii="宋体" w:hAnsi="宋体" w:eastAsia="宋体" w:cs="宋体"/>
          <w:color w:val="auto"/>
          <w:sz w:val="24"/>
          <w:szCs w:val="24"/>
          <w:highlight w:val="none"/>
        </w:rPr>
        <w:t>。</w:t>
      </w:r>
    </w:p>
    <w:p w14:paraId="048EAAB2">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3.4.2 乙方无正当理由拒绝撤换主要施工管理人员的违约责任：</w:t>
      </w:r>
      <w:r>
        <w:rPr>
          <w:rFonts w:hint="eastAsia" w:ascii="宋体" w:hAnsi="宋体" w:eastAsia="宋体" w:cs="宋体"/>
          <w:color w:val="auto"/>
          <w:sz w:val="24"/>
          <w:szCs w:val="24"/>
          <w:highlight w:val="none"/>
          <w:u w:val="single"/>
        </w:rPr>
        <w:t>甲方可通知乙方全部解除合同，所有履约保证金归甲方，同时赔偿甲方损失。</w:t>
      </w:r>
    </w:p>
    <w:p w14:paraId="7F6870C2">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3.4.3 乙方主要施工管理人员离开施工现场的批准要求：按通用条款执行；另遇有项目检查、验收或参观等活动时，无特殊原因不得请假</w:t>
      </w:r>
      <w:r>
        <w:rPr>
          <w:rFonts w:hint="eastAsia" w:ascii="宋体" w:hAnsi="宋体" w:eastAsia="宋体" w:cs="宋体"/>
          <w:color w:val="auto"/>
          <w:sz w:val="24"/>
          <w:szCs w:val="24"/>
          <w:highlight w:val="none"/>
        </w:rPr>
        <w:t>。</w:t>
      </w:r>
    </w:p>
    <w:p w14:paraId="73926636">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乙方主要施工管理人员擅自离开施工现场的违约责任：</w:t>
      </w:r>
      <w:r>
        <w:rPr>
          <w:rFonts w:hint="eastAsia" w:ascii="宋体" w:hAnsi="宋体" w:eastAsia="宋体" w:cs="宋体"/>
          <w:color w:val="auto"/>
          <w:sz w:val="24"/>
          <w:szCs w:val="24"/>
          <w:highlight w:val="none"/>
          <w:u w:val="single"/>
        </w:rPr>
        <w:t>《台州市施工现场关键岗位人员管理实施细则》（台建规[2006]330号）规定的关键岗位人员到岗率达不到合同约定的天数的，不足天数每人次每天扣除履约保证金额的0.05%，每月结算</w:t>
      </w:r>
      <w:r>
        <w:rPr>
          <w:rFonts w:hint="eastAsia" w:ascii="宋体" w:hAnsi="宋体" w:eastAsia="宋体" w:cs="宋体"/>
          <w:color w:val="auto"/>
          <w:sz w:val="24"/>
          <w:szCs w:val="24"/>
          <w:highlight w:val="none"/>
        </w:rPr>
        <w:t>。</w:t>
      </w:r>
    </w:p>
    <w:p w14:paraId="7FB7C920">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 项目照管与成品、半成品保护</w:t>
      </w:r>
    </w:p>
    <w:p w14:paraId="18B7CD2D">
      <w:pPr>
        <w:spacing w:line="360" w:lineRule="exact"/>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乙方负责照管项目及项目相关的材料、项目设备的起始时间：</w:t>
      </w:r>
      <w:r>
        <w:rPr>
          <w:rFonts w:hint="eastAsia" w:ascii="宋体" w:hAnsi="宋体" w:eastAsia="宋体" w:cs="宋体"/>
          <w:color w:val="auto"/>
          <w:sz w:val="24"/>
          <w:szCs w:val="24"/>
          <w:highlight w:val="none"/>
          <w:u w:val="single"/>
        </w:rPr>
        <w:t>按合同通用条款执行</w:t>
      </w:r>
      <w:r>
        <w:rPr>
          <w:rFonts w:hint="eastAsia" w:ascii="宋体" w:hAnsi="宋体" w:eastAsia="宋体" w:cs="宋体"/>
          <w:color w:val="auto"/>
          <w:kern w:val="0"/>
          <w:sz w:val="24"/>
          <w:szCs w:val="24"/>
          <w:highlight w:val="none"/>
        </w:rPr>
        <w:t>。</w:t>
      </w:r>
    </w:p>
    <w:p w14:paraId="1813CE7D">
      <w:pPr>
        <w:spacing w:line="3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3.6其他事项</w:t>
      </w:r>
    </w:p>
    <w:p w14:paraId="7AE7CD6A">
      <w:pPr>
        <w:spacing w:line="3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施工时间为：高峰期除外（交警要求高峰施工的除外）。</w:t>
      </w:r>
    </w:p>
    <w:p w14:paraId="76A6D0ED">
      <w:pPr>
        <w:spacing w:line="3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标线主次干道施工时间为：每天的20时至次日7时（交警要求除外）。</w:t>
      </w:r>
    </w:p>
    <w:p w14:paraId="0971CBAB">
      <w:pPr>
        <w:pStyle w:val="5"/>
        <w:tabs>
          <w:tab w:val="left" w:pos="142"/>
          <w:tab w:val="left" w:pos="993"/>
          <w:tab w:val="left" w:pos="1418"/>
          <w:tab w:val="left" w:pos="1560"/>
        </w:tabs>
        <w:spacing w:before="0" w:after="0" w:line="3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监理人</w:t>
      </w:r>
    </w:p>
    <w:p w14:paraId="5D3D6C00">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4.1监理人的一般规定</w:t>
      </w:r>
    </w:p>
    <w:p w14:paraId="0C86DF77">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color w:val="auto"/>
          <w:sz w:val="24"/>
          <w:szCs w:val="24"/>
          <w:highlight w:val="none"/>
          <w:u w:val="single"/>
        </w:rPr>
        <w:t>按本项目监理合同约定内容</w:t>
      </w:r>
      <w:r>
        <w:rPr>
          <w:rFonts w:hint="eastAsia" w:ascii="宋体" w:hAnsi="宋体" w:eastAsia="宋体" w:cs="宋体"/>
          <w:color w:val="auto"/>
          <w:sz w:val="24"/>
          <w:szCs w:val="24"/>
          <w:highlight w:val="none"/>
        </w:rPr>
        <w:t>。</w:t>
      </w:r>
    </w:p>
    <w:p w14:paraId="7357E69C">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关于监理人的监理权限：</w:t>
      </w:r>
      <w:r>
        <w:rPr>
          <w:rFonts w:hint="eastAsia" w:ascii="宋体" w:hAnsi="宋体" w:eastAsia="宋体" w:cs="宋体"/>
          <w:color w:val="auto"/>
          <w:sz w:val="24"/>
          <w:szCs w:val="24"/>
          <w:highlight w:val="none"/>
          <w:u w:val="single"/>
        </w:rPr>
        <w:t>[按本项目监理合同约定内容，涉及项目变更（含设计变更等参建各方变更）均需报甲方审批后生效]</w:t>
      </w:r>
      <w:r>
        <w:rPr>
          <w:rFonts w:hint="eastAsia" w:ascii="宋体" w:hAnsi="宋体" w:eastAsia="宋体" w:cs="宋体"/>
          <w:color w:val="auto"/>
          <w:sz w:val="24"/>
          <w:szCs w:val="24"/>
          <w:highlight w:val="none"/>
        </w:rPr>
        <w:t xml:space="preserve">。 </w:t>
      </w:r>
    </w:p>
    <w:p w14:paraId="2A91CF29">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关于监理人在施工现场的办公场所、生活场所的提供和费用承担的约定：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7EE2563">
      <w:pPr>
        <w:pStyle w:val="5"/>
        <w:tabs>
          <w:tab w:val="left" w:pos="142"/>
          <w:tab w:val="left" w:pos="993"/>
          <w:tab w:val="left" w:pos="1418"/>
          <w:tab w:val="left" w:pos="1560"/>
        </w:tabs>
        <w:spacing w:before="0" w:after="0" w:line="3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项目质量</w:t>
      </w:r>
    </w:p>
    <w:p w14:paraId="7AB9E681">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质量要求</w:t>
      </w:r>
    </w:p>
    <w:p w14:paraId="7AEF14CE">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5.1.1 特殊质量标准和要求：</w:t>
      </w:r>
      <w:r>
        <w:rPr>
          <w:rFonts w:hint="eastAsia" w:ascii="宋体" w:hAnsi="宋体" w:eastAsia="宋体" w:cs="宋体"/>
          <w:color w:val="auto"/>
          <w:sz w:val="24"/>
          <w:szCs w:val="24"/>
          <w:highlight w:val="none"/>
          <w:u w:val="single"/>
        </w:rPr>
        <w:t>合格。</w:t>
      </w:r>
    </w:p>
    <w:p w14:paraId="2A0A0581">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关于项目奖项的约定：</w:t>
      </w:r>
      <w:r>
        <w:rPr>
          <w:rFonts w:hint="eastAsia" w:ascii="宋体" w:hAnsi="宋体" w:eastAsia="宋体" w:cs="宋体"/>
          <w:color w:val="auto"/>
          <w:sz w:val="24"/>
          <w:szCs w:val="24"/>
          <w:highlight w:val="none"/>
          <w:u w:val="single"/>
        </w:rPr>
        <w:t xml:space="preserve">      /      。</w:t>
      </w:r>
    </w:p>
    <w:p w14:paraId="0A79EAF2">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隐蔽项目检查</w:t>
      </w:r>
    </w:p>
    <w:p w14:paraId="33B10AC8">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5.2.1乙方提前通知监理人隐蔽项目检查的期限的约定：</w:t>
      </w:r>
      <w:r>
        <w:rPr>
          <w:rFonts w:hint="eastAsia" w:ascii="宋体" w:hAnsi="宋体" w:eastAsia="宋体" w:cs="宋体"/>
          <w:color w:val="auto"/>
          <w:sz w:val="24"/>
          <w:szCs w:val="24"/>
          <w:highlight w:val="none"/>
          <w:u w:val="single"/>
        </w:rPr>
        <w:t>按合同通用条款执行</w:t>
      </w:r>
      <w:r>
        <w:rPr>
          <w:rFonts w:hint="eastAsia" w:ascii="宋体" w:hAnsi="宋体" w:eastAsia="宋体" w:cs="宋体"/>
          <w:color w:val="auto"/>
          <w:sz w:val="24"/>
          <w:szCs w:val="24"/>
          <w:highlight w:val="none"/>
        </w:rPr>
        <w:t>。</w:t>
      </w:r>
    </w:p>
    <w:p w14:paraId="0A912BCB">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24</w:t>
      </w:r>
      <w:r>
        <w:rPr>
          <w:rFonts w:hint="eastAsia" w:ascii="宋体" w:hAnsi="宋体" w:eastAsia="宋体" w:cs="宋体"/>
          <w:color w:val="auto"/>
          <w:sz w:val="24"/>
          <w:szCs w:val="24"/>
          <w:highlight w:val="none"/>
        </w:rPr>
        <w:t>小时提交书面延期要求。</w:t>
      </w:r>
    </w:p>
    <w:p w14:paraId="29D637DB">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24</w:t>
      </w:r>
      <w:r>
        <w:rPr>
          <w:rFonts w:hint="eastAsia" w:ascii="宋体" w:hAnsi="宋体" w:eastAsia="宋体" w:cs="宋体"/>
          <w:color w:val="auto"/>
          <w:sz w:val="24"/>
          <w:szCs w:val="24"/>
          <w:highlight w:val="none"/>
        </w:rPr>
        <w:t>小时。由此导致工期延误的，工期予以顺延。</w:t>
      </w:r>
    </w:p>
    <w:p w14:paraId="2DCA9B3B">
      <w:pPr>
        <w:spacing w:line="360" w:lineRule="exact"/>
        <w:ind w:firstLine="482" w:firstLineChars="200"/>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隐蔽项目监管过程、验收过程、验收部位除办理纸质验收记录，还应留置监管过程、验收部位、验收过程、主要验收人员相片、影像等资料。</w:t>
      </w:r>
    </w:p>
    <w:p w14:paraId="2571272A">
      <w:pPr>
        <w:pStyle w:val="5"/>
        <w:tabs>
          <w:tab w:val="left" w:pos="142"/>
          <w:tab w:val="left" w:pos="993"/>
          <w:tab w:val="left" w:pos="1418"/>
          <w:tab w:val="left" w:pos="1560"/>
        </w:tabs>
        <w:spacing w:before="0" w:after="0" w:line="360" w:lineRule="exact"/>
        <w:ind w:firstLine="482" w:firstLineChars="200"/>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6. 安全文明施工与环境保护</w:t>
      </w:r>
    </w:p>
    <w:p w14:paraId="38468F6E">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14:paraId="05F650FC">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项目安全生产的达标目标及相应事项的约定：</w:t>
      </w:r>
      <w:r>
        <w:rPr>
          <w:rFonts w:hint="eastAsia" w:ascii="宋体" w:hAnsi="宋体" w:eastAsia="宋体" w:cs="宋体"/>
          <w:color w:val="auto"/>
          <w:sz w:val="24"/>
          <w:szCs w:val="24"/>
          <w:highlight w:val="none"/>
          <w:u w:val="single"/>
        </w:rPr>
        <w:t>按《浙江省建筑施工安全标准化管理规定》（浙建建[2012]54号）及省、市建筑业、安全监督等相关主管部门发布的有关管理规定执行。</w:t>
      </w:r>
    </w:p>
    <w:p w14:paraId="5AC09544">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6.1.2关于治安保卫的特别约定：</w:t>
      </w:r>
      <w:r>
        <w:rPr>
          <w:rFonts w:hint="eastAsia" w:ascii="宋体" w:hAnsi="宋体" w:eastAsia="宋体" w:cs="宋体"/>
          <w:color w:val="auto"/>
          <w:sz w:val="24"/>
          <w:szCs w:val="24"/>
          <w:highlight w:val="none"/>
          <w:u w:val="single"/>
        </w:rPr>
        <w:t>按合同通用条款</w:t>
      </w:r>
      <w:r>
        <w:rPr>
          <w:rFonts w:hint="eastAsia" w:ascii="宋体" w:hAnsi="宋体" w:eastAsia="宋体" w:cs="宋体"/>
          <w:color w:val="auto"/>
          <w:sz w:val="24"/>
          <w:szCs w:val="24"/>
          <w:highlight w:val="none"/>
        </w:rPr>
        <w:t>。</w:t>
      </w:r>
    </w:p>
    <w:p w14:paraId="467CCBF9">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color w:val="auto"/>
          <w:sz w:val="24"/>
          <w:szCs w:val="24"/>
          <w:highlight w:val="none"/>
          <w:u w:val="single"/>
        </w:rPr>
        <w:t>按合同通用条款</w:t>
      </w:r>
      <w:r>
        <w:rPr>
          <w:rFonts w:hint="eastAsia" w:ascii="宋体" w:hAnsi="宋体" w:eastAsia="宋体" w:cs="宋体"/>
          <w:color w:val="auto"/>
          <w:sz w:val="24"/>
          <w:szCs w:val="24"/>
          <w:highlight w:val="none"/>
        </w:rPr>
        <w:t>。</w:t>
      </w:r>
    </w:p>
    <w:p w14:paraId="13041D3C">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 文明施工</w:t>
      </w:r>
    </w:p>
    <w:p w14:paraId="7CE3F6BC">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color w:val="auto"/>
          <w:sz w:val="24"/>
          <w:szCs w:val="24"/>
          <w:highlight w:val="none"/>
          <w:u w:val="single"/>
        </w:rPr>
        <w:t>按省、市发有关文明施工管理规定执行。</w:t>
      </w:r>
      <w:r>
        <w:rPr>
          <w:rFonts w:hint="eastAsia" w:ascii="宋体" w:hAnsi="宋体" w:eastAsia="宋体" w:cs="宋体"/>
          <w:color w:val="auto"/>
          <w:sz w:val="24"/>
          <w:szCs w:val="24"/>
          <w:highlight w:val="none"/>
        </w:rPr>
        <w:t>。</w:t>
      </w:r>
    </w:p>
    <w:p w14:paraId="2182946C">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关于安全文明施工费支付比例和支付期限的约定：</w:t>
      </w:r>
      <w:r>
        <w:rPr>
          <w:rFonts w:hint="eastAsia" w:ascii="宋体" w:hAnsi="宋体" w:eastAsia="宋体" w:cs="宋体"/>
          <w:color w:val="auto"/>
          <w:sz w:val="24"/>
          <w:szCs w:val="24"/>
          <w:highlight w:val="none"/>
          <w:u w:val="single"/>
        </w:rPr>
        <w:t>安全文明施工费包含在签约合同价内。乙方经甲方同意采取合同以外的安全措施所产生的费用，由发、乙方协商处理；未经甲方同意，甲方可不承担由此增加费用；安全文明施工费支付比例、期限及使用按通用条款执行</w:t>
      </w:r>
      <w:r>
        <w:rPr>
          <w:rFonts w:hint="eastAsia" w:ascii="宋体" w:hAnsi="宋体" w:eastAsia="宋体" w:cs="宋体"/>
          <w:color w:val="auto"/>
          <w:sz w:val="24"/>
          <w:szCs w:val="24"/>
          <w:highlight w:val="none"/>
        </w:rPr>
        <w:t>。</w:t>
      </w:r>
    </w:p>
    <w:p w14:paraId="7EC73A73">
      <w:pPr>
        <w:pStyle w:val="5"/>
        <w:tabs>
          <w:tab w:val="left" w:pos="142"/>
          <w:tab w:val="left" w:pos="993"/>
          <w:tab w:val="left" w:pos="1418"/>
          <w:tab w:val="left" w:pos="1560"/>
        </w:tabs>
        <w:spacing w:before="0" w:after="0" w:line="3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工期和进度</w:t>
      </w:r>
    </w:p>
    <w:p w14:paraId="271EE06A">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施工组织设计</w:t>
      </w:r>
    </w:p>
    <w:p w14:paraId="6CF0B692">
      <w:pPr>
        <w:autoSpaceDE w:val="0"/>
        <w:autoSpaceDN w:val="0"/>
        <w:adjustRightInd w:val="0"/>
        <w:spacing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7.1.1 合</w:t>
      </w:r>
      <w:r>
        <w:rPr>
          <w:rFonts w:hint="eastAsia" w:ascii="宋体" w:hAnsi="宋体" w:eastAsia="宋体" w:cs="宋体"/>
          <w:color w:val="auto"/>
          <w:kern w:val="0"/>
          <w:sz w:val="24"/>
          <w:szCs w:val="24"/>
          <w:highlight w:val="none"/>
        </w:rPr>
        <w:t>同当事人约定的施工组织设计应包括的其他内容：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14C0A2E">
      <w:pPr>
        <w:autoSpaceDE w:val="0"/>
        <w:autoSpaceDN w:val="0"/>
        <w:adjustRightInd w:val="0"/>
        <w:spacing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7.1.2 </w:t>
      </w:r>
      <w:r>
        <w:rPr>
          <w:rFonts w:hint="eastAsia" w:ascii="宋体" w:hAnsi="宋体" w:eastAsia="宋体" w:cs="宋体"/>
          <w:color w:val="auto"/>
          <w:kern w:val="0"/>
          <w:sz w:val="24"/>
          <w:szCs w:val="24"/>
          <w:highlight w:val="none"/>
        </w:rPr>
        <w:t>施工组织设计的提交和修改</w:t>
      </w:r>
    </w:p>
    <w:p w14:paraId="75138E10">
      <w:pPr>
        <w:autoSpaceDE w:val="0"/>
        <w:autoSpaceDN w:val="0"/>
        <w:adjustRightIn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乙方提交详细施工组织设计的期限的约定：</w:t>
      </w:r>
      <w:r>
        <w:rPr>
          <w:rFonts w:hint="eastAsia" w:ascii="宋体" w:hAnsi="宋体" w:eastAsia="宋体" w:cs="宋体"/>
          <w:color w:val="auto"/>
          <w:sz w:val="24"/>
          <w:szCs w:val="24"/>
          <w:highlight w:val="none"/>
          <w:u w:val="single"/>
        </w:rPr>
        <w:t>接到开工通知（或确定开工日期）后7天内，专项施工方案在相应部位施工前7天。甲方对乙方的施工组织设计（或方案）提出质疑和合理修正时，乙方应7天内提供修正完成并重新提交；每月20日前向发包方提交下一月进度计划和施工方案</w:t>
      </w:r>
      <w:r>
        <w:rPr>
          <w:rFonts w:hint="eastAsia" w:ascii="宋体" w:hAnsi="宋体" w:eastAsia="宋体" w:cs="宋体"/>
          <w:color w:val="auto"/>
          <w:sz w:val="24"/>
          <w:szCs w:val="24"/>
          <w:highlight w:val="none"/>
        </w:rPr>
        <w:t>。</w:t>
      </w:r>
    </w:p>
    <w:p w14:paraId="465CD637">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甲方和监理人在收到详细的施工组织设计后确认或提出修改意见的期限：</w:t>
      </w:r>
      <w:r>
        <w:rPr>
          <w:rFonts w:hint="eastAsia" w:ascii="宋体" w:hAnsi="宋体" w:eastAsia="宋体" w:cs="宋体"/>
          <w:color w:val="auto"/>
          <w:sz w:val="24"/>
          <w:szCs w:val="24"/>
          <w:highlight w:val="none"/>
          <w:u w:val="single"/>
        </w:rPr>
        <w:t>收到相应文件后7天内。</w:t>
      </w:r>
    </w:p>
    <w:p w14:paraId="0BD509AA">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施工进度计划</w:t>
      </w:r>
    </w:p>
    <w:p w14:paraId="4CE97462">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7.2.1施工进度计划的修订</w:t>
      </w:r>
    </w:p>
    <w:p w14:paraId="3CBC875F">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甲方和监理人在收到修订的施工进度计划后确认或提出修改意见的期限：</w:t>
      </w:r>
      <w:r>
        <w:rPr>
          <w:rFonts w:hint="eastAsia" w:ascii="宋体" w:hAnsi="宋体" w:eastAsia="宋体" w:cs="宋体"/>
          <w:color w:val="auto"/>
          <w:sz w:val="24"/>
          <w:szCs w:val="24"/>
          <w:highlight w:val="none"/>
          <w:u w:val="single"/>
        </w:rPr>
        <w:t>收到相应文件后7天内</w:t>
      </w:r>
      <w:r>
        <w:rPr>
          <w:rFonts w:hint="eastAsia" w:ascii="宋体" w:hAnsi="宋体" w:eastAsia="宋体" w:cs="宋体"/>
          <w:color w:val="auto"/>
          <w:sz w:val="24"/>
          <w:szCs w:val="24"/>
          <w:highlight w:val="none"/>
        </w:rPr>
        <w:t>。</w:t>
      </w:r>
    </w:p>
    <w:p w14:paraId="402E3C79">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开工</w:t>
      </w:r>
    </w:p>
    <w:p w14:paraId="359FEE26">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14:paraId="36085972">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关于乙方提交</w:t>
      </w:r>
      <w:r>
        <w:rPr>
          <w:rFonts w:hint="eastAsia" w:ascii="宋体" w:hAnsi="宋体" w:eastAsia="宋体" w:cs="宋体"/>
          <w:color w:val="auto"/>
          <w:kern w:val="0"/>
          <w:sz w:val="24"/>
          <w:szCs w:val="24"/>
          <w:highlight w:val="none"/>
        </w:rPr>
        <w:t>项目开工报审表的期限：</w:t>
      </w:r>
      <w:r>
        <w:rPr>
          <w:rFonts w:hint="eastAsia" w:ascii="宋体" w:hAnsi="宋体" w:eastAsia="宋体" w:cs="宋体"/>
          <w:color w:val="auto"/>
          <w:sz w:val="24"/>
          <w:szCs w:val="24"/>
          <w:highlight w:val="none"/>
          <w:u w:val="single"/>
        </w:rPr>
        <w:t>接到开工通知（或确定开工日期）后7天内</w:t>
      </w:r>
      <w:r>
        <w:rPr>
          <w:rFonts w:hint="eastAsia" w:ascii="宋体" w:hAnsi="宋体" w:eastAsia="宋体" w:cs="宋体"/>
          <w:color w:val="auto"/>
          <w:sz w:val="24"/>
          <w:szCs w:val="24"/>
          <w:highlight w:val="none"/>
        </w:rPr>
        <w:t>。</w:t>
      </w:r>
    </w:p>
    <w:p w14:paraId="7F8019B4">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关于甲方应完成的其他开工准备工作及期限：</w:t>
      </w:r>
      <w:r>
        <w:rPr>
          <w:rFonts w:hint="eastAsia" w:ascii="宋体" w:hAnsi="宋体" w:eastAsia="宋体" w:cs="宋体"/>
          <w:color w:val="auto"/>
          <w:sz w:val="24"/>
          <w:szCs w:val="24"/>
          <w:highlight w:val="none"/>
          <w:u w:val="single"/>
        </w:rPr>
        <w:t>开工前7天</w:t>
      </w:r>
      <w:r>
        <w:rPr>
          <w:rFonts w:hint="eastAsia" w:ascii="宋体" w:hAnsi="宋体" w:eastAsia="宋体" w:cs="宋体"/>
          <w:color w:val="auto"/>
          <w:sz w:val="24"/>
          <w:szCs w:val="24"/>
          <w:highlight w:val="none"/>
        </w:rPr>
        <w:t>。</w:t>
      </w:r>
    </w:p>
    <w:p w14:paraId="5C13C8E3">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关于乙方应完成的其他开工准备工作及期限：</w:t>
      </w:r>
      <w:r>
        <w:rPr>
          <w:rFonts w:hint="eastAsia" w:ascii="宋体" w:hAnsi="宋体" w:eastAsia="宋体" w:cs="宋体"/>
          <w:color w:val="auto"/>
          <w:sz w:val="24"/>
          <w:szCs w:val="24"/>
          <w:highlight w:val="none"/>
          <w:u w:val="single"/>
        </w:rPr>
        <w:t>开工前</w:t>
      </w:r>
      <w:r>
        <w:rPr>
          <w:rFonts w:hint="eastAsia" w:ascii="宋体" w:hAnsi="宋体" w:eastAsia="宋体" w:cs="宋体"/>
          <w:color w:val="auto"/>
          <w:sz w:val="24"/>
          <w:szCs w:val="24"/>
          <w:highlight w:val="none"/>
        </w:rPr>
        <w:t>。</w:t>
      </w:r>
    </w:p>
    <w:p w14:paraId="6EFFDBB8">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7.3.2开工通知</w:t>
      </w:r>
    </w:p>
    <w:p w14:paraId="291198A1">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甲方（或监理人）在计划开工日期前7天向乙方发出开工通知，工期自开工通知中载明的开工日期起算。</w:t>
      </w:r>
    </w:p>
    <w:p w14:paraId="3133C31A">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因甲方原因造成监理人未能在计划开工日期之日起</w:t>
      </w:r>
      <w:r>
        <w:rPr>
          <w:rFonts w:hint="eastAsia" w:ascii="宋体" w:hAnsi="宋体" w:eastAsia="宋体" w:cs="宋体"/>
          <w:color w:val="auto"/>
          <w:sz w:val="24"/>
          <w:szCs w:val="24"/>
          <w:highlight w:val="none"/>
          <w:u w:val="single"/>
        </w:rPr>
        <w:t>60</w:t>
      </w:r>
      <w:r>
        <w:rPr>
          <w:rFonts w:hint="eastAsia" w:ascii="宋体" w:hAnsi="宋体" w:eastAsia="宋体" w:cs="宋体"/>
          <w:color w:val="auto"/>
          <w:sz w:val="24"/>
          <w:szCs w:val="24"/>
          <w:highlight w:val="none"/>
        </w:rPr>
        <w:t>天内发出开工通知的，乙方有权提出价格调整要求，或者解除合同。甲方应当承担由此增加的费用或赔偿乙方的损失。</w:t>
      </w:r>
    </w:p>
    <w:p w14:paraId="3D6DCEF4">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测量放线</w:t>
      </w:r>
    </w:p>
    <w:p w14:paraId="2E66C36B">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7.4.1甲方通过监理人向乙方提供测量基准点、基准线和水准点及其书面资料的期限：</w:t>
      </w:r>
      <w:r>
        <w:rPr>
          <w:rFonts w:hint="eastAsia" w:ascii="宋体" w:hAnsi="宋体" w:eastAsia="宋体" w:cs="宋体"/>
          <w:color w:val="auto"/>
          <w:sz w:val="24"/>
          <w:szCs w:val="24"/>
          <w:highlight w:val="none"/>
          <w:u w:val="single"/>
        </w:rPr>
        <w:t>按合同通用条款执行</w:t>
      </w:r>
      <w:r>
        <w:rPr>
          <w:rFonts w:hint="eastAsia" w:ascii="宋体" w:hAnsi="宋体" w:eastAsia="宋体" w:cs="宋体"/>
          <w:color w:val="auto"/>
          <w:sz w:val="24"/>
          <w:szCs w:val="24"/>
          <w:highlight w:val="none"/>
        </w:rPr>
        <w:t>。</w:t>
      </w:r>
    </w:p>
    <w:p w14:paraId="42BF263C">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工期进度</w:t>
      </w:r>
    </w:p>
    <w:p w14:paraId="6CEE7680">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开工后</w:t>
      </w:r>
      <w:r>
        <w:rPr>
          <w:rFonts w:hint="eastAsia" w:ascii="宋体" w:hAnsi="宋体" w:eastAsia="宋体" w:cs="宋体"/>
          <w:b/>
          <w:bCs/>
          <w:color w:val="auto"/>
          <w:sz w:val="24"/>
          <w:szCs w:val="24"/>
          <w:highlight w:val="none"/>
          <w:lang w:val="en-US" w:eastAsia="zh-CN"/>
        </w:rPr>
        <w:t>90</w:t>
      </w:r>
      <w:r>
        <w:rPr>
          <w:rFonts w:hint="eastAsia" w:ascii="宋体" w:hAnsi="宋体" w:eastAsia="宋体" w:cs="宋体"/>
          <w:b/>
          <w:bCs/>
          <w:color w:val="auto"/>
          <w:sz w:val="24"/>
          <w:szCs w:val="24"/>
          <w:highlight w:val="none"/>
        </w:rPr>
        <w:t>天内完成不少于总工作量的50%，</w:t>
      </w: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0天内完成不少于总工作量85%，本工程工期1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0天。</w:t>
      </w:r>
    </w:p>
    <w:p w14:paraId="104602F2">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7.6工期延误</w:t>
      </w:r>
    </w:p>
    <w:p w14:paraId="68741150">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7.6.1 因甲方原因导致工期延误</w:t>
      </w:r>
    </w:p>
    <w:p w14:paraId="2A0CE1B9">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（7）因甲方原因导致工期延误的其他情形：</w:t>
      </w:r>
      <w:r>
        <w:rPr>
          <w:rFonts w:hint="eastAsia" w:ascii="宋体" w:hAnsi="宋体" w:eastAsia="宋体" w:cs="宋体"/>
          <w:color w:val="auto"/>
          <w:sz w:val="24"/>
          <w:szCs w:val="24"/>
          <w:highlight w:val="none"/>
          <w:u w:val="single"/>
        </w:rPr>
        <w:t>/。</w:t>
      </w:r>
    </w:p>
    <w:p w14:paraId="163B2CC6">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7.6.2 因乙方原因导致工期延误</w:t>
      </w:r>
    </w:p>
    <w:p w14:paraId="023BE0C6">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因乙方逾期交付货物的，乙方应按逾期交货总额千分之六每日向甲方支付违约金，由甲方从待付货款中扣除。逾期超过约定日期10个工作日不能交货的，甲方可解除本合同。因乙方逾期交货或因其他违约行为导致甲方解除合同的，没收履约保证金并追究乙方的违约责任</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乙方</w:t>
      </w:r>
      <w:r>
        <w:rPr>
          <w:rFonts w:hint="eastAsia" w:ascii="宋体" w:hAnsi="宋体" w:eastAsia="宋体" w:cs="宋体"/>
          <w:color w:val="auto"/>
          <w:sz w:val="24"/>
          <w:szCs w:val="24"/>
          <w:highlight w:val="none"/>
          <w:u w:val="single"/>
          <w:lang w:eastAsia="zh-CN"/>
        </w:rPr>
        <w:t>还</w:t>
      </w:r>
      <w:r>
        <w:rPr>
          <w:rFonts w:hint="eastAsia" w:ascii="宋体" w:hAnsi="宋体" w:eastAsia="宋体" w:cs="宋体"/>
          <w:color w:val="auto"/>
          <w:sz w:val="24"/>
          <w:szCs w:val="24"/>
          <w:highlight w:val="none"/>
          <w:u w:val="single"/>
        </w:rPr>
        <w:t>应向甲方支付合同总值</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 xml:space="preserve">%的违约金，如造成甲方损失超过违约金的，超出部分由乙方继续承担赔偿责任。 </w:t>
      </w:r>
    </w:p>
    <w:p w14:paraId="24A175EF">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7.7不利物质条件</w:t>
      </w:r>
    </w:p>
    <w:p w14:paraId="624FB9D0">
      <w:pPr>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不利物质条件的其他情形和有关约定：</w:t>
      </w:r>
    </w:p>
    <w:p w14:paraId="020652DD">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1、因政府行政命令（因乙方原因的除外）。</w:t>
      </w:r>
    </w:p>
    <w:p w14:paraId="5841B684">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2、非因双方原因而无法控制的爆炸、火灾等事件。</w:t>
      </w:r>
    </w:p>
    <w:p w14:paraId="7966101D">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7.8异常恶劣的气候条件</w:t>
      </w:r>
    </w:p>
    <w:p w14:paraId="409C1E14">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甲方和乙方同意以下情形视为异常恶劣的气候条件：</w:t>
      </w:r>
    </w:p>
    <w:p w14:paraId="604F0338">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8级以上持续24小时的大风（台风）</w:t>
      </w:r>
      <w:r>
        <w:rPr>
          <w:rFonts w:hint="eastAsia" w:ascii="宋体" w:hAnsi="宋体" w:eastAsia="宋体" w:cs="宋体"/>
          <w:color w:val="auto"/>
          <w:sz w:val="24"/>
          <w:szCs w:val="24"/>
          <w:highlight w:val="none"/>
        </w:rPr>
        <w:t>；</w:t>
      </w:r>
    </w:p>
    <w:p w14:paraId="66E395D7">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24小时内持续降雨且降水量为200mm以上</w:t>
      </w:r>
      <w:r>
        <w:rPr>
          <w:rFonts w:hint="eastAsia" w:ascii="宋体" w:hAnsi="宋体" w:eastAsia="宋体" w:cs="宋体"/>
          <w:color w:val="auto"/>
          <w:sz w:val="24"/>
          <w:szCs w:val="24"/>
          <w:highlight w:val="none"/>
        </w:rPr>
        <w:t>；</w:t>
      </w:r>
    </w:p>
    <w:p w14:paraId="4ACE4B45">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40摄氏度及以上且持续2天以上以上的高温天气</w:t>
      </w:r>
      <w:r>
        <w:rPr>
          <w:rFonts w:hint="eastAsia" w:ascii="宋体" w:hAnsi="宋体" w:eastAsia="宋体" w:cs="宋体"/>
          <w:color w:val="auto"/>
          <w:sz w:val="24"/>
          <w:szCs w:val="24"/>
          <w:highlight w:val="none"/>
        </w:rPr>
        <w:t>。</w:t>
      </w:r>
    </w:p>
    <w:p w14:paraId="4B4E5A60">
      <w:pPr>
        <w:pStyle w:val="5"/>
        <w:tabs>
          <w:tab w:val="left" w:pos="142"/>
          <w:tab w:val="left" w:pos="993"/>
          <w:tab w:val="left" w:pos="1418"/>
          <w:tab w:val="left" w:pos="1560"/>
        </w:tabs>
        <w:spacing w:before="0" w:after="0" w:line="3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材料与设备</w:t>
      </w:r>
    </w:p>
    <w:p w14:paraId="309DC298">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乙方采购材料与项目设备</w:t>
      </w:r>
    </w:p>
    <w:p w14:paraId="3E5F46FE">
      <w:pPr>
        <w:snapToGrid w:val="0"/>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（1）材料品牌、规格和使用要求：按招投标文件（相应）技术标准和要求执行。</w:t>
      </w:r>
    </w:p>
    <w:p w14:paraId="320328C4">
      <w:pPr>
        <w:autoSpaceDE w:val="0"/>
        <w:autoSpaceDN w:val="0"/>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（2）本项目使用材料要求。</w:t>
      </w:r>
    </w:p>
    <w:p w14:paraId="71F2407D">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（3）所有材料必须有质保书或合格证，符合规范要求，且品牌、产地需报甲方备案，否则，因此产生的后果均由乙方负责。</w:t>
      </w:r>
    </w:p>
    <w:p w14:paraId="6D3BA48C">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凡是招标文件注明规格、型号或相当于的厂家（品牌、产地）的材料，乙方必须按照招标文件要求采购和施工，优先使用相当于的厂家（品牌、产地），如需调整，必须经得甲方认可，否则由此引起的后果由乙方承担。</w:t>
      </w:r>
    </w:p>
    <w:p w14:paraId="003A8987">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（5）所有设备、材料等均需有产品合格证和质保书等必要资料，符合国家规定的技术标准，并且须经甲方及监理单位验收合格后方可使用。</w:t>
      </w:r>
    </w:p>
    <w:p w14:paraId="1884BBF3">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（6）根据项目需要，甲方有权对乙方投标时确认的品牌进行更换，更换后的材料价格由甲方签证进行结算。</w:t>
      </w:r>
    </w:p>
    <w:p w14:paraId="7E4C63AC">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8.2材料与项目设备的保管与使用</w:t>
      </w:r>
    </w:p>
    <w:p w14:paraId="4C6CBA11">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8.2.1甲方供应的材料设备的保管费用的承担：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A204BF7">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样品</w:t>
      </w:r>
    </w:p>
    <w:p w14:paraId="6055CC2C">
      <w:pPr>
        <w:autoSpaceDE w:val="0"/>
        <w:autoSpaceDN w:val="0"/>
        <w:adjustRightInd w:val="0"/>
        <w:spacing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8.6.1</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样品的报送与封存</w:t>
      </w:r>
    </w:p>
    <w:p w14:paraId="4787DD50">
      <w:pPr>
        <w:autoSpaceDE w:val="0"/>
        <w:autoSpaceDN w:val="0"/>
        <w:adjustRightIn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需要乙方报送样品的材料或项目设备，样品的种类、名称、规格、数量要求：</w:t>
      </w:r>
      <w:r>
        <w:rPr>
          <w:rFonts w:hint="eastAsia" w:ascii="宋体" w:hAnsi="宋体" w:eastAsia="宋体" w:cs="宋体"/>
          <w:color w:val="auto"/>
          <w:sz w:val="24"/>
          <w:szCs w:val="24"/>
          <w:highlight w:val="none"/>
          <w:u w:val="single"/>
        </w:rPr>
        <w:t>按招标文件要求。</w:t>
      </w:r>
    </w:p>
    <w:p w14:paraId="7FC28306">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 施工设备和临时设施</w:t>
      </w:r>
    </w:p>
    <w:p w14:paraId="2824C984">
      <w:pPr>
        <w:autoSpaceDE w:val="0"/>
        <w:autoSpaceDN w:val="0"/>
        <w:adjustRightIn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8.7.1 乙方提供的施工设备和临时设施</w:t>
      </w:r>
    </w:p>
    <w:p w14:paraId="3961F6C9">
      <w:pPr>
        <w:autoSpaceDE w:val="0"/>
        <w:autoSpaceDN w:val="0"/>
        <w:adjustRightIn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关于临时设施费用承担的约定：</w:t>
      </w:r>
      <w:r>
        <w:rPr>
          <w:rFonts w:hint="eastAsia" w:ascii="宋体" w:hAnsi="宋体" w:eastAsia="宋体" w:cs="宋体"/>
          <w:color w:val="auto"/>
          <w:sz w:val="24"/>
          <w:szCs w:val="24"/>
          <w:highlight w:val="none"/>
          <w:u w:val="single"/>
        </w:rPr>
        <w:t>由乙方承担。</w:t>
      </w:r>
    </w:p>
    <w:p w14:paraId="6CF25972">
      <w:pPr>
        <w:pStyle w:val="5"/>
        <w:tabs>
          <w:tab w:val="left" w:pos="142"/>
          <w:tab w:val="left" w:pos="993"/>
          <w:tab w:val="left" w:pos="1418"/>
          <w:tab w:val="left" w:pos="1560"/>
        </w:tabs>
        <w:spacing w:before="0" w:after="0" w:line="3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 试验与检验</w:t>
      </w:r>
    </w:p>
    <w:p w14:paraId="3BA94641">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9.1试验设备与试验人员</w:t>
      </w:r>
    </w:p>
    <w:p w14:paraId="69B4506E">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9.1.1 试验设备</w:t>
      </w:r>
    </w:p>
    <w:p w14:paraId="3C8369FD">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571DCD82">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施工现场需要配备的检验设备：</w:t>
      </w:r>
      <w:r>
        <w:rPr>
          <w:rFonts w:hint="eastAsia" w:ascii="宋体" w:hAnsi="宋体" w:eastAsia="宋体" w:cs="宋体"/>
          <w:color w:val="auto"/>
          <w:sz w:val="24"/>
          <w:szCs w:val="24"/>
          <w:highlight w:val="none"/>
          <w:u w:val="single"/>
        </w:rPr>
        <w:t>按招标文件要求</w:t>
      </w:r>
      <w:r>
        <w:rPr>
          <w:rFonts w:hint="eastAsia" w:ascii="宋体" w:hAnsi="宋体" w:eastAsia="宋体" w:cs="宋体"/>
          <w:color w:val="auto"/>
          <w:sz w:val="24"/>
          <w:szCs w:val="24"/>
          <w:highlight w:val="none"/>
        </w:rPr>
        <w:t>。</w:t>
      </w:r>
    </w:p>
    <w:p w14:paraId="22E6BD43">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066F374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9.2材料、项目设备和项目的试验和检验</w:t>
      </w:r>
    </w:p>
    <w:p w14:paraId="7225FDD0">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材料、设备和项目的试验和检验的费用：</w:t>
      </w:r>
    </w:p>
    <w:p w14:paraId="33FED48D">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乙方承担；专项检测试验费、新结构、新材料、构件破坏性试验及其他特殊要求检测试验等检测试验费由甲方承担。</w:t>
      </w:r>
    </w:p>
    <w:p w14:paraId="724AE77A">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当甲方或监理人指示乙方为核实本项目某一部分或某种材料设备是否有缺陷时，乙方应按要求进行检（试）验。如果该检（试）验表明确有缺陷存在，则检（试）验和试样的费用，甲方供应材料设备的，由甲方承担；乙方采购材料设备的，由乙方承担。如果该检（试）验表明没有缺陷，则由甲方承担检（试）验和试样的费用。</w:t>
      </w:r>
    </w:p>
    <w:p w14:paraId="46EB2B4E">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当质量安全管理机构根据相关规范要求开展，要求甲方与乙方开展本工程某一部分质量实体或某项材料设备质量监督抽检，甲方与乙方应配合，按要求进行检（试）验，检测、恢复费用由甲方承担。如检测不合格，则由乙方承担本次及重新检测、恢复费用。</w:t>
      </w:r>
    </w:p>
    <w:p w14:paraId="32D0C157">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现场工艺试验</w:t>
      </w:r>
    </w:p>
    <w:p w14:paraId="2511A69E">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C588195">
      <w:pPr>
        <w:pStyle w:val="5"/>
        <w:tabs>
          <w:tab w:val="left" w:pos="142"/>
          <w:tab w:val="left" w:pos="993"/>
          <w:tab w:val="left" w:pos="1418"/>
          <w:tab w:val="left" w:pos="1560"/>
        </w:tabs>
        <w:spacing w:before="0" w:after="0" w:line="3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变更</w:t>
      </w:r>
    </w:p>
    <w:p w14:paraId="17D5090B">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10.1变更的范围</w:t>
      </w:r>
    </w:p>
    <w:p w14:paraId="73FF3C91">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color w:val="auto"/>
          <w:sz w:val="24"/>
          <w:szCs w:val="24"/>
          <w:highlight w:val="none"/>
          <w:u w:val="single"/>
        </w:rPr>
        <w:t>按合同通用条款。项目变更引起工作量的减少或增加，乙方不得因此拒绝施工</w:t>
      </w:r>
      <w:r>
        <w:rPr>
          <w:rFonts w:hint="eastAsia" w:ascii="宋体" w:hAnsi="宋体" w:eastAsia="宋体" w:cs="宋体"/>
          <w:color w:val="auto"/>
          <w:sz w:val="24"/>
          <w:szCs w:val="24"/>
          <w:highlight w:val="none"/>
        </w:rPr>
        <w:t>。</w:t>
      </w:r>
    </w:p>
    <w:p w14:paraId="40249587">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10.2变更估价</w:t>
      </w:r>
    </w:p>
    <w:p w14:paraId="21EB67DE">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10.2.1 变更估价原则</w:t>
      </w:r>
    </w:p>
    <w:p w14:paraId="4BA95117">
      <w:pPr>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关于变更估价的约定: </w:t>
      </w:r>
    </w:p>
    <w:p w14:paraId="632DEF5C">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（1）已标价工作量清单或预算书有相同项目的，按照相同项目单价认定。</w:t>
      </w:r>
    </w:p>
    <w:p w14:paraId="79A76AD8">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10.2.2 变更估价程序</w:t>
      </w:r>
    </w:p>
    <w:p w14:paraId="7ECFC244">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乙方收到甲方、监理人、设计单位的变更指示后14天内向甲方提交变更估价申请。</w:t>
      </w:r>
    </w:p>
    <w:p w14:paraId="5982479B">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乙方提出项目变更、施工方案调整等变更应同时提交变更估价申请。</w:t>
      </w:r>
    </w:p>
    <w:p w14:paraId="478C5FB4">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10.3乙方的合理化建议</w:t>
      </w:r>
    </w:p>
    <w:p w14:paraId="0F28F6A8">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监理人审查乙方合理化建议的期限：</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1D6F961C">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甲方审批乙方合理化建议的期限：</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2C98A9BD">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乙方提出的合理化建议降低了合同价格或者提高了项目经济效益的奖励的方法和金额为：</w:t>
      </w:r>
      <w:r>
        <w:rPr>
          <w:rFonts w:hint="eastAsia" w:ascii="宋体" w:hAnsi="宋体" w:eastAsia="宋体" w:cs="宋体"/>
          <w:color w:val="auto"/>
          <w:sz w:val="24"/>
          <w:szCs w:val="24"/>
          <w:highlight w:val="none"/>
          <w:u w:val="single"/>
        </w:rPr>
        <w:t>/ 。</w:t>
      </w:r>
    </w:p>
    <w:p w14:paraId="44B751A4">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10.4暂估价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D8E5086">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10.5.1 依法必须招标的暂估价项目</w:t>
      </w:r>
    </w:p>
    <w:p w14:paraId="52FCEED8">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无承包价（暂定价）的单项材料、设备、专业分包项目估算价在30万元以上的（指可以向同一家供应商采购的同类材料总价），须由发、承包双方通过公开招标确定价格、供应商或分包人。乙方应按照施工进度计划，在招标工作启动前28天通知甲方，并提交暂估价招标方案和工作分工，招标工作接受有管辖权的建设项目招投标监督部门的监督。与组织招标工作有关的费用由甲方承担。</w:t>
      </w:r>
    </w:p>
    <w:p w14:paraId="57CE49ED">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10.5.2 不属于依法必须招标的暂估价项目</w:t>
      </w:r>
    </w:p>
    <w:p w14:paraId="027E1EE9">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按合同通用条款。</w:t>
      </w:r>
    </w:p>
    <w:p w14:paraId="15B4F54C">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乙方直接实施的暂估价项目的约定：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108B53D">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10.6 暂列金额</w:t>
      </w:r>
    </w:p>
    <w:p w14:paraId="7AE73495">
      <w:pPr>
        <w:autoSpaceDE w:val="0"/>
        <w:autoSpaceDN w:val="0"/>
        <w:adjustRightInd w:val="0"/>
        <w:spacing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合同当事人关于暂列金额使用的约定：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22E35243">
      <w:pPr>
        <w:pStyle w:val="5"/>
        <w:tabs>
          <w:tab w:val="left" w:pos="142"/>
          <w:tab w:val="left" w:pos="993"/>
          <w:tab w:val="left" w:pos="1418"/>
          <w:tab w:val="left" w:pos="1560"/>
        </w:tabs>
        <w:spacing w:before="0" w:after="0" w:line="3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价格调整</w:t>
      </w:r>
    </w:p>
    <w:p w14:paraId="3D702662">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市场价格波动引起的调整</w:t>
      </w:r>
    </w:p>
    <w:p w14:paraId="30CED3B2">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市场价格波动是否调整合同价格的约定：</w:t>
      </w:r>
      <w:r>
        <w:rPr>
          <w:rFonts w:hint="eastAsia" w:ascii="宋体" w:hAnsi="宋体" w:eastAsia="宋体" w:cs="宋体"/>
          <w:color w:val="auto"/>
          <w:sz w:val="24"/>
          <w:szCs w:val="24"/>
          <w:highlight w:val="none"/>
          <w:u w:val="single"/>
        </w:rPr>
        <w:t>不调整。</w:t>
      </w:r>
    </w:p>
    <w:p w14:paraId="49804767">
      <w:pPr>
        <w:pStyle w:val="5"/>
        <w:tabs>
          <w:tab w:val="left" w:pos="142"/>
          <w:tab w:val="left" w:pos="993"/>
          <w:tab w:val="left" w:pos="1418"/>
          <w:tab w:val="left" w:pos="1560"/>
        </w:tabs>
        <w:spacing w:before="0" w:after="0" w:line="3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合同价格、计量与支付</w:t>
      </w:r>
    </w:p>
    <w:p w14:paraId="205E5D9D">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合同价格形式</w:t>
      </w:r>
    </w:p>
    <w:p w14:paraId="4B223D87">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1）、结算方式：</w:t>
      </w:r>
    </w:p>
    <w:p w14:paraId="6EC0A171">
      <w:pPr>
        <w:pStyle w:val="26"/>
        <w:widowControl/>
        <w:adjustRightInd w:val="0"/>
        <w:spacing w:line="380" w:lineRule="exac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kern w:val="0"/>
          <w:sz w:val="24"/>
          <w:szCs w:val="24"/>
          <w:highlight w:val="none"/>
        </w:rPr>
        <w:t xml:space="preserve">    以实际发生工作量结算，结算金额不超过本项目预算</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600万元</w:t>
      </w:r>
      <w:r>
        <w:rPr>
          <w:rFonts w:hint="eastAsia" w:ascii="宋体" w:hAnsi="宋体" w:eastAsia="宋体" w:cs="宋体"/>
          <w:color w:val="auto"/>
          <w:kern w:val="0"/>
          <w:sz w:val="24"/>
          <w:szCs w:val="24"/>
          <w:highlight w:val="none"/>
          <w:lang w:eastAsia="zh-CN"/>
        </w:rPr>
        <w:t>）</w:t>
      </w:r>
    </w:p>
    <w:p w14:paraId="4541971D">
      <w:pPr>
        <w:autoSpaceDE w:val="0"/>
        <w:autoSpaceDN w:val="0"/>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2）其他可能发生的费用：</w:t>
      </w:r>
    </w:p>
    <w:p w14:paraId="7FDD477A">
      <w:pPr>
        <w:autoSpaceDE w:val="0"/>
        <w:autoSpaceDN w:val="0"/>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a.因施工噪音、物体坠落、材料抛散而扰民及影响环境卫生、现场文明和施工安全等问题而产生的费用，由乙方自行解决。因此，造成工期延长由乙方负责。如给甲方另行造成额外的经济损失，甲方可从乙方的项目款中扣回。</w:t>
      </w:r>
    </w:p>
    <w:p w14:paraId="2B436F88">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已包含在合同价内</w:t>
      </w:r>
      <w:r>
        <w:rPr>
          <w:rFonts w:hint="eastAsia" w:ascii="宋体" w:hAnsi="宋体" w:eastAsia="宋体" w:cs="宋体"/>
          <w:color w:val="auto"/>
          <w:sz w:val="24"/>
          <w:szCs w:val="24"/>
          <w:highlight w:val="none"/>
        </w:rPr>
        <w:t>。</w:t>
      </w:r>
    </w:p>
    <w:p w14:paraId="76A55DE6">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p>
    <w:p w14:paraId="03081D5B">
      <w:pPr>
        <w:autoSpaceDE w:val="0"/>
        <w:autoSpaceDN w:val="0"/>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zh-CN"/>
        </w:rPr>
        <w:t>1）</w:t>
      </w:r>
      <w:r>
        <w:rPr>
          <w:rFonts w:hint="eastAsia" w:ascii="宋体" w:hAnsi="宋体" w:eastAsia="宋体" w:cs="宋体"/>
          <w:color w:val="auto"/>
          <w:sz w:val="24"/>
          <w:szCs w:val="24"/>
          <w:highlight w:val="none"/>
          <w:u w:val="single"/>
        </w:rPr>
        <w:t>项目量按照《市政工程工程量计算规范》（GB 50857-2013）、《建设工程工程量计算规范（2013）浙江省补充规定》（浙建站计〔2013〕63号）、《交通建设工程工程量清单计价规范第1部分 公路工程(DB33T628.1-2007》及甲方提供的工作量清单中说明的工作量计算规则计算，由乙方计量、甲方及有关部门审核。</w:t>
      </w:r>
    </w:p>
    <w:p w14:paraId="13376B13">
      <w:pPr>
        <w:autoSpaceDE w:val="0"/>
        <w:autoSpaceDN w:val="0"/>
        <w:spacing w:line="360" w:lineRule="exact"/>
        <w:ind w:firstLine="480" w:firstLineChars="2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rPr>
        <w:t>2）</w:t>
      </w:r>
      <w:r>
        <w:rPr>
          <w:rFonts w:hint="eastAsia" w:ascii="宋体" w:hAnsi="宋体" w:eastAsia="宋体" w:cs="宋体"/>
          <w:color w:val="auto"/>
          <w:kern w:val="0"/>
          <w:sz w:val="24"/>
          <w:szCs w:val="24"/>
          <w:highlight w:val="none"/>
          <w:u w:val="single"/>
        </w:rPr>
        <w:t>因市场价格波动引起的调整按</w:t>
      </w:r>
      <w:r>
        <w:rPr>
          <w:rFonts w:hint="eastAsia" w:ascii="宋体" w:hAnsi="宋体" w:eastAsia="宋体" w:cs="宋体"/>
          <w:color w:val="auto"/>
          <w:sz w:val="24"/>
          <w:szCs w:val="24"/>
          <w:highlight w:val="none"/>
          <w:u w:val="single"/>
        </w:rPr>
        <w:t>本合同专用条款第11.1款的约定调整。</w:t>
      </w:r>
    </w:p>
    <w:p w14:paraId="124EA281">
      <w:pPr>
        <w:autoSpaceDE w:val="0"/>
        <w:autoSpaceDN w:val="0"/>
        <w:spacing w:line="360" w:lineRule="exact"/>
        <w:ind w:firstLine="480" w:firstLineChars="2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lang w:val="zh-CN"/>
        </w:rPr>
        <w:t>3）甲方提供的</w:t>
      </w:r>
      <w:r>
        <w:rPr>
          <w:rFonts w:hint="eastAsia" w:ascii="宋体" w:hAnsi="宋体" w:eastAsia="宋体" w:cs="宋体"/>
          <w:color w:val="auto"/>
          <w:sz w:val="24"/>
          <w:szCs w:val="24"/>
          <w:highlight w:val="none"/>
          <w:u w:val="single"/>
        </w:rPr>
        <w:t>工作</w:t>
      </w:r>
      <w:r>
        <w:rPr>
          <w:rFonts w:hint="eastAsia" w:ascii="宋体" w:hAnsi="宋体" w:eastAsia="宋体" w:cs="宋体"/>
          <w:color w:val="auto"/>
          <w:sz w:val="24"/>
          <w:szCs w:val="24"/>
          <w:highlight w:val="none"/>
          <w:u w:val="single"/>
          <w:lang w:val="zh-CN"/>
        </w:rPr>
        <w:t>量清单项目漏项、项目变更引起的新增项目、</w:t>
      </w:r>
      <w:r>
        <w:rPr>
          <w:rFonts w:hint="eastAsia" w:ascii="宋体" w:hAnsi="宋体" w:eastAsia="宋体" w:cs="宋体"/>
          <w:color w:val="auto"/>
          <w:sz w:val="24"/>
          <w:szCs w:val="24"/>
          <w:highlight w:val="none"/>
          <w:u w:val="single"/>
        </w:rPr>
        <w:t>工作</w:t>
      </w:r>
      <w:r>
        <w:rPr>
          <w:rFonts w:hint="eastAsia" w:ascii="宋体" w:hAnsi="宋体" w:eastAsia="宋体" w:cs="宋体"/>
          <w:color w:val="auto"/>
          <w:sz w:val="24"/>
          <w:szCs w:val="24"/>
          <w:highlight w:val="none"/>
          <w:u w:val="single"/>
          <w:lang w:val="zh-CN"/>
        </w:rPr>
        <w:t>量清单局部变更，</w:t>
      </w:r>
      <w:r>
        <w:rPr>
          <w:rFonts w:hint="eastAsia" w:ascii="宋体" w:hAnsi="宋体" w:eastAsia="宋体" w:cs="宋体"/>
          <w:color w:val="auto"/>
          <w:sz w:val="24"/>
          <w:szCs w:val="24"/>
          <w:highlight w:val="none"/>
          <w:u w:val="single"/>
        </w:rPr>
        <w:t>与已标价工作量清单项目不同或相类似项目，</w:t>
      </w:r>
      <w:r>
        <w:rPr>
          <w:rFonts w:hint="eastAsia" w:ascii="宋体" w:hAnsi="宋体" w:eastAsia="宋体" w:cs="宋体"/>
          <w:color w:val="auto"/>
          <w:sz w:val="24"/>
          <w:szCs w:val="24"/>
          <w:highlight w:val="none"/>
          <w:u w:val="single"/>
          <w:lang w:val="zh-CN"/>
        </w:rPr>
        <w:t>其每项单价的确定方法</w:t>
      </w:r>
      <w:r>
        <w:rPr>
          <w:rFonts w:hint="eastAsia" w:ascii="宋体" w:hAnsi="宋体" w:eastAsia="宋体" w:cs="宋体"/>
          <w:color w:val="auto"/>
          <w:sz w:val="24"/>
          <w:szCs w:val="24"/>
          <w:highlight w:val="none"/>
          <w:u w:val="single"/>
        </w:rPr>
        <w:t>按本合同专用条款12.1.1）款约定执行。</w:t>
      </w:r>
    </w:p>
    <w:p w14:paraId="58F9ECAB">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预付款</w:t>
      </w:r>
    </w:p>
    <w:p w14:paraId="47481D38">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 预付款的支付</w:t>
      </w:r>
    </w:p>
    <w:p w14:paraId="18149755">
      <w:pPr>
        <w:spacing w:line="360" w:lineRule="exact"/>
        <w:ind w:firstLine="480" w:firstLineChars="200"/>
        <w:rPr>
          <w:rFonts w:hint="eastAsia" w:ascii="宋体" w:hAnsi="宋体" w:eastAsia="宋体" w:cs="宋体"/>
          <w:i/>
          <w:color w:val="auto"/>
          <w:sz w:val="24"/>
          <w:szCs w:val="24"/>
          <w:highlight w:val="none"/>
          <w:u w:val="single"/>
        </w:rPr>
      </w:pPr>
      <w:r>
        <w:rPr>
          <w:rFonts w:hint="eastAsia" w:ascii="宋体" w:hAnsi="宋体" w:eastAsia="宋体" w:cs="宋体"/>
          <w:color w:val="auto"/>
          <w:sz w:val="24"/>
          <w:szCs w:val="24"/>
          <w:highlight w:val="none"/>
        </w:rPr>
        <w:t>预付款支付比例或金额：</w:t>
      </w:r>
      <w:r>
        <w:rPr>
          <w:rFonts w:hint="eastAsia" w:ascii="宋体" w:hAnsi="宋体" w:eastAsia="宋体" w:cs="宋体"/>
          <w:color w:val="auto"/>
          <w:sz w:val="24"/>
          <w:szCs w:val="24"/>
          <w:highlight w:val="none"/>
          <w:u w:val="single"/>
        </w:rPr>
        <w:t>合同签订，乙方提供发票后7个工作日内，支付合同总额的40%作为预付款</w:t>
      </w:r>
      <w:r>
        <w:rPr>
          <w:rFonts w:hint="eastAsia" w:ascii="宋体" w:hAnsi="宋体" w:eastAsia="宋体" w:cs="宋体"/>
          <w:i/>
          <w:color w:val="auto"/>
          <w:sz w:val="24"/>
          <w:szCs w:val="24"/>
          <w:highlight w:val="none"/>
          <w:u w:val="single"/>
        </w:rPr>
        <w:t>。</w:t>
      </w:r>
    </w:p>
    <w:p w14:paraId="200834C3">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计量</w:t>
      </w:r>
    </w:p>
    <w:p w14:paraId="62A3E801">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14:paraId="4E95258D">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工作量计算按照实际已完成的工作量及经甲方同意增加的施工内容按实计算。</w:t>
      </w:r>
    </w:p>
    <w:p w14:paraId="5F217E12">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单价合同的计量</w:t>
      </w:r>
    </w:p>
    <w:p w14:paraId="4DAE1042">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color w:val="auto"/>
          <w:sz w:val="24"/>
          <w:szCs w:val="24"/>
          <w:highlight w:val="none"/>
          <w:u w:val="single"/>
        </w:rPr>
        <w:t>按合同通用条款执行，但确认的工作量和单价仅作为本期工程款支付的依据。</w:t>
      </w:r>
    </w:p>
    <w:p w14:paraId="7AB6E914">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项目进度款支付</w:t>
      </w:r>
    </w:p>
    <w:p w14:paraId="1B439435">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 付款周期</w:t>
      </w:r>
    </w:p>
    <w:p w14:paraId="27B035B6">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关于付款周期的约定：合同签订后180天内完成项目，通过初验</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提供发票后7个工作日内支付至实际工程量结算金额的90%，项目整体竣工验收合格并经审核结束，</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提供发票后7个工作日内支付剩余结算金额；</w:t>
      </w:r>
    </w:p>
    <w:p w14:paraId="75238263">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进度付款申请单的提交</w:t>
      </w:r>
    </w:p>
    <w:p w14:paraId="05607BB5">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（1）单价合同进度付款申请单提交的约定：</w:t>
      </w:r>
      <w:r>
        <w:rPr>
          <w:rFonts w:hint="eastAsia" w:ascii="宋体" w:hAnsi="宋体" w:eastAsia="宋体" w:cs="宋体"/>
          <w:color w:val="auto"/>
          <w:sz w:val="24"/>
          <w:szCs w:val="24"/>
          <w:highlight w:val="none"/>
          <w:u w:val="single"/>
        </w:rPr>
        <w:t>按合同通用条款。</w:t>
      </w:r>
    </w:p>
    <w:p w14:paraId="240D8C02">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（2）总价合同进度付款申请单提交的约定：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5784A54E">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12.4.3进度款审核和支付</w:t>
      </w:r>
    </w:p>
    <w:p w14:paraId="4290BC08">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（1）甲方完成审批并签发进度款支付证书的期限：</w:t>
      </w:r>
      <w:r>
        <w:rPr>
          <w:rFonts w:hint="eastAsia" w:ascii="宋体" w:hAnsi="宋体" w:eastAsia="宋体" w:cs="宋体"/>
          <w:color w:val="auto"/>
          <w:sz w:val="24"/>
          <w:szCs w:val="24"/>
          <w:highlight w:val="none"/>
          <w:u w:val="single"/>
        </w:rPr>
        <w:t>按合同通用条款。</w:t>
      </w:r>
    </w:p>
    <w:p w14:paraId="2926418E">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（2）甲方支付进度款的期限：</w:t>
      </w:r>
      <w:r>
        <w:rPr>
          <w:rFonts w:hint="eastAsia" w:ascii="宋体" w:hAnsi="宋体" w:eastAsia="宋体" w:cs="宋体"/>
          <w:color w:val="auto"/>
          <w:sz w:val="24"/>
          <w:szCs w:val="24"/>
          <w:highlight w:val="none"/>
          <w:u w:val="single"/>
        </w:rPr>
        <w:t>在甲方确认计量结果后14天内完成支付。</w:t>
      </w:r>
    </w:p>
    <w:p w14:paraId="6BE63112">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甲方逾期支付进度款的违约金的计算方式：</w:t>
      </w:r>
      <w:r>
        <w:rPr>
          <w:rFonts w:hint="eastAsia" w:ascii="宋体" w:hAnsi="宋体" w:eastAsia="宋体" w:cs="宋体"/>
          <w:color w:val="auto"/>
          <w:sz w:val="24"/>
          <w:szCs w:val="24"/>
          <w:highlight w:val="none"/>
          <w:u w:val="single"/>
        </w:rPr>
        <w:t>甲方无故逾期验收和办理货款支付手续的,甲方应按逾期付款金额万分之五每日向乙方支付违约金</w:t>
      </w:r>
      <w:r>
        <w:rPr>
          <w:rFonts w:hint="eastAsia" w:ascii="宋体" w:hAnsi="宋体" w:eastAsia="宋体" w:cs="宋体"/>
          <w:color w:val="auto"/>
          <w:sz w:val="24"/>
          <w:szCs w:val="24"/>
          <w:highlight w:val="none"/>
        </w:rPr>
        <w:t>。</w:t>
      </w:r>
    </w:p>
    <w:p w14:paraId="6580E3EB">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甲方每月签发的项目量审核报告、进度款支付证书或临时进度款支付证书，不表明甲方已同意、批准或接受了乙方完成的相应部分工作或已确认计量结果，仅为本期项目款支付依据。</w:t>
      </w:r>
    </w:p>
    <w:p w14:paraId="31B1D87A">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 支付帐户：</w:t>
      </w:r>
    </w:p>
    <w:p w14:paraId="455F29B4">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甲方应将合同价款支至合同协议书中约定的乙方帐户：</w:t>
      </w:r>
      <w:r>
        <w:rPr>
          <w:rFonts w:hint="eastAsia" w:ascii="宋体" w:hAnsi="宋体" w:eastAsia="宋体" w:cs="宋体"/>
          <w:color w:val="auto"/>
          <w:sz w:val="24"/>
          <w:szCs w:val="24"/>
          <w:highlight w:val="none"/>
          <w:u w:val="single"/>
        </w:rPr>
        <w:t>开户行：           帐号：                       。</w:t>
      </w:r>
      <w:r>
        <w:rPr>
          <w:rFonts w:hint="eastAsia" w:ascii="宋体" w:hAnsi="宋体" w:eastAsia="宋体" w:cs="宋体"/>
          <w:color w:val="auto"/>
          <w:sz w:val="24"/>
          <w:szCs w:val="24"/>
          <w:highlight w:val="none"/>
        </w:rPr>
        <w:t>乙方收取款项时应开具建筑业统一发票。</w:t>
      </w:r>
    </w:p>
    <w:p w14:paraId="43894131">
      <w:pPr>
        <w:pStyle w:val="5"/>
        <w:tabs>
          <w:tab w:val="left" w:pos="142"/>
          <w:tab w:val="left" w:pos="993"/>
          <w:tab w:val="left" w:pos="1418"/>
          <w:tab w:val="left" w:pos="1560"/>
        </w:tabs>
        <w:spacing w:before="0" w:after="0" w:line="3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13.验收和项目试车</w:t>
      </w:r>
    </w:p>
    <w:p w14:paraId="0AE4D142">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分部分项项目验收</w:t>
      </w:r>
    </w:p>
    <w:p w14:paraId="22229F7B">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24</w:t>
      </w:r>
      <w:r>
        <w:rPr>
          <w:rFonts w:hint="eastAsia" w:ascii="宋体" w:hAnsi="宋体" w:eastAsia="宋体" w:cs="宋体"/>
          <w:color w:val="auto"/>
          <w:sz w:val="24"/>
          <w:szCs w:val="24"/>
          <w:highlight w:val="none"/>
        </w:rPr>
        <w:t>小时提交书面延期要求。</w:t>
      </w:r>
    </w:p>
    <w:p w14:paraId="4E8E296F">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24</w:t>
      </w:r>
      <w:r>
        <w:rPr>
          <w:rFonts w:hint="eastAsia" w:ascii="宋体" w:hAnsi="宋体" w:eastAsia="宋体" w:cs="宋体"/>
          <w:color w:val="auto"/>
          <w:sz w:val="24"/>
          <w:szCs w:val="24"/>
          <w:highlight w:val="none"/>
        </w:rPr>
        <w:t>小时。</w:t>
      </w:r>
    </w:p>
    <w:p w14:paraId="791FE9EC">
      <w:pPr>
        <w:spacing w:line="360" w:lineRule="exact"/>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u w:val="single"/>
        </w:rPr>
        <w:t>项目监管过程、验收过程、验收部位除办理纸质验收记录，还应留置监管项目、验收部位、验收过程、主要验收人员相片、影像等资料。</w:t>
      </w:r>
    </w:p>
    <w:p w14:paraId="1D8B3A0A">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竣工验收</w:t>
      </w:r>
    </w:p>
    <w:p w14:paraId="0F2B240F">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13.2.2竣工验收程序</w:t>
      </w:r>
    </w:p>
    <w:p w14:paraId="6F744DAF">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关于竣工验收程序的约定：</w:t>
      </w:r>
      <w:r>
        <w:rPr>
          <w:rFonts w:hint="eastAsia" w:ascii="宋体" w:hAnsi="宋体" w:eastAsia="宋体" w:cs="宋体"/>
          <w:color w:val="auto"/>
          <w:sz w:val="24"/>
          <w:szCs w:val="24"/>
          <w:highlight w:val="none"/>
          <w:u w:val="single"/>
        </w:rPr>
        <w:t>按通用条款</w:t>
      </w:r>
      <w:r>
        <w:rPr>
          <w:rFonts w:hint="eastAsia" w:ascii="宋体" w:hAnsi="宋体" w:eastAsia="宋体" w:cs="宋体"/>
          <w:color w:val="auto"/>
          <w:sz w:val="24"/>
          <w:szCs w:val="24"/>
          <w:highlight w:val="none"/>
        </w:rPr>
        <w:t>。</w:t>
      </w:r>
    </w:p>
    <w:p w14:paraId="0DA3CF84">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甲方不按照本项约定组织竣工验收、颁发项目接收证书的违约金的计算方法：</w:t>
      </w:r>
      <w:r>
        <w:rPr>
          <w:rFonts w:hint="eastAsia" w:ascii="宋体" w:hAnsi="宋体" w:eastAsia="宋体" w:cs="宋体"/>
          <w:color w:val="auto"/>
          <w:sz w:val="24"/>
          <w:szCs w:val="24"/>
          <w:highlight w:val="none"/>
          <w:u w:val="single"/>
        </w:rPr>
        <w:t>不计违约金。</w:t>
      </w:r>
    </w:p>
    <w:p w14:paraId="1A556462">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因甲方原因，未在监理人接收到乙方提交的竣工验收申请报告42天内完成验收，或完成验收不予签发项目接收证书的，以提交竣工验收申请报告的日期为实际竣工日期。</w:t>
      </w:r>
    </w:p>
    <w:p w14:paraId="42E3D5C4">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13.2.3移交、接收全部与部分项目</w:t>
      </w:r>
    </w:p>
    <w:p w14:paraId="4C70DD55">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乙方向甲方移交项目的期限：</w:t>
      </w:r>
      <w:r>
        <w:rPr>
          <w:rFonts w:hint="eastAsia" w:ascii="宋体" w:hAnsi="宋体" w:eastAsia="宋体" w:cs="宋体"/>
          <w:color w:val="auto"/>
          <w:sz w:val="24"/>
          <w:szCs w:val="24"/>
          <w:highlight w:val="none"/>
          <w:u w:val="single"/>
        </w:rPr>
        <w:t>按通用条款执行。</w:t>
      </w:r>
    </w:p>
    <w:p w14:paraId="1EB53CE0">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甲方未按本合同约定接收全部或部分项目的，违约金的计算方法为：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2557A3C4">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乙方未按时移交项目的，违约金的计算方法为：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9F91C4A">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竣工退场</w:t>
      </w:r>
    </w:p>
    <w:p w14:paraId="6768910E">
      <w:pPr>
        <w:spacing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13.3.1 竣工退场</w:t>
      </w:r>
    </w:p>
    <w:p w14:paraId="666B5105">
      <w:pPr>
        <w:spacing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乙方完成竣工退场的期限：</w:t>
      </w:r>
      <w:r>
        <w:rPr>
          <w:rFonts w:hint="eastAsia" w:ascii="宋体" w:hAnsi="宋体" w:eastAsia="宋体" w:cs="宋体"/>
          <w:color w:val="auto"/>
          <w:sz w:val="24"/>
          <w:szCs w:val="24"/>
          <w:highlight w:val="none"/>
          <w:u w:val="single"/>
        </w:rPr>
        <w:t>颁发项目接收证书后7天内</w:t>
      </w:r>
      <w:r>
        <w:rPr>
          <w:rFonts w:hint="eastAsia" w:ascii="宋体" w:hAnsi="宋体" w:eastAsia="宋体" w:cs="宋体"/>
          <w:color w:val="auto"/>
          <w:kern w:val="0"/>
          <w:sz w:val="24"/>
          <w:szCs w:val="24"/>
          <w:highlight w:val="none"/>
        </w:rPr>
        <w:t>。</w:t>
      </w:r>
    </w:p>
    <w:p w14:paraId="206D8160">
      <w:pPr>
        <w:pStyle w:val="5"/>
        <w:tabs>
          <w:tab w:val="left" w:pos="142"/>
          <w:tab w:val="left" w:pos="993"/>
          <w:tab w:val="left" w:pos="1418"/>
          <w:tab w:val="left" w:pos="1560"/>
        </w:tabs>
        <w:spacing w:before="0" w:after="0" w:line="3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竣工结算</w:t>
      </w:r>
    </w:p>
    <w:p w14:paraId="1AC94FBB">
      <w:pPr>
        <w:spacing w:after="120"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乙方应在项目竣工验收合格后90天内向甲方和监理人提交竣工结算申请单，并提交完整的项目结算资料七套。超过90天未提交竣工结算资料，经甲方催告后28天，乙方还不提交竣工结算资料的，甲方可根据自己资料办理竣工结算，且视为乙方认可竣工结算结果。</w:t>
      </w:r>
    </w:p>
    <w:p w14:paraId="275971AB">
      <w:pPr>
        <w:spacing w:after="120"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14.1竣工付款申请</w:t>
      </w:r>
    </w:p>
    <w:p w14:paraId="42193426">
      <w:pPr>
        <w:spacing w:after="120"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乙方提交竣工付款单的期限：</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09C30752">
      <w:pPr>
        <w:spacing w:after="120"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竣工付款申请单应包括的内容：</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50171B18">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竣工结算审核</w:t>
      </w:r>
    </w:p>
    <w:p w14:paraId="61597A78">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（1）甲方结算审核时间：</w:t>
      </w:r>
      <w:r>
        <w:rPr>
          <w:rFonts w:hint="eastAsia" w:ascii="宋体" w:hAnsi="宋体" w:eastAsia="宋体" w:cs="宋体"/>
          <w:color w:val="auto"/>
          <w:sz w:val="24"/>
          <w:szCs w:val="24"/>
          <w:highlight w:val="none"/>
          <w:u w:val="single"/>
        </w:rPr>
        <w:t>甲方收到乙方递交的竣工结算报告及结算资料后，在6个月内审核完毕。</w:t>
      </w:r>
    </w:p>
    <w:p w14:paraId="6014F67F">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由甲方原因逾期审核责任：向乙方支付违约金，违约金为项目结算后应付项目款的利息，利率按中国人民银行发布的同期同类贷款基准利率，利息计算时间为应付项目款日至支付项目款日至。</w:t>
      </w:r>
    </w:p>
    <w:p w14:paraId="03C2A5CE">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（2）甲方在财政审核结束后14天内，完成对乙方的竣工付款。逾期支付按中国人民银行发布的同期同类贷款基准利率支付违约金；逾期超过56天，按中国人民银行发布的同期同类贷款基准利率的两倍支付违约金。</w:t>
      </w:r>
    </w:p>
    <w:p w14:paraId="3471292C">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（3）乙方对甲方签认的结算价有异议的，甲方可先支付乙方无异议部分结算款。异议部分重新进行复核或按照第20条[争议解决约定处理。</w:t>
      </w:r>
    </w:p>
    <w:p w14:paraId="353686B5">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（4）结算特殊要求：</w:t>
      </w:r>
      <w:r>
        <w:rPr>
          <w:rFonts w:hint="eastAsia" w:ascii="宋体" w:hAnsi="宋体" w:eastAsia="宋体" w:cs="宋体"/>
          <w:color w:val="auto"/>
          <w:sz w:val="24"/>
          <w:szCs w:val="24"/>
          <w:highlight w:val="none"/>
          <w:u w:val="single"/>
        </w:rPr>
        <w:t xml:space="preserve">      /        。</w:t>
      </w:r>
    </w:p>
    <w:p w14:paraId="2ADF75C8">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最终结清</w:t>
      </w:r>
    </w:p>
    <w:p w14:paraId="207A5139">
      <w:pPr>
        <w:spacing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14.3.1 最终结清申请单</w:t>
      </w:r>
    </w:p>
    <w:p w14:paraId="3C4292B5">
      <w:pPr>
        <w:spacing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乙方提交最终结清申请单的份数：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6608B1AD">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乙方提交最终结算申请单的期限：</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 </w:t>
      </w:r>
    </w:p>
    <w:p w14:paraId="40A558E7">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14.3.2 最终结清证书和支付</w:t>
      </w:r>
    </w:p>
    <w:p w14:paraId="39E1710A">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（1）甲方完成最终结清申请单的审批并颁发最终结清证书的期限：</w:t>
      </w:r>
      <w:r>
        <w:rPr>
          <w:rFonts w:hint="eastAsia" w:ascii="宋体" w:hAnsi="宋体" w:eastAsia="宋体" w:cs="宋体"/>
          <w:color w:val="auto"/>
          <w:sz w:val="24"/>
          <w:szCs w:val="24"/>
          <w:highlight w:val="none"/>
          <w:u w:val="single"/>
        </w:rPr>
        <w:t>按通用条款</w:t>
      </w:r>
      <w:r>
        <w:rPr>
          <w:rFonts w:hint="eastAsia" w:ascii="宋体" w:hAnsi="宋体" w:eastAsia="宋体" w:cs="宋体"/>
          <w:color w:val="auto"/>
          <w:sz w:val="24"/>
          <w:szCs w:val="24"/>
          <w:highlight w:val="none"/>
        </w:rPr>
        <w:t>。</w:t>
      </w:r>
    </w:p>
    <w:p w14:paraId="5768A7F4">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（2）甲方完成支付的期限：</w:t>
      </w:r>
      <w:r>
        <w:rPr>
          <w:rFonts w:hint="eastAsia" w:ascii="宋体" w:hAnsi="宋体" w:eastAsia="宋体" w:cs="宋体"/>
          <w:color w:val="auto"/>
          <w:sz w:val="24"/>
          <w:szCs w:val="24"/>
          <w:highlight w:val="none"/>
          <w:u w:val="single"/>
        </w:rPr>
        <w:t>按通用条款</w:t>
      </w:r>
      <w:r>
        <w:rPr>
          <w:rFonts w:hint="eastAsia" w:ascii="宋体" w:hAnsi="宋体" w:eastAsia="宋体" w:cs="宋体"/>
          <w:color w:val="auto"/>
          <w:sz w:val="24"/>
          <w:szCs w:val="24"/>
          <w:highlight w:val="none"/>
        </w:rPr>
        <w:t>。</w:t>
      </w:r>
    </w:p>
    <w:p w14:paraId="4F4C9075">
      <w:pPr>
        <w:pStyle w:val="5"/>
        <w:tabs>
          <w:tab w:val="left" w:pos="142"/>
          <w:tab w:val="left" w:pos="993"/>
          <w:tab w:val="left" w:pos="1418"/>
          <w:tab w:val="left" w:pos="1560"/>
        </w:tabs>
        <w:spacing w:before="0" w:after="0" w:line="360" w:lineRule="exact"/>
        <w:ind w:firstLine="482" w:firstLineChars="200"/>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15. 质保期与保修</w:t>
      </w:r>
    </w:p>
    <w:p w14:paraId="25A7B536">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15.1质保期期</w:t>
      </w:r>
    </w:p>
    <w:p w14:paraId="4A3B6610">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质量保质期为</w:t>
      </w:r>
      <w:r>
        <w:rPr>
          <w:rFonts w:hint="eastAsia" w:ascii="宋体" w:hAnsi="宋体" w:eastAsia="宋体" w:cs="宋体"/>
          <w:color w:val="auto"/>
          <w:sz w:val="24"/>
          <w:szCs w:val="24"/>
          <w:highlight w:val="none"/>
        </w:rPr>
        <w:t>自交付验收合格之日起，主次干道标线不少于1年，支路标线不少于2年（技术需求中有列明质保期的按照技术需求中的要求）</w:t>
      </w:r>
    </w:p>
    <w:p w14:paraId="7F26FD60">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15.2修复通知</w:t>
      </w:r>
    </w:p>
    <w:p w14:paraId="57CCCE17">
      <w:pPr>
        <w:spacing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乙方收到保修通知并到达工程现场的合理时间：</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14:paraId="59D190FC">
      <w:pPr>
        <w:pStyle w:val="5"/>
        <w:tabs>
          <w:tab w:val="left" w:pos="142"/>
          <w:tab w:val="left" w:pos="993"/>
          <w:tab w:val="left" w:pos="1418"/>
          <w:tab w:val="left" w:pos="1560"/>
        </w:tabs>
        <w:spacing w:before="0" w:after="0" w:line="3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违约</w:t>
      </w:r>
    </w:p>
    <w:p w14:paraId="46859082">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甲方违约</w:t>
      </w:r>
    </w:p>
    <w:p w14:paraId="77C5101D">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16.1.1甲方违约的情形</w:t>
      </w:r>
    </w:p>
    <w:p w14:paraId="474982CC">
      <w:pPr>
        <w:spacing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甲方违约的其他情形：</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rPr>
        <w:t>。</w:t>
      </w:r>
    </w:p>
    <w:p w14:paraId="7A56CB0C">
      <w:pPr>
        <w:spacing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16.1.2 甲方违约的责任</w:t>
      </w:r>
    </w:p>
    <w:p w14:paraId="3C0C0373">
      <w:pPr>
        <w:spacing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甲方违约责任的承担方式和计算方法：</w:t>
      </w:r>
    </w:p>
    <w:p w14:paraId="3FBF1BE9">
      <w:pPr>
        <w:spacing w:line="360" w:lineRule="exact"/>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（1）因甲方原因未能在计划开工日期前7天内下达开工通知的违约责任：</w:t>
      </w:r>
      <w:r>
        <w:rPr>
          <w:rFonts w:hint="eastAsia" w:ascii="宋体" w:hAnsi="宋体" w:eastAsia="宋体" w:cs="宋体"/>
          <w:color w:val="auto"/>
          <w:kern w:val="0"/>
          <w:sz w:val="24"/>
          <w:szCs w:val="24"/>
          <w:highlight w:val="none"/>
          <w:u w:val="single"/>
        </w:rPr>
        <w:t>开始计算第7天后乙方已进场施工设备租赁费及施工人员误工费</w:t>
      </w:r>
      <w:r>
        <w:rPr>
          <w:rFonts w:hint="eastAsia" w:ascii="宋体" w:hAnsi="宋体" w:eastAsia="宋体" w:cs="宋体"/>
          <w:color w:val="auto"/>
          <w:kern w:val="0"/>
          <w:sz w:val="24"/>
          <w:szCs w:val="24"/>
          <w:highlight w:val="none"/>
        </w:rPr>
        <w:t>。</w:t>
      </w:r>
    </w:p>
    <w:p w14:paraId="02615814">
      <w:pPr>
        <w:spacing w:line="360" w:lineRule="exact"/>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（2）因甲方原因未能按合同约定支付合同价款的违约责任：</w:t>
      </w:r>
      <w:r>
        <w:rPr>
          <w:rFonts w:hint="eastAsia" w:ascii="宋体" w:hAnsi="宋体" w:eastAsia="宋体" w:cs="宋体"/>
          <w:color w:val="auto"/>
          <w:kern w:val="0"/>
          <w:sz w:val="24"/>
          <w:szCs w:val="24"/>
          <w:highlight w:val="none"/>
          <w:u w:val="single"/>
        </w:rPr>
        <w:t>支付违约金，按逾期付款金额万分之五每日</w:t>
      </w:r>
    </w:p>
    <w:p w14:paraId="524D327A">
      <w:pPr>
        <w:spacing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（3）甲方违反第10.1款〔变更的范围〕第（2）项约定，自行实施被取消的工作或转由他人实施的违约责任：</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66EA9C94">
      <w:pPr>
        <w:spacing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（4）因甲方违反合同约定造成暂停施工的违约责任：</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468CCA73">
      <w:pPr>
        <w:spacing w:line="360" w:lineRule="exact"/>
        <w:ind w:left="420" w:left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（5）甲方无正当理由没有在约定期限内发出复工指示，导致乙方无法复工的违约责任：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7EDBC40D">
      <w:pPr>
        <w:spacing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（6）其他：</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57500E9">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因甲方违约解除合同</w:t>
      </w:r>
    </w:p>
    <w:p w14:paraId="46ACFE79">
      <w:pPr>
        <w:autoSpaceDE w:val="0"/>
        <w:autoSpaceDN w:val="0"/>
        <w:adjustRightInd w:val="0"/>
        <w:spacing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乙方按16.1.1项〔甲方违约的情形〕约定暂停施工满</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rPr>
        <w:t>天后甲方仍不纠正其违约行为并致使合同目的不能实现的，乙方有权解除合同。</w:t>
      </w:r>
    </w:p>
    <w:p w14:paraId="6B1402ED">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乙方违约</w:t>
      </w:r>
    </w:p>
    <w:p w14:paraId="660381C2">
      <w:pPr>
        <w:spacing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16.2.1 乙方违约的情形</w:t>
      </w:r>
    </w:p>
    <w:p w14:paraId="30A30D38">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乙方违约的其他情形：</w:t>
      </w:r>
    </w:p>
    <w:p w14:paraId="6879C2BA">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sz w:val="24"/>
          <w:szCs w:val="24"/>
          <w:highlight w:val="none"/>
          <w:u w:val="single"/>
        </w:rPr>
        <w:t>机械设备、施工项目班子未按投标承诺及时到位；</w:t>
      </w:r>
    </w:p>
    <w:p w14:paraId="356F9D6B">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、本项目在实施过程中，如乙方的施工队伍素质、力量、现场管理班子、现场安全文明施工不符合投标书的承诺，造成现场管理混乱、项目质量和进度达不到投标所承诺的要求；</w:t>
      </w:r>
    </w:p>
    <w:p w14:paraId="65756C40">
      <w:pPr>
        <w:spacing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、乙方允许其他人挂靠经营、私自转包</w:t>
      </w:r>
      <w:r>
        <w:rPr>
          <w:rFonts w:hint="eastAsia" w:ascii="宋体" w:hAnsi="宋体" w:eastAsia="宋体" w:cs="宋体"/>
          <w:color w:val="auto"/>
          <w:kern w:val="0"/>
          <w:sz w:val="24"/>
          <w:szCs w:val="24"/>
          <w:highlight w:val="none"/>
        </w:rPr>
        <w:t>；</w:t>
      </w:r>
    </w:p>
    <w:p w14:paraId="28DBD360">
      <w:pPr>
        <w:spacing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u w:val="single"/>
        </w:rPr>
        <w:t>、乙方未达到投标时所承诺的诚信与技术标准。</w:t>
      </w:r>
    </w:p>
    <w:p w14:paraId="30580D3E">
      <w:pPr>
        <w:spacing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16.2.2乙方违约的责任</w:t>
      </w:r>
    </w:p>
    <w:p w14:paraId="036329BF">
      <w:pPr>
        <w:spacing w:line="360" w:lineRule="exact"/>
        <w:ind w:firstLine="600" w:firstLineChars="2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乙方违约责任的承担方式和计算方法：</w:t>
      </w:r>
    </w:p>
    <w:p w14:paraId="75A5320E">
      <w:pPr>
        <w:spacing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16.2.2乙方违约的责任</w:t>
      </w:r>
    </w:p>
    <w:p w14:paraId="5C6171E1">
      <w:pPr>
        <w:spacing w:line="360" w:lineRule="exact"/>
        <w:ind w:firstLine="600" w:firstLineChars="2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乙方违约责任的承担方式和计算方法：</w:t>
      </w:r>
    </w:p>
    <w:p w14:paraId="17527B8C">
      <w:pPr>
        <w:spacing w:line="360" w:lineRule="exact"/>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 1、</w:t>
      </w:r>
      <w:r>
        <w:rPr>
          <w:rFonts w:hint="eastAsia" w:ascii="宋体" w:hAnsi="宋体" w:eastAsia="宋体" w:cs="宋体"/>
          <w:color w:val="auto"/>
          <w:sz w:val="24"/>
          <w:szCs w:val="24"/>
          <w:highlight w:val="none"/>
          <w:u w:val="single"/>
        </w:rPr>
        <w:t>施工中发现用不合规范要求的材料，第一次扣履约保证金50000元；第二次没收全部履约保证金，甲方有权终止合同。</w:t>
      </w:r>
    </w:p>
    <w:p w14:paraId="2F64391D">
      <w:pPr>
        <w:spacing w:line="360" w:lineRule="exact"/>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rPr>
        <w:t>未按投标文件或投标承诺到位，每</w:t>
      </w:r>
      <w:r>
        <w:rPr>
          <w:rFonts w:hint="eastAsia" w:ascii="宋体" w:hAnsi="宋体" w:eastAsia="宋体" w:cs="宋体"/>
          <w:color w:val="auto"/>
          <w:sz w:val="24"/>
          <w:szCs w:val="24"/>
          <w:highlight w:val="none"/>
          <w:u w:val="single"/>
        </w:rPr>
        <w:t>发现一次</w:t>
      </w:r>
      <w:r>
        <w:rPr>
          <w:rFonts w:hint="eastAsia" w:ascii="宋体" w:hAnsi="宋体" w:eastAsia="宋体" w:cs="宋体"/>
          <w:color w:val="auto"/>
          <w:kern w:val="0"/>
          <w:sz w:val="24"/>
          <w:szCs w:val="24"/>
          <w:highlight w:val="none"/>
          <w:u w:val="single"/>
        </w:rPr>
        <w:t>扣除履约保证金1000元，超过3次的，甲方有权解除合同，</w:t>
      </w:r>
      <w:r>
        <w:rPr>
          <w:rFonts w:hint="eastAsia" w:ascii="宋体" w:hAnsi="宋体" w:eastAsia="宋体" w:cs="宋体"/>
          <w:color w:val="auto"/>
          <w:sz w:val="24"/>
          <w:szCs w:val="24"/>
          <w:highlight w:val="none"/>
          <w:u w:val="single"/>
        </w:rPr>
        <w:t>所有履约保证金归甲方</w:t>
      </w:r>
      <w:r>
        <w:rPr>
          <w:rFonts w:hint="eastAsia" w:ascii="宋体" w:hAnsi="宋体" w:eastAsia="宋体" w:cs="宋体"/>
          <w:color w:val="auto"/>
          <w:kern w:val="0"/>
          <w:sz w:val="24"/>
          <w:szCs w:val="24"/>
          <w:highlight w:val="none"/>
          <w:u w:val="single"/>
        </w:rPr>
        <w:t>；</w:t>
      </w:r>
    </w:p>
    <w:p w14:paraId="098346A4">
      <w:pPr>
        <w:spacing w:line="360" w:lineRule="exact"/>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u w:val="single"/>
        </w:rPr>
        <w:t>标线施划错误、厚度、发光度、施划质量等不满足招标要求和规范要求的，</w:t>
      </w:r>
      <w:r>
        <w:rPr>
          <w:rFonts w:hint="eastAsia" w:ascii="宋体" w:hAnsi="宋体" w:eastAsia="宋体" w:cs="宋体"/>
          <w:color w:val="auto"/>
          <w:kern w:val="0"/>
          <w:sz w:val="24"/>
          <w:szCs w:val="24"/>
          <w:highlight w:val="none"/>
          <w:u w:val="single"/>
        </w:rPr>
        <w:t>每</w:t>
      </w:r>
      <w:r>
        <w:rPr>
          <w:rFonts w:hint="eastAsia" w:ascii="宋体" w:hAnsi="宋体" w:eastAsia="宋体" w:cs="宋体"/>
          <w:color w:val="auto"/>
          <w:sz w:val="24"/>
          <w:szCs w:val="24"/>
          <w:highlight w:val="none"/>
          <w:u w:val="single"/>
        </w:rPr>
        <w:t>发现一次</w:t>
      </w:r>
      <w:r>
        <w:rPr>
          <w:rFonts w:hint="eastAsia" w:ascii="宋体" w:hAnsi="宋体" w:eastAsia="宋体" w:cs="宋体"/>
          <w:color w:val="auto"/>
          <w:kern w:val="0"/>
          <w:sz w:val="24"/>
          <w:szCs w:val="24"/>
          <w:highlight w:val="none"/>
          <w:u w:val="single"/>
        </w:rPr>
        <w:t>扣除履约保证金2000元，超过3次的，甲方有权解除合同，</w:t>
      </w:r>
      <w:r>
        <w:rPr>
          <w:rFonts w:hint="eastAsia" w:ascii="宋体" w:hAnsi="宋体" w:eastAsia="宋体" w:cs="宋体"/>
          <w:color w:val="auto"/>
          <w:sz w:val="24"/>
          <w:szCs w:val="24"/>
          <w:highlight w:val="none"/>
          <w:u w:val="single"/>
        </w:rPr>
        <w:t>所有履约保证金归</w:t>
      </w:r>
      <w:r>
        <w:rPr>
          <w:rFonts w:hint="eastAsia" w:ascii="宋体" w:hAnsi="宋体" w:eastAsia="宋体" w:cs="宋体"/>
          <w:color w:val="auto"/>
          <w:kern w:val="0"/>
          <w:sz w:val="24"/>
          <w:szCs w:val="24"/>
          <w:highlight w:val="none"/>
          <w:u w:val="single"/>
        </w:rPr>
        <w:t>甲方；</w:t>
      </w:r>
    </w:p>
    <w:p w14:paraId="214E6260">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u w:val="single"/>
        </w:rPr>
        <w:t>发现乙方允许其他人挂靠经营、私自转包，所有履约担保归甲方，甲方有权终止合同。</w:t>
      </w:r>
    </w:p>
    <w:p w14:paraId="4A34C5EB">
      <w:pPr>
        <w:spacing w:line="360" w:lineRule="exact"/>
        <w:ind w:firstLine="240" w:firstLineChars="1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 xml:space="preserve"> 4、</w:t>
      </w:r>
      <w:r>
        <w:rPr>
          <w:rFonts w:hint="eastAsia" w:ascii="宋体" w:hAnsi="宋体" w:eastAsia="宋体" w:cs="宋体"/>
          <w:color w:val="auto"/>
          <w:kern w:val="0"/>
          <w:sz w:val="24"/>
          <w:szCs w:val="24"/>
          <w:highlight w:val="none"/>
          <w:u w:val="single"/>
        </w:rPr>
        <w:t>乙方原因造成现场管理混乱、</w:t>
      </w:r>
      <w:r>
        <w:rPr>
          <w:rFonts w:hint="eastAsia" w:ascii="宋体" w:hAnsi="宋体" w:eastAsia="宋体" w:cs="宋体"/>
          <w:color w:val="auto"/>
          <w:sz w:val="24"/>
          <w:szCs w:val="24"/>
          <w:highlight w:val="none"/>
          <w:u w:val="single"/>
        </w:rPr>
        <w:t>项目质量和进度达不到投标承诺的要求，超过3次的甲方有权要求乙方调整充实施工力量、更换项目班子，及至解除施工合同，所有履约保证金归甲方，并赔偿甲方损失。</w:t>
      </w:r>
    </w:p>
    <w:p w14:paraId="2B8EE131">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w:t>
      </w:r>
      <w:r>
        <w:rPr>
          <w:rFonts w:hint="eastAsia" w:ascii="宋体" w:hAnsi="宋体" w:eastAsia="宋体" w:cs="宋体"/>
          <w:color w:val="auto"/>
          <w:kern w:val="0"/>
          <w:sz w:val="24"/>
          <w:szCs w:val="24"/>
          <w:highlight w:val="none"/>
          <w:u w:val="single"/>
        </w:rPr>
        <w:t>因</w:t>
      </w:r>
      <w:r>
        <w:rPr>
          <w:rFonts w:hint="eastAsia" w:ascii="宋体" w:hAnsi="宋体" w:eastAsia="宋体" w:cs="宋体"/>
          <w:color w:val="auto"/>
          <w:sz w:val="24"/>
          <w:szCs w:val="24"/>
          <w:highlight w:val="none"/>
          <w:u w:val="single"/>
        </w:rPr>
        <w:t>乙方逾期交付货物的，乙方应按逾期交货总额千分之六每日向甲方支付违约金，由甲方从待付货款中扣除。逾期超过约定日期10个工作日不能交货的，甲方可解除本合同。因乙方逾期交货或因其他违约行为导致甲方解除合同的，没收履约保证金并追究乙方的违约责任</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乙方</w:t>
      </w:r>
      <w:r>
        <w:rPr>
          <w:rFonts w:hint="eastAsia" w:ascii="宋体" w:hAnsi="宋体" w:eastAsia="宋体" w:cs="宋体"/>
          <w:color w:val="auto"/>
          <w:sz w:val="24"/>
          <w:szCs w:val="24"/>
          <w:highlight w:val="none"/>
          <w:u w:val="single"/>
          <w:lang w:eastAsia="zh-CN"/>
        </w:rPr>
        <w:t>还</w:t>
      </w:r>
      <w:r>
        <w:rPr>
          <w:rFonts w:hint="eastAsia" w:ascii="宋体" w:hAnsi="宋体" w:eastAsia="宋体" w:cs="宋体"/>
          <w:color w:val="auto"/>
          <w:sz w:val="24"/>
          <w:szCs w:val="24"/>
          <w:highlight w:val="none"/>
          <w:u w:val="single"/>
        </w:rPr>
        <w:t>应向甲方支付合同总值</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 xml:space="preserve">%的违约金，如造成甲方损失超过违约金的，超出部分由乙方继续承担赔偿责任。 </w:t>
      </w:r>
    </w:p>
    <w:p w14:paraId="7A415ECF">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u w:val="single"/>
        </w:rPr>
        <w:t>发现擅自改变施工内容或数量的，每发现一次扣履约保证金1000元。</w:t>
      </w:r>
    </w:p>
    <w:p w14:paraId="5CB8BB1F">
      <w:pPr>
        <w:spacing w:line="360" w:lineRule="exact"/>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kern w:val="0"/>
          <w:sz w:val="24"/>
          <w:szCs w:val="24"/>
          <w:highlight w:val="none"/>
        </w:rPr>
        <w:t>7</w:t>
      </w:r>
      <w:r>
        <w:rPr>
          <w:rFonts w:hint="eastAsia" w:ascii="宋体" w:hAnsi="宋体" w:eastAsia="宋体" w:cs="宋体"/>
          <w:color w:val="auto"/>
          <w:sz w:val="24"/>
          <w:szCs w:val="24"/>
          <w:highlight w:val="none"/>
          <w:u w:val="single"/>
        </w:rPr>
        <w:t>、验收时，提供的工作量清单明显不属实的、每次扣履约保证金10000元，实际工作量结算按验收时的不属实比例下浮，扣除相应的履约保证金。</w:t>
      </w:r>
    </w:p>
    <w:p w14:paraId="449D7B08">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8、现场安全文明施工不符合投标书承诺或规范要求的，每次扣</w:t>
      </w:r>
      <w:r>
        <w:rPr>
          <w:rFonts w:hint="eastAsia" w:ascii="宋体" w:hAnsi="宋体" w:eastAsia="宋体" w:cs="宋体"/>
          <w:color w:val="auto"/>
          <w:kern w:val="0"/>
          <w:sz w:val="24"/>
          <w:szCs w:val="24"/>
          <w:highlight w:val="none"/>
          <w:u w:val="single"/>
        </w:rPr>
        <w:t>履约保证金</w:t>
      </w:r>
      <w:r>
        <w:rPr>
          <w:rFonts w:hint="eastAsia" w:ascii="宋体" w:hAnsi="宋体" w:eastAsia="宋体" w:cs="宋体"/>
          <w:color w:val="auto"/>
          <w:sz w:val="24"/>
          <w:szCs w:val="24"/>
          <w:highlight w:val="none"/>
          <w:u w:val="single"/>
        </w:rPr>
        <w:t>500元；</w:t>
      </w:r>
    </w:p>
    <w:p w14:paraId="7B60F77A">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u w:val="single"/>
        </w:rPr>
        <w:t>施工现场不规范（含高峰时间段施工）、影响交通、施工后现场不清理，扣履约保证金1000元。</w:t>
      </w:r>
    </w:p>
    <w:p w14:paraId="4DA306A0">
      <w:pPr>
        <w:spacing w:line="360" w:lineRule="exact"/>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kern w:val="0"/>
          <w:sz w:val="24"/>
          <w:szCs w:val="24"/>
          <w:highlight w:val="none"/>
          <w:u w:val="single"/>
        </w:rPr>
        <w:t>10、</w:t>
      </w:r>
      <w:r>
        <w:rPr>
          <w:rFonts w:hint="eastAsia" w:ascii="宋体" w:hAnsi="宋体" w:eastAsia="宋体" w:cs="宋体"/>
          <w:color w:val="auto"/>
          <w:kern w:val="0"/>
          <w:sz w:val="24"/>
          <w:szCs w:val="24"/>
          <w:highlight w:val="none"/>
          <w:u w:val="single"/>
        </w:rPr>
        <w:t>施工期间发生伤人交通事故，负同等责任以上的第一次扣除履约金10000元，第二次扣除履约金20000元，第三次甲方有权终止合同。</w:t>
      </w:r>
    </w:p>
    <w:p w14:paraId="15F0C2C5">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11、施工人员着装不规范、不整洁，每次扣</w:t>
      </w:r>
      <w:r>
        <w:rPr>
          <w:rFonts w:hint="eastAsia" w:ascii="宋体" w:hAnsi="宋体" w:eastAsia="宋体" w:cs="宋体"/>
          <w:color w:val="auto"/>
          <w:kern w:val="0"/>
          <w:sz w:val="24"/>
          <w:szCs w:val="24"/>
          <w:highlight w:val="none"/>
          <w:u w:val="single"/>
        </w:rPr>
        <w:t>履约保证金</w:t>
      </w:r>
      <w:r>
        <w:rPr>
          <w:rFonts w:hint="eastAsia" w:ascii="宋体" w:hAnsi="宋体" w:eastAsia="宋体" w:cs="宋体"/>
          <w:color w:val="auto"/>
          <w:sz w:val="24"/>
          <w:szCs w:val="24"/>
          <w:highlight w:val="none"/>
          <w:u w:val="single"/>
        </w:rPr>
        <w:t>500元。</w:t>
      </w:r>
    </w:p>
    <w:p w14:paraId="028AFABB">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12、施工人员不服从交警或监理人员指挥、管理的，</w:t>
      </w:r>
      <w:r>
        <w:rPr>
          <w:rFonts w:hint="eastAsia" w:ascii="宋体" w:hAnsi="宋体" w:eastAsia="宋体" w:cs="宋体"/>
          <w:color w:val="auto"/>
          <w:sz w:val="24"/>
          <w:szCs w:val="24"/>
          <w:highlight w:val="none"/>
        </w:rPr>
        <w:t>每次扣</w:t>
      </w:r>
      <w:r>
        <w:rPr>
          <w:rFonts w:hint="eastAsia" w:ascii="宋体" w:hAnsi="宋体" w:eastAsia="宋体" w:cs="宋体"/>
          <w:color w:val="auto"/>
          <w:kern w:val="0"/>
          <w:sz w:val="24"/>
          <w:szCs w:val="24"/>
          <w:highlight w:val="none"/>
          <w:u w:val="single"/>
        </w:rPr>
        <w:t>履约保证金</w:t>
      </w:r>
      <w:r>
        <w:rPr>
          <w:rFonts w:hint="eastAsia" w:ascii="宋体" w:hAnsi="宋体" w:eastAsia="宋体" w:cs="宋体"/>
          <w:color w:val="auto"/>
          <w:sz w:val="24"/>
          <w:szCs w:val="24"/>
          <w:highlight w:val="none"/>
          <w:u w:val="single"/>
        </w:rPr>
        <w:t>1000元，</w:t>
      </w:r>
      <w:r>
        <w:rPr>
          <w:rFonts w:hint="eastAsia" w:ascii="宋体" w:hAnsi="宋体" w:eastAsia="宋体" w:cs="宋体"/>
          <w:color w:val="auto"/>
          <w:kern w:val="0"/>
          <w:sz w:val="24"/>
          <w:szCs w:val="24"/>
          <w:highlight w:val="none"/>
          <w:u w:val="single"/>
        </w:rPr>
        <w:t>超过3次的，甲方有权解除合同，</w:t>
      </w:r>
      <w:r>
        <w:rPr>
          <w:rFonts w:hint="eastAsia" w:ascii="宋体" w:hAnsi="宋体" w:eastAsia="宋体" w:cs="宋体"/>
          <w:color w:val="auto"/>
          <w:sz w:val="24"/>
          <w:szCs w:val="24"/>
          <w:highlight w:val="none"/>
          <w:u w:val="single"/>
        </w:rPr>
        <w:t>所有履约保证金归甲方。</w:t>
      </w:r>
    </w:p>
    <w:p w14:paraId="1A17FD5F">
      <w:pPr>
        <w:spacing w:line="360" w:lineRule="exact"/>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u w:val="single"/>
        </w:rPr>
        <w:t>13、质保期内，未按质量保修书中要求的时间进行维护的，每次扣</w:t>
      </w:r>
      <w:r>
        <w:rPr>
          <w:rFonts w:hint="eastAsia" w:ascii="宋体" w:hAnsi="宋体" w:eastAsia="宋体" w:cs="宋体"/>
          <w:color w:val="auto"/>
          <w:kern w:val="0"/>
          <w:sz w:val="24"/>
          <w:szCs w:val="24"/>
          <w:highlight w:val="none"/>
          <w:u w:val="single"/>
        </w:rPr>
        <w:t>履约保证金</w:t>
      </w:r>
      <w:r>
        <w:rPr>
          <w:rFonts w:hint="eastAsia" w:ascii="宋体" w:hAnsi="宋体" w:eastAsia="宋体" w:cs="宋体"/>
          <w:color w:val="auto"/>
          <w:sz w:val="24"/>
          <w:szCs w:val="24"/>
          <w:highlight w:val="none"/>
          <w:u w:val="single"/>
        </w:rPr>
        <w:t>1000元，超过5次的，甲方有权终止合同，所有履约保证金归甲方。</w:t>
      </w:r>
    </w:p>
    <w:p w14:paraId="33097F3E">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u w:val="single"/>
        </w:rPr>
        <w:t>乙方无法继续履行、明确表示不履行或实质上已停止履行合同，甲方应通知乙方解除合同，所有履约保证金归甲方。</w:t>
      </w:r>
    </w:p>
    <w:p w14:paraId="7368B8E3">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因乙方违约解除合同</w:t>
      </w:r>
    </w:p>
    <w:p w14:paraId="429DFBC3">
      <w:pPr>
        <w:spacing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关于乙方违约解除合同的特别约定：</w:t>
      </w:r>
      <w:r>
        <w:rPr>
          <w:rFonts w:hint="eastAsia" w:ascii="宋体" w:hAnsi="宋体" w:eastAsia="宋体" w:cs="宋体"/>
          <w:color w:val="auto"/>
          <w:kern w:val="0"/>
          <w:sz w:val="24"/>
          <w:szCs w:val="24"/>
          <w:highlight w:val="none"/>
          <w:u w:val="single"/>
        </w:rPr>
        <w:t>因3.4，16.2.2（乙方违约的责任）造成履约保证金扣除金额超过履约保证金额20 %时或在扣除履约保证金后拒绝补齐履约保证金时，</w:t>
      </w:r>
      <w:r>
        <w:rPr>
          <w:rFonts w:hint="eastAsia" w:ascii="宋体" w:hAnsi="宋体" w:eastAsia="宋体" w:cs="宋体"/>
          <w:color w:val="auto"/>
          <w:sz w:val="24"/>
          <w:szCs w:val="24"/>
          <w:highlight w:val="none"/>
          <w:u w:val="single"/>
        </w:rPr>
        <w:t>所有履约保证金归甲方，</w:t>
      </w:r>
      <w:r>
        <w:rPr>
          <w:rFonts w:hint="eastAsia" w:ascii="宋体" w:hAnsi="宋体" w:eastAsia="宋体" w:cs="宋体"/>
          <w:color w:val="auto"/>
          <w:kern w:val="0"/>
          <w:sz w:val="24"/>
          <w:szCs w:val="24"/>
          <w:highlight w:val="none"/>
          <w:u w:val="single"/>
        </w:rPr>
        <w:t>甲方有权解除合同</w:t>
      </w:r>
      <w:r>
        <w:rPr>
          <w:rFonts w:hint="eastAsia" w:ascii="宋体" w:hAnsi="宋体" w:eastAsia="宋体" w:cs="宋体"/>
          <w:color w:val="auto"/>
          <w:kern w:val="0"/>
          <w:sz w:val="24"/>
          <w:szCs w:val="24"/>
          <w:highlight w:val="none"/>
        </w:rPr>
        <w:t>。</w:t>
      </w:r>
    </w:p>
    <w:p w14:paraId="5A7A4027">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16.2.4 因乙方违约解除合同后的处理： 已完成的工作量如经验收合格后按实结算，如验收后不合格则必须无偿返工并扣除相应的履约保证金，同时赔偿甲方损失。</w:t>
      </w:r>
    </w:p>
    <w:p w14:paraId="56793A99">
      <w:pPr>
        <w:pStyle w:val="5"/>
        <w:tabs>
          <w:tab w:val="left" w:pos="142"/>
          <w:tab w:val="left" w:pos="993"/>
          <w:tab w:val="left" w:pos="1418"/>
          <w:tab w:val="left" w:pos="1560"/>
        </w:tabs>
        <w:spacing w:before="0" w:after="0" w:line="360" w:lineRule="exact"/>
        <w:ind w:firstLine="482" w:firstLineChars="200"/>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17. 不可抗力</w:t>
      </w:r>
    </w:p>
    <w:p w14:paraId="255B7A81">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不可抗力的确认</w:t>
      </w:r>
    </w:p>
    <w:p w14:paraId="20BC3841">
      <w:pPr>
        <w:spacing w:line="360" w:lineRule="exact"/>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除通用合同条款约定的不可抗力事件之外，视为不可抗力的其他情形：</w:t>
      </w:r>
      <w:r>
        <w:rPr>
          <w:rFonts w:hint="eastAsia" w:ascii="宋体" w:hAnsi="宋体" w:eastAsia="宋体" w:cs="宋体"/>
          <w:color w:val="auto"/>
          <w:kern w:val="0"/>
          <w:sz w:val="24"/>
          <w:szCs w:val="24"/>
          <w:highlight w:val="none"/>
          <w:u w:val="single"/>
        </w:rPr>
        <w:t xml:space="preserve">遇洪水、暴风雪、政府禁令等 </w:t>
      </w:r>
      <w:r>
        <w:rPr>
          <w:rFonts w:hint="eastAsia" w:ascii="宋体" w:hAnsi="宋体" w:eastAsia="宋体" w:cs="宋体"/>
          <w:color w:val="auto"/>
          <w:kern w:val="0"/>
          <w:sz w:val="24"/>
          <w:szCs w:val="24"/>
          <w:highlight w:val="none"/>
        </w:rPr>
        <w:t>。</w:t>
      </w:r>
    </w:p>
    <w:p w14:paraId="5861563C">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因不可抗力解除合同</w:t>
      </w:r>
    </w:p>
    <w:p w14:paraId="3335FDAC">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合同解除后，甲方应在商定或确定甲方应支付款项后</w:t>
      </w:r>
      <w:r>
        <w:rPr>
          <w:rFonts w:hint="eastAsia"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rPr>
        <w:t>天内完成款项的支付。</w:t>
      </w:r>
    </w:p>
    <w:p w14:paraId="20C36E29">
      <w:pPr>
        <w:spacing w:line="360" w:lineRule="exact"/>
        <w:ind w:firstLine="480" w:firstLineChars="200"/>
        <w:rPr>
          <w:rFonts w:hint="eastAsia" w:ascii="宋体" w:hAnsi="宋体" w:eastAsia="宋体" w:cs="宋体"/>
          <w:color w:val="auto"/>
          <w:sz w:val="24"/>
          <w:szCs w:val="24"/>
          <w:highlight w:val="none"/>
        </w:rPr>
      </w:pPr>
    </w:p>
    <w:p w14:paraId="7C5AFB1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甲方(公章)：                           乙方(公章)：</w:t>
      </w:r>
    </w:p>
    <w:p w14:paraId="47F0148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地  址：</w:t>
      </w:r>
    </w:p>
    <w:p w14:paraId="7E72534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                       法定代表人(签字)：</w:t>
      </w:r>
    </w:p>
    <w:p w14:paraId="14E70D0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                      委托代理人(签字)：</w:t>
      </w:r>
    </w:p>
    <w:p w14:paraId="4C79D5B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14:paraId="6DDCF2D8">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传  真：</w:t>
      </w:r>
    </w:p>
    <w:p w14:paraId="03BAF62C">
      <w:pPr>
        <w:rPr>
          <w:rFonts w:hint="eastAsia" w:ascii="宋体" w:hAnsi="宋体" w:eastAsia="宋体" w:cs="宋体"/>
          <w:b/>
          <w:bCs/>
          <w:color w:val="auto"/>
          <w:sz w:val="24"/>
          <w:szCs w:val="24"/>
          <w:highlight w:val="none"/>
        </w:rPr>
      </w:pPr>
    </w:p>
    <w:p w14:paraId="1B3867C7">
      <w:pPr>
        <w:pStyle w:val="21"/>
        <w:rPr>
          <w:rFonts w:hint="eastAsia" w:ascii="宋体" w:hAnsi="宋体" w:eastAsia="宋体" w:cs="宋体"/>
          <w:b/>
          <w:bCs/>
          <w:color w:val="auto"/>
          <w:sz w:val="24"/>
          <w:szCs w:val="24"/>
          <w:highlight w:val="none"/>
        </w:rPr>
      </w:pPr>
    </w:p>
    <w:p w14:paraId="5C064BE3">
      <w:pPr>
        <w:rPr>
          <w:rFonts w:hint="eastAsia" w:ascii="宋体" w:hAnsi="宋体" w:eastAsia="宋体" w:cs="宋体"/>
          <w:b/>
          <w:bCs/>
          <w:color w:val="auto"/>
          <w:sz w:val="24"/>
          <w:szCs w:val="24"/>
          <w:highlight w:val="none"/>
        </w:rPr>
      </w:pPr>
    </w:p>
    <w:p w14:paraId="4D21B09A">
      <w:pPr>
        <w:pStyle w:val="46"/>
        <w:ind w:left="0" w:leftChars="0" w:firstLine="0" w:firstLineChars="0"/>
        <w:rPr>
          <w:rFonts w:hint="eastAsia" w:ascii="宋体" w:hAnsi="宋体" w:eastAsia="宋体" w:cs="宋体"/>
          <w:b/>
          <w:bCs/>
          <w:color w:val="auto"/>
          <w:sz w:val="24"/>
          <w:szCs w:val="24"/>
          <w:highlight w:val="none"/>
        </w:rPr>
      </w:pPr>
    </w:p>
    <w:p w14:paraId="5EF2ECAB">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1A0F3D70">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合同附件一</w:t>
      </w:r>
    </w:p>
    <w:p w14:paraId="6E60D47B">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廉洁诚信协议</w:t>
      </w:r>
    </w:p>
    <w:p w14:paraId="219DD99F">
      <w:pPr>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加强台州市公安局交通警察局政府采购项目廉政建设，预防违法违规行为，确保双方在业务交往中保持廉洁自律，防止各种不正当行为的发生，保证合作双方在业务交往活动中做到诚信廉洁、高效共赢，根据国家相关法律法规及政策规定，经双方协商一致，在签订合同的同时订立本廉洁诚信协议，内容如下：</w:t>
      </w:r>
    </w:p>
    <w:p w14:paraId="65F5EB9C">
      <w:pPr>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1、双方在整个项目采购、建设活动中，做到公平、公正、公开，不搞暗箱操作，不搞不正当竞争，双方工作人员及亲属不得违反以下规定：</w:t>
      </w:r>
    </w:p>
    <w:p w14:paraId="3C2362D5">
      <w:pPr>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（1）不得收受或向对方馈送现金、贵重物品、有价证券、购物卡、充值卡等，不得收受回扣；</w:t>
      </w:r>
    </w:p>
    <w:p w14:paraId="5821337B">
      <w:pPr>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不得介绍亲友或为对方亲友安排从事与双方合作有关的业务活动，甲方项目相关员工及其配偶、父母、子女、利害关系人及控股、参股企业不得在乙方或乙方关联企业中投资入股，甲方员工不得在乙方或乙方关联企业担任兼职，不得以咨询费、服务费或其他任何形式从乙方或乙方关联企业获得收入； </w:t>
      </w:r>
    </w:p>
    <w:p w14:paraId="5964CC24">
      <w:pPr>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（3）不得接受对方或向对方在住房建修、婚丧嫁娶、出国考察、旅游、攻读学历学位等方面提供资助；</w:t>
      </w:r>
    </w:p>
    <w:p w14:paraId="19265030">
      <w:pPr>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（4）不得参加或提供可能影响合作业务公平、公正的娱乐、宴请、健身等活动；</w:t>
      </w:r>
    </w:p>
    <w:p w14:paraId="50B16160">
      <w:pPr>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（5）不得报销或为对方报销应由个人支付的费用。</w:t>
      </w:r>
    </w:p>
    <w:p w14:paraId="5C963F94">
      <w:pPr>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2、乙方人员若有违反第1条规定的行为，或者存在其它违反商业道德与市场规则的情况,甲方有义务向对方监察或相应部门举报，同时甲方有权视情节轻重停止该项目或类似项目的合作。</w:t>
      </w:r>
    </w:p>
    <w:p w14:paraId="1232FEE1">
      <w:pPr>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3、甲方人员有违反第1条规定的行为，或者存在其它索贿、受贿行为或者徇私舞弊、滥用职权、严重渎职等情况时，乙方有义务向对方监察或相应部门举报。</w:t>
      </w:r>
    </w:p>
    <w:p w14:paraId="34CE9D5F">
      <w:pPr>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4、双方及相关人员违反上述规定及其他廉洁诚信准则的，愿意接受党纪政纪及法律惩处。</w:t>
      </w:r>
    </w:p>
    <w:p w14:paraId="64D3D93E">
      <w:pPr>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5、本保证及承诺的有效期与对应的合同或交易事项相同。</w:t>
      </w:r>
    </w:p>
    <w:p w14:paraId="6C1957D0">
      <w:pPr>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6、本廉洁承诺约定作为双方签订的合同附件，具有同等法律效力。</w:t>
      </w:r>
    </w:p>
    <w:p w14:paraId="05B84A80">
      <w:pPr>
        <w:spacing w:line="300" w:lineRule="auto"/>
        <w:rPr>
          <w:rFonts w:hint="eastAsia" w:ascii="宋体" w:hAnsi="宋体" w:eastAsia="宋体" w:cs="宋体"/>
          <w:color w:val="auto"/>
          <w:sz w:val="24"/>
          <w:highlight w:val="none"/>
        </w:rPr>
      </w:pPr>
    </w:p>
    <w:p w14:paraId="6D06AD77">
      <w:pPr>
        <w:pStyle w:val="195"/>
        <w:rPr>
          <w:rFonts w:hint="eastAsia" w:ascii="宋体" w:hAnsi="宋体" w:eastAsia="宋体" w:cs="宋体"/>
          <w:color w:val="auto"/>
          <w:sz w:val="24"/>
          <w:szCs w:val="24"/>
          <w:highlight w:val="none"/>
        </w:rPr>
      </w:pPr>
    </w:p>
    <w:p w14:paraId="686F23FD">
      <w:pPr>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台州市公安局交通警察局举报渠道：   合作方举报渠道：</w:t>
      </w:r>
    </w:p>
    <w:p w14:paraId="407A110B">
      <w:pPr>
        <w:pStyle w:val="14"/>
        <w:spacing w:line="30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电话：12389                        电话：</w:t>
      </w:r>
    </w:p>
    <w:p w14:paraId="5BED91C9">
      <w:pPr>
        <w:pStyle w:val="20"/>
        <w:rPr>
          <w:color w:val="auto"/>
          <w:highlight w:val="none"/>
        </w:rPr>
      </w:pPr>
    </w:p>
    <w:p w14:paraId="786EAABC">
      <w:pPr>
        <w:rPr>
          <w:rFonts w:hint="eastAsia"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14:paraId="35099008">
      <w:pPr>
        <w:jc w:val="center"/>
        <w:outlineLvl w:val="0"/>
        <w:rPr>
          <w:rFonts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 xml:space="preserve">第七部分   </w:t>
      </w:r>
      <w:r>
        <w:rPr>
          <w:rFonts w:hint="eastAsia" w:ascii="宋体" w:hAnsi="宋体" w:eastAsia="宋体" w:cs="宋体"/>
          <w:b/>
          <w:bCs/>
          <w:color w:val="auto"/>
          <w:sz w:val="32"/>
          <w:szCs w:val="32"/>
          <w:highlight w:val="none"/>
        </w:rPr>
        <w:t>格式与表格</w:t>
      </w:r>
      <w:bookmarkEnd w:id="90"/>
      <w:bookmarkEnd w:id="91"/>
    </w:p>
    <w:p w14:paraId="1406D233">
      <w:pPr>
        <w:widowControl w:val="0"/>
        <w:spacing w:after="120"/>
        <w:jc w:val="both"/>
        <w:rPr>
          <w:rFonts w:ascii="宋体" w:hAnsi="宋体" w:eastAsia="宋体" w:cs="宋体"/>
          <w:color w:val="auto"/>
          <w:kern w:val="2"/>
          <w:sz w:val="21"/>
          <w:szCs w:val="24"/>
          <w:highlight w:val="none"/>
          <w:lang w:val="en-US" w:eastAsia="zh-CN" w:bidi="ar-SA"/>
        </w:rPr>
      </w:pPr>
    </w:p>
    <w:p w14:paraId="0BF19614">
      <w:pPr>
        <w:shd w:val="clear" w:color="auto" w:fill="FFFFFF"/>
        <w:snapToGrid w:val="0"/>
        <w:spacing w:line="360" w:lineRule="auto"/>
        <w:jc w:val="center"/>
        <w:rPr>
          <w:rFonts w:ascii="宋体" w:hAnsi="宋体" w:eastAsia="宋体" w:cs="宋体"/>
          <w:b/>
          <w:bCs/>
          <w:color w:val="auto"/>
          <w:szCs w:val="21"/>
          <w:highlight w:val="none"/>
        </w:rPr>
      </w:pPr>
      <w:bookmarkStart w:id="92" w:name="_Toc22871"/>
      <w:bookmarkStart w:id="93" w:name="_Toc2172"/>
      <w:r>
        <w:rPr>
          <w:rFonts w:hint="eastAsia" w:ascii="宋体" w:hAnsi="宋体" w:eastAsia="宋体" w:cs="宋体"/>
          <w:color w:val="auto"/>
          <w:sz w:val="52"/>
          <w:szCs w:val="52"/>
          <w:highlight w:val="none"/>
        </w:rPr>
        <w:t>项目名称</w:t>
      </w:r>
      <w:bookmarkEnd w:id="92"/>
      <w:bookmarkEnd w:id="93"/>
    </w:p>
    <w:p w14:paraId="735F4B8B">
      <w:pPr>
        <w:spacing w:line="360" w:lineRule="auto"/>
        <w:ind w:firstLine="3596" w:firstLineChars="995"/>
        <w:jc w:val="left"/>
        <w:rPr>
          <w:rFonts w:ascii="宋体" w:hAnsi="宋体" w:eastAsia="宋体" w:cs="宋体"/>
          <w:color w:val="auto"/>
          <w:sz w:val="30"/>
          <w:szCs w:val="30"/>
          <w:highlight w:val="none"/>
        </w:rPr>
      </w:pPr>
      <w:r>
        <w:rPr>
          <w:rFonts w:hint="eastAsia" w:ascii="宋体" w:hAnsi="宋体" w:eastAsia="宋体" w:cs="宋体"/>
          <w:b/>
          <w:color w:val="auto"/>
          <w:sz w:val="36"/>
          <w:szCs w:val="36"/>
          <w:highlight w:val="none"/>
        </w:rPr>
        <w:t>项目编号：</w:t>
      </w:r>
    </w:p>
    <w:p w14:paraId="10FEA949">
      <w:pPr>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投</w:t>
      </w:r>
    </w:p>
    <w:p w14:paraId="46A1B37D">
      <w:pPr>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标</w:t>
      </w:r>
    </w:p>
    <w:p w14:paraId="79120F4E">
      <w:pPr>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文</w:t>
      </w:r>
    </w:p>
    <w:p w14:paraId="047746AA">
      <w:pPr>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件</w:t>
      </w:r>
    </w:p>
    <w:p w14:paraId="1293B164">
      <w:pPr>
        <w:spacing w:line="360" w:lineRule="auto"/>
        <w:jc w:val="center"/>
        <w:rPr>
          <w:rFonts w:ascii="宋体" w:hAnsi="宋体" w:eastAsia="宋体" w:cs="宋体"/>
          <w:color w:val="auto"/>
          <w:sz w:val="28"/>
          <w:szCs w:val="28"/>
          <w:highlight w:val="none"/>
        </w:rPr>
      </w:pPr>
    </w:p>
    <w:p w14:paraId="084E3144">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（资格证明文件）</w:t>
      </w:r>
    </w:p>
    <w:p w14:paraId="47C9727B">
      <w:pPr>
        <w:spacing w:line="360" w:lineRule="auto"/>
        <w:jc w:val="center"/>
        <w:rPr>
          <w:rFonts w:ascii="宋体" w:hAnsi="宋体" w:eastAsia="宋体" w:cs="宋体"/>
          <w:color w:val="auto"/>
          <w:sz w:val="32"/>
          <w:szCs w:val="32"/>
          <w:highlight w:val="none"/>
        </w:rPr>
      </w:pPr>
    </w:p>
    <w:p w14:paraId="48368668">
      <w:pPr>
        <w:spacing w:line="360" w:lineRule="auto"/>
        <w:jc w:val="center"/>
        <w:rPr>
          <w:rFonts w:ascii="宋体" w:hAnsi="宋体" w:eastAsia="宋体" w:cs="宋体"/>
          <w:color w:val="auto"/>
          <w:sz w:val="32"/>
          <w:szCs w:val="32"/>
          <w:highlight w:val="none"/>
        </w:rPr>
      </w:pPr>
    </w:p>
    <w:p w14:paraId="3C481C7A">
      <w:pPr>
        <w:widowControl w:val="0"/>
        <w:ind w:left="0" w:leftChars="0" w:firstLine="1260" w:firstLineChars="350"/>
        <w:jc w:val="both"/>
        <w:rPr>
          <w:rFonts w:ascii="宋体" w:hAnsi="宋体" w:eastAsia="宋体" w:cs="宋体"/>
          <w:color w:val="auto"/>
          <w:kern w:val="2"/>
          <w:sz w:val="36"/>
          <w:szCs w:val="36"/>
          <w:highlight w:val="none"/>
          <w:lang w:val="en-US" w:eastAsia="zh-CN" w:bidi="ar-SA"/>
        </w:rPr>
      </w:pPr>
      <w:r>
        <w:rPr>
          <w:rFonts w:hint="eastAsia" w:ascii="宋体" w:hAnsi="宋体" w:eastAsia="宋体" w:cs="宋体"/>
          <w:color w:val="auto"/>
          <w:kern w:val="2"/>
          <w:sz w:val="36"/>
          <w:szCs w:val="36"/>
          <w:highlight w:val="none"/>
          <w:lang w:val="en-US" w:eastAsia="zh-CN" w:bidi="ar-SA"/>
        </w:rPr>
        <w:t>投标人名称（公章）：</w:t>
      </w:r>
    </w:p>
    <w:p w14:paraId="1FB5318B">
      <w:pPr>
        <w:widowControl w:val="0"/>
        <w:ind w:left="0" w:leftChars="0" w:firstLine="1260" w:firstLineChars="350"/>
        <w:jc w:val="both"/>
        <w:rPr>
          <w:rFonts w:ascii="宋体" w:hAnsi="宋体" w:eastAsia="宋体" w:cs="宋体"/>
          <w:color w:val="auto"/>
          <w:kern w:val="2"/>
          <w:sz w:val="36"/>
          <w:szCs w:val="36"/>
          <w:highlight w:val="none"/>
          <w:lang w:val="en-US" w:eastAsia="zh-CN" w:bidi="ar-SA"/>
        </w:rPr>
      </w:pPr>
      <w:r>
        <w:rPr>
          <w:rFonts w:hint="eastAsia" w:ascii="宋体" w:hAnsi="宋体" w:eastAsia="宋体" w:cs="宋体"/>
          <w:color w:val="auto"/>
          <w:kern w:val="2"/>
          <w:sz w:val="36"/>
          <w:szCs w:val="36"/>
          <w:highlight w:val="none"/>
          <w:lang w:val="en-US" w:eastAsia="zh-CN" w:bidi="ar-SA"/>
        </w:rPr>
        <w:t>投标人地址：</w:t>
      </w:r>
    </w:p>
    <w:p w14:paraId="63688F81">
      <w:pPr>
        <w:widowControl w:val="0"/>
        <w:ind w:left="0" w:leftChars="0" w:firstLine="1440" w:firstLineChars="400"/>
        <w:jc w:val="both"/>
        <w:rPr>
          <w:rFonts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36"/>
          <w:szCs w:val="36"/>
          <w:highlight w:val="none"/>
          <w:lang w:val="en-US" w:eastAsia="zh-CN" w:bidi="ar-SA"/>
        </w:rPr>
        <w:t>时    间：</w:t>
      </w:r>
    </w:p>
    <w:p w14:paraId="16FA53F8">
      <w:pPr>
        <w:rPr>
          <w:rFonts w:ascii="宋体" w:hAnsi="宋体" w:eastAsia="宋体" w:cs="宋体"/>
          <w:color w:val="auto"/>
          <w:highlight w:val="none"/>
        </w:rPr>
      </w:pPr>
    </w:p>
    <w:p w14:paraId="7462F45D">
      <w:pPr>
        <w:widowControl w:val="0"/>
        <w:spacing w:after="120"/>
        <w:jc w:val="both"/>
        <w:rPr>
          <w:rFonts w:ascii="宋体" w:hAnsi="宋体" w:eastAsia="宋体" w:cs="宋体"/>
          <w:color w:val="auto"/>
          <w:kern w:val="2"/>
          <w:sz w:val="21"/>
          <w:szCs w:val="24"/>
          <w:highlight w:val="none"/>
          <w:lang w:val="en-US" w:eastAsia="zh-CN" w:bidi="ar-SA"/>
        </w:rPr>
      </w:pPr>
    </w:p>
    <w:p w14:paraId="7334B055">
      <w:pPr>
        <w:spacing w:line="360" w:lineRule="auto"/>
        <w:jc w:val="center"/>
        <w:rPr>
          <w:rFonts w:ascii="宋体" w:hAnsi="宋体" w:eastAsia="宋体" w:cs="宋体"/>
          <w:b/>
          <w:color w:val="auto"/>
          <w:sz w:val="44"/>
          <w:szCs w:val="44"/>
          <w:highlight w:val="none"/>
        </w:rPr>
      </w:pPr>
    </w:p>
    <w:p w14:paraId="16EF7AFA">
      <w:pPr>
        <w:widowControl w:val="0"/>
        <w:spacing w:line="480" w:lineRule="atLeast"/>
        <w:ind w:firstLine="570"/>
        <w:jc w:val="both"/>
        <w:rPr>
          <w:rFonts w:ascii="宋体" w:hAnsi="宋体" w:eastAsia="宋体" w:cs="宋体"/>
          <w:color w:val="auto"/>
          <w:kern w:val="2"/>
          <w:sz w:val="28"/>
          <w:szCs w:val="28"/>
          <w:highlight w:val="none"/>
          <w:lang w:val="en-US" w:eastAsia="zh-CN" w:bidi="ar-SA"/>
        </w:rPr>
      </w:pPr>
    </w:p>
    <w:p w14:paraId="6F7338BC">
      <w:pPr>
        <w:spacing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0C8881EE">
      <w:pPr>
        <w:spacing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目录</w:t>
      </w:r>
    </w:p>
    <w:p w14:paraId="2E829990">
      <w:pPr>
        <w:widowControl w:val="0"/>
        <w:spacing w:line="480" w:lineRule="auto"/>
        <w:ind w:left="0" w:leftChars="0" w:firstLine="0" w:firstLineChars="0"/>
        <w:jc w:val="lef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1、符合参加政府采购活动应当具备的一般条件的承诺函……………………（页码）</w:t>
      </w:r>
    </w:p>
    <w:p w14:paraId="6B7F5FED">
      <w:pPr>
        <w:widowControl w:val="0"/>
        <w:spacing w:line="480" w:lineRule="auto"/>
        <w:ind w:left="0" w:leftChars="0" w:firstLine="0" w:firstLineChars="0"/>
        <w:jc w:val="lef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2、法人或者其他组织的营业执照等证明文件，自然人的身份证……………（页码）</w:t>
      </w:r>
    </w:p>
    <w:p w14:paraId="4F6CEBD7">
      <w:pPr>
        <w:widowControl w:val="0"/>
        <w:spacing w:line="480" w:lineRule="auto"/>
        <w:ind w:left="0" w:leftChars="0" w:firstLine="0" w:firstLineChars="0"/>
        <w:jc w:val="left"/>
        <w:rPr>
          <w:rFonts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 xml:space="preserve">、本项目的特定资格要求（如果有，提供采购公告中符合供应商特定条件的有效资质证书扫描件)，以及供应商认为有必要提供的其他资格证明资料…………（页码）     </w:t>
      </w:r>
    </w:p>
    <w:p w14:paraId="1A1B4354">
      <w:pPr>
        <w:widowControl w:val="0"/>
        <w:spacing w:line="48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目录自行扩展)</w:t>
      </w:r>
    </w:p>
    <w:p w14:paraId="1874867C">
      <w:pPr>
        <w:rPr>
          <w:rFonts w:ascii="宋体" w:hAnsi="宋体" w:eastAsia="宋体" w:cs="宋体"/>
          <w:color w:val="auto"/>
          <w:highlight w:val="none"/>
        </w:rPr>
      </w:pPr>
    </w:p>
    <w:p w14:paraId="1455CE39">
      <w:pPr>
        <w:spacing w:after="100" w:afterAutospacing="1"/>
        <w:jc w:val="center"/>
        <w:rPr>
          <w:rFonts w:ascii="宋体" w:hAnsi="宋体" w:cs="宋体"/>
          <w:b/>
          <w:color w:val="auto"/>
          <w:sz w:val="32"/>
          <w:szCs w:val="32"/>
          <w:highlight w:val="none"/>
        </w:rPr>
        <w:sectPr>
          <w:footerReference r:id="rId10" w:type="default"/>
          <w:pgSz w:w="11906" w:h="16838"/>
          <w:pgMar w:top="1134" w:right="1587" w:bottom="1134" w:left="1587" w:header="851" w:footer="992" w:gutter="0"/>
          <w:pgBorders>
            <w:top w:val="none" w:sz="0" w:space="0"/>
            <w:left w:val="none" w:sz="0" w:space="0"/>
            <w:bottom w:val="none" w:sz="0" w:space="0"/>
            <w:right w:val="none" w:sz="0" w:space="0"/>
          </w:pgBorders>
          <w:cols w:space="720" w:num="1"/>
          <w:docGrid w:type="lines" w:linePitch="312" w:charSpace="0"/>
        </w:sectPr>
      </w:pPr>
    </w:p>
    <w:p w14:paraId="43662C1E">
      <w:pPr>
        <w:spacing w:after="100" w:afterAutospacing="1"/>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一、符合参加政府采购活动应当具备的一般条件的承诺函</w:t>
      </w:r>
    </w:p>
    <w:p w14:paraId="0780A826">
      <w:pPr>
        <w:kinsoku/>
        <w:overflowPunct/>
        <w:topLinePunct w:val="0"/>
        <w:bidi w:val="0"/>
        <w:snapToGrid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w:t>
      </w:r>
    </w:p>
    <w:p w14:paraId="7FFF78CB">
      <w:pPr>
        <w:kinsoku/>
        <w:overflowPunct/>
        <w:topLinePunct w:val="0"/>
        <w:bidi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我方参与（项目名称）【招标编号：（采购编号）】政府采购活动，郑重承诺：</w:t>
      </w:r>
    </w:p>
    <w:p w14:paraId="04B12096">
      <w:pPr>
        <w:kinsoku/>
        <w:overflowPunct/>
        <w:topLinePunct w:val="0"/>
        <w:bidi w:val="0"/>
        <w:snapToGrid w:val="0"/>
        <w:spacing w:beforeAutospacing="0" w:afterAutospacing="0"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（一）具备《中华人民共和国政府采购法》第二十二条第一款规定的条件：</w:t>
      </w:r>
    </w:p>
    <w:p w14:paraId="4F3ED8A6">
      <w:pPr>
        <w:kinsoku/>
        <w:overflowPunct/>
        <w:topLinePunct w:val="0"/>
        <w:bidi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71E1079F">
      <w:pPr>
        <w:kinsoku/>
        <w:overflowPunct/>
        <w:topLinePunct w:val="0"/>
        <w:bidi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2、具有良好的商业信誉和健全的财务会计制度； </w:t>
      </w:r>
    </w:p>
    <w:p w14:paraId="77C2AD2B">
      <w:pPr>
        <w:kinsoku/>
        <w:overflowPunct/>
        <w:topLinePunct w:val="0"/>
        <w:bidi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681CDD82">
      <w:pPr>
        <w:kinsoku/>
        <w:overflowPunct/>
        <w:topLinePunct w:val="0"/>
        <w:bidi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0CE94BC5">
      <w:pPr>
        <w:kinsoku/>
        <w:overflowPunct/>
        <w:topLinePunct w:val="0"/>
        <w:bidi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27D994D0">
      <w:pPr>
        <w:kinsoku/>
        <w:overflowPunct/>
        <w:topLinePunct w:val="0"/>
        <w:bidi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6、具有法律、行政法规规定的其他条件。</w:t>
      </w:r>
    </w:p>
    <w:p w14:paraId="00A14595">
      <w:pPr>
        <w:kinsoku/>
        <w:overflowPunct/>
        <w:topLinePunct w:val="0"/>
        <w:bidi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（二）未被信用中国（www.creditchina.gov.cn)、中国政府采购网（www.ccgp.gov.cn）列入失信被执行人、重大税收违法案件当事人名单、政府采购严重违法失信行为记录名单。</w:t>
      </w:r>
    </w:p>
    <w:p w14:paraId="44D210CF">
      <w:pPr>
        <w:kinsoku/>
        <w:overflowPunct/>
        <w:topLinePunct w:val="0"/>
        <w:bidi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（三）不存在以下情况：</w:t>
      </w:r>
    </w:p>
    <w:p w14:paraId="0CDFE038">
      <w:pPr>
        <w:kinsoku/>
        <w:overflowPunct/>
        <w:topLinePunct w:val="0"/>
        <w:bidi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1、单位负责人为同一人或者存在直接控股、管理关系的不同供应商参加同一合同项下的政府采购活动的；</w:t>
      </w:r>
    </w:p>
    <w:p w14:paraId="468697C0">
      <w:pPr>
        <w:kinsoku/>
        <w:overflowPunct/>
        <w:topLinePunct w:val="0"/>
        <w:bidi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2、为采购项目提供整体设计、规范编制或者项目管理、监理、检测等服务后再参加该采购项目的其他采购活动的。</w:t>
      </w:r>
    </w:p>
    <w:p w14:paraId="47AACB2B">
      <w:pPr>
        <w:kinsoku/>
        <w:overflowPunct/>
        <w:topLinePunct w:val="0"/>
        <w:bidi w:val="0"/>
        <w:snapToGrid w:val="0"/>
        <w:spacing w:beforeAutospacing="0" w:afterAutospacing="0" w:line="440" w:lineRule="exact"/>
        <w:jc w:val="both"/>
        <w:rPr>
          <w:rFonts w:hint="eastAsia" w:ascii="宋体" w:hAnsi="宋体" w:eastAsia="宋体" w:cs="宋体"/>
          <w:color w:val="auto"/>
          <w:kern w:val="0"/>
          <w:sz w:val="24"/>
          <w:szCs w:val="24"/>
          <w:highlight w:val="none"/>
          <w:lang w:val="zh-CN"/>
        </w:rPr>
      </w:pPr>
    </w:p>
    <w:p w14:paraId="75AAF33C">
      <w:pPr>
        <w:tabs>
          <w:tab w:val="left" w:pos="312"/>
        </w:tabs>
        <w:spacing w:line="480" w:lineRule="auto"/>
        <w:ind w:firstLine="480" w:firstLineChars="2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投标人名称（盖公章）：</w:t>
      </w:r>
    </w:p>
    <w:p w14:paraId="28A83C58">
      <w:pPr>
        <w:spacing w:line="480" w:lineRule="auto"/>
        <w:ind w:firstLine="424" w:firstLineChars="177"/>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法定代表人或授权委托代理人（签字或</w:t>
      </w:r>
      <w:r>
        <w:rPr>
          <w:rFonts w:hint="eastAsia" w:ascii="宋体" w:hAnsi="宋体" w:cs="宋体"/>
          <w:color w:val="auto"/>
          <w:sz w:val="24"/>
          <w:szCs w:val="24"/>
          <w:highlight w:val="none"/>
          <w:lang w:eastAsia="zh-CN"/>
        </w:rPr>
        <w:t>签章</w:t>
      </w:r>
      <w:r>
        <w:rPr>
          <w:rFonts w:hint="eastAsia" w:ascii="宋体" w:hAnsi="宋体" w:eastAsia="宋体" w:cs="宋体"/>
          <w:color w:val="auto"/>
          <w:sz w:val="24"/>
          <w:szCs w:val="24"/>
          <w:highlight w:val="none"/>
        </w:rPr>
        <w:t>）：</w:t>
      </w:r>
    </w:p>
    <w:p w14:paraId="6F02CBF1">
      <w:pPr>
        <w:spacing w:after="100" w:afterAutospacing="1" w:line="480" w:lineRule="auto"/>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日期：  年    月   日</w:t>
      </w:r>
    </w:p>
    <w:p w14:paraId="59C1C9FE">
      <w:pPr>
        <w:spacing w:after="100" w:afterAutospacing="1"/>
        <w:jc w:val="both"/>
        <w:rPr>
          <w:rFonts w:hint="eastAsia" w:ascii="宋体" w:hAnsi="宋体" w:eastAsia="宋体" w:cs="宋体"/>
          <w:color w:val="auto"/>
          <w:kern w:val="0"/>
          <w:sz w:val="24"/>
          <w:szCs w:val="24"/>
          <w:highlight w:val="none"/>
          <w:lang w:val="zh-CN"/>
        </w:rPr>
      </w:pPr>
    </w:p>
    <w:p w14:paraId="04DD858A">
      <w:pPr>
        <w:keepNext w:val="0"/>
        <w:keepLines w:val="0"/>
        <w:pageBreakBefore/>
        <w:widowControl w:val="0"/>
        <w:kinsoku/>
        <w:wordWrap/>
        <w:overflowPunct/>
        <w:topLinePunct w:val="0"/>
        <w:autoSpaceDE/>
        <w:autoSpaceDN/>
        <w:bidi w:val="0"/>
        <w:adjustRightInd/>
        <w:snapToGrid/>
        <w:spacing w:after="100" w:afterAutospacing="1"/>
        <w:jc w:val="both"/>
        <w:textAlignment w:val="auto"/>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二、法人或者其他组织的营业执照等证明文件，自然人的身份证明</w:t>
      </w:r>
    </w:p>
    <w:p w14:paraId="76DE53EB">
      <w:pPr>
        <w:pStyle w:val="104"/>
        <w:rPr>
          <w:rFonts w:ascii="宋体" w:hAnsi="宋体" w:eastAsia="宋体" w:cs="宋体"/>
          <w:color w:val="auto"/>
          <w:sz w:val="21"/>
          <w:szCs w:val="21"/>
          <w:highlight w:val="none"/>
        </w:rPr>
      </w:pPr>
    </w:p>
    <w:p w14:paraId="7C05E865">
      <w:pPr>
        <w:pStyle w:val="104"/>
        <w:rPr>
          <w:rFonts w:ascii="宋体" w:hAnsi="宋体" w:eastAsia="宋体" w:cs="宋体"/>
          <w:color w:val="auto"/>
          <w:sz w:val="21"/>
          <w:szCs w:val="21"/>
          <w:highlight w:val="none"/>
        </w:rPr>
      </w:pPr>
    </w:p>
    <w:p w14:paraId="281E645B">
      <w:pPr>
        <w:rPr>
          <w:rFonts w:hint="eastAsia" w:eastAsia="宋体" w:cs="宋体"/>
          <w:b/>
          <w:color w:val="auto"/>
          <w:sz w:val="32"/>
          <w:szCs w:val="32"/>
          <w:highlight w:val="none"/>
        </w:rPr>
      </w:pPr>
    </w:p>
    <w:p w14:paraId="22A0C911">
      <w:pPr>
        <w:rPr>
          <w:rFonts w:hint="eastAsia" w:eastAsia="宋体" w:cs="宋体"/>
          <w:b/>
          <w:color w:val="auto"/>
          <w:sz w:val="32"/>
          <w:szCs w:val="32"/>
          <w:highlight w:val="none"/>
        </w:rPr>
      </w:pPr>
    </w:p>
    <w:p w14:paraId="716A6481">
      <w:pPr>
        <w:jc w:val="center"/>
        <w:rPr>
          <w:rFonts w:hint="eastAsia" w:eastAsia="宋体" w:cs="宋体"/>
          <w:b/>
          <w:color w:val="auto"/>
          <w:sz w:val="32"/>
          <w:szCs w:val="32"/>
          <w:highlight w:val="none"/>
        </w:rPr>
      </w:pPr>
    </w:p>
    <w:p w14:paraId="28BF9A78">
      <w:pPr>
        <w:jc w:val="center"/>
        <w:rPr>
          <w:rFonts w:hint="eastAsia" w:eastAsia="宋体" w:cs="宋体"/>
          <w:b/>
          <w:color w:val="auto"/>
          <w:sz w:val="32"/>
          <w:szCs w:val="32"/>
          <w:highlight w:val="none"/>
        </w:rPr>
      </w:pPr>
    </w:p>
    <w:p w14:paraId="25775873">
      <w:pPr>
        <w:jc w:val="center"/>
        <w:rPr>
          <w:rFonts w:hint="eastAsia" w:eastAsia="宋体" w:cs="宋体"/>
          <w:b/>
          <w:color w:val="auto"/>
          <w:sz w:val="32"/>
          <w:szCs w:val="32"/>
          <w:highlight w:val="none"/>
        </w:rPr>
      </w:pPr>
    </w:p>
    <w:p w14:paraId="01EA0220">
      <w:pPr>
        <w:keepNext w:val="0"/>
        <w:keepLines w:val="0"/>
        <w:pageBreakBefore/>
        <w:widowControl w:val="0"/>
        <w:kinsoku/>
        <w:wordWrap/>
        <w:overflowPunct/>
        <w:topLinePunct w:val="0"/>
        <w:autoSpaceDE/>
        <w:autoSpaceDN/>
        <w:bidi w:val="0"/>
        <w:adjustRightInd/>
        <w:snapToGrid/>
        <w:jc w:val="center"/>
        <w:textAlignment w:val="auto"/>
        <w:rPr>
          <w:rFonts w:hint="eastAsia" w:eastAsia="宋体" w:cs="宋体"/>
          <w:color w:val="auto"/>
          <w:highlight w:val="none"/>
          <w:lang w:eastAsia="zh-CN"/>
        </w:rPr>
      </w:pPr>
      <w:r>
        <w:rPr>
          <w:rFonts w:hint="eastAsia" w:cs="宋体"/>
          <w:b/>
          <w:color w:val="auto"/>
          <w:sz w:val="32"/>
          <w:szCs w:val="32"/>
          <w:highlight w:val="none"/>
          <w:lang w:eastAsia="zh-CN"/>
        </w:rPr>
        <w:t>三</w:t>
      </w:r>
      <w:r>
        <w:rPr>
          <w:rFonts w:hint="eastAsia" w:eastAsia="宋体" w:cs="宋体"/>
          <w:b/>
          <w:color w:val="auto"/>
          <w:sz w:val="32"/>
          <w:szCs w:val="32"/>
          <w:highlight w:val="none"/>
        </w:rPr>
        <w:t>、本项目的特定资格要求</w:t>
      </w:r>
      <w:r>
        <w:rPr>
          <w:rFonts w:hint="eastAsia" w:eastAsia="宋体" w:cs="宋体"/>
          <w:b/>
          <w:color w:val="auto"/>
          <w:sz w:val="32"/>
          <w:szCs w:val="32"/>
          <w:highlight w:val="none"/>
          <w:lang w:eastAsia="zh-CN"/>
        </w:rPr>
        <w:t>，以及供应商认为有必要提供的其他资格证明资料</w:t>
      </w:r>
    </w:p>
    <w:p w14:paraId="408DCB71">
      <w:pPr>
        <w:spacing w:line="360" w:lineRule="auto"/>
        <w:jc w:val="center"/>
        <w:rPr>
          <w:rFonts w:hint="eastAsia" w:ascii="宋体" w:hAnsi="宋体" w:eastAsia="宋体" w:cs="宋体"/>
          <w:color w:val="auto"/>
          <w:sz w:val="24"/>
          <w:highlight w:val="none"/>
        </w:rPr>
      </w:pPr>
    </w:p>
    <w:p w14:paraId="04AD296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650C4242">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（供应商认为有必要提供的其他资格证明资料，如果有，可提供）</w:t>
      </w:r>
    </w:p>
    <w:p w14:paraId="3745241D">
      <w:pPr>
        <w:widowControl w:val="0"/>
        <w:spacing w:line="360" w:lineRule="auto"/>
        <w:ind w:left="420" w:leftChars="200" w:firstLine="440" w:firstLineChars="200"/>
        <w:jc w:val="both"/>
        <w:rPr>
          <w:rFonts w:ascii="宋体" w:hAnsi="宋体" w:eastAsia="宋体" w:cs="宋体"/>
          <w:color w:val="auto"/>
          <w:kern w:val="2"/>
          <w:sz w:val="22"/>
          <w:szCs w:val="22"/>
          <w:highlight w:val="none"/>
          <w:lang w:val="en-US" w:eastAsia="zh-CN" w:bidi="ar-SA"/>
        </w:rPr>
      </w:pPr>
    </w:p>
    <w:p w14:paraId="03EA80D5">
      <w:pPr>
        <w:rPr>
          <w:rFonts w:ascii="宋体" w:hAnsi="宋体" w:eastAsia="宋体" w:cs="宋体"/>
          <w:color w:val="auto"/>
          <w:highlight w:val="none"/>
        </w:rPr>
      </w:pPr>
    </w:p>
    <w:p w14:paraId="36990EE7">
      <w:pPr>
        <w:rPr>
          <w:rFonts w:ascii="宋体" w:hAnsi="宋体" w:eastAsia="宋体" w:cs="宋体"/>
          <w:color w:val="auto"/>
          <w:highlight w:val="none"/>
        </w:rPr>
      </w:pPr>
    </w:p>
    <w:p w14:paraId="1B9AAB9F">
      <w:pPr>
        <w:spacing w:line="360" w:lineRule="auto"/>
        <w:jc w:val="center"/>
        <w:rPr>
          <w:rFonts w:ascii="宋体" w:hAnsi="宋体" w:eastAsia="宋体" w:cs="宋体"/>
          <w:b/>
          <w:bCs/>
          <w:color w:val="auto"/>
          <w:kern w:val="0"/>
          <w:sz w:val="32"/>
          <w:szCs w:val="32"/>
          <w:highlight w:val="none"/>
        </w:rPr>
      </w:pPr>
    </w:p>
    <w:p w14:paraId="2606222E">
      <w:pPr>
        <w:spacing w:line="360" w:lineRule="auto"/>
        <w:jc w:val="center"/>
        <w:rPr>
          <w:rFonts w:ascii="宋体" w:hAnsi="宋体" w:eastAsia="宋体" w:cs="宋体"/>
          <w:b/>
          <w:bCs/>
          <w:color w:val="auto"/>
          <w:kern w:val="0"/>
          <w:sz w:val="32"/>
          <w:szCs w:val="32"/>
          <w:highlight w:val="none"/>
        </w:rPr>
      </w:pPr>
    </w:p>
    <w:p w14:paraId="4ED6F314">
      <w:pPr>
        <w:pageBreakBefore/>
        <w:spacing w:line="360" w:lineRule="auto"/>
        <w:ind w:right="-108"/>
        <w:jc w:val="center"/>
        <w:outlineLvl w:val="0"/>
        <w:rPr>
          <w:rFonts w:ascii="宋体" w:hAnsi="宋体" w:eastAsia="宋体" w:cs="宋体"/>
          <w:color w:val="auto"/>
          <w:spacing w:val="40"/>
          <w:sz w:val="52"/>
          <w:szCs w:val="52"/>
          <w:highlight w:val="none"/>
        </w:rPr>
      </w:pPr>
      <w:bookmarkStart w:id="94" w:name="_Toc29941"/>
      <w:bookmarkStart w:id="95" w:name="_Toc24755"/>
      <w:bookmarkStart w:id="96" w:name="_Toc11790"/>
      <w:bookmarkStart w:id="97" w:name="_Toc4606"/>
      <w:bookmarkStart w:id="98" w:name="_Toc12630"/>
      <w:bookmarkStart w:id="99" w:name="_Toc30629"/>
      <w:bookmarkStart w:id="100" w:name="_Toc5348"/>
      <w:bookmarkStart w:id="101" w:name="_Toc24215"/>
      <w:bookmarkStart w:id="102" w:name="_Toc17190"/>
      <w:r>
        <w:rPr>
          <w:rFonts w:hint="eastAsia" w:ascii="宋体" w:hAnsi="宋体" w:eastAsia="宋体" w:cs="宋体"/>
          <w:color w:val="auto"/>
          <w:spacing w:val="40"/>
          <w:sz w:val="52"/>
          <w:szCs w:val="52"/>
          <w:highlight w:val="none"/>
        </w:rPr>
        <w:t>项目名称</w:t>
      </w:r>
      <w:bookmarkEnd w:id="94"/>
      <w:bookmarkEnd w:id="95"/>
      <w:bookmarkEnd w:id="96"/>
      <w:bookmarkEnd w:id="97"/>
      <w:bookmarkEnd w:id="98"/>
      <w:bookmarkEnd w:id="99"/>
      <w:bookmarkEnd w:id="100"/>
      <w:bookmarkEnd w:id="101"/>
      <w:bookmarkEnd w:id="102"/>
    </w:p>
    <w:p w14:paraId="3D675522">
      <w:pPr>
        <w:spacing w:beforeLines="100" w:line="360" w:lineRule="auto"/>
        <w:ind w:right="-108"/>
        <w:jc w:val="cente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项目编号：   </w:t>
      </w:r>
    </w:p>
    <w:p w14:paraId="25B3BA2A">
      <w:pPr>
        <w:spacing w:beforeLines="100" w:line="360" w:lineRule="auto"/>
        <w:ind w:right="-108"/>
        <w:jc w:val="center"/>
        <w:rPr>
          <w:rFonts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221B74DF">
      <w:pPr>
        <w:autoSpaceDE w:val="0"/>
        <w:autoSpaceDN w:val="0"/>
        <w:adjustRightInd w:val="0"/>
        <w:spacing w:line="360" w:lineRule="auto"/>
        <w:jc w:val="center"/>
        <w:rPr>
          <w:rFonts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0015C36E">
      <w:pPr>
        <w:autoSpaceDE w:val="0"/>
        <w:autoSpaceDN w:val="0"/>
        <w:adjustRightInd w:val="0"/>
        <w:spacing w:line="360" w:lineRule="auto"/>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279708DF">
      <w:pPr>
        <w:spacing w:after="100" w:afterAutospacing="1" w:line="360" w:lineRule="auto"/>
        <w:ind w:right="-108"/>
        <w:jc w:val="center"/>
        <w:rPr>
          <w:rFonts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546A1787">
      <w:pPr>
        <w:spacing w:after="100" w:afterAutospacing="1" w:line="360" w:lineRule="auto"/>
        <w:ind w:right="-108"/>
        <w:jc w:val="center"/>
        <w:rPr>
          <w:rFonts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2A3A3C0F">
      <w:pPr>
        <w:spacing w:line="480" w:lineRule="auto"/>
        <w:ind w:right="532" w:firstLine="720" w:firstLineChars="200"/>
        <w:rPr>
          <w:rFonts w:ascii="宋体" w:hAnsi="宋体" w:eastAsia="宋体" w:cs="宋体"/>
          <w:color w:val="auto"/>
          <w:sz w:val="36"/>
          <w:szCs w:val="36"/>
          <w:highlight w:val="none"/>
        </w:rPr>
      </w:pPr>
    </w:p>
    <w:p w14:paraId="4430D1D6">
      <w:pPr>
        <w:spacing w:line="480" w:lineRule="auto"/>
        <w:ind w:right="532"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投标人名称（公章）：</w:t>
      </w:r>
    </w:p>
    <w:p w14:paraId="6FC1A04C">
      <w:pPr>
        <w:spacing w:line="480" w:lineRule="auto"/>
        <w:ind w:right="532"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投标人地址：</w:t>
      </w:r>
    </w:p>
    <w:p w14:paraId="1F7549E9">
      <w:pPr>
        <w:spacing w:line="480" w:lineRule="auto"/>
        <w:ind w:right="532"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72123226">
      <w:pPr>
        <w:rPr>
          <w:rFonts w:ascii="宋体" w:hAnsi="宋体" w:eastAsia="宋体" w:cs="宋体"/>
          <w:color w:val="auto"/>
          <w:highlight w:val="none"/>
        </w:rPr>
      </w:pPr>
    </w:p>
    <w:p w14:paraId="6C3BAF59">
      <w:pPr>
        <w:widowControl w:val="0"/>
        <w:spacing w:after="120"/>
        <w:jc w:val="both"/>
        <w:rPr>
          <w:rFonts w:ascii="宋体" w:hAnsi="宋体" w:eastAsia="宋体" w:cs="宋体"/>
          <w:color w:val="auto"/>
          <w:kern w:val="2"/>
          <w:sz w:val="21"/>
          <w:szCs w:val="24"/>
          <w:highlight w:val="none"/>
          <w:lang w:val="en-US" w:eastAsia="zh-CN" w:bidi="ar-SA"/>
        </w:rPr>
      </w:pPr>
    </w:p>
    <w:p w14:paraId="7E0FC937">
      <w:pPr>
        <w:widowControl w:val="0"/>
        <w:ind w:left="2940" w:leftChars="1400"/>
        <w:jc w:val="both"/>
        <w:rPr>
          <w:rFonts w:ascii="宋体" w:hAnsi="宋体" w:eastAsia="宋体" w:cs="宋体"/>
          <w:color w:val="auto"/>
          <w:kern w:val="2"/>
          <w:sz w:val="21"/>
          <w:szCs w:val="24"/>
          <w:highlight w:val="none"/>
          <w:lang w:val="en-US" w:eastAsia="zh-CN" w:bidi="ar-SA"/>
        </w:rPr>
      </w:pPr>
    </w:p>
    <w:p w14:paraId="239AFCFB">
      <w:pPr>
        <w:rPr>
          <w:rFonts w:ascii="宋体" w:hAnsi="宋体" w:eastAsia="宋体" w:cs="宋体"/>
          <w:b/>
          <w:color w:val="auto"/>
          <w:sz w:val="44"/>
          <w:szCs w:val="44"/>
          <w:highlight w:val="none"/>
        </w:rPr>
      </w:pPr>
    </w:p>
    <w:p w14:paraId="3E12C13D">
      <w:pPr>
        <w:jc w:val="center"/>
        <w:rPr>
          <w:rFonts w:ascii="宋体" w:hAnsi="宋体" w:cs="宋体"/>
          <w:b/>
          <w:color w:val="auto"/>
          <w:sz w:val="44"/>
          <w:szCs w:val="44"/>
          <w:highlight w:val="none"/>
        </w:rPr>
        <w:sectPr>
          <w:footerReference r:id="rId11" w:type="default"/>
          <w:pgSz w:w="11906" w:h="16838"/>
          <w:pgMar w:top="907" w:right="1134" w:bottom="907" w:left="1134" w:header="851" w:footer="992" w:gutter="0"/>
          <w:pgBorders>
            <w:top w:val="none" w:sz="0" w:space="0"/>
            <w:left w:val="none" w:sz="0" w:space="0"/>
            <w:bottom w:val="none" w:sz="0" w:space="0"/>
            <w:right w:val="none" w:sz="0" w:space="0"/>
          </w:pgBorders>
          <w:cols w:space="720" w:num="1"/>
          <w:docGrid w:type="lines" w:linePitch="312" w:charSpace="0"/>
        </w:sectPr>
      </w:pPr>
    </w:p>
    <w:p w14:paraId="18634232">
      <w:pPr>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技术商务文件</w:t>
      </w:r>
    </w:p>
    <w:p w14:paraId="55C36664">
      <w:pPr>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目录</w:t>
      </w:r>
    </w:p>
    <w:p w14:paraId="75B9CF88">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1、商务技术自评表…………………………………………………………………………（页码）</w:t>
      </w:r>
    </w:p>
    <w:p w14:paraId="54A3A0FE">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2、投标函……………………………………………………………………………………（页码）</w:t>
      </w:r>
    </w:p>
    <w:p w14:paraId="574AF7C2">
      <w:pPr>
        <w:spacing w:line="48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授权委托书或法定代表人身份证明……………………………………………………（页码）</w:t>
      </w:r>
    </w:p>
    <w:p w14:paraId="1F423EB5">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供应商基本情况表………………………………………………………………………（页码）</w:t>
      </w:r>
    </w:p>
    <w:p w14:paraId="7A78D298">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、证书一览表………………………………………………………………………………（页码）</w:t>
      </w:r>
    </w:p>
    <w:p w14:paraId="21CD6E64">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、技术规范偏离表…………………………………………………………………………（页码）</w:t>
      </w:r>
    </w:p>
    <w:p w14:paraId="268F53CD">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、商务偏离表………………………………………………………………………………（页码）</w:t>
      </w:r>
    </w:p>
    <w:p w14:paraId="38A9BE4A">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、相关项目实施业绩一览表………………………………………………………………（页码）</w:t>
      </w:r>
    </w:p>
    <w:p w14:paraId="4DBA476E">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供货</w:t>
      </w:r>
      <w:r>
        <w:rPr>
          <w:rFonts w:hint="eastAsia" w:ascii="宋体" w:hAnsi="宋体" w:eastAsia="宋体" w:cs="宋体"/>
          <w:color w:val="auto"/>
          <w:sz w:val="24"/>
          <w:highlight w:val="none"/>
        </w:rPr>
        <w:t>方案…………………………………………………………………………………（页码）</w:t>
      </w:r>
    </w:p>
    <w:p w14:paraId="4FE28C2D">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、评分标准或采购文件需要提供的其他技术商务材料…………………………………（页码）</w:t>
      </w:r>
    </w:p>
    <w:p w14:paraId="0DC27692">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、供应商认为有必要提供的其他技术商务文件资料……………………………………（页码）</w:t>
      </w:r>
    </w:p>
    <w:p w14:paraId="5EF4AD1B">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目录自行扩展)</w:t>
      </w:r>
    </w:p>
    <w:p w14:paraId="53E5C5CD">
      <w:pPr>
        <w:widowControl w:val="0"/>
        <w:spacing w:line="480" w:lineRule="atLeast"/>
        <w:ind w:firstLine="570"/>
        <w:jc w:val="both"/>
        <w:rPr>
          <w:rFonts w:ascii="宋体" w:hAnsi="宋体" w:eastAsia="宋体" w:cs="宋体"/>
          <w:color w:val="auto"/>
          <w:kern w:val="2"/>
          <w:sz w:val="28"/>
          <w:szCs w:val="28"/>
          <w:highlight w:val="none"/>
          <w:lang w:val="en-US" w:eastAsia="zh-CN" w:bidi="ar-SA"/>
        </w:rPr>
      </w:pPr>
    </w:p>
    <w:p w14:paraId="399F20F9">
      <w:pPr>
        <w:ind w:left="0" w:leftChars="0" w:firstLine="0" w:firstLineChars="0"/>
        <w:rPr>
          <w:rFonts w:ascii="宋体" w:hAnsi="宋体" w:cs="宋体"/>
          <w:color w:val="auto"/>
          <w:highlight w:val="none"/>
        </w:rPr>
        <w:sectPr>
          <w:pgSz w:w="11906" w:h="16838"/>
          <w:pgMar w:top="907" w:right="1134" w:bottom="907" w:left="1134" w:header="851" w:footer="992" w:gutter="0"/>
          <w:pgBorders>
            <w:top w:val="none" w:sz="0" w:space="0"/>
            <w:left w:val="none" w:sz="0" w:space="0"/>
            <w:bottom w:val="none" w:sz="0" w:space="0"/>
            <w:right w:val="none" w:sz="0" w:space="0"/>
          </w:pgBorders>
          <w:cols w:space="720" w:num="1"/>
          <w:docGrid w:type="lines" w:linePitch="312" w:charSpace="0"/>
        </w:sectPr>
      </w:pPr>
    </w:p>
    <w:p w14:paraId="0D32398A">
      <w:pPr>
        <w:widowControl w:val="0"/>
        <w:ind w:left="2100" w:leftChars="1000"/>
        <w:jc w:val="both"/>
        <w:rPr>
          <w:rFonts w:ascii="宋体" w:hAnsi="宋体" w:eastAsia="宋体" w:cs="宋体"/>
          <w:color w:val="auto"/>
          <w:kern w:val="2"/>
          <w:sz w:val="21"/>
          <w:szCs w:val="24"/>
          <w:highlight w:val="none"/>
          <w:lang w:val="en-US" w:eastAsia="zh-CN" w:bidi="ar-SA"/>
        </w:rPr>
      </w:pPr>
    </w:p>
    <w:p w14:paraId="2E5B0C15">
      <w:pPr>
        <w:pStyle w:val="112"/>
        <w:numPr>
          <w:ilvl w:val="0"/>
          <w:numId w:val="15"/>
        </w:numPr>
        <w:spacing w:afterLines="50" w:line="360" w:lineRule="auto"/>
        <w:ind w:firstLineChars="0"/>
        <w:jc w:val="center"/>
        <w:outlineLvl w:val="0"/>
        <w:rPr>
          <w:rFonts w:ascii="宋体" w:hAnsi="宋体" w:eastAsia="宋体" w:cs="宋体"/>
          <w:b/>
          <w:color w:val="auto"/>
          <w:kern w:val="2"/>
          <w:sz w:val="32"/>
          <w:szCs w:val="32"/>
          <w:highlight w:val="none"/>
        </w:rPr>
      </w:pPr>
      <w:bookmarkStart w:id="103" w:name="_Toc16737"/>
      <w:bookmarkStart w:id="104" w:name="_Toc13033"/>
      <w:bookmarkStart w:id="105" w:name="_Toc20566"/>
      <w:bookmarkStart w:id="106" w:name="_Toc25635"/>
      <w:bookmarkStart w:id="107" w:name="_Toc10956"/>
      <w:bookmarkStart w:id="108" w:name="_Toc4248"/>
      <w:bookmarkStart w:id="109" w:name="_Toc26107"/>
      <w:bookmarkStart w:id="110" w:name="_Toc28471"/>
      <w:bookmarkStart w:id="111" w:name="_Toc1427"/>
      <w:r>
        <w:rPr>
          <w:rFonts w:hint="eastAsia" w:ascii="宋体" w:hAnsi="宋体" w:eastAsia="宋体" w:cs="宋体"/>
          <w:b/>
          <w:color w:val="auto"/>
          <w:kern w:val="2"/>
          <w:sz w:val="32"/>
          <w:szCs w:val="32"/>
          <w:highlight w:val="none"/>
        </w:rPr>
        <w:t>商务技术自评表</w:t>
      </w:r>
      <w:bookmarkEnd w:id="103"/>
      <w:bookmarkEnd w:id="104"/>
      <w:bookmarkEnd w:id="105"/>
      <w:bookmarkEnd w:id="106"/>
      <w:bookmarkEnd w:id="107"/>
      <w:bookmarkEnd w:id="108"/>
      <w:bookmarkEnd w:id="109"/>
      <w:bookmarkEnd w:id="110"/>
      <w:bookmarkEnd w:id="111"/>
    </w:p>
    <w:tbl>
      <w:tblPr>
        <w:tblStyle w:val="48"/>
        <w:tblW w:w="10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44"/>
        <w:gridCol w:w="5567"/>
        <w:gridCol w:w="709"/>
        <w:gridCol w:w="709"/>
        <w:gridCol w:w="1145"/>
      </w:tblGrid>
      <w:tr w14:paraId="7983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10C6095">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r>
              <w:rPr>
                <w:rFonts w:hint="eastAsia" w:ascii="宋体" w:hAnsi="宋体" w:eastAsia="宋体" w:cs="宋体"/>
                <w:b/>
                <w:color w:val="auto"/>
                <w:spacing w:val="20"/>
                <w:szCs w:val="21"/>
                <w:highlight w:val="none"/>
              </w:rPr>
              <w:t>评审项目</w:t>
            </w:r>
          </w:p>
        </w:tc>
        <w:tc>
          <w:tcPr>
            <w:tcW w:w="5567" w:type="dxa"/>
            <w:tcBorders>
              <w:top w:val="single" w:color="auto" w:sz="2" w:space="0"/>
              <w:left w:val="single" w:color="auto" w:sz="4" w:space="0"/>
              <w:bottom w:val="single" w:color="auto" w:sz="2" w:space="0"/>
              <w:right w:val="single" w:color="auto" w:sz="2" w:space="0"/>
            </w:tcBorders>
            <w:vAlign w:val="center"/>
          </w:tcPr>
          <w:p w14:paraId="0EB1DE96">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r>
              <w:rPr>
                <w:rFonts w:hint="eastAsia" w:ascii="宋体" w:hAnsi="宋体" w:eastAsia="宋体" w:cs="宋体"/>
                <w:b/>
                <w:color w:val="auto"/>
                <w:spacing w:val="20"/>
                <w:szCs w:val="21"/>
                <w:highlight w:val="none"/>
              </w:rPr>
              <w:t>评审细则</w:t>
            </w:r>
          </w:p>
        </w:tc>
        <w:tc>
          <w:tcPr>
            <w:tcW w:w="709" w:type="dxa"/>
            <w:tcBorders>
              <w:top w:val="single" w:color="auto" w:sz="2" w:space="0"/>
              <w:left w:val="single" w:color="auto" w:sz="4" w:space="0"/>
              <w:bottom w:val="single" w:color="auto" w:sz="2" w:space="0"/>
              <w:right w:val="single" w:color="auto" w:sz="2" w:space="0"/>
            </w:tcBorders>
            <w:vAlign w:val="center"/>
          </w:tcPr>
          <w:p w14:paraId="06A0533D">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r>
              <w:rPr>
                <w:rFonts w:hint="eastAsia" w:ascii="宋体" w:hAnsi="宋体" w:eastAsia="宋体" w:cs="宋体"/>
                <w:b/>
                <w:color w:val="auto"/>
                <w:spacing w:val="20"/>
                <w:szCs w:val="21"/>
                <w:highlight w:val="none"/>
              </w:rPr>
              <w:t>分值</w:t>
            </w:r>
          </w:p>
        </w:tc>
        <w:tc>
          <w:tcPr>
            <w:tcW w:w="709" w:type="dxa"/>
            <w:tcBorders>
              <w:top w:val="single" w:color="auto" w:sz="2" w:space="0"/>
              <w:left w:val="single" w:color="auto" w:sz="4" w:space="0"/>
              <w:bottom w:val="single" w:color="auto" w:sz="2" w:space="0"/>
              <w:right w:val="single" w:color="auto" w:sz="2" w:space="0"/>
            </w:tcBorders>
            <w:vAlign w:val="center"/>
          </w:tcPr>
          <w:p w14:paraId="71E456AD">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r>
              <w:rPr>
                <w:rFonts w:hint="eastAsia" w:ascii="宋体" w:hAnsi="宋体" w:eastAsia="宋体" w:cs="宋体"/>
                <w:b/>
                <w:color w:val="auto"/>
                <w:spacing w:val="20"/>
                <w:szCs w:val="21"/>
                <w:highlight w:val="none"/>
              </w:rPr>
              <w:t>自评分</w:t>
            </w:r>
          </w:p>
        </w:tc>
        <w:tc>
          <w:tcPr>
            <w:tcW w:w="1145" w:type="dxa"/>
            <w:tcBorders>
              <w:top w:val="single" w:color="auto" w:sz="2" w:space="0"/>
              <w:left w:val="single" w:color="auto" w:sz="4" w:space="0"/>
              <w:bottom w:val="single" w:color="auto" w:sz="2" w:space="0"/>
              <w:right w:val="single" w:color="auto" w:sz="2" w:space="0"/>
            </w:tcBorders>
            <w:vAlign w:val="center"/>
          </w:tcPr>
          <w:p w14:paraId="43F93FB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r>
              <w:rPr>
                <w:rFonts w:hint="eastAsia" w:ascii="宋体" w:hAnsi="宋体" w:eastAsia="宋体" w:cs="宋体"/>
                <w:b/>
                <w:color w:val="auto"/>
                <w:spacing w:val="20"/>
                <w:szCs w:val="21"/>
                <w:highlight w:val="none"/>
              </w:rPr>
              <w:t>投标文件对应页码</w:t>
            </w:r>
          </w:p>
        </w:tc>
      </w:tr>
      <w:tr w14:paraId="3A69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1"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C6EB90A">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3A08E2E8">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422E740">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F99F671">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066DB766">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5666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7CCB5DBF">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7EA610BA">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D1467B7">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0FCD239">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2258206A">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4506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08DB05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6D887743">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272A552">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967E399">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234135E7">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3EB7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93FC3D3">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0A6133E5">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220329E">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8A52CEA">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522B1F6A">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4E90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2"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52001B5">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7FB1B66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956996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61CDFFA5">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7F3BA482">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23B6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1"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6A485C38">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3677E067">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3C06B1A">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BAA08E8">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0CFBB935">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0557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AF9099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359CED20">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6FA54CC">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198FD46">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6EAF4715">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6F37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21DDF26C">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39A2C7BE">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EB62770">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4B80375">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47576A7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6E05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0A3069A6">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2AF5A099">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775C338">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F659F90">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2F098CF1">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4454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1C8DB6D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6DCDF856">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6A2C816D">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E7815F6">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77D89E07">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r w14:paraId="0914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4C6AB5AA">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1963AF4B">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8E36B99">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F0DE53D">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2C3D1784">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spacing w:val="20"/>
                <w:szCs w:val="21"/>
                <w:highlight w:val="none"/>
              </w:rPr>
            </w:pPr>
          </w:p>
        </w:tc>
      </w:tr>
    </w:tbl>
    <w:p w14:paraId="6A98C8C6">
      <w:pPr>
        <w:spacing w:afterLines="50" w:line="360" w:lineRule="auto"/>
        <w:jc w:val="center"/>
        <w:outlineLvl w:val="0"/>
        <w:rPr>
          <w:rFonts w:ascii="宋体" w:hAnsi="宋体" w:cs="宋体"/>
          <w:b/>
          <w:color w:val="auto"/>
          <w:sz w:val="32"/>
          <w:szCs w:val="32"/>
          <w:highlight w:val="none"/>
        </w:rPr>
        <w:sectPr>
          <w:pgSz w:w="11906" w:h="16838"/>
          <w:pgMar w:top="907" w:right="1134" w:bottom="907" w:left="1134" w:header="851" w:footer="992" w:gutter="0"/>
          <w:pgBorders>
            <w:top w:val="none" w:sz="0" w:space="0"/>
            <w:left w:val="none" w:sz="0" w:space="0"/>
            <w:bottom w:val="none" w:sz="0" w:space="0"/>
            <w:right w:val="none" w:sz="0" w:space="0"/>
          </w:pgBorders>
          <w:cols w:space="720" w:num="1"/>
          <w:docGrid w:type="lines" w:linePitch="312" w:charSpace="0"/>
        </w:sectPr>
      </w:pPr>
    </w:p>
    <w:p w14:paraId="1362A4A1">
      <w:pPr>
        <w:pageBreakBefore/>
        <w:spacing w:line="360" w:lineRule="auto"/>
        <w:jc w:val="center"/>
        <w:rPr>
          <w:rFonts w:ascii="宋体" w:hAnsi="宋体" w:eastAsia="宋体" w:cs="宋体"/>
          <w:b/>
          <w:color w:val="auto"/>
          <w:sz w:val="32"/>
          <w:szCs w:val="32"/>
          <w:highlight w:val="none"/>
        </w:rPr>
      </w:pPr>
      <w:bookmarkStart w:id="112" w:name="_Toc29896"/>
      <w:bookmarkStart w:id="113" w:name="_Toc8155"/>
      <w:bookmarkStart w:id="114" w:name="_Toc10969"/>
      <w:bookmarkStart w:id="115" w:name="_Toc25271"/>
      <w:bookmarkStart w:id="116" w:name="_Toc2650"/>
      <w:bookmarkStart w:id="117" w:name="_Toc15162"/>
      <w:bookmarkStart w:id="118" w:name="_Toc23521"/>
      <w:bookmarkStart w:id="119" w:name="_Toc5952"/>
      <w:r>
        <w:rPr>
          <w:rFonts w:hint="eastAsia" w:ascii="宋体" w:hAnsi="宋体" w:eastAsia="宋体" w:cs="宋体"/>
          <w:b/>
          <w:bCs/>
          <w:color w:val="auto"/>
          <w:kern w:val="0"/>
          <w:sz w:val="32"/>
          <w:szCs w:val="32"/>
          <w:highlight w:val="none"/>
          <w:lang w:eastAsia="zh-CN"/>
        </w:rPr>
        <w:t>二</w:t>
      </w:r>
      <w:r>
        <w:rPr>
          <w:rFonts w:hint="eastAsia" w:ascii="宋体" w:hAnsi="宋体" w:eastAsia="宋体" w:cs="宋体"/>
          <w:b/>
          <w:bCs/>
          <w:color w:val="auto"/>
          <w:kern w:val="0"/>
          <w:sz w:val="32"/>
          <w:szCs w:val="32"/>
          <w:highlight w:val="none"/>
        </w:rPr>
        <w:t>、投标函</w:t>
      </w:r>
    </w:p>
    <w:p w14:paraId="70A67EB6">
      <w:pPr>
        <w:widowControl w:val="0"/>
        <w:spacing w:line="500" w:lineRule="exact"/>
        <w:ind w:left="-284"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致：</w:t>
      </w:r>
      <w:r>
        <w:rPr>
          <w:rFonts w:hint="eastAsia" w:ascii="宋体" w:hAnsi="宋体" w:eastAsia="宋体" w:cs="宋体"/>
          <w:color w:val="auto"/>
          <w:kern w:val="2"/>
          <w:sz w:val="24"/>
          <w:szCs w:val="24"/>
          <w:highlight w:val="none"/>
          <w:u w:val="single"/>
          <w:lang w:val="en-US" w:eastAsia="zh-CN" w:bidi="ar-SA"/>
        </w:rPr>
        <w:t xml:space="preserve">  （采购人）  </w:t>
      </w:r>
    </w:p>
    <w:p w14:paraId="7C3D5CCE">
      <w:pPr>
        <w:widowControl w:val="0"/>
        <w:spacing w:line="500" w:lineRule="exact"/>
        <w:ind w:firstLine="490"/>
        <w:jc w:val="both"/>
        <w:rPr>
          <w:rFonts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u w:val="single"/>
          <w:lang w:val="en-US" w:eastAsia="zh-CN" w:bidi="ar-SA"/>
        </w:rPr>
        <w:t xml:space="preserve">   （供应商全称）       </w:t>
      </w:r>
      <w:r>
        <w:rPr>
          <w:rFonts w:hint="eastAsia" w:ascii="宋体" w:hAnsi="宋体" w:eastAsia="宋体" w:cs="宋体"/>
          <w:color w:val="auto"/>
          <w:kern w:val="2"/>
          <w:sz w:val="24"/>
          <w:szCs w:val="24"/>
          <w:highlight w:val="none"/>
          <w:lang w:val="en-US" w:eastAsia="zh-CN" w:bidi="ar-SA"/>
        </w:rPr>
        <w:t>授权</w:t>
      </w:r>
      <w:r>
        <w:rPr>
          <w:rFonts w:hint="eastAsia" w:ascii="宋体" w:hAnsi="宋体" w:eastAsia="宋体" w:cs="宋体"/>
          <w:color w:val="auto"/>
          <w:kern w:val="2"/>
          <w:sz w:val="24"/>
          <w:szCs w:val="24"/>
          <w:highlight w:val="none"/>
          <w:u w:val="single"/>
          <w:lang w:val="en-US" w:eastAsia="zh-CN" w:bidi="ar-SA"/>
        </w:rPr>
        <w:t xml:space="preserve">   （被授权人姓名、职务）   </w:t>
      </w:r>
      <w:r>
        <w:rPr>
          <w:rFonts w:hint="eastAsia" w:ascii="宋体" w:hAnsi="宋体" w:eastAsia="宋体" w:cs="宋体"/>
          <w:color w:val="auto"/>
          <w:kern w:val="2"/>
          <w:sz w:val="24"/>
          <w:szCs w:val="24"/>
          <w:highlight w:val="none"/>
          <w:lang w:val="en-US" w:eastAsia="zh-CN" w:bidi="ar-SA"/>
        </w:rPr>
        <w:t>为本公司合法代理人，参加贵方组织的</w:t>
      </w:r>
      <w:r>
        <w:rPr>
          <w:rFonts w:hint="eastAsia" w:ascii="宋体" w:hAnsi="宋体" w:eastAsia="宋体" w:cs="宋体"/>
          <w:color w:val="auto"/>
          <w:kern w:val="2"/>
          <w:sz w:val="24"/>
          <w:szCs w:val="24"/>
          <w:highlight w:val="none"/>
          <w:u w:val="single"/>
          <w:lang w:val="en-US" w:eastAsia="zh-CN" w:bidi="ar-SA"/>
        </w:rPr>
        <w:t xml:space="preserve">   （项目编号、项目名称）  </w:t>
      </w:r>
      <w:r>
        <w:rPr>
          <w:rFonts w:hint="eastAsia" w:ascii="宋体" w:hAnsi="宋体" w:eastAsia="宋体" w:cs="宋体"/>
          <w:color w:val="auto"/>
          <w:kern w:val="2"/>
          <w:sz w:val="24"/>
          <w:szCs w:val="24"/>
          <w:highlight w:val="none"/>
          <w:lang w:val="en-US" w:eastAsia="zh-CN" w:bidi="ar-SA"/>
        </w:rPr>
        <w:t>招投标活动，代表本公司处理招投标活动中的一切事宜。在此：</w:t>
      </w:r>
    </w:p>
    <w:p w14:paraId="689BD733">
      <w:pPr>
        <w:widowControl w:val="0"/>
        <w:tabs>
          <w:tab w:val="left" w:pos="426"/>
        </w:tabs>
        <w:spacing w:line="500" w:lineRule="exac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1、提供采购文件中“投标须知”规定的全部投标文件资料。</w:t>
      </w:r>
    </w:p>
    <w:p w14:paraId="437AA98E">
      <w:pPr>
        <w:widowControl w:val="0"/>
        <w:tabs>
          <w:tab w:val="left" w:pos="426"/>
        </w:tabs>
        <w:spacing w:line="500" w:lineRule="exac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2、据此函，签字代表宣布并承诺如下：</w:t>
      </w:r>
    </w:p>
    <w:p w14:paraId="11160048">
      <w:pPr>
        <w:widowControl w:val="0"/>
        <w:spacing w:line="500" w:lineRule="exact"/>
        <w:ind w:firstLine="240" w:firstLineChars="1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我们已详细审查全部“采购文件”，包括修改文件（如有）以及全部参考资料和有关附件，我们完全理解并同意放弃对这方面提出任何异议的权利。已经了解对于采购文件、采购过程、采购结果有依法进行询问、质疑、投诉的权利及相关渠道和要求。</w:t>
      </w:r>
    </w:p>
    <w:p w14:paraId="6ECF6073">
      <w:pPr>
        <w:widowControl w:val="0"/>
        <w:spacing w:line="500" w:lineRule="exact"/>
        <w:ind w:firstLine="240" w:firstLineChars="1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（2）本投标自开标之日起</w:t>
      </w:r>
      <w:r>
        <w:rPr>
          <w:rFonts w:hint="eastAsia" w:ascii="宋体" w:hAnsi="宋体" w:eastAsia="宋体" w:cs="宋体"/>
          <w:color w:val="auto"/>
          <w:kern w:val="2"/>
          <w:sz w:val="24"/>
          <w:szCs w:val="24"/>
          <w:highlight w:val="none"/>
          <w:u w:val="single"/>
          <w:lang w:val="en-US" w:eastAsia="zh-CN" w:bidi="ar-SA"/>
        </w:rPr>
        <w:t>90天</w:t>
      </w:r>
      <w:r>
        <w:rPr>
          <w:rFonts w:hint="eastAsia" w:ascii="宋体" w:hAnsi="宋体" w:eastAsia="宋体" w:cs="宋体"/>
          <w:color w:val="auto"/>
          <w:kern w:val="2"/>
          <w:sz w:val="24"/>
          <w:szCs w:val="24"/>
          <w:highlight w:val="none"/>
          <w:lang w:val="en-US" w:eastAsia="zh-CN" w:bidi="ar-SA"/>
        </w:rPr>
        <w:t>内有效。</w:t>
      </w:r>
    </w:p>
    <w:p w14:paraId="6DFF7E4C">
      <w:pPr>
        <w:widowControl w:val="0"/>
        <w:spacing w:line="500" w:lineRule="exact"/>
        <w:ind w:firstLine="240" w:firstLineChars="1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（3）保证遵守采购文件有关条款规定。</w:t>
      </w:r>
    </w:p>
    <w:p w14:paraId="2FCB04AE">
      <w:pPr>
        <w:widowControl w:val="0"/>
        <w:spacing w:line="500" w:lineRule="exact"/>
        <w:ind w:firstLine="240" w:firstLineChars="1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（4）保证在中标后忠实地执行与采购人所签署的合同，并承担合同规定的责任义务。保证在中标后按照采购文件的规定支付招标代理服务费。</w:t>
      </w:r>
    </w:p>
    <w:p w14:paraId="2453EC41">
      <w:pPr>
        <w:widowControl w:val="0"/>
        <w:spacing w:line="500" w:lineRule="exact"/>
        <w:ind w:firstLine="240" w:firstLineChars="1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（5）承诺应贵方要求提供任何与该项目投标有关的数据、情况和技术资料。</w:t>
      </w:r>
    </w:p>
    <w:p w14:paraId="70AB18DA">
      <w:pPr>
        <w:widowControl w:val="0"/>
        <w:tabs>
          <w:tab w:val="left" w:pos="426"/>
        </w:tabs>
        <w:spacing w:line="500" w:lineRule="exac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3、我们郑重声明：</w:t>
      </w:r>
    </w:p>
    <w:p w14:paraId="02D21CCE">
      <w:pPr>
        <w:widowControl w:val="0"/>
        <w:tabs>
          <w:tab w:val="left" w:pos="426"/>
        </w:tabs>
        <w:spacing w:line="500" w:lineRule="exact"/>
        <w:ind w:firstLine="480"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70DC7C81">
      <w:pPr>
        <w:widowControl w:val="0"/>
        <w:tabs>
          <w:tab w:val="left" w:pos="426"/>
        </w:tabs>
        <w:spacing w:line="500" w:lineRule="exac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4、与本投标有关的一切往来通讯请寄：</w:t>
      </w:r>
    </w:p>
    <w:p w14:paraId="21DED693">
      <w:pPr>
        <w:widowControl w:val="0"/>
        <w:spacing w:line="500" w:lineRule="exact"/>
        <w:ind w:left="480"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地址：</w:t>
      </w:r>
    </w:p>
    <w:p w14:paraId="0FF7D7A4">
      <w:pPr>
        <w:widowControl w:val="0"/>
        <w:spacing w:line="500" w:lineRule="exact"/>
        <w:ind w:left="480" w:firstLine="0"/>
        <w:jc w:val="both"/>
        <w:rPr>
          <w:rFonts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邮编：电话：传真：</w:t>
      </w:r>
    </w:p>
    <w:p w14:paraId="264ECC68">
      <w:pPr>
        <w:widowControl w:val="0"/>
        <w:tabs>
          <w:tab w:val="left" w:pos="426"/>
        </w:tabs>
        <w:spacing w:line="500" w:lineRule="exact"/>
        <w:ind w:firstLine="480" w:firstLineChars="200"/>
        <w:jc w:val="righ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投标人名称（盖公章）：</w:t>
      </w:r>
      <w:r>
        <w:rPr>
          <w:rFonts w:hint="eastAsia" w:ascii="宋体" w:hAnsi="宋体" w:eastAsia="宋体" w:cs="宋体"/>
          <w:color w:val="auto"/>
          <w:kern w:val="2"/>
          <w:sz w:val="24"/>
          <w:szCs w:val="24"/>
          <w:highlight w:val="none"/>
          <w:lang w:val="en-US" w:eastAsia="zh-CN" w:bidi="ar-SA"/>
        </w:rPr>
        <w:tab/>
      </w:r>
    </w:p>
    <w:p w14:paraId="723C8085">
      <w:pPr>
        <w:widowControl w:val="0"/>
        <w:tabs>
          <w:tab w:val="left" w:pos="426"/>
        </w:tabs>
        <w:spacing w:line="500" w:lineRule="exact"/>
        <w:ind w:firstLine="480" w:firstLineChars="200"/>
        <w:jc w:val="righ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法定代表人或授权委托代理人（签字或</w:t>
      </w:r>
      <w:r>
        <w:rPr>
          <w:rFonts w:hint="eastAsia" w:ascii="宋体" w:hAnsi="宋体" w:cs="宋体"/>
          <w:color w:val="auto"/>
          <w:kern w:val="2"/>
          <w:sz w:val="24"/>
          <w:szCs w:val="24"/>
          <w:highlight w:val="none"/>
          <w:lang w:val="en-US" w:eastAsia="zh-CN" w:bidi="ar-SA"/>
        </w:rPr>
        <w:t>签章</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ab/>
      </w:r>
    </w:p>
    <w:p w14:paraId="219458A5">
      <w:pPr>
        <w:widowControl w:val="0"/>
        <w:tabs>
          <w:tab w:val="left" w:pos="426"/>
        </w:tabs>
        <w:spacing w:line="500" w:lineRule="exact"/>
        <w:ind w:firstLine="480" w:firstLineChars="200"/>
        <w:jc w:val="righ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日期：年   月  日</w:t>
      </w:r>
    </w:p>
    <w:p w14:paraId="4FEBC57D">
      <w:pPr>
        <w:widowControl/>
        <w:kinsoku/>
        <w:overflowPunct/>
        <w:topLinePunct w:val="0"/>
        <w:bidi w:val="0"/>
        <w:adjustRightInd/>
        <w:spacing w:beforeAutospacing="0" w:afterAutospacing="0" w:line="440" w:lineRule="exact"/>
        <w:jc w:val="center"/>
        <w:rPr>
          <w:rFonts w:hint="eastAsia" w:ascii="宋体" w:hAnsi="宋体" w:eastAsia="宋体" w:cs="宋体"/>
          <w:b/>
          <w:color w:val="auto"/>
          <w:kern w:val="2"/>
          <w:sz w:val="32"/>
          <w:szCs w:val="32"/>
          <w:highlight w:val="none"/>
          <w:lang w:val="en-US" w:eastAsia="zh-CN" w:bidi="ar-SA"/>
        </w:rPr>
      </w:pPr>
    </w:p>
    <w:p w14:paraId="208B3B08">
      <w:pPr>
        <w:widowControl/>
        <w:kinsoku/>
        <w:overflowPunct/>
        <w:topLinePunct w:val="0"/>
        <w:bidi w:val="0"/>
        <w:adjustRightInd/>
        <w:spacing w:beforeAutospacing="0" w:afterAutospacing="0" w:line="440" w:lineRule="exact"/>
        <w:jc w:val="center"/>
        <w:rPr>
          <w:rFonts w:hint="eastAsia" w:ascii="宋体" w:hAnsi="宋体" w:eastAsia="宋体" w:cs="宋体"/>
          <w:b/>
          <w:color w:val="auto"/>
          <w:kern w:val="2"/>
          <w:sz w:val="32"/>
          <w:szCs w:val="32"/>
          <w:highlight w:val="none"/>
          <w:lang w:val="en-US" w:eastAsia="zh-CN" w:bidi="ar-SA"/>
        </w:rPr>
      </w:pPr>
    </w:p>
    <w:p w14:paraId="073AEC18">
      <w:pPr>
        <w:widowControl/>
        <w:kinsoku/>
        <w:overflowPunct/>
        <w:topLinePunct w:val="0"/>
        <w:bidi w:val="0"/>
        <w:adjustRightInd/>
        <w:spacing w:beforeAutospacing="0" w:afterAutospacing="0" w:line="440" w:lineRule="exact"/>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三、授权委托书或法定代表人身份证明</w:t>
      </w:r>
    </w:p>
    <w:p w14:paraId="764B4315">
      <w:pPr>
        <w:kinsoku/>
        <w:overflowPunct/>
        <w:topLinePunct w:val="0"/>
        <w:bidi w:val="0"/>
        <w:spacing w:beforeAutospacing="0" w:afterAutospacing="0" w:line="440" w:lineRule="exact"/>
        <w:jc w:val="center"/>
        <w:rPr>
          <w:rFonts w:hint="eastAsia" w:ascii="仿宋" w:hAnsi="仿宋" w:eastAsia="仿宋" w:cs="仿宋"/>
          <w:b/>
          <w:color w:val="auto"/>
          <w:sz w:val="24"/>
          <w:szCs w:val="24"/>
          <w:highlight w:val="none"/>
        </w:rPr>
      </w:pPr>
    </w:p>
    <w:p w14:paraId="1EB54455">
      <w:pPr>
        <w:kinsoku/>
        <w:overflowPunct/>
        <w:topLinePunct w:val="0"/>
        <w:bidi w:val="0"/>
        <w:snapToGrid w:val="0"/>
        <w:spacing w:beforeAutospacing="0" w:afterAutospacing="0" w:line="440" w:lineRule="exact"/>
        <w:ind w:firstLine="643" w:firstLineChars="200"/>
        <w:jc w:val="center"/>
        <w:rPr>
          <w:rFonts w:hint="eastAsia" w:ascii="宋体" w:hAnsi="宋体" w:eastAsia="宋体" w:cs="宋体"/>
          <w:color w:val="auto"/>
          <w:sz w:val="24"/>
          <w:szCs w:val="24"/>
          <w:highlight w:val="none"/>
        </w:rPr>
      </w:pPr>
      <w:r>
        <w:rPr>
          <w:rFonts w:hint="eastAsia" w:ascii="宋体" w:hAnsi="宋体" w:eastAsia="宋体" w:cs="宋体"/>
          <w:b/>
          <w:color w:val="auto"/>
          <w:kern w:val="2"/>
          <w:sz w:val="32"/>
          <w:szCs w:val="32"/>
          <w:highlight w:val="none"/>
          <w:lang w:val="en-US" w:eastAsia="zh-CN" w:bidi="ar-SA"/>
        </w:rPr>
        <w:t>授权委托书(格式)</w:t>
      </w:r>
    </w:p>
    <w:p w14:paraId="57F5727B">
      <w:pPr>
        <w:kinsoku/>
        <w:overflowPunct/>
        <w:topLinePunct w:val="0"/>
        <w:bidi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p>
    <w:p w14:paraId="13B07051">
      <w:pPr>
        <w:kinsoku/>
        <w:overflowPunct/>
        <w:topLinePunct w:val="0"/>
        <w:bidi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(填写姓名)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（填写投标人单位全称）</w:t>
      </w:r>
      <w:r>
        <w:rPr>
          <w:rFonts w:hint="eastAsia" w:ascii="宋体" w:hAnsi="宋体" w:eastAsia="宋体" w:cs="宋体"/>
          <w:color w:val="auto"/>
          <w:sz w:val="24"/>
          <w:szCs w:val="24"/>
          <w:highlight w:val="none"/>
        </w:rPr>
        <w:t>的法定代表人，现授权委托</w:t>
      </w:r>
      <w:r>
        <w:rPr>
          <w:rFonts w:hint="eastAsia" w:ascii="宋体" w:hAnsi="宋体" w:eastAsia="宋体" w:cs="宋体"/>
          <w:color w:val="auto"/>
          <w:sz w:val="24"/>
          <w:szCs w:val="24"/>
          <w:highlight w:val="none"/>
          <w:u w:val="single"/>
        </w:rPr>
        <w:t xml:space="preserve">                  （填写单位全称）</w:t>
      </w:r>
      <w:r>
        <w:rPr>
          <w:rFonts w:hint="eastAsia" w:ascii="宋体" w:hAnsi="宋体" w:eastAsia="宋体" w:cs="宋体"/>
          <w:color w:val="auto"/>
          <w:sz w:val="24"/>
          <w:szCs w:val="24"/>
          <w:highlight w:val="none"/>
        </w:rPr>
        <w:t>的（填写姓名）为我公司授权代表，</w:t>
      </w:r>
      <w:r>
        <w:rPr>
          <w:rFonts w:hint="eastAsia" w:ascii="宋体" w:hAnsi="宋体" w:eastAsia="宋体" w:cs="宋体"/>
          <w:color w:val="auto"/>
          <w:sz w:val="24"/>
          <w:szCs w:val="24"/>
          <w:highlight w:val="none"/>
          <w:u w:val="single"/>
        </w:rPr>
        <w:t>（填写身份证号码：                       ）</w:t>
      </w:r>
      <w:r>
        <w:rPr>
          <w:rFonts w:hint="eastAsia" w:ascii="宋体" w:hAnsi="宋体" w:eastAsia="宋体" w:cs="宋体"/>
          <w:color w:val="auto"/>
          <w:sz w:val="24"/>
          <w:szCs w:val="24"/>
          <w:highlight w:val="none"/>
        </w:rPr>
        <w:t>。以本公司的名义参加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投标活动。授权代表在开标、评标、合同谈判过程中所签署的一切文件和处理与之有关的一切事务，我均予以承认。</w:t>
      </w:r>
    </w:p>
    <w:p w14:paraId="5E5E953B">
      <w:pPr>
        <w:kinsoku/>
        <w:overflowPunct/>
        <w:topLinePunct w:val="0"/>
        <w:bidi w:val="0"/>
        <w:snapToGrid w:val="0"/>
        <w:spacing w:beforeAutospacing="0" w:afterAutospacing="0"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在撤销授权的书面通知以前，本授权书一直有效。全权代表在授权书有效期内签署的所有文件不因授权的撤销而失效。</w:t>
      </w:r>
    </w:p>
    <w:p w14:paraId="16789A91">
      <w:pPr>
        <w:kinsoku/>
        <w:overflowPunct/>
        <w:topLinePunct w:val="0"/>
        <w:bidi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授权代表无转委托权。特此委托。</w:t>
      </w:r>
    </w:p>
    <w:p w14:paraId="1FA7FB3E">
      <w:pPr>
        <w:kinsoku/>
        <w:overflowPunct/>
        <w:topLinePunct w:val="0"/>
        <w:bidi w:val="0"/>
        <w:snapToGrid w:val="0"/>
        <w:spacing w:beforeAutospacing="0" w:afterAutospacing="0" w:line="440" w:lineRule="exact"/>
        <w:jc w:val="left"/>
        <w:rPr>
          <w:rFonts w:hint="eastAsia" w:ascii="宋体" w:hAnsi="宋体" w:eastAsia="宋体" w:cs="宋体"/>
          <w:color w:val="auto"/>
          <w:sz w:val="24"/>
          <w:szCs w:val="24"/>
          <w:highlight w:val="none"/>
        </w:rPr>
      </w:pPr>
    </w:p>
    <w:p w14:paraId="33BBE7F2">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授权代表姓名：              性别：               年龄：</w:t>
      </w:r>
    </w:p>
    <w:p w14:paraId="38AD17AB">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0BF557AB">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                      部门：               职务：</w:t>
      </w:r>
    </w:p>
    <w:p w14:paraId="4F6F6E6A">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70CD8E4C">
      <w:pPr>
        <w:widowControl/>
        <w:kinsoku/>
        <w:overflowPunct/>
        <w:topLinePunct w:val="0"/>
        <w:bidi w:val="0"/>
        <w:snapToGrid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办公地址：                  联系电话：           传真：</w:t>
      </w:r>
    </w:p>
    <w:p w14:paraId="79479ACF">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261FAA9C">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0FEF7E50">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w:t>
      </w:r>
      <w:r>
        <w:rPr>
          <w:rFonts w:hint="eastAsia" w:ascii="宋体" w:hAnsi="宋体" w:eastAsia="宋体" w:cs="宋体"/>
          <w:color w:val="auto"/>
          <w:sz w:val="24"/>
          <w:szCs w:val="24"/>
          <w:highlight w:val="none"/>
        </w:rPr>
        <w:t>（电子签章）：</w:t>
      </w:r>
    </w:p>
    <w:p w14:paraId="43EA3535">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413974A6">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0A70B342">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w:t>
      </w:r>
      <w:r>
        <w:rPr>
          <w:rFonts w:hint="eastAsia" w:ascii="宋体" w:hAnsi="宋体" w:cs="宋体"/>
          <w:color w:val="auto"/>
          <w:sz w:val="24"/>
          <w:szCs w:val="24"/>
          <w:highlight w:val="none"/>
          <w:lang w:eastAsia="zh-CN"/>
        </w:rPr>
        <w:t>签章</w:t>
      </w:r>
      <w:r>
        <w:rPr>
          <w:rFonts w:hint="eastAsia" w:ascii="宋体" w:hAnsi="宋体" w:eastAsia="宋体" w:cs="宋体"/>
          <w:color w:val="auto"/>
          <w:sz w:val="24"/>
          <w:szCs w:val="24"/>
          <w:highlight w:val="none"/>
        </w:rPr>
        <w:t>）：</w:t>
      </w:r>
    </w:p>
    <w:p w14:paraId="4204F0B7">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39C5561D">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789F449A">
      <w:pPr>
        <w:kinsoku/>
        <w:overflowPunct/>
        <w:topLinePunct w:val="0"/>
        <w:bidi w:val="0"/>
        <w:spacing w:beforeAutospacing="0" w:afterAutospacing="0" w:line="440" w:lineRule="exact"/>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法定代表人及其授权代表身份证</w:t>
      </w:r>
      <w:r>
        <w:rPr>
          <w:rFonts w:hint="eastAsia" w:ascii="宋体" w:hAnsi="宋体" w:eastAsia="宋体" w:cs="宋体"/>
          <w:b/>
          <w:color w:val="auto"/>
          <w:sz w:val="30"/>
          <w:szCs w:val="30"/>
          <w:highlight w:val="none"/>
          <w:lang w:eastAsia="zh-CN"/>
        </w:rPr>
        <w:t>扫描</w:t>
      </w:r>
      <w:r>
        <w:rPr>
          <w:rFonts w:hint="eastAsia" w:ascii="宋体" w:hAnsi="宋体" w:eastAsia="宋体" w:cs="宋体"/>
          <w:b/>
          <w:color w:val="auto"/>
          <w:sz w:val="30"/>
          <w:szCs w:val="30"/>
          <w:highlight w:val="none"/>
        </w:rPr>
        <w:t>件（正反面）</w:t>
      </w:r>
    </w:p>
    <w:p w14:paraId="4E294F25">
      <w:pPr>
        <w:kinsoku/>
        <w:overflowPunct/>
        <w:topLinePunct w:val="0"/>
        <w:bidi w:val="0"/>
        <w:spacing w:beforeAutospacing="0" w:afterAutospacing="0" w:line="440" w:lineRule="exact"/>
        <w:jc w:val="left"/>
        <w:rPr>
          <w:rFonts w:hint="eastAsia" w:ascii="仿宋" w:hAnsi="仿宋" w:eastAsia="仿宋" w:cs="仿宋"/>
          <w:b/>
          <w:color w:val="auto"/>
          <w:sz w:val="30"/>
          <w:szCs w:val="30"/>
          <w:highlight w:val="none"/>
        </w:rPr>
      </w:pPr>
    </w:p>
    <w:p w14:paraId="276E410E">
      <w:pPr>
        <w:kinsoku/>
        <w:overflowPunct/>
        <w:topLinePunct w:val="0"/>
        <w:bidi w:val="0"/>
        <w:spacing w:beforeAutospacing="0" w:afterAutospacing="0" w:line="440" w:lineRule="exact"/>
        <w:jc w:val="center"/>
        <w:rPr>
          <w:rFonts w:hint="eastAsia" w:ascii="宋体" w:hAnsi="宋体" w:eastAsia="宋体" w:cs="宋体"/>
          <w:color w:val="auto"/>
          <w:sz w:val="24"/>
          <w:szCs w:val="24"/>
          <w:highlight w:val="none"/>
        </w:rPr>
      </w:pPr>
    </w:p>
    <w:p w14:paraId="1C3156E9">
      <w:pPr>
        <w:kinsoku/>
        <w:overflowPunct/>
        <w:topLinePunct w:val="0"/>
        <w:bidi w:val="0"/>
        <w:spacing w:beforeAutospacing="0" w:afterAutospacing="0" w:line="440" w:lineRule="exact"/>
        <w:jc w:val="right"/>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rPr>
        <w:t>日期：    年   月   日</w:t>
      </w:r>
    </w:p>
    <w:p w14:paraId="2B55D0C6">
      <w:pPr>
        <w:kinsoku/>
        <w:overflowPunct/>
        <w:topLinePunct w:val="0"/>
        <w:bidi w:val="0"/>
        <w:spacing w:beforeAutospacing="0" w:afterAutospacing="0" w:line="440" w:lineRule="exact"/>
        <w:rPr>
          <w:rFonts w:hint="eastAsia" w:ascii="仿宋" w:hAnsi="仿宋" w:eastAsia="仿宋" w:cs="仿宋"/>
          <w:b/>
          <w:color w:val="auto"/>
          <w:sz w:val="24"/>
          <w:szCs w:val="24"/>
          <w:highlight w:val="none"/>
        </w:rPr>
      </w:pPr>
    </w:p>
    <w:p w14:paraId="1E433334">
      <w:pPr>
        <w:kinsoku/>
        <w:overflowPunct/>
        <w:topLinePunct w:val="0"/>
        <w:bidi w:val="0"/>
        <w:spacing w:beforeAutospacing="0" w:afterAutospacing="0" w:line="440" w:lineRule="exact"/>
        <w:jc w:val="center"/>
        <w:rPr>
          <w:rFonts w:hint="eastAsia" w:ascii="仿宋" w:hAnsi="仿宋" w:eastAsia="仿宋" w:cs="仿宋"/>
          <w:b/>
          <w:color w:val="auto"/>
          <w:sz w:val="30"/>
          <w:szCs w:val="30"/>
          <w:highlight w:val="none"/>
          <w:lang w:val="en-US" w:eastAsia="zh-CN"/>
        </w:rPr>
      </w:pPr>
    </w:p>
    <w:p w14:paraId="7753DA1B">
      <w:pPr>
        <w:widowControl w:val="0"/>
        <w:spacing w:after="120"/>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法定代表人身份证明(格式)</w:t>
      </w:r>
    </w:p>
    <w:p w14:paraId="4810785B">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p>
    <w:p w14:paraId="0202158B">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71A00DD1">
      <w:pPr>
        <w:kinsoku/>
        <w:overflowPunct/>
        <w:topLinePunct w:val="0"/>
        <w:bidi w:val="0"/>
        <w:spacing w:beforeAutospacing="0" w:afterAutospacing="0" w:line="440" w:lineRule="exact"/>
        <w:ind w:right="281" w:rightChars="13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p>
    <w:p w14:paraId="751A0F98">
      <w:pPr>
        <w:kinsoku/>
        <w:overflowPunct/>
        <w:topLinePunct w:val="0"/>
        <w:bidi w:val="0"/>
        <w:spacing w:beforeAutospacing="0" w:afterAutospacing="0" w:line="440" w:lineRule="exact"/>
        <w:ind w:right="281" w:rightChars="13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641AE906">
      <w:pPr>
        <w:kinsoku/>
        <w:overflowPunct/>
        <w:topLinePunct w:val="0"/>
        <w:bidi w:val="0"/>
        <w:spacing w:beforeAutospacing="0" w:afterAutospacing="0" w:line="440" w:lineRule="exact"/>
        <w:ind w:right="281" w:rightChars="13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14:paraId="11E5F6FC">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（填写投标人名称）</w:t>
      </w:r>
      <w:r>
        <w:rPr>
          <w:rFonts w:hint="eastAsia" w:ascii="宋体" w:hAnsi="宋体" w:eastAsia="宋体" w:cs="宋体"/>
          <w:color w:val="auto"/>
          <w:sz w:val="24"/>
          <w:szCs w:val="24"/>
          <w:highlight w:val="none"/>
        </w:rPr>
        <w:t>的法定代表人。</w:t>
      </w:r>
    </w:p>
    <w:p w14:paraId="107539A7">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0924EB37">
      <w:pPr>
        <w:kinsoku/>
        <w:overflowPunct/>
        <w:topLinePunct w:val="0"/>
        <w:bidi w:val="0"/>
        <w:spacing w:beforeAutospacing="0" w:afterAutospacing="0" w:line="440" w:lineRule="exact"/>
        <w:rPr>
          <w:rFonts w:hint="eastAsia" w:ascii="宋体" w:hAnsi="宋体" w:eastAsia="宋体" w:cs="宋体"/>
          <w:color w:val="auto"/>
          <w:sz w:val="24"/>
          <w:szCs w:val="24"/>
          <w:highlight w:val="none"/>
        </w:rPr>
      </w:pPr>
    </w:p>
    <w:p w14:paraId="4AC65679">
      <w:pPr>
        <w:kinsoku/>
        <w:overflowPunct/>
        <w:topLinePunct w:val="0"/>
        <w:bidi w:val="0"/>
        <w:spacing w:beforeAutospacing="0" w:afterAutospacing="0" w:line="44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w:t>
      </w:r>
      <w:r>
        <w:rPr>
          <w:rFonts w:hint="eastAsia" w:ascii="宋体" w:hAnsi="宋体" w:eastAsia="宋体" w:cs="宋体"/>
          <w:color w:val="auto"/>
          <w:sz w:val="24"/>
          <w:szCs w:val="24"/>
          <w:highlight w:val="none"/>
        </w:rPr>
        <w:t xml:space="preserve">（电子签章）：                             </w:t>
      </w:r>
    </w:p>
    <w:p w14:paraId="4AD10627">
      <w:pPr>
        <w:kinsoku/>
        <w:overflowPunct/>
        <w:topLinePunct w:val="0"/>
        <w:bidi w:val="0"/>
        <w:spacing w:beforeAutospacing="0" w:afterAutospacing="0" w:line="440" w:lineRule="exact"/>
        <w:ind w:right="480"/>
        <w:rPr>
          <w:rFonts w:hint="eastAsia" w:ascii="宋体" w:hAnsi="宋体" w:eastAsia="宋体" w:cs="宋体"/>
          <w:color w:val="auto"/>
          <w:sz w:val="24"/>
          <w:szCs w:val="24"/>
          <w:highlight w:val="none"/>
        </w:rPr>
      </w:pPr>
    </w:p>
    <w:p w14:paraId="2566EB2C">
      <w:pPr>
        <w:kinsoku/>
        <w:overflowPunct/>
        <w:topLinePunct w:val="0"/>
        <w:bidi w:val="0"/>
        <w:spacing w:beforeAutospacing="0" w:afterAutospacing="0" w:line="440" w:lineRule="exact"/>
        <w:ind w:right="7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日期：</w:t>
      </w:r>
      <w:r>
        <w:rPr>
          <w:rFonts w:hint="eastAsia" w:ascii="宋体" w:hAnsi="宋体" w:eastAsia="宋体" w:cs="宋体"/>
          <w:color w:val="auto"/>
          <w:sz w:val="24"/>
          <w:szCs w:val="24"/>
          <w:highlight w:val="none"/>
        </w:rPr>
        <w:t>年   月   日</w:t>
      </w:r>
    </w:p>
    <w:p w14:paraId="488FE82B">
      <w:pPr>
        <w:rPr>
          <w:rFonts w:hint="eastAsia" w:ascii="宋体" w:hAnsi="宋体" w:eastAsia="宋体" w:cs="宋体"/>
          <w:b/>
          <w:color w:val="auto"/>
          <w:sz w:val="32"/>
          <w:szCs w:val="32"/>
          <w:highlight w:val="none"/>
        </w:rPr>
      </w:pPr>
      <w:r>
        <w:rPr>
          <w:rFonts w:hint="eastAsia" w:ascii="宋体" w:hAnsi="宋体" w:eastAsia="宋体" w:cs="宋体"/>
          <w:b/>
          <w:color w:val="auto"/>
          <w:sz w:val="30"/>
          <w:szCs w:val="30"/>
          <w:highlight w:val="none"/>
        </w:rPr>
        <w:t>法定代表人身份证</w:t>
      </w:r>
      <w:r>
        <w:rPr>
          <w:rFonts w:hint="eastAsia" w:ascii="宋体" w:hAnsi="宋体" w:eastAsia="宋体" w:cs="宋体"/>
          <w:b/>
          <w:color w:val="auto"/>
          <w:sz w:val="30"/>
          <w:szCs w:val="30"/>
          <w:highlight w:val="none"/>
          <w:lang w:eastAsia="zh-CN"/>
        </w:rPr>
        <w:t>扫描</w:t>
      </w:r>
      <w:r>
        <w:rPr>
          <w:rFonts w:hint="eastAsia" w:ascii="宋体" w:hAnsi="宋体" w:eastAsia="宋体" w:cs="宋体"/>
          <w:b/>
          <w:color w:val="auto"/>
          <w:sz w:val="30"/>
          <w:szCs w:val="30"/>
          <w:highlight w:val="none"/>
        </w:rPr>
        <w:t>件（正反面）</w:t>
      </w:r>
    </w:p>
    <w:p w14:paraId="25B3C635">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266A2E5B">
      <w:pPr>
        <w:spacing w:afterLines="50" w:line="360" w:lineRule="auto"/>
        <w:jc w:val="center"/>
        <w:outlineLvl w:val="0"/>
        <w:rPr>
          <w:rFonts w:ascii="宋体" w:hAnsi="宋体" w:eastAsia="宋体" w:cs="宋体"/>
          <w:b/>
          <w:color w:val="auto"/>
          <w:sz w:val="32"/>
          <w:szCs w:val="32"/>
          <w:highlight w:val="none"/>
        </w:rPr>
      </w:pPr>
      <w:bookmarkStart w:id="120" w:name="_Toc14611"/>
      <w:r>
        <w:rPr>
          <w:rFonts w:hint="eastAsia" w:ascii="宋体" w:hAnsi="宋体" w:eastAsia="宋体" w:cs="宋体"/>
          <w:b/>
          <w:color w:val="auto"/>
          <w:sz w:val="32"/>
          <w:szCs w:val="32"/>
          <w:highlight w:val="none"/>
          <w:lang w:eastAsia="zh-CN"/>
        </w:rPr>
        <w:t>四</w:t>
      </w:r>
      <w:r>
        <w:rPr>
          <w:rFonts w:hint="eastAsia" w:ascii="宋体" w:hAnsi="宋体" w:eastAsia="宋体" w:cs="宋体"/>
          <w:b/>
          <w:color w:val="auto"/>
          <w:sz w:val="32"/>
          <w:szCs w:val="32"/>
          <w:highlight w:val="none"/>
        </w:rPr>
        <w:t>、供应商基本情况表</w:t>
      </w:r>
      <w:bookmarkEnd w:id="112"/>
      <w:bookmarkEnd w:id="113"/>
      <w:bookmarkEnd w:id="114"/>
      <w:bookmarkEnd w:id="115"/>
      <w:bookmarkEnd w:id="116"/>
      <w:bookmarkEnd w:id="117"/>
      <w:bookmarkEnd w:id="118"/>
      <w:bookmarkEnd w:id="119"/>
      <w:bookmarkEnd w:id="120"/>
    </w:p>
    <w:tbl>
      <w:tblPr>
        <w:tblStyle w:val="48"/>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915"/>
        <w:gridCol w:w="1062"/>
        <w:gridCol w:w="762"/>
        <w:gridCol w:w="2347"/>
        <w:gridCol w:w="2453"/>
      </w:tblGrid>
      <w:tr w14:paraId="7B74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7DFC552F">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bookmarkStart w:id="121" w:name="_Toc4427"/>
            <w:bookmarkStart w:id="122" w:name="_Toc11379"/>
            <w:bookmarkStart w:id="123" w:name="_Toc5320"/>
            <w:bookmarkStart w:id="124" w:name="_Toc20172"/>
            <w:bookmarkStart w:id="125" w:name="_Toc5966"/>
            <w:bookmarkStart w:id="126" w:name="_Toc14297"/>
            <w:r>
              <w:rPr>
                <w:rFonts w:hint="eastAsia" w:ascii="宋体" w:hAnsi="宋体" w:eastAsia="宋体" w:cs="宋体"/>
                <w:color w:val="auto"/>
                <w:sz w:val="24"/>
                <w:szCs w:val="24"/>
                <w:highlight w:val="none"/>
              </w:rPr>
              <w:t>单位名称</w:t>
            </w:r>
          </w:p>
        </w:tc>
        <w:tc>
          <w:tcPr>
            <w:tcW w:w="2739" w:type="dxa"/>
            <w:gridSpan w:val="3"/>
            <w:vAlign w:val="center"/>
          </w:tcPr>
          <w:p w14:paraId="2D55C1B8">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08B0093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p>
        </w:tc>
        <w:tc>
          <w:tcPr>
            <w:tcW w:w="2453" w:type="dxa"/>
            <w:vAlign w:val="center"/>
          </w:tcPr>
          <w:p w14:paraId="15CF1CD1">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77D3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6BD96703">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2739" w:type="dxa"/>
            <w:gridSpan w:val="3"/>
            <w:vAlign w:val="center"/>
          </w:tcPr>
          <w:p w14:paraId="5E179FF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04C680C3">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注册登记号</w:t>
            </w:r>
          </w:p>
        </w:tc>
        <w:tc>
          <w:tcPr>
            <w:tcW w:w="2453" w:type="dxa"/>
            <w:vAlign w:val="center"/>
          </w:tcPr>
          <w:p w14:paraId="2A9833D9">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2CE9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5EE1B90B">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经营地址</w:t>
            </w:r>
          </w:p>
        </w:tc>
        <w:tc>
          <w:tcPr>
            <w:tcW w:w="2739" w:type="dxa"/>
            <w:gridSpan w:val="3"/>
            <w:vAlign w:val="center"/>
          </w:tcPr>
          <w:p w14:paraId="6F97461E">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2A3CF0D1">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税务登记证号</w:t>
            </w:r>
          </w:p>
        </w:tc>
        <w:tc>
          <w:tcPr>
            <w:tcW w:w="2453" w:type="dxa"/>
            <w:vAlign w:val="center"/>
          </w:tcPr>
          <w:p w14:paraId="59E20FE8">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30BC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33337D4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tc>
        <w:tc>
          <w:tcPr>
            <w:tcW w:w="2739" w:type="dxa"/>
            <w:gridSpan w:val="3"/>
            <w:vAlign w:val="center"/>
          </w:tcPr>
          <w:p w14:paraId="4657BC7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305A4C36">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p>
        </w:tc>
        <w:tc>
          <w:tcPr>
            <w:tcW w:w="2453" w:type="dxa"/>
            <w:vAlign w:val="center"/>
          </w:tcPr>
          <w:p w14:paraId="0ED6EB45">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70DD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756CFE58">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2739" w:type="dxa"/>
            <w:gridSpan w:val="3"/>
            <w:vAlign w:val="center"/>
          </w:tcPr>
          <w:p w14:paraId="6AE3A17E">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5BF3CB7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营业期限</w:t>
            </w:r>
          </w:p>
        </w:tc>
        <w:tc>
          <w:tcPr>
            <w:tcW w:w="2453" w:type="dxa"/>
            <w:vAlign w:val="center"/>
          </w:tcPr>
          <w:p w14:paraId="329D2DC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年 月</w:t>
            </w:r>
          </w:p>
        </w:tc>
      </w:tr>
      <w:tr w14:paraId="0A7A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16D3E83B">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资质情况</w:t>
            </w:r>
          </w:p>
        </w:tc>
        <w:tc>
          <w:tcPr>
            <w:tcW w:w="7539" w:type="dxa"/>
            <w:gridSpan w:val="5"/>
            <w:vAlign w:val="center"/>
          </w:tcPr>
          <w:p w14:paraId="3A8C16E6">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4D9B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2E82E4AE">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员工数量</w:t>
            </w:r>
          </w:p>
        </w:tc>
        <w:tc>
          <w:tcPr>
            <w:tcW w:w="7539" w:type="dxa"/>
            <w:gridSpan w:val="5"/>
            <w:vAlign w:val="center"/>
          </w:tcPr>
          <w:p w14:paraId="4543BB42">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共人，其中，高级职称人，中级职称人</w:t>
            </w:r>
          </w:p>
        </w:tc>
      </w:tr>
      <w:tr w14:paraId="0756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32F544E0">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2739" w:type="dxa"/>
            <w:gridSpan w:val="3"/>
            <w:vAlign w:val="center"/>
          </w:tcPr>
          <w:p w14:paraId="40B8D017">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0E0FB9DC">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453" w:type="dxa"/>
            <w:vAlign w:val="center"/>
          </w:tcPr>
          <w:p w14:paraId="228A0A71">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7937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5B87AC15">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主要业绩</w:t>
            </w:r>
          </w:p>
        </w:tc>
        <w:tc>
          <w:tcPr>
            <w:tcW w:w="7539" w:type="dxa"/>
            <w:gridSpan w:val="5"/>
            <w:vAlign w:val="center"/>
          </w:tcPr>
          <w:p w14:paraId="35695BD0">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rPr>
            </w:pPr>
          </w:p>
          <w:p w14:paraId="61FE2A77">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rPr>
            </w:pPr>
          </w:p>
        </w:tc>
      </w:tr>
      <w:tr w14:paraId="29CF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50" w:type="dxa"/>
            <w:gridSpan w:val="6"/>
            <w:vAlign w:val="center"/>
          </w:tcPr>
          <w:p w14:paraId="31A4514A">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法 定 代 表 人 基 本 情 况</w:t>
            </w:r>
          </w:p>
        </w:tc>
      </w:tr>
      <w:tr w14:paraId="2022E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391D61E9">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2739" w:type="dxa"/>
            <w:gridSpan w:val="3"/>
            <w:vAlign w:val="center"/>
          </w:tcPr>
          <w:p w14:paraId="2C15E8D2">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7DD837E6">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2453" w:type="dxa"/>
            <w:vAlign w:val="center"/>
          </w:tcPr>
          <w:p w14:paraId="61066AAE">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64D3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11" w:type="dxa"/>
            <w:vAlign w:val="center"/>
          </w:tcPr>
          <w:p w14:paraId="12824F85">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915" w:type="dxa"/>
            <w:vAlign w:val="center"/>
          </w:tcPr>
          <w:p w14:paraId="488118AD">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1062" w:type="dxa"/>
            <w:vAlign w:val="center"/>
          </w:tcPr>
          <w:p w14:paraId="444344D2">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762" w:type="dxa"/>
            <w:vAlign w:val="center"/>
          </w:tcPr>
          <w:p w14:paraId="33849A41">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c>
          <w:tcPr>
            <w:tcW w:w="2347" w:type="dxa"/>
            <w:vAlign w:val="center"/>
          </w:tcPr>
          <w:p w14:paraId="7FF9D84D">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学    历</w:t>
            </w:r>
          </w:p>
        </w:tc>
        <w:tc>
          <w:tcPr>
            <w:tcW w:w="2453" w:type="dxa"/>
            <w:vAlign w:val="center"/>
          </w:tcPr>
          <w:p w14:paraId="3C97E7CE">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rPr>
            </w:pPr>
          </w:p>
        </w:tc>
      </w:tr>
      <w:tr w14:paraId="22D7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50" w:type="dxa"/>
            <w:gridSpan w:val="6"/>
          </w:tcPr>
          <w:p w14:paraId="1BBD8458">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bl>
    <w:p w14:paraId="0FFA1D94">
      <w:pPr>
        <w:spacing w:beforeLines="50" w:line="360" w:lineRule="auto"/>
        <w:ind w:right="-227" w:rightChars="-108"/>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兹证明上述声明是真实、正确的，并提供了全部能提供的资料和数据，我们同意遵照贵方要求出示有关证明文件。</w:t>
      </w:r>
    </w:p>
    <w:p w14:paraId="1C7DF8C9">
      <w:pPr>
        <w:widowControl w:val="0"/>
        <w:spacing w:line="360" w:lineRule="auto"/>
        <w:jc w:val="righ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投标人名称（盖公章）：</w:t>
      </w:r>
    </w:p>
    <w:p w14:paraId="0FCA5407">
      <w:pPr>
        <w:widowControl w:val="0"/>
        <w:spacing w:line="360" w:lineRule="auto"/>
        <w:jc w:val="righ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法定代表人或授权委托代理人（签字或</w:t>
      </w:r>
      <w:r>
        <w:rPr>
          <w:rFonts w:hint="eastAsia" w:ascii="宋体" w:hAnsi="宋体" w:cs="宋体"/>
          <w:color w:val="auto"/>
          <w:kern w:val="2"/>
          <w:sz w:val="24"/>
          <w:szCs w:val="24"/>
          <w:highlight w:val="none"/>
          <w:lang w:val="en-US" w:eastAsia="zh-CN" w:bidi="ar-SA"/>
        </w:rPr>
        <w:t>签章</w:t>
      </w:r>
      <w:r>
        <w:rPr>
          <w:rFonts w:hint="eastAsia" w:ascii="宋体" w:hAnsi="宋体" w:eastAsia="宋体" w:cs="宋体"/>
          <w:color w:val="auto"/>
          <w:kern w:val="2"/>
          <w:sz w:val="24"/>
          <w:szCs w:val="24"/>
          <w:highlight w:val="none"/>
          <w:lang w:val="en-US" w:eastAsia="zh-CN" w:bidi="ar-SA"/>
        </w:rPr>
        <w:t>）：</w:t>
      </w:r>
    </w:p>
    <w:p w14:paraId="021D4615">
      <w:pPr>
        <w:widowControl w:val="0"/>
        <w:spacing w:line="360" w:lineRule="auto"/>
        <w:jc w:val="righ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日期：  年    月   日</w:t>
      </w:r>
    </w:p>
    <w:p w14:paraId="2BC8554E">
      <w:pPr>
        <w:widowControl w:val="0"/>
        <w:spacing w:line="360" w:lineRule="auto"/>
        <w:jc w:val="center"/>
        <w:rPr>
          <w:rFonts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五、证书一览表</w:t>
      </w:r>
    </w:p>
    <w:tbl>
      <w:tblPr>
        <w:tblStyle w:val="4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467CA1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top w:val="single" w:color="auto" w:sz="4" w:space="0"/>
              <w:left w:val="single" w:color="auto" w:sz="4" w:space="0"/>
              <w:bottom w:val="single" w:color="auto" w:sz="4" w:space="0"/>
            </w:tcBorders>
            <w:vAlign w:val="center"/>
          </w:tcPr>
          <w:p w14:paraId="444AF4A6">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证书名称</w:t>
            </w:r>
          </w:p>
        </w:tc>
        <w:tc>
          <w:tcPr>
            <w:tcW w:w="2258" w:type="dxa"/>
            <w:tcBorders>
              <w:top w:val="single" w:color="auto" w:sz="4" w:space="0"/>
              <w:bottom w:val="single" w:color="auto" w:sz="4" w:space="0"/>
            </w:tcBorders>
            <w:vAlign w:val="center"/>
          </w:tcPr>
          <w:p w14:paraId="0063C62E">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发证单位</w:t>
            </w:r>
          </w:p>
        </w:tc>
        <w:tc>
          <w:tcPr>
            <w:tcW w:w="2260" w:type="dxa"/>
            <w:tcBorders>
              <w:top w:val="single" w:color="auto" w:sz="4" w:space="0"/>
              <w:bottom w:val="single" w:color="auto" w:sz="4" w:space="0"/>
            </w:tcBorders>
            <w:vAlign w:val="center"/>
          </w:tcPr>
          <w:p w14:paraId="4CE1B362">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证书等级</w:t>
            </w:r>
          </w:p>
        </w:tc>
        <w:tc>
          <w:tcPr>
            <w:tcW w:w="2047" w:type="dxa"/>
            <w:tcBorders>
              <w:top w:val="single" w:color="auto" w:sz="4" w:space="0"/>
              <w:bottom w:val="single" w:color="auto" w:sz="4" w:space="0"/>
              <w:right w:val="single" w:color="auto" w:sz="4" w:space="0"/>
            </w:tcBorders>
            <w:vAlign w:val="center"/>
          </w:tcPr>
          <w:p w14:paraId="6FC4874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证书有效期</w:t>
            </w:r>
          </w:p>
        </w:tc>
      </w:tr>
      <w:tr w14:paraId="4C0EF5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top w:val="single" w:color="auto" w:sz="4" w:space="0"/>
              <w:left w:val="single" w:color="auto" w:sz="4" w:space="0"/>
            </w:tcBorders>
            <w:vAlign w:val="center"/>
          </w:tcPr>
          <w:p w14:paraId="21452082">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tcBorders>
              <w:top w:val="single" w:color="auto" w:sz="4" w:space="0"/>
            </w:tcBorders>
            <w:vAlign w:val="center"/>
          </w:tcPr>
          <w:p w14:paraId="2D3B4BA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tcBorders>
              <w:top w:val="single" w:color="auto" w:sz="4" w:space="0"/>
            </w:tcBorders>
            <w:vAlign w:val="center"/>
          </w:tcPr>
          <w:p w14:paraId="4E9A6B57">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top w:val="single" w:color="auto" w:sz="4" w:space="0"/>
              <w:right w:val="single" w:color="auto" w:sz="4" w:space="0"/>
            </w:tcBorders>
            <w:vAlign w:val="center"/>
          </w:tcPr>
          <w:p w14:paraId="3615DCFD">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0853AD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488B4D16">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vAlign w:val="center"/>
          </w:tcPr>
          <w:p w14:paraId="78AD0DE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vAlign w:val="center"/>
          </w:tcPr>
          <w:p w14:paraId="786320EF">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right w:val="single" w:color="auto" w:sz="4" w:space="0"/>
            </w:tcBorders>
            <w:vAlign w:val="center"/>
          </w:tcPr>
          <w:p w14:paraId="41E0155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1C3029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283605C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vAlign w:val="center"/>
          </w:tcPr>
          <w:p w14:paraId="1F6360C0">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vAlign w:val="center"/>
          </w:tcPr>
          <w:p w14:paraId="028CD83E">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right w:val="single" w:color="auto" w:sz="4" w:space="0"/>
            </w:tcBorders>
            <w:vAlign w:val="center"/>
          </w:tcPr>
          <w:p w14:paraId="0D1AAC71">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391DCE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4E76E8F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vAlign w:val="center"/>
          </w:tcPr>
          <w:p w14:paraId="3023773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vAlign w:val="center"/>
          </w:tcPr>
          <w:p w14:paraId="2B642751">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right w:val="single" w:color="auto" w:sz="4" w:space="0"/>
            </w:tcBorders>
            <w:vAlign w:val="center"/>
          </w:tcPr>
          <w:p w14:paraId="16A3B8DA">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3346F5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6AA34EBA">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vAlign w:val="center"/>
          </w:tcPr>
          <w:p w14:paraId="28ED711F">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vAlign w:val="center"/>
          </w:tcPr>
          <w:p w14:paraId="7E451027">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right w:val="single" w:color="auto" w:sz="4" w:space="0"/>
            </w:tcBorders>
            <w:vAlign w:val="center"/>
          </w:tcPr>
          <w:p w14:paraId="55E7A6AD">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3737D9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0CF6B671">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vAlign w:val="center"/>
          </w:tcPr>
          <w:p w14:paraId="53AA27F9">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vAlign w:val="center"/>
          </w:tcPr>
          <w:p w14:paraId="78779D67">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right w:val="single" w:color="auto" w:sz="4" w:space="0"/>
            </w:tcBorders>
            <w:vAlign w:val="center"/>
          </w:tcPr>
          <w:p w14:paraId="6796BD89">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r w14:paraId="5EE0B4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bottom w:val="single" w:color="auto" w:sz="4" w:space="0"/>
            </w:tcBorders>
            <w:vAlign w:val="center"/>
          </w:tcPr>
          <w:p w14:paraId="0E760C96">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58" w:type="dxa"/>
            <w:tcBorders>
              <w:bottom w:val="single" w:color="auto" w:sz="4" w:space="0"/>
            </w:tcBorders>
            <w:vAlign w:val="center"/>
          </w:tcPr>
          <w:p w14:paraId="70E60BFE">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260" w:type="dxa"/>
            <w:tcBorders>
              <w:bottom w:val="single" w:color="auto" w:sz="4" w:space="0"/>
            </w:tcBorders>
            <w:vAlign w:val="center"/>
          </w:tcPr>
          <w:p w14:paraId="312F997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2047" w:type="dxa"/>
            <w:tcBorders>
              <w:bottom w:val="single" w:color="auto" w:sz="4" w:space="0"/>
              <w:right w:val="single" w:color="auto" w:sz="4" w:space="0"/>
            </w:tcBorders>
            <w:vAlign w:val="center"/>
          </w:tcPr>
          <w:p w14:paraId="5AD7F27B">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r>
    </w:tbl>
    <w:p w14:paraId="4C32569D">
      <w:pPr>
        <w:widowControl w:val="0"/>
        <w:tabs>
          <w:tab w:val="left" w:pos="1050"/>
        </w:tabs>
        <w:spacing w:line="360" w:lineRule="auto"/>
        <w:jc w:val="both"/>
        <w:rPr>
          <w:rFonts w:ascii="宋体" w:hAnsi="宋体" w:eastAsia="宋体" w:cs="宋体"/>
          <w:color w:val="auto"/>
          <w:kern w:val="2"/>
          <w:sz w:val="24"/>
          <w:szCs w:val="24"/>
          <w:highlight w:val="none"/>
          <w:lang w:val="en-US" w:eastAsia="zh-CN" w:bidi="ar-SA"/>
        </w:rPr>
      </w:pPr>
    </w:p>
    <w:p w14:paraId="7D46793B">
      <w:pPr>
        <w:widowControl w:val="0"/>
        <w:tabs>
          <w:tab w:val="left" w:pos="1050"/>
        </w:tabs>
        <w:spacing w:line="360" w:lineRule="auto"/>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要求：</w:t>
      </w:r>
    </w:p>
    <w:p w14:paraId="7042F942">
      <w:pPr>
        <w:widowControl w:val="0"/>
        <w:tabs>
          <w:tab w:val="left" w:pos="1050"/>
        </w:tabs>
        <w:spacing w:line="360" w:lineRule="auto"/>
        <w:ind w:firstLine="484" w:firstLineChars="202"/>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1.根据评分标准要求填写投标供应商获得的资质、认证或企业信誉证书等；</w:t>
      </w:r>
    </w:p>
    <w:p w14:paraId="315FAF65">
      <w:pPr>
        <w:widowControl w:val="0"/>
        <w:tabs>
          <w:tab w:val="left" w:pos="1050"/>
        </w:tabs>
        <w:spacing w:line="360" w:lineRule="auto"/>
        <w:ind w:firstLine="484" w:firstLineChars="202"/>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2.附所列证书扫描件或影印件或其他证明材料。</w:t>
      </w:r>
    </w:p>
    <w:p w14:paraId="09DABF55">
      <w:pPr>
        <w:spacing w:line="360" w:lineRule="auto"/>
        <w:jc w:val="left"/>
        <w:rPr>
          <w:rFonts w:ascii="宋体" w:hAnsi="宋体" w:eastAsia="宋体" w:cs="宋体"/>
          <w:color w:val="auto"/>
          <w:sz w:val="24"/>
          <w:szCs w:val="24"/>
          <w:highlight w:val="none"/>
        </w:rPr>
      </w:pPr>
    </w:p>
    <w:p w14:paraId="0AFF734C">
      <w:pPr>
        <w:spacing w:line="360" w:lineRule="auto"/>
        <w:jc w:val="left"/>
        <w:rPr>
          <w:rFonts w:ascii="宋体" w:hAnsi="宋体" w:eastAsia="宋体" w:cs="宋体"/>
          <w:color w:val="auto"/>
          <w:sz w:val="24"/>
          <w:szCs w:val="24"/>
          <w:highlight w:val="none"/>
        </w:rPr>
      </w:pPr>
    </w:p>
    <w:p w14:paraId="33031F4D">
      <w:pPr>
        <w:tabs>
          <w:tab w:val="left" w:pos="312"/>
        </w:tabs>
        <w:spacing w:line="480" w:lineRule="auto"/>
        <w:ind w:firstLine="480" w:firstLineChars="2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投标人名称（盖公章）：</w:t>
      </w:r>
    </w:p>
    <w:p w14:paraId="75339D6D">
      <w:pPr>
        <w:spacing w:line="480" w:lineRule="auto"/>
        <w:ind w:firstLine="424" w:firstLineChars="177"/>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法定代表人或授权委托代理人（签字或</w:t>
      </w:r>
      <w:r>
        <w:rPr>
          <w:rFonts w:hint="eastAsia" w:ascii="宋体" w:hAnsi="宋体" w:cs="宋体"/>
          <w:color w:val="auto"/>
          <w:sz w:val="24"/>
          <w:szCs w:val="24"/>
          <w:highlight w:val="none"/>
          <w:lang w:eastAsia="zh-CN"/>
        </w:rPr>
        <w:t>签章</w:t>
      </w:r>
      <w:r>
        <w:rPr>
          <w:rFonts w:hint="eastAsia" w:ascii="宋体" w:hAnsi="宋体" w:eastAsia="宋体" w:cs="宋体"/>
          <w:color w:val="auto"/>
          <w:sz w:val="24"/>
          <w:szCs w:val="24"/>
          <w:highlight w:val="none"/>
        </w:rPr>
        <w:t>）：</w:t>
      </w:r>
    </w:p>
    <w:p w14:paraId="42C87231">
      <w:pPr>
        <w:spacing w:line="480" w:lineRule="auto"/>
        <w:ind w:firstLine="435"/>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4205C904">
      <w:pPr>
        <w:spacing w:after="100" w:afterAutospacing="1" w:line="360" w:lineRule="auto"/>
        <w:jc w:val="center"/>
        <w:outlineLvl w:val="0"/>
        <w:rPr>
          <w:rFonts w:ascii="宋体" w:hAnsi="宋体" w:eastAsia="宋体" w:cs="宋体"/>
          <w:b/>
          <w:color w:val="auto"/>
          <w:sz w:val="32"/>
          <w:szCs w:val="32"/>
          <w:highlight w:val="none"/>
        </w:rPr>
      </w:pPr>
    </w:p>
    <w:p w14:paraId="65B3DF0D">
      <w:pPr>
        <w:pageBreakBefore/>
        <w:spacing w:after="100" w:afterAutospacing="1" w:line="360" w:lineRule="auto"/>
        <w:jc w:val="center"/>
        <w:outlineLvl w:val="0"/>
        <w:rPr>
          <w:rFonts w:ascii="宋体" w:hAnsi="宋体" w:eastAsia="宋体" w:cs="宋体"/>
          <w:b/>
          <w:color w:val="auto"/>
          <w:sz w:val="32"/>
          <w:szCs w:val="32"/>
          <w:highlight w:val="none"/>
        </w:rPr>
      </w:pPr>
      <w:bookmarkStart w:id="127" w:name="_Toc30960"/>
      <w:bookmarkStart w:id="128" w:name="_Toc1403"/>
      <w:bookmarkStart w:id="129" w:name="_Toc29674"/>
      <w:r>
        <w:rPr>
          <w:rFonts w:hint="eastAsia" w:ascii="宋体" w:hAnsi="宋体" w:eastAsia="宋体" w:cs="宋体"/>
          <w:b/>
          <w:color w:val="auto"/>
          <w:sz w:val="32"/>
          <w:szCs w:val="32"/>
          <w:highlight w:val="none"/>
          <w:lang w:eastAsia="zh-CN"/>
        </w:rPr>
        <w:t>六</w:t>
      </w:r>
      <w:r>
        <w:rPr>
          <w:rFonts w:hint="eastAsia" w:ascii="宋体" w:hAnsi="宋体" w:eastAsia="宋体" w:cs="宋体"/>
          <w:b/>
          <w:color w:val="auto"/>
          <w:sz w:val="32"/>
          <w:szCs w:val="32"/>
          <w:highlight w:val="none"/>
        </w:rPr>
        <w:t>、技术规范偏离表</w:t>
      </w:r>
      <w:bookmarkEnd w:id="121"/>
      <w:bookmarkEnd w:id="122"/>
      <w:bookmarkEnd w:id="123"/>
      <w:bookmarkEnd w:id="124"/>
      <w:bookmarkEnd w:id="125"/>
      <w:bookmarkEnd w:id="126"/>
      <w:bookmarkEnd w:id="127"/>
      <w:bookmarkEnd w:id="128"/>
      <w:bookmarkEnd w:id="129"/>
    </w:p>
    <w:p w14:paraId="537E383E">
      <w:pPr>
        <w:spacing w:after="100" w:afterAutospacing="1" w:line="360" w:lineRule="auto"/>
        <w:outlineLvl w:val="0"/>
        <w:rPr>
          <w:rFonts w:ascii="宋体" w:hAnsi="宋体" w:eastAsia="宋体" w:cs="宋体"/>
          <w:color w:val="auto"/>
          <w:sz w:val="24"/>
          <w:szCs w:val="24"/>
          <w:highlight w:val="none"/>
        </w:rPr>
      </w:pPr>
      <w:bookmarkStart w:id="130" w:name="_Toc24291"/>
      <w:bookmarkStart w:id="131" w:name="_Toc9730"/>
      <w:bookmarkStart w:id="132" w:name="_Toc2748"/>
      <w:r>
        <w:rPr>
          <w:rFonts w:hint="eastAsia" w:ascii="宋体" w:hAnsi="宋体" w:eastAsia="宋体" w:cs="宋体"/>
          <w:color w:val="auto"/>
          <w:sz w:val="24"/>
          <w:szCs w:val="24"/>
          <w:highlight w:val="none"/>
        </w:rPr>
        <w:t>项目编号：                                                 项目名称：</w:t>
      </w:r>
      <w:bookmarkEnd w:id="130"/>
      <w:bookmarkEnd w:id="131"/>
      <w:bookmarkEnd w:id="132"/>
    </w:p>
    <w:tbl>
      <w:tblPr>
        <w:tblStyle w:val="48"/>
        <w:tblW w:w="924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1"/>
        <w:gridCol w:w="3768"/>
        <w:gridCol w:w="3768"/>
        <w:gridCol w:w="995"/>
      </w:tblGrid>
      <w:tr w14:paraId="5763CB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bottom w:val="single" w:color="auto" w:sz="4" w:space="0"/>
            </w:tcBorders>
            <w:tcMar>
              <w:left w:w="0" w:type="dxa"/>
              <w:right w:w="0" w:type="dxa"/>
            </w:tcMar>
            <w:vAlign w:val="center"/>
          </w:tcPr>
          <w:p w14:paraId="6745454F">
            <w:pPr>
              <w:keepNext w:val="0"/>
              <w:keepLines w:val="0"/>
              <w:widowControl w:val="0"/>
              <w:suppressLineNumbers w:val="0"/>
              <w:spacing w:before="0" w:beforeAutospacing="0" w:after="0" w:afterAutospacing="0" w:line="340" w:lineRule="exact"/>
              <w:ind w:left="0" w:right="0" w:firstLine="120" w:firstLineChars="50"/>
              <w:contextualSpacing/>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3768" w:type="dxa"/>
            <w:tcBorders>
              <w:top w:val="single" w:color="auto" w:sz="4" w:space="0"/>
              <w:bottom w:val="single" w:color="auto" w:sz="4" w:space="0"/>
            </w:tcBorders>
            <w:tcMar>
              <w:left w:w="0" w:type="dxa"/>
              <w:right w:w="0" w:type="dxa"/>
            </w:tcMar>
            <w:vAlign w:val="center"/>
          </w:tcPr>
          <w:p w14:paraId="3EB584FE">
            <w:pPr>
              <w:keepNext w:val="0"/>
              <w:keepLines w:val="0"/>
              <w:widowControl w:val="0"/>
              <w:suppressLineNumbers w:val="0"/>
              <w:spacing w:before="0" w:beforeAutospacing="0" w:after="0" w:afterAutospacing="0" w:line="340" w:lineRule="exact"/>
              <w:ind w:left="0" w:right="0" w:firstLine="0"/>
              <w:contextualSpacing/>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《采购文件》中的技术要求</w:t>
            </w:r>
          </w:p>
        </w:tc>
        <w:tc>
          <w:tcPr>
            <w:tcW w:w="3768" w:type="dxa"/>
            <w:tcBorders>
              <w:top w:val="single" w:color="auto" w:sz="4" w:space="0"/>
              <w:bottom w:val="single" w:color="auto" w:sz="4" w:space="0"/>
            </w:tcBorders>
            <w:tcMar>
              <w:left w:w="0" w:type="dxa"/>
              <w:right w:w="0" w:type="dxa"/>
            </w:tcMar>
            <w:vAlign w:val="center"/>
          </w:tcPr>
          <w:p w14:paraId="52241BD5">
            <w:pPr>
              <w:keepNext w:val="0"/>
              <w:keepLines w:val="0"/>
              <w:widowControl w:val="0"/>
              <w:suppressLineNumbers w:val="0"/>
              <w:spacing w:before="0" w:beforeAutospacing="0" w:after="0" w:afterAutospacing="0" w:line="340" w:lineRule="exact"/>
              <w:ind w:left="0" w:right="0" w:firstLine="0"/>
              <w:contextualSpacing/>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《投标文件》技术条款响应</w:t>
            </w:r>
          </w:p>
        </w:tc>
        <w:tc>
          <w:tcPr>
            <w:tcW w:w="995" w:type="dxa"/>
            <w:tcBorders>
              <w:top w:val="single" w:color="auto" w:sz="4" w:space="0"/>
              <w:bottom w:val="single" w:color="auto" w:sz="4" w:space="0"/>
            </w:tcBorders>
            <w:tcMar>
              <w:left w:w="0" w:type="dxa"/>
              <w:right w:w="0" w:type="dxa"/>
            </w:tcMar>
            <w:vAlign w:val="center"/>
          </w:tcPr>
          <w:p w14:paraId="2D3CB95E">
            <w:pPr>
              <w:keepNext w:val="0"/>
              <w:keepLines w:val="0"/>
              <w:widowControl w:val="0"/>
              <w:suppressLineNumbers w:val="0"/>
              <w:spacing w:before="0" w:beforeAutospacing="0" w:after="0" w:afterAutospacing="0" w:line="340" w:lineRule="exact"/>
              <w:ind w:left="0" w:right="0" w:firstLine="0"/>
              <w:contextualSpacing/>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w:t>
            </w:r>
          </w:p>
        </w:tc>
      </w:tr>
      <w:tr w14:paraId="55E149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tcBorders>
            <w:tcMar>
              <w:left w:w="0" w:type="dxa"/>
              <w:right w:w="0" w:type="dxa"/>
            </w:tcMar>
            <w:vAlign w:val="center"/>
          </w:tcPr>
          <w:p w14:paraId="29B9650E">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768" w:type="dxa"/>
            <w:tcBorders>
              <w:top w:val="single" w:color="auto" w:sz="4" w:space="0"/>
            </w:tcBorders>
            <w:tcMar>
              <w:left w:w="0" w:type="dxa"/>
              <w:right w:w="0" w:type="dxa"/>
            </w:tcMar>
            <w:vAlign w:val="center"/>
          </w:tcPr>
          <w:p w14:paraId="7EFA8AC0">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Borders>
              <w:top w:val="single" w:color="auto" w:sz="4" w:space="0"/>
            </w:tcBorders>
            <w:tcMar>
              <w:left w:w="0" w:type="dxa"/>
              <w:right w:w="0" w:type="dxa"/>
            </w:tcMar>
            <w:vAlign w:val="center"/>
          </w:tcPr>
          <w:p w14:paraId="5AFC86CD">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Borders>
              <w:top w:val="single" w:color="auto" w:sz="4" w:space="0"/>
            </w:tcBorders>
            <w:tcMar>
              <w:left w:w="0" w:type="dxa"/>
              <w:right w:w="0" w:type="dxa"/>
            </w:tcMar>
            <w:vAlign w:val="center"/>
          </w:tcPr>
          <w:p w14:paraId="32207519">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14FA1B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6335587A">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768" w:type="dxa"/>
            <w:tcMar>
              <w:left w:w="0" w:type="dxa"/>
              <w:right w:w="0" w:type="dxa"/>
            </w:tcMar>
            <w:vAlign w:val="center"/>
          </w:tcPr>
          <w:p w14:paraId="3C3F06D7">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0EB46F37">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5F22D01D">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10EBB9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5DB1F693">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768" w:type="dxa"/>
            <w:tcMar>
              <w:left w:w="0" w:type="dxa"/>
              <w:right w:w="0" w:type="dxa"/>
            </w:tcMar>
            <w:vAlign w:val="center"/>
          </w:tcPr>
          <w:p w14:paraId="7533EBF8">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26DECA3B">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68CCB9EE">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5347D1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2DDC91C9">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768" w:type="dxa"/>
            <w:tcMar>
              <w:left w:w="0" w:type="dxa"/>
              <w:right w:w="0" w:type="dxa"/>
            </w:tcMar>
            <w:vAlign w:val="center"/>
          </w:tcPr>
          <w:p w14:paraId="02115020">
            <w:pPr>
              <w:keepNext w:val="0"/>
              <w:keepLines w:val="0"/>
              <w:suppressLineNumbers w:val="0"/>
              <w:tabs>
                <w:tab w:val="left" w:pos="851"/>
              </w:tabs>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05BAE196">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019CE7FB">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38737E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4FA8C69D">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768" w:type="dxa"/>
            <w:tcMar>
              <w:left w:w="0" w:type="dxa"/>
              <w:right w:w="0" w:type="dxa"/>
            </w:tcMar>
            <w:vAlign w:val="center"/>
          </w:tcPr>
          <w:p w14:paraId="5A0B2FD0">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736AC579">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54814F3E">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282916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5C95FF7E">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768" w:type="dxa"/>
            <w:tcMar>
              <w:left w:w="0" w:type="dxa"/>
              <w:right w:w="0" w:type="dxa"/>
            </w:tcMar>
            <w:vAlign w:val="center"/>
          </w:tcPr>
          <w:p w14:paraId="1E311C48">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768" w:type="dxa"/>
            <w:tcMar>
              <w:left w:w="0" w:type="dxa"/>
              <w:right w:w="0" w:type="dxa"/>
            </w:tcMar>
            <w:vAlign w:val="center"/>
          </w:tcPr>
          <w:p w14:paraId="6C7386CF">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1DAF818A">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0C1C91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0DFEAEF9">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768" w:type="dxa"/>
            <w:tcMar>
              <w:left w:w="0" w:type="dxa"/>
              <w:right w:w="0" w:type="dxa"/>
            </w:tcMar>
            <w:vAlign w:val="center"/>
          </w:tcPr>
          <w:p w14:paraId="2885459A">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28DE941A">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7E061E5B">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5333C3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72408193">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768" w:type="dxa"/>
            <w:tcMar>
              <w:left w:w="0" w:type="dxa"/>
              <w:right w:w="0" w:type="dxa"/>
            </w:tcMar>
            <w:vAlign w:val="center"/>
          </w:tcPr>
          <w:p w14:paraId="44581A30">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2FA4F7C3">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306FD630">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56FD8A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1D8FC187">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768" w:type="dxa"/>
            <w:tcMar>
              <w:left w:w="0" w:type="dxa"/>
              <w:right w:w="0" w:type="dxa"/>
            </w:tcMar>
            <w:vAlign w:val="center"/>
          </w:tcPr>
          <w:p w14:paraId="08B787D3">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2E3F3355">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32067D5D">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3A94AE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055A709B">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768" w:type="dxa"/>
            <w:tcMar>
              <w:left w:w="0" w:type="dxa"/>
              <w:right w:w="0" w:type="dxa"/>
            </w:tcMar>
            <w:vAlign w:val="center"/>
          </w:tcPr>
          <w:p w14:paraId="2E5690CF">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5AED4F40">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2F087686">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r w14:paraId="3908EA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7CE9FB7F">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768" w:type="dxa"/>
            <w:tcMar>
              <w:left w:w="0" w:type="dxa"/>
              <w:right w:w="0" w:type="dxa"/>
            </w:tcMar>
            <w:vAlign w:val="center"/>
          </w:tcPr>
          <w:p w14:paraId="26D5ABF2">
            <w:pPr>
              <w:keepNext w:val="0"/>
              <w:keepLines w:val="0"/>
              <w:suppressLineNumbers w:val="0"/>
              <w:spacing w:before="0" w:beforeAutospacing="0" w:after="0" w:afterAutospacing="0" w:line="340" w:lineRule="exact"/>
              <w:ind w:left="0" w:right="0"/>
              <w:contextualSpacing/>
              <w:rPr>
                <w:rFonts w:hint="default" w:ascii="宋体" w:hAnsi="宋体" w:eastAsia="宋体" w:cs="宋体"/>
                <w:color w:val="auto"/>
                <w:sz w:val="24"/>
                <w:szCs w:val="24"/>
                <w:highlight w:val="none"/>
              </w:rPr>
            </w:pPr>
          </w:p>
        </w:tc>
        <w:tc>
          <w:tcPr>
            <w:tcW w:w="3768" w:type="dxa"/>
            <w:tcMar>
              <w:left w:w="0" w:type="dxa"/>
              <w:right w:w="0" w:type="dxa"/>
            </w:tcMar>
            <w:vAlign w:val="center"/>
          </w:tcPr>
          <w:p w14:paraId="39BCF408">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c>
          <w:tcPr>
            <w:tcW w:w="995" w:type="dxa"/>
            <w:tcMar>
              <w:left w:w="0" w:type="dxa"/>
              <w:right w:w="0" w:type="dxa"/>
            </w:tcMar>
            <w:vAlign w:val="center"/>
          </w:tcPr>
          <w:p w14:paraId="59FB4849">
            <w:pPr>
              <w:keepNext w:val="0"/>
              <w:keepLines w:val="0"/>
              <w:suppressLineNumbers w:val="0"/>
              <w:spacing w:before="0" w:beforeAutospacing="0" w:after="0" w:afterAutospacing="0" w:line="340" w:lineRule="exact"/>
              <w:ind w:left="0" w:right="0"/>
              <w:contextualSpacing/>
              <w:jc w:val="center"/>
              <w:rPr>
                <w:rFonts w:hint="default" w:ascii="宋体" w:hAnsi="宋体" w:eastAsia="宋体" w:cs="宋体"/>
                <w:color w:val="auto"/>
                <w:sz w:val="24"/>
                <w:szCs w:val="24"/>
                <w:highlight w:val="none"/>
              </w:rPr>
            </w:pPr>
          </w:p>
        </w:tc>
      </w:tr>
    </w:tbl>
    <w:p w14:paraId="047C8F00">
      <w:pPr>
        <w:widowControl w:val="0"/>
        <w:spacing w:line="480" w:lineRule="atLeas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p>
    <w:p w14:paraId="211FC993">
      <w:pPr>
        <w:widowControl w:val="0"/>
        <w:spacing w:line="480" w:lineRule="atLeas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1、列明采购文件的技术要求与投标文件对应响应，并说明偏离状况（正偏离或负偏离）；</w:t>
      </w:r>
    </w:p>
    <w:p w14:paraId="345DE981">
      <w:pPr>
        <w:widowControl w:val="0"/>
        <w:spacing w:line="480" w:lineRule="atLeas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2、无偏离应在本表“说明”处醒目地注明“无条款偏离”的字样。</w:t>
      </w:r>
    </w:p>
    <w:p w14:paraId="1940544D">
      <w:pPr>
        <w:widowControl w:val="0"/>
        <w:spacing w:line="480" w:lineRule="atLeast"/>
        <w:ind w:firstLine="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3、本表格供参考，投标人可根据项目实际情况自拟（增减）表格。</w:t>
      </w:r>
    </w:p>
    <w:p w14:paraId="578C23B2">
      <w:pPr>
        <w:tabs>
          <w:tab w:val="left" w:pos="312"/>
        </w:tabs>
        <w:spacing w:line="480" w:lineRule="auto"/>
        <w:ind w:firstLine="480" w:firstLineChars="2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投标人名称（盖公章）：</w:t>
      </w:r>
    </w:p>
    <w:p w14:paraId="241AF7EB">
      <w:pPr>
        <w:spacing w:line="480" w:lineRule="auto"/>
        <w:ind w:firstLine="424" w:firstLineChars="177"/>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法定代表人或授权委托代理人（签字或</w:t>
      </w:r>
      <w:r>
        <w:rPr>
          <w:rFonts w:hint="eastAsia" w:ascii="宋体" w:hAnsi="宋体" w:cs="宋体"/>
          <w:color w:val="auto"/>
          <w:sz w:val="24"/>
          <w:szCs w:val="24"/>
          <w:highlight w:val="none"/>
          <w:lang w:eastAsia="zh-CN"/>
        </w:rPr>
        <w:t>签章</w:t>
      </w:r>
      <w:r>
        <w:rPr>
          <w:rFonts w:hint="eastAsia" w:ascii="宋体" w:hAnsi="宋体" w:eastAsia="宋体" w:cs="宋体"/>
          <w:color w:val="auto"/>
          <w:sz w:val="24"/>
          <w:szCs w:val="24"/>
          <w:highlight w:val="none"/>
        </w:rPr>
        <w:t>）：</w:t>
      </w:r>
    </w:p>
    <w:p w14:paraId="177A2129">
      <w:pPr>
        <w:spacing w:line="480" w:lineRule="auto"/>
        <w:ind w:firstLine="435"/>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6C629FEF">
      <w:pPr>
        <w:pageBreakBefore/>
        <w:spacing w:after="100" w:afterAutospacing="1" w:line="360" w:lineRule="auto"/>
        <w:jc w:val="center"/>
        <w:outlineLvl w:val="0"/>
        <w:rPr>
          <w:rFonts w:ascii="宋体" w:hAnsi="宋体" w:eastAsia="宋体" w:cs="宋体"/>
          <w:b/>
          <w:color w:val="auto"/>
          <w:sz w:val="32"/>
          <w:szCs w:val="32"/>
          <w:highlight w:val="none"/>
        </w:rPr>
      </w:pPr>
      <w:bookmarkStart w:id="133" w:name="_Toc27833"/>
      <w:bookmarkStart w:id="134" w:name="_Toc14058"/>
      <w:bookmarkStart w:id="135" w:name="_Toc9701"/>
      <w:bookmarkStart w:id="136" w:name="_Toc18229"/>
      <w:bookmarkStart w:id="137" w:name="_Toc7232"/>
      <w:bookmarkStart w:id="138" w:name="_Toc22735"/>
      <w:bookmarkStart w:id="139" w:name="_Toc3100"/>
      <w:bookmarkStart w:id="140" w:name="_Toc9606"/>
      <w:bookmarkStart w:id="141" w:name="_Toc4688"/>
      <w:r>
        <w:rPr>
          <w:rFonts w:hint="eastAsia" w:ascii="宋体" w:hAnsi="宋体" w:eastAsia="宋体" w:cs="宋体"/>
          <w:b/>
          <w:color w:val="auto"/>
          <w:sz w:val="32"/>
          <w:szCs w:val="32"/>
          <w:highlight w:val="none"/>
          <w:lang w:eastAsia="zh-CN"/>
        </w:rPr>
        <w:t>七</w:t>
      </w:r>
      <w:r>
        <w:rPr>
          <w:rFonts w:hint="eastAsia" w:ascii="宋体" w:hAnsi="宋体" w:eastAsia="宋体" w:cs="宋体"/>
          <w:b/>
          <w:color w:val="auto"/>
          <w:sz w:val="32"/>
          <w:szCs w:val="32"/>
          <w:highlight w:val="none"/>
        </w:rPr>
        <w:t>、商务偏离表</w:t>
      </w:r>
      <w:bookmarkEnd w:id="133"/>
      <w:bookmarkEnd w:id="134"/>
      <w:bookmarkEnd w:id="135"/>
      <w:bookmarkEnd w:id="136"/>
      <w:bookmarkEnd w:id="137"/>
      <w:bookmarkEnd w:id="138"/>
      <w:bookmarkEnd w:id="139"/>
      <w:bookmarkEnd w:id="140"/>
      <w:bookmarkEnd w:id="141"/>
    </w:p>
    <w:p w14:paraId="37C36C58">
      <w:pPr>
        <w:widowControl w:val="0"/>
        <w:tabs>
          <w:tab w:val="right" w:pos="8847"/>
        </w:tabs>
        <w:spacing w:line="480" w:lineRule="atLeast"/>
        <w:ind w:left="479" w:leftChars="228" w:firstLine="0"/>
        <w:jc w:val="left"/>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项目编号：                                         项目名称：</w:t>
      </w:r>
    </w:p>
    <w:tbl>
      <w:tblPr>
        <w:tblStyle w:val="48"/>
        <w:tblW w:w="924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1"/>
        <w:gridCol w:w="4450"/>
        <w:gridCol w:w="3086"/>
        <w:gridCol w:w="995"/>
      </w:tblGrid>
      <w:tr w14:paraId="100810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bottom w:val="single" w:color="auto" w:sz="4" w:space="0"/>
            </w:tcBorders>
            <w:tcMar>
              <w:left w:w="0" w:type="dxa"/>
              <w:right w:w="0" w:type="dxa"/>
            </w:tcMar>
            <w:vAlign w:val="center"/>
          </w:tcPr>
          <w:p w14:paraId="4A4B8E54">
            <w:pPr>
              <w:keepNext w:val="0"/>
              <w:keepLines w:val="0"/>
              <w:widowControl w:val="0"/>
              <w:suppressLineNumbers w:val="0"/>
              <w:spacing w:before="0" w:beforeAutospacing="0" w:after="0" w:afterAutospacing="0" w:line="340" w:lineRule="exact"/>
              <w:ind w:left="0" w:right="0" w:firstLine="120" w:firstLineChars="50"/>
              <w:contextualSpacing/>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4450" w:type="dxa"/>
            <w:tcBorders>
              <w:top w:val="single" w:color="auto" w:sz="4" w:space="0"/>
              <w:bottom w:val="single" w:color="auto" w:sz="4" w:space="0"/>
            </w:tcBorders>
            <w:tcMar>
              <w:left w:w="0" w:type="dxa"/>
              <w:right w:w="0" w:type="dxa"/>
            </w:tcMar>
            <w:vAlign w:val="center"/>
          </w:tcPr>
          <w:p w14:paraId="5A1D770C">
            <w:pPr>
              <w:keepNext w:val="0"/>
              <w:keepLines w:val="0"/>
              <w:widowControl w:val="0"/>
              <w:suppressLineNumbers w:val="0"/>
              <w:spacing w:before="0" w:beforeAutospacing="0" w:after="0" w:afterAutospacing="0" w:line="340" w:lineRule="exact"/>
              <w:ind w:left="0" w:right="0" w:firstLine="0"/>
              <w:contextualSpacing/>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《采购文件》商务条款要求</w:t>
            </w:r>
          </w:p>
        </w:tc>
        <w:tc>
          <w:tcPr>
            <w:tcW w:w="3086" w:type="dxa"/>
            <w:tcBorders>
              <w:top w:val="single" w:color="auto" w:sz="4" w:space="0"/>
              <w:bottom w:val="single" w:color="auto" w:sz="4" w:space="0"/>
            </w:tcBorders>
            <w:tcMar>
              <w:left w:w="0" w:type="dxa"/>
              <w:right w:w="0" w:type="dxa"/>
            </w:tcMar>
            <w:vAlign w:val="center"/>
          </w:tcPr>
          <w:p w14:paraId="3B534BC5">
            <w:pPr>
              <w:keepNext w:val="0"/>
              <w:keepLines w:val="0"/>
              <w:widowControl w:val="0"/>
              <w:suppressLineNumbers w:val="0"/>
              <w:spacing w:before="0" w:beforeAutospacing="0" w:after="0" w:afterAutospacing="0" w:line="340" w:lineRule="exact"/>
              <w:ind w:left="0" w:right="0" w:firstLine="0"/>
              <w:contextualSpacing/>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《投标文件》商务条款响应</w:t>
            </w:r>
          </w:p>
        </w:tc>
        <w:tc>
          <w:tcPr>
            <w:tcW w:w="995" w:type="dxa"/>
            <w:tcBorders>
              <w:top w:val="single" w:color="auto" w:sz="4" w:space="0"/>
              <w:bottom w:val="single" w:color="auto" w:sz="4" w:space="0"/>
            </w:tcBorders>
            <w:tcMar>
              <w:left w:w="0" w:type="dxa"/>
              <w:right w:w="0" w:type="dxa"/>
            </w:tcMar>
            <w:vAlign w:val="center"/>
          </w:tcPr>
          <w:p w14:paraId="30073271">
            <w:pPr>
              <w:keepNext w:val="0"/>
              <w:keepLines w:val="0"/>
              <w:widowControl w:val="0"/>
              <w:suppressLineNumbers w:val="0"/>
              <w:spacing w:before="0" w:beforeAutospacing="0" w:after="0" w:afterAutospacing="0" w:line="340" w:lineRule="exact"/>
              <w:ind w:left="0" w:right="0" w:firstLine="0"/>
              <w:contextualSpacing/>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w:t>
            </w:r>
          </w:p>
        </w:tc>
      </w:tr>
      <w:tr w14:paraId="6484CC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tcBorders>
            <w:tcMar>
              <w:left w:w="0" w:type="dxa"/>
              <w:right w:w="0" w:type="dxa"/>
            </w:tcMar>
            <w:vAlign w:val="center"/>
          </w:tcPr>
          <w:p w14:paraId="4A33BA3B">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450" w:type="dxa"/>
            <w:tcBorders>
              <w:top w:val="single" w:color="auto" w:sz="4" w:space="0"/>
            </w:tcBorders>
            <w:tcMar>
              <w:left w:w="0" w:type="dxa"/>
              <w:right w:w="0" w:type="dxa"/>
            </w:tcMar>
            <w:vAlign w:val="center"/>
          </w:tcPr>
          <w:p w14:paraId="1698F31A">
            <w:pPr>
              <w:keepNext w:val="0"/>
              <w:keepLines w:val="0"/>
              <w:suppressLineNumbers w:val="0"/>
              <w:spacing w:before="0" w:beforeAutospacing="0" w:after="0" w:afterAutospacing="0" w:line="340" w:lineRule="exact"/>
              <w:ind w:left="0" w:right="0"/>
              <w:contextualSpacing/>
              <w:rPr>
                <w:rFonts w:hint="eastAsia" w:ascii="宋体" w:hAnsi="宋体" w:eastAsia="宋体" w:cs="宋体"/>
                <w:color w:val="auto"/>
                <w:sz w:val="24"/>
                <w:szCs w:val="24"/>
                <w:highlight w:val="none"/>
              </w:rPr>
            </w:pPr>
          </w:p>
        </w:tc>
        <w:tc>
          <w:tcPr>
            <w:tcW w:w="3086" w:type="dxa"/>
            <w:tcBorders>
              <w:top w:val="single" w:color="auto" w:sz="4" w:space="0"/>
            </w:tcBorders>
            <w:tcMar>
              <w:left w:w="0" w:type="dxa"/>
              <w:right w:w="0" w:type="dxa"/>
            </w:tcMar>
            <w:vAlign w:val="center"/>
          </w:tcPr>
          <w:p w14:paraId="56B48C83">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995" w:type="dxa"/>
            <w:tcBorders>
              <w:top w:val="single" w:color="auto" w:sz="4" w:space="0"/>
            </w:tcBorders>
            <w:tcMar>
              <w:left w:w="0" w:type="dxa"/>
              <w:right w:w="0" w:type="dxa"/>
            </w:tcMar>
            <w:vAlign w:val="center"/>
          </w:tcPr>
          <w:p w14:paraId="1E1F17E8">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46EA39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736C38B5">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450" w:type="dxa"/>
            <w:tcMar>
              <w:left w:w="0" w:type="dxa"/>
              <w:right w:w="0" w:type="dxa"/>
            </w:tcMar>
            <w:vAlign w:val="center"/>
          </w:tcPr>
          <w:p w14:paraId="1C07AAEA">
            <w:pPr>
              <w:keepNext w:val="0"/>
              <w:keepLines w:val="0"/>
              <w:suppressLineNumbers w:val="0"/>
              <w:spacing w:before="0" w:beforeAutospacing="0" w:after="0" w:afterAutospacing="0" w:line="340" w:lineRule="exact"/>
              <w:ind w:left="0" w:right="0"/>
              <w:contextualSpacing/>
              <w:rPr>
                <w:rFonts w:hint="eastAsia" w:ascii="宋体" w:hAnsi="宋体" w:eastAsia="宋体" w:cs="宋体"/>
                <w:color w:val="auto"/>
                <w:sz w:val="24"/>
                <w:szCs w:val="24"/>
                <w:highlight w:val="none"/>
              </w:rPr>
            </w:pPr>
          </w:p>
        </w:tc>
        <w:tc>
          <w:tcPr>
            <w:tcW w:w="3086" w:type="dxa"/>
            <w:tcMar>
              <w:left w:w="0" w:type="dxa"/>
              <w:right w:w="0" w:type="dxa"/>
            </w:tcMar>
            <w:vAlign w:val="center"/>
          </w:tcPr>
          <w:p w14:paraId="34B7E0D6">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995" w:type="dxa"/>
            <w:tcMar>
              <w:left w:w="0" w:type="dxa"/>
              <w:right w:w="0" w:type="dxa"/>
            </w:tcMar>
            <w:vAlign w:val="center"/>
          </w:tcPr>
          <w:p w14:paraId="0E355313">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4E96A6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2A82B1BA">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450" w:type="dxa"/>
            <w:tcMar>
              <w:left w:w="0" w:type="dxa"/>
              <w:right w:w="0" w:type="dxa"/>
            </w:tcMar>
            <w:vAlign w:val="center"/>
          </w:tcPr>
          <w:p w14:paraId="423A1B42">
            <w:pPr>
              <w:keepNext w:val="0"/>
              <w:keepLines w:val="0"/>
              <w:suppressLineNumbers w:val="0"/>
              <w:spacing w:before="0" w:beforeAutospacing="0" w:after="0" w:afterAutospacing="0" w:line="340" w:lineRule="exact"/>
              <w:ind w:left="0" w:right="0"/>
              <w:contextualSpacing/>
              <w:rPr>
                <w:rFonts w:hint="eastAsia" w:ascii="宋体" w:hAnsi="宋体" w:eastAsia="宋体" w:cs="宋体"/>
                <w:color w:val="auto"/>
                <w:sz w:val="24"/>
                <w:szCs w:val="24"/>
                <w:highlight w:val="none"/>
              </w:rPr>
            </w:pPr>
          </w:p>
        </w:tc>
        <w:tc>
          <w:tcPr>
            <w:tcW w:w="3086" w:type="dxa"/>
            <w:tcMar>
              <w:left w:w="0" w:type="dxa"/>
              <w:right w:w="0" w:type="dxa"/>
            </w:tcMar>
            <w:vAlign w:val="center"/>
          </w:tcPr>
          <w:p w14:paraId="01FBE78F">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995" w:type="dxa"/>
            <w:tcMar>
              <w:left w:w="0" w:type="dxa"/>
              <w:right w:w="0" w:type="dxa"/>
            </w:tcMar>
            <w:vAlign w:val="center"/>
          </w:tcPr>
          <w:p w14:paraId="0886636D">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79461E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277094E9">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450" w:type="dxa"/>
            <w:tcMar>
              <w:left w:w="0" w:type="dxa"/>
              <w:right w:w="0" w:type="dxa"/>
            </w:tcMar>
            <w:vAlign w:val="center"/>
          </w:tcPr>
          <w:p w14:paraId="42F1F99E">
            <w:pPr>
              <w:keepNext w:val="0"/>
              <w:keepLines w:val="0"/>
              <w:suppressLineNumbers w:val="0"/>
              <w:spacing w:before="0" w:beforeAutospacing="0" w:after="0" w:afterAutospacing="0" w:line="340" w:lineRule="exact"/>
              <w:ind w:left="0" w:right="0"/>
              <w:contextualSpacing/>
              <w:rPr>
                <w:rFonts w:hint="eastAsia" w:ascii="宋体" w:hAnsi="宋体" w:eastAsia="宋体" w:cs="宋体"/>
                <w:color w:val="auto"/>
                <w:sz w:val="24"/>
                <w:szCs w:val="24"/>
                <w:highlight w:val="none"/>
              </w:rPr>
            </w:pPr>
          </w:p>
        </w:tc>
        <w:tc>
          <w:tcPr>
            <w:tcW w:w="3086" w:type="dxa"/>
            <w:tcMar>
              <w:left w:w="0" w:type="dxa"/>
              <w:right w:w="0" w:type="dxa"/>
            </w:tcMar>
            <w:vAlign w:val="center"/>
          </w:tcPr>
          <w:p w14:paraId="3920D863">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995" w:type="dxa"/>
            <w:tcMar>
              <w:left w:w="0" w:type="dxa"/>
              <w:right w:w="0" w:type="dxa"/>
            </w:tcMar>
            <w:vAlign w:val="center"/>
          </w:tcPr>
          <w:p w14:paraId="1645E9B6">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1ABD93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71E2748E">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450" w:type="dxa"/>
            <w:tcMar>
              <w:left w:w="0" w:type="dxa"/>
              <w:right w:w="0" w:type="dxa"/>
            </w:tcMar>
            <w:vAlign w:val="center"/>
          </w:tcPr>
          <w:p w14:paraId="6065A903">
            <w:pPr>
              <w:keepNext w:val="0"/>
              <w:keepLines w:val="0"/>
              <w:suppressLineNumbers w:val="0"/>
              <w:spacing w:before="0" w:beforeAutospacing="0" w:after="0" w:afterAutospacing="0" w:line="340" w:lineRule="exact"/>
              <w:ind w:left="0" w:right="0"/>
              <w:contextualSpacing/>
              <w:rPr>
                <w:rFonts w:hint="eastAsia" w:ascii="宋体" w:hAnsi="宋体" w:eastAsia="宋体" w:cs="宋体"/>
                <w:color w:val="auto"/>
                <w:sz w:val="24"/>
                <w:szCs w:val="24"/>
                <w:highlight w:val="none"/>
              </w:rPr>
            </w:pPr>
          </w:p>
        </w:tc>
        <w:tc>
          <w:tcPr>
            <w:tcW w:w="3086" w:type="dxa"/>
            <w:tcMar>
              <w:left w:w="0" w:type="dxa"/>
              <w:right w:w="0" w:type="dxa"/>
            </w:tcMar>
            <w:vAlign w:val="center"/>
          </w:tcPr>
          <w:p w14:paraId="4D04B02D">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995" w:type="dxa"/>
            <w:tcMar>
              <w:left w:w="0" w:type="dxa"/>
              <w:right w:w="0" w:type="dxa"/>
            </w:tcMar>
            <w:vAlign w:val="center"/>
          </w:tcPr>
          <w:p w14:paraId="1556DFBC">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52ED02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7F7DDB06">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450" w:type="dxa"/>
            <w:tcMar>
              <w:left w:w="0" w:type="dxa"/>
              <w:right w:w="0" w:type="dxa"/>
            </w:tcMar>
            <w:vAlign w:val="center"/>
          </w:tcPr>
          <w:p w14:paraId="0601F0D4">
            <w:pPr>
              <w:keepNext w:val="0"/>
              <w:keepLines w:val="0"/>
              <w:suppressLineNumbers w:val="0"/>
              <w:spacing w:before="0" w:beforeAutospacing="0" w:after="0" w:afterAutospacing="0" w:line="340" w:lineRule="exact"/>
              <w:ind w:left="0" w:right="0"/>
              <w:contextualSpacing/>
              <w:rPr>
                <w:rFonts w:hint="eastAsia" w:ascii="宋体" w:hAnsi="宋体" w:eastAsia="宋体" w:cs="宋体"/>
                <w:color w:val="auto"/>
                <w:sz w:val="24"/>
                <w:szCs w:val="24"/>
                <w:highlight w:val="none"/>
              </w:rPr>
            </w:pPr>
          </w:p>
        </w:tc>
        <w:tc>
          <w:tcPr>
            <w:tcW w:w="3086" w:type="dxa"/>
            <w:tcMar>
              <w:left w:w="0" w:type="dxa"/>
              <w:right w:w="0" w:type="dxa"/>
            </w:tcMar>
            <w:vAlign w:val="center"/>
          </w:tcPr>
          <w:p w14:paraId="4D965111">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995" w:type="dxa"/>
            <w:tcMar>
              <w:left w:w="0" w:type="dxa"/>
              <w:right w:w="0" w:type="dxa"/>
            </w:tcMar>
            <w:vAlign w:val="center"/>
          </w:tcPr>
          <w:p w14:paraId="2CADF245">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2F7B41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3F3F9927">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450" w:type="dxa"/>
            <w:tcMar>
              <w:left w:w="0" w:type="dxa"/>
              <w:right w:w="0" w:type="dxa"/>
            </w:tcMar>
            <w:vAlign w:val="center"/>
          </w:tcPr>
          <w:p w14:paraId="2DB0F7A0">
            <w:pPr>
              <w:keepNext w:val="0"/>
              <w:keepLines w:val="0"/>
              <w:suppressLineNumbers w:val="0"/>
              <w:spacing w:before="0" w:beforeAutospacing="0" w:after="0" w:afterAutospacing="0" w:line="340" w:lineRule="exact"/>
              <w:ind w:left="0" w:right="0"/>
              <w:contextualSpacing/>
              <w:rPr>
                <w:rFonts w:hint="eastAsia" w:ascii="宋体" w:hAnsi="宋体" w:eastAsia="宋体" w:cs="宋体"/>
                <w:color w:val="auto"/>
                <w:sz w:val="24"/>
                <w:szCs w:val="24"/>
                <w:highlight w:val="none"/>
              </w:rPr>
            </w:pPr>
          </w:p>
        </w:tc>
        <w:tc>
          <w:tcPr>
            <w:tcW w:w="3086" w:type="dxa"/>
            <w:tcMar>
              <w:left w:w="0" w:type="dxa"/>
              <w:right w:w="0" w:type="dxa"/>
            </w:tcMar>
            <w:vAlign w:val="center"/>
          </w:tcPr>
          <w:p w14:paraId="4789A3FF">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995" w:type="dxa"/>
            <w:tcMar>
              <w:left w:w="0" w:type="dxa"/>
              <w:right w:w="0" w:type="dxa"/>
            </w:tcMar>
            <w:vAlign w:val="center"/>
          </w:tcPr>
          <w:p w14:paraId="0DABE18F">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063D7C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29E5B57C">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4450" w:type="dxa"/>
            <w:tcMar>
              <w:left w:w="0" w:type="dxa"/>
              <w:right w:w="0" w:type="dxa"/>
            </w:tcMar>
            <w:vAlign w:val="center"/>
          </w:tcPr>
          <w:p w14:paraId="30710348">
            <w:pPr>
              <w:keepNext w:val="0"/>
              <w:keepLines w:val="0"/>
              <w:suppressLineNumbers w:val="0"/>
              <w:spacing w:before="0" w:beforeAutospacing="0" w:after="0" w:afterAutospacing="0" w:line="340" w:lineRule="exact"/>
              <w:ind w:left="0" w:right="0"/>
              <w:contextualSpacing/>
              <w:rPr>
                <w:rFonts w:hint="eastAsia" w:ascii="宋体" w:hAnsi="宋体" w:eastAsia="宋体" w:cs="宋体"/>
                <w:color w:val="auto"/>
                <w:sz w:val="24"/>
                <w:szCs w:val="24"/>
                <w:highlight w:val="none"/>
              </w:rPr>
            </w:pPr>
          </w:p>
        </w:tc>
        <w:tc>
          <w:tcPr>
            <w:tcW w:w="3086" w:type="dxa"/>
            <w:tcMar>
              <w:left w:w="0" w:type="dxa"/>
              <w:right w:w="0" w:type="dxa"/>
            </w:tcMar>
            <w:vAlign w:val="center"/>
          </w:tcPr>
          <w:p w14:paraId="4515133E">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995" w:type="dxa"/>
            <w:tcMar>
              <w:left w:w="0" w:type="dxa"/>
              <w:right w:w="0" w:type="dxa"/>
            </w:tcMar>
            <w:vAlign w:val="center"/>
          </w:tcPr>
          <w:p w14:paraId="64446B4F">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13E9A8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7B4C5739">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4450" w:type="dxa"/>
            <w:tcMar>
              <w:left w:w="0" w:type="dxa"/>
              <w:right w:w="0" w:type="dxa"/>
            </w:tcMar>
            <w:vAlign w:val="center"/>
          </w:tcPr>
          <w:p w14:paraId="64F8B2D5">
            <w:pPr>
              <w:keepNext w:val="0"/>
              <w:keepLines w:val="0"/>
              <w:suppressLineNumbers w:val="0"/>
              <w:spacing w:before="0" w:beforeAutospacing="0" w:after="0" w:afterAutospacing="0" w:line="340" w:lineRule="exact"/>
              <w:ind w:left="0" w:right="0"/>
              <w:contextualSpacing/>
              <w:rPr>
                <w:rFonts w:hint="eastAsia" w:ascii="宋体" w:hAnsi="宋体" w:eastAsia="宋体" w:cs="宋体"/>
                <w:color w:val="auto"/>
                <w:sz w:val="24"/>
                <w:szCs w:val="24"/>
                <w:highlight w:val="none"/>
              </w:rPr>
            </w:pPr>
          </w:p>
        </w:tc>
        <w:tc>
          <w:tcPr>
            <w:tcW w:w="3086" w:type="dxa"/>
            <w:tcMar>
              <w:left w:w="0" w:type="dxa"/>
              <w:right w:w="0" w:type="dxa"/>
            </w:tcMar>
            <w:vAlign w:val="center"/>
          </w:tcPr>
          <w:p w14:paraId="0CA1A241">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995" w:type="dxa"/>
            <w:tcMar>
              <w:left w:w="0" w:type="dxa"/>
              <w:right w:w="0" w:type="dxa"/>
            </w:tcMar>
            <w:vAlign w:val="center"/>
          </w:tcPr>
          <w:p w14:paraId="6F946BAD">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777A39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63189C8C">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4450" w:type="dxa"/>
            <w:tcMar>
              <w:left w:w="0" w:type="dxa"/>
              <w:right w:w="0" w:type="dxa"/>
            </w:tcMar>
            <w:vAlign w:val="center"/>
          </w:tcPr>
          <w:p w14:paraId="5478629C">
            <w:pPr>
              <w:keepNext w:val="0"/>
              <w:keepLines w:val="0"/>
              <w:suppressLineNumbers w:val="0"/>
              <w:spacing w:before="0" w:beforeAutospacing="0" w:after="0" w:afterAutospacing="0" w:line="340" w:lineRule="exact"/>
              <w:ind w:left="0" w:right="0"/>
              <w:contextualSpacing/>
              <w:rPr>
                <w:rFonts w:hint="eastAsia" w:ascii="宋体" w:hAnsi="宋体" w:eastAsia="宋体" w:cs="宋体"/>
                <w:color w:val="auto"/>
                <w:sz w:val="24"/>
                <w:szCs w:val="24"/>
                <w:highlight w:val="none"/>
              </w:rPr>
            </w:pPr>
          </w:p>
        </w:tc>
        <w:tc>
          <w:tcPr>
            <w:tcW w:w="3086" w:type="dxa"/>
            <w:tcMar>
              <w:left w:w="0" w:type="dxa"/>
              <w:right w:w="0" w:type="dxa"/>
            </w:tcMar>
            <w:vAlign w:val="center"/>
          </w:tcPr>
          <w:p w14:paraId="3ADF3750">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995" w:type="dxa"/>
            <w:tcMar>
              <w:left w:w="0" w:type="dxa"/>
              <w:right w:w="0" w:type="dxa"/>
            </w:tcMar>
            <w:vAlign w:val="center"/>
          </w:tcPr>
          <w:p w14:paraId="0A5735D8">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r w14:paraId="4438AD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239B98FA">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4450" w:type="dxa"/>
            <w:tcMar>
              <w:left w:w="0" w:type="dxa"/>
              <w:right w:w="0" w:type="dxa"/>
            </w:tcMar>
            <w:vAlign w:val="center"/>
          </w:tcPr>
          <w:p w14:paraId="31605DE3">
            <w:pPr>
              <w:keepNext w:val="0"/>
              <w:keepLines w:val="0"/>
              <w:suppressLineNumbers w:val="0"/>
              <w:spacing w:before="0" w:beforeAutospacing="0" w:after="0" w:afterAutospacing="0" w:line="340" w:lineRule="exact"/>
              <w:ind w:left="0" w:right="0"/>
              <w:contextualSpacing/>
              <w:rPr>
                <w:rFonts w:hint="eastAsia" w:ascii="宋体" w:hAnsi="宋体" w:eastAsia="宋体" w:cs="宋体"/>
                <w:color w:val="auto"/>
                <w:sz w:val="24"/>
                <w:szCs w:val="24"/>
                <w:highlight w:val="none"/>
              </w:rPr>
            </w:pPr>
          </w:p>
        </w:tc>
        <w:tc>
          <w:tcPr>
            <w:tcW w:w="3086" w:type="dxa"/>
            <w:tcMar>
              <w:left w:w="0" w:type="dxa"/>
              <w:right w:w="0" w:type="dxa"/>
            </w:tcMar>
            <w:vAlign w:val="center"/>
          </w:tcPr>
          <w:p w14:paraId="57A0A269">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c>
          <w:tcPr>
            <w:tcW w:w="995" w:type="dxa"/>
            <w:tcMar>
              <w:left w:w="0" w:type="dxa"/>
              <w:right w:w="0" w:type="dxa"/>
            </w:tcMar>
            <w:vAlign w:val="center"/>
          </w:tcPr>
          <w:p w14:paraId="6D5A6C40">
            <w:pPr>
              <w:keepNext w:val="0"/>
              <w:keepLines w:val="0"/>
              <w:suppressLineNumbers w:val="0"/>
              <w:spacing w:before="0" w:beforeAutospacing="0" w:after="0" w:afterAutospacing="0" w:line="340" w:lineRule="exact"/>
              <w:ind w:left="0" w:right="0"/>
              <w:contextualSpacing/>
              <w:jc w:val="center"/>
              <w:rPr>
                <w:rFonts w:hint="eastAsia" w:ascii="宋体" w:hAnsi="宋体" w:eastAsia="宋体" w:cs="宋体"/>
                <w:color w:val="auto"/>
                <w:sz w:val="24"/>
                <w:szCs w:val="24"/>
                <w:highlight w:val="none"/>
              </w:rPr>
            </w:pPr>
          </w:p>
        </w:tc>
      </w:tr>
    </w:tbl>
    <w:p w14:paraId="3DCE3882">
      <w:pPr>
        <w:widowControl w:val="0"/>
        <w:spacing w:line="480" w:lineRule="atLeast"/>
        <w:ind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p>
    <w:p w14:paraId="33FE57D4">
      <w:pPr>
        <w:widowControl w:val="0"/>
        <w:spacing w:line="480" w:lineRule="atLeast"/>
        <w:ind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1、列明采购文件的商务要求与投标文件对应响应，并说明偏离状况（正偏离或负偏离）；</w:t>
      </w:r>
    </w:p>
    <w:p w14:paraId="7108E986">
      <w:pPr>
        <w:widowControl w:val="0"/>
        <w:spacing w:line="480" w:lineRule="atLeast"/>
        <w:ind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2、无偏离应在本表“说明”处醒目地注明“无条款偏离”的字样。</w:t>
      </w:r>
    </w:p>
    <w:p w14:paraId="4B8CA53D">
      <w:pPr>
        <w:widowControl w:val="0"/>
        <w:spacing w:line="480" w:lineRule="atLeast"/>
        <w:ind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3、本表格供参考，投标人可根据项目实际情况自拟（增减）表格。</w:t>
      </w:r>
    </w:p>
    <w:p w14:paraId="2C14B329">
      <w:pPr>
        <w:tabs>
          <w:tab w:val="left" w:pos="312"/>
        </w:tabs>
        <w:spacing w:line="48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投标人名称（盖公章）：</w:t>
      </w:r>
    </w:p>
    <w:p w14:paraId="75A788A9">
      <w:pPr>
        <w:spacing w:line="480" w:lineRule="auto"/>
        <w:ind w:firstLine="424" w:firstLineChars="17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法定代表人或授权委托代理人（签字或</w:t>
      </w:r>
      <w:r>
        <w:rPr>
          <w:rFonts w:hint="eastAsia" w:ascii="宋体" w:hAnsi="宋体" w:cs="宋体"/>
          <w:color w:val="auto"/>
          <w:sz w:val="24"/>
          <w:szCs w:val="24"/>
          <w:highlight w:val="none"/>
          <w:lang w:eastAsia="zh-CN"/>
        </w:rPr>
        <w:t>签章</w:t>
      </w:r>
      <w:r>
        <w:rPr>
          <w:rFonts w:hint="eastAsia" w:ascii="宋体" w:hAnsi="宋体" w:eastAsia="宋体" w:cs="宋体"/>
          <w:color w:val="auto"/>
          <w:sz w:val="24"/>
          <w:szCs w:val="24"/>
          <w:highlight w:val="none"/>
        </w:rPr>
        <w:t>）：</w:t>
      </w:r>
    </w:p>
    <w:p w14:paraId="7C01F546">
      <w:pPr>
        <w:spacing w:line="480" w:lineRule="auto"/>
        <w:ind w:firstLine="435"/>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087D674D">
      <w:pPr>
        <w:pageBreakBefore/>
        <w:spacing w:line="360" w:lineRule="auto"/>
        <w:jc w:val="center"/>
        <w:outlineLvl w:val="0"/>
        <w:rPr>
          <w:rFonts w:ascii="宋体" w:hAnsi="宋体" w:eastAsia="宋体" w:cs="宋体"/>
          <w:color w:val="auto"/>
          <w:sz w:val="32"/>
          <w:szCs w:val="32"/>
          <w:highlight w:val="none"/>
        </w:rPr>
      </w:pPr>
      <w:bookmarkStart w:id="142" w:name="_Toc19473"/>
      <w:bookmarkStart w:id="143" w:name="_Toc19019"/>
      <w:bookmarkStart w:id="144" w:name="_Toc15797"/>
      <w:bookmarkStart w:id="145" w:name="_Toc20733"/>
      <w:bookmarkStart w:id="146" w:name="_Toc2665"/>
      <w:bookmarkStart w:id="147" w:name="_Toc21753"/>
      <w:bookmarkStart w:id="148" w:name="_Toc31566"/>
      <w:bookmarkStart w:id="149" w:name="_Toc5515"/>
      <w:bookmarkStart w:id="150" w:name="_Toc7667"/>
      <w:r>
        <w:rPr>
          <w:rFonts w:hint="eastAsia" w:ascii="宋体" w:hAnsi="宋体" w:eastAsia="宋体" w:cs="宋体"/>
          <w:b/>
          <w:color w:val="auto"/>
          <w:sz w:val="32"/>
          <w:szCs w:val="32"/>
          <w:highlight w:val="none"/>
          <w:lang w:eastAsia="zh-CN"/>
        </w:rPr>
        <w:t>八</w:t>
      </w:r>
      <w:r>
        <w:rPr>
          <w:rFonts w:hint="eastAsia" w:ascii="宋体" w:hAnsi="宋体" w:eastAsia="宋体" w:cs="宋体"/>
          <w:b/>
          <w:color w:val="auto"/>
          <w:sz w:val="32"/>
          <w:szCs w:val="32"/>
          <w:highlight w:val="none"/>
        </w:rPr>
        <w:t>、相关项目实施业绩一览表</w:t>
      </w:r>
      <w:bookmarkEnd w:id="142"/>
      <w:bookmarkEnd w:id="143"/>
      <w:bookmarkEnd w:id="144"/>
      <w:bookmarkEnd w:id="145"/>
      <w:bookmarkEnd w:id="146"/>
      <w:bookmarkEnd w:id="147"/>
      <w:bookmarkEnd w:id="148"/>
      <w:bookmarkEnd w:id="149"/>
      <w:bookmarkEnd w:id="150"/>
    </w:p>
    <w:tbl>
      <w:tblPr>
        <w:tblStyle w:val="48"/>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783"/>
        <w:gridCol w:w="2306"/>
        <w:gridCol w:w="1774"/>
        <w:gridCol w:w="1242"/>
        <w:gridCol w:w="1643"/>
      </w:tblGrid>
      <w:tr w14:paraId="657C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27" w:type="dxa"/>
            <w:vAlign w:val="center"/>
          </w:tcPr>
          <w:p w14:paraId="1E5D31D3">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83" w:type="dxa"/>
            <w:vAlign w:val="center"/>
          </w:tcPr>
          <w:p w14:paraId="16D4EE4E">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306" w:type="dxa"/>
            <w:vAlign w:val="center"/>
          </w:tcPr>
          <w:p w14:paraId="454990D5">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采购单位名称</w:t>
            </w:r>
          </w:p>
        </w:tc>
        <w:tc>
          <w:tcPr>
            <w:tcW w:w="1774" w:type="dxa"/>
            <w:vAlign w:val="center"/>
          </w:tcPr>
          <w:p w14:paraId="0A8489A9">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p>
        </w:tc>
        <w:tc>
          <w:tcPr>
            <w:tcW w:w="1242" w:type="dxa"/>
            <w:vAlign w:val="center"/>
          </w:tcPr>
          <w:p w14:paraId="71969902">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w:t>
            </w:r>
          </w:p>
          <w:p w14:paraId="132F46D3">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c>
          <w:tcPr>
            <w:tcW w:w="1643" w:type="dxa"/>
            <w:vAlign w:val="center"/>
          </w:tcPr>
          <w:p w14:paraId="7404604C">
            <w:pPr>
              <w:keepNext w:val="0"/>
              <w:keepLines w:val="0"/>
              <w:suppressLineNumbers w:val="0"/>
              <w:spacing w:before="0" w:beforeAutospacing="0" w:after="0" w:afterAutospacing="0" w:line="0" w:lineRule="atLeast"/>
              <w:ind w:left="-115" w:right="-10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联系人/电话</w:t>
            </w:r>
          </w:p>
        </w:tc>
      </w:tr>
      <w:tr w14:paraId="429B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412E98A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83" w:type="dxa"/>
            <w:vAlign w:val="center"/>
          </w:tcPr>
          <w:p w14:paraId="2EBEEBE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10741F7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37523DB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3150E7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14D5505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734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03DFAC4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83" w:type="dxa"/>
            <w:vAlign w:val="center"/>
          </w:tcPr>
          <w:p w14:paraId="486B6C1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1697786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0D29EC8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2564209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43CEC91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7D6F2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586B0D2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83" w:type="dxa"/>
            <w:vAlign w:val="center"/>
          </w:tcPr>
          <w:p w14:paraId="2194179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69A50B1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26BF664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63AE01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7E6E584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7384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7367FE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83" w:type="dxa"/>
            <w:vAlign w:val="center"/>
          </w:tcPr>
          <w:p w14:paraId="57707AF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4614533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4035EAE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7DD087F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721F89A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7BF3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26DB368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83" w:type="dxa"/>
            <w:vAlign w:val="center"/>
          </w:tcPr>
          <w:p w14:paraId="72549BA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21ED7AE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0A009D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32A2561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30856C7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38A9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532252B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83" w:type="dxa"/>
            <w:vAlign w:val="center"/>
          </w:tcPr>
          <w:p w14:paraId="2596046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06" w:type="dxa"/>
            <w:vAlign w:val="center"/>
          </w:tcPr>
          <w:p w14:paraId="3BB4878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74" w:type="dxa"/>
            <w:vAlign w:val="center"/>
          </w:tcPr>
          <w:p w14:paraId="6A4427F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42" w:type="dxa"/>
            <w:vAlign w:val="center"/>
          </w:tcPr>
          <w:p w14:paraId="6DA3DBA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43" w:type="dxa"/>
            <w:vAlign w:val="center"/>
          </w:tcPr>
          <w:p w14:paraId="6737236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14:paraId="44E77511">
      <w:pPr>
        <w:spacing w:before="77" w:line="360" w:lineRule="auto"/>
        <w:ind w:right="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注：需按评分标准要求附项目证明材料。</w:t>
      </w:r>
    </w:p>
    <w:p w14:paraId="61DFFD9D">
      <w:pPr>
        <w:spacing w:line="360" w:lineRule="auto"/>
        <w:ind w:firstLine="4440" w:firstLineChars="1850"/>
        <w:rPr>
          <w:rFonts w:hint="eastAsia" w:ascii="宋体" w:hAnsi="宋体" w:eastAsia="宋体" w:cs="宋体"/>
          <w:color w:val="auto"/>
          <w:sz w:val="24"/>
          <w:szCs w:val="24"/>
          <w:highlight w:val="none"/>
        </w:rPr>
      </w:pPr>
    </w:p>
    <w:p w14:paraId="76172E42">
      <w:pPr>
        <w:tabs>
          <w:tab w:val="left" w:pos="312"/>
        </w:tabs>
        <w:spacing w:line="48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投标人名称（盖公章）：</w:t>
      </w:r>
    </w:p>
    <w:p w14:paraId="694E742B">
      <w:pPr>
        <w:spacing w:line="480" w:lineRule="auto"/>
        <w:ind w:firstLine="424" w:firstLineChars="17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法定代表人或授权委托代理人（签字或</w:t>
      </w:r>
      <w:r>
        <w:rPr>
          <w:rFonts w:hint="eastAsia" w:ascii="宋体" w:hAnsi="宋体" w:cs="宋体"/>
          <w:color w:val="auto"/>
          <w:sz w:val="24"/>
          <w:szCs w:val="24"/>
          <w:highlight w:val="none"/>
          <w:lang w:eastAsia="zh-CN"/>
        </w:rPr>
        <w:t>签章</w:t>
      </w:r>
      <w:r>
        <w:rPr>
          <w:rFonts w:hint="eastAsia" w:ascii="宋体" w:hAnsi="宋体" w:eastAsia="宋体" w:cs="宋体"/>
          <w:color w:val="auto"/>
          <w:sz w:val="24"/>
          <w:szCs w:val="24"/>
          <w:highlight w:val="none"/>
        </w:rPr>
        <w:t>）：</w:t>
      </w:r>
    </w:p>
    <w:p w14:paraId="31C941C6">
      <w:pPr>
        <w:spacing w:line="480" w:lineRule="auto"/>
        <w:ind w:firstLine="435"/>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27D835F1">
      <w:pPr>
        <w:widowControl w:val="0"/>
        <w:ind w:left="2940" w:leftChars="1400"/>
        <w:jc w:val="both"/>
        <w:rPr>
          <w:rFonts w:ascii="宋体" w:hAnsi="宋体" w:eastAsia="宋体" w:cs="宋体"/>
          <w:color w:val="auto"/>
          <w:kern w:val="2"/>
          <w:sz w:val="24"/>
          <w:szCs w:val="24"/>
          <w:highlight w:val="none"/>
          <w:lang w:val="en-US" w:eastAsia="zh-CN" w:bidi="ar-SA"/>
        </w:rPr>
      </w:pPr>
    </w:p>
    <w:p w14:paraId="514A3723">
      <w:pPr>
        <w:rPr>
          <w:rFonts w:ascii="宋体" w:hAnsi="宋体" w:eastAsia="宋体" w:cs="宋体"/>
          <w:color w:val="auto"/>
          <w:highlight w:val="none"/>
        </w:rPr>
      </w:pPr>
    </w:p>
    <w:p w14:paraId="75BD6590">
      <w:pPr>
        <w:widowControl w:val="0"/>
        <w:spacing w:after="120"/>
        <w:jc w:val="both"/>
        <w:rPr>
          <w:rFonts w:ascii="宋体" w:hAnsi="宋体" w:eastAsia="宋体" w:cs="宋体"/>
          <w:color w:val="auto"/>
          <w:kern w:val="2"/>
          <w:sz w:val="21"/>
          <w:szCs w:val="24"/>
          <w:highlight w:val="none"/>
          <w:lang w:val="en-US" w:eastAsia="zh-CN" w:bidi="ar-SA"/>
        </w:rPr>
      </w:pPr>
    </w:p>
    <w:p w14:paraId="5E047C9B">
      <w:pPr>
        <w:widowControl w:val="0"/>
        <w:ind w:left="2940" w:leftChars="1400"/>
        <w:jc w:val="both"/>
        <w:rPr>
          <w:rFonts w:ascii="宋体" w:hAnsi="宋体" w:eastAsia="宋体" w:cs="宋体"/>
          <w:color w:val="auto"/>
          <w:kern w:val="2"/>
          <w:sz w:val="21"/>
          <w:szCs w:val="24"/>
          <w:highlight w:val="none"/>
          <w:lang w:val="en-US" w:eastAsia="zh-CN" w:bidi="ar-SA"/>
        </w:rPr>
      </w:pPr>
    </w:p>
    <w:p w14:paraId="2BBEBB1F">
      <w:pPr>
        <w:rPr>
          <w:rFonts w:ascii="宋体" w:hAnsi="宋体" w:eastAsia="宋体" w:cs="宋体"/>
          <w:color w:val="auto"/>
          <w:highlight w:val="none"/>
        </w:rPr>
      </w:pPr>
    </w:p>
    <w:p w14:paraId="03C37BFD">
      <w:pPr>
        <w:widowControl/>
        <w:snapToGrid w:val="0"/>
        <w:spacing w:after="156" w:line="480" w:lineRule="exact"/>
        <w:ind w:firstLine="422" w:firstLineChars="200"/>
        <w:jc w:val="left"/>
        <w:rPr>
          <w:rFonts w:hint="default" w:ascii="宋体" w:hAnsi="宋体" w:eastAsia="宋体" w:cs="宋体"/>
          <w:b/>
          <w:color w:val="auto"/>
          <w:kern w:val="2"/>
          <w:sz w:val="21"/>
          <w:szCs w:val="24"/>
          <w:highlight w:val="none"/>
          <w:lang w:val="en-US" w:eastAsia="zh-CN" w:bidi="ar-SA"/>
        </w:rPr>
      </w:pPr>
    </w:p>
    <w:p w14:paraId="37DFC485">
      <w:pPr>
        <w:widowControl/>
        <w:snapToGrid w:val="0"/>
        <w:spacing w:after="156" w:line="480" w:lineRule="exact"/>
        <w:ind w:firstLine="422" w:firstLineChars="200"/>
        <w:jc w:val="left"/>
        <w:rPr>
          <w:rFonts w:hint="default" w:ascii="宋体" w:hAnsi="宋体" w:eastAsia="宋体" w:cs="宋体"/>
          <w:b/>
          <w:color w:val="auto"/>
          <w:kern w:val="2"/>
          <w:sz w:val="21"/>
          <w:szCs w:val="24"/>
          <w:highlight w:val="none"/>
          <w:lang w:val="en-US" w:eastAsia="zh-CN" w:bidi="ar-SA"/>
        </w:rPr>
      </w:pPr>
    </w:p>
    <w:p w14:paraId="04032DF7">
      <w:pPr>
        <w:pageBreakBefore/>
        <w:spacing w:line="360" w:lineRule="auto"/>
        <w:ind w:right="-108"/>
        <w:jc w:val="center"/>
        <w:outlineLvl w:val="0"/>
        <w:rPr>
          <w:rFonts w:ascii="宋体" w:hAnsi="宋体" w:eastAsia="宋体" w:cs="宋体"/>
          <w:color w:val="auto"/>
          <w:spacing w:val="40"/>
          <w:sz w:val="52"/>
          <w:szCs w:val="52"/>
          <w:highlight w:val="none"/>
        </w:rPr>
      </w:pPr>
      <w:bookmarkStart w:id="151" w:name="_Toc16232"/>
      <w:bookmarkStart w:id="152" w:name="_Toc18892"/>
      <w:bookmarkStart w:id="153" w:name="_Toc25688"/>
      <w:bookmarkStart w:id="154" w:name="_Toc2003"/>
      <w:bookmarkStart w:id="155" w:name="_Toc28068"/>
      <w:bookmarkStart w:id="156" w:name="_Toc6727"/>
      <w:bookmarkStart w:id="157" w:name="_Toc7488"/>
      <w:bookmarkStart w:id="158" w:name="_Toc28397"/>
      <w:bookmarkStart w:id="159" w:name="_Toc17529"/>
      <w:r>
        <w:rPr>
          <w:rFonts w:hint="eastAsia" w:ascii="宋体" w:hAnsi="宋体" w:eastAsia="宋体" w:cs="宋体"/>
          <w:color w:val="auto"/>
          <w:spacing w:val="40"/>
          <w:sz w:val="52"/>
          <w:szCs w:val="52"/>
          <w:highlight w:val="none"/>
        </w:rPr>
        <w:t>项目名称</w:t>
      </w:r>
      <w:bookmarkEnd w:id="151"/>
      <w:bookmarkEnd w:id="152"/>
      <w:bookmarkEnd w:id="153"/>
      <w:bookmarkEnd w:id="154"/>
      <w:bookmarkEnd w:id="155"/>
      <w:bookmarkEnd w:id="156"/>
      <w:bookmarkEnd w:id="157"/>
      <w:bookmarkEnd w:id="158"/>
      <w:bookmarkEnd w:id="159"/>
    </w:p>
    <w:p w14:paraId="6A5AD131">
      <w:pPr>
        <w:spacing w:beforeLines="100" w:line="360" w:lineRule="auto"/>
        <w:ind w:right="-108"/>
        <w:jc w:val="cente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项目编号：    </w:t>
      </w:r>
    </w:p>
    <w:p w14:paraId="70396BD2">
      <w:pPr>
        <w:spacing w:after="100" w:afterAutospacing="1" w:line="360" w:lineRule="auto"/>
        <w:ind w:right="-108"/>
        <w:jc w:val="center"/>
        <w:rPr>
          <w:rFonts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31608F0C">
      <w:pPr>
        <w:spacing w:after="100" w:afterAutospacing="1" w:line="360" w:lineRule="auto"/>
        <w:ind w:right="-108"/>
        <w:jc w:val="center"/>
        <w:rPr>
          <w:rFonts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6DE18FD5">
      <w:pPr>
        <w:spacing w:after="100" w:afterAutospacing="1" w:line="360" w:lineRule="auto"/>
        <w:ind w:right="-108"/>
        <w:jc w:val="center"/>
        <w:rPr>
          <w:rFonts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2257924A">
      <w:pPr>
        <w:spacing w:after="100" w:afterAutospacing="1" w:line="360" w:lineRule="auto"/>
        <w:ind w:right="-108"/>
        <w:jc w:val="center"/>
        <w:rPr>
          <w:rFonts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2804B4CD">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（报价文件）</w:t>
      </w:r>
    </w:p>
    <w:p w14:paraId="620D85E6">
      <w:pPr>
        <w:spacing w:line="360" w:lineRule="auto"/>
        <w:ind w:right="532"/>
        <w:rPr>
          <w:rFonts w:ascii="宋体" w:hAnsi="宋体" w:eastAsia="宋体" w:cs="宋体"/>
          <w:color w:val="auto"/>
          <w:sz w:val="36"/>
          <w:szCs w:val="36"/>
          <w:highlight w:val="none"/>
        </w:rPr>
      </w:pPr>
    </w:p>
    <w:p w14:paraId="130B546F">
      <w:pPr>
        <w:spacing w:line="360" w:lineRule="auto"/>
        <w:ind w:right="532"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投标人名称（公章）：</w:t>
      </w:r>
    </w:p>
    <w:p w14:paraId="5162B762">
      <w:pPr>
        <w:spacing w:line="360" w:lineRule="auto"/>
        <w:ind w:right="-108"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投标人地址：</w:t>
      </w:r>
    </w:p>
    <w:p w14:paraId="7113ABE6">
      <w:pPr>
        <w:spacing w:line="360" w:lineRule="auto"/>
        <w:ind w:right="-108" w:firstLine="720" w:firstLineChars="200"/>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066D48BB">
      <w:pPr>
        <w:widowControl w:val="0"/>
        <w:spacing w:after="120"/>
        <w:jc w:val="both"/>
        <w:rPr>
          <w:rFonts w:ascii="宋体" w:hAnsi="宋体" w:eastAsia="宋体" w:cs="宋体"/>
          <w:color w:val="auto"/>
          <w:kern w:val="2"/>
          <w:sz w:val="21"/>
          <w:szCs w:val="24"/>
          <w:highlight w:val="none"/>
          <w:lang w:val="en-US" w:eastAsia="zh-CN" w:bidi="ar-SA"/>
        </w:rPr>
      </w:pPr>
    </w:p>
    <w:p w14:paraId="72596250">
      <w:pPr>
        <w:widowControl w:val="0"/>
        <w:ind w:left="2940" w:leftChars="1400"/>
        <w:jc w:val="both"/>
        <w:rPr>
          <w:rFonts w:ascii="宋体" w:hAnsi="宋体" w:eastAsia="宋体" w:cs="宋体"/>
          <w:color w:val="auto"/>
          <w:kern w:val="2"/>
          <w:sz w:val="21"/>
          <w:szCs w:val="24"/>
          <w:highlight w:val="none"/>
          <w:lang w:val="en-US" w:eastAsia="zh-CN" w:bidi="ar-SA"/>
        </w:rPr>
      </w:pPr>
    </w:p>
    <w:p w14:paraId="3E7849FC">
      <w:pPr>
        <w:rPr>
          <w:rFonts w:ascii="宋体" w:hAnsi="宋体" w:eastAsia="宋体" w:cs="宋体"/>
          <w:color w:val="auto"/>
          <w:highlight w:val="none"/>
        </w:rPr>
      </w:pPr>
    </w:p>
    <w:p w14:paraId="3F57C3C8">
      <w:pPr>
        <w:widowControl w:val="0"/>
        <w:spacing w:after="120"/>
        <w:jc w:val="both"/>
        <w:rPr>
          <w:rFonts w:ascii="宋体" w:hAnsi="宋体" w:eastAsia="宋体" w:cs="宋体"/>
          <w:color w:val="auto"/>
          <w:kern w:val="2"/>
          <w:sz w:val="21"/>
          <w:szCs w:val="24"/>
          <w:highlight w:val="none"/>
          <w:lang w:val="en-US" w:eastAsia="zh-CN" w:bidi="ar-SA"/>
        </w:rPr>
      </w:pPr>
    </w:p>
    <w:p w14:paraId="0D4B8FB7">
      <w:pPr>
        <w:shd w:val="clear" w:color="auto" w:fill="FFFFFF"/>
        <w:snapToGrid w:val="0"/>
        <w:spacing w:line="360" w:lineRule="auto"/>
        <w:jc w:val="center"/>
        <w:outlineLvl w:val="1"/>
        <w:rPr>
          <w:rFonts w:ascii="宋体" w:hAnsi="宋体" w:eastAsia="宋体" w:cs="宋体"/>
          <w:b/>
          <w:bCs/>
          <w:color w:val="auto"/>
          <w:kern w:val="0"/>
          <w:sz w:val="32"/>
          <w:szCs w:val="32"/>
          <w:highlight w:val="none"/>
        </w:rPr>
      </w:pPr>
    </w:p>
    <w:p w14:paraId="462378DF">
      <w:pPr>
        <w:spacing w:line="360" w:lineRule="auto"/>
        <w:jc w:val="center"/>
        <w:rPr>
          <w:rFonts w:ascii="宋体" w:hAnsi="宋体" w:cs="宋体"/>
          <w:b/>
          <w:color w:val="auto"/>
          <w:sz w:val="44"/>
          <w:szCs w:val="44"/>
          <w:highlight w:val="none"/>
        </w:rPr>
        <w:sectPr>
          <w:footerReference r:id="rId12" w:type="default"/>
          <w:pgSz w:w="11906" w:h="16838"/>
          <w:pgMar w:top="907" w:right="1134" w:bottom="907" w:left="1134" w:header="851" w:footer="992" w:gutter="0"/>
          <w:pgBorders>
            <w:top w:val="none" w:sz="0" w:space="0"/>
            <w:left w:val="none" w:sz="0" w:space="0"/>
            <w:bottom w:val="none" w:sz="0" w:space="0"/>
            <w:right w:val="none" w:sz="0" w:space="0"/>
          </w:pgBorders>
          <w:cols w:space="720" w:num="1"/>
          <w:docGrid w:type="lines" w:linePitch="312" w:charSpace="0"/>
        </w:sectPr>
      </w:pPr>
    </w:p>
    <w:p w14:paraId="2FD295D5">
      <w:pPr>
        <w:pageBreakBefore/>
        <w:spacing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报价文件</w:t>
      </w:r>
    </w:p>
    <w:p w14:paraId="5C51D8F3">
      <w:pPr>
        <w:spacing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目录</w:t>
      </w:r>
    </w:p>
    <w:p w14:paraId="74D47DE5">
      <w:pPr>
        <w:numPr>
          <w:ilvl w:val="0"/>
          <w:numId w:val="16"/>
        </w:num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开标一览表………………………………………………………………………………（页码）</w:t>
      </w:r>
    </w:p>
    <w:p w14:paraId="1A1E7CE2">
      <w:pPr>
        <w:numPr>
          <w:ilvl w:val="0"/>
          <w:numId w:val="16"/>
        </w:numPr>
        <w:spacing w:line="48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报价明细表</w:t>
      </w:r>
      <w:r>
        <w:rPr>
          <w:rFonts w:hint="eastAsia" w:ascii="宋体" w:hAnsi="宋体" w:eastAsia="宋体" w:cs="宋体"/>
          <w:color w:val="auto"/>
          <w:sz w:val="24"/>
          <w:highlight w:val="none"/>
        </w:rPr>
        <w:t>………………………………………………………………………………（页码）</w:t>
      </w:r>
    </w:p>
    <w:p w14:paraId="2D289138">
      <w:pPr>
        <w:pStyle w:val="95"/>
        <w:spacing w:line="480" w:lineRule="auto"/>
        <w:ind w:left="0" w:leftChars="0" w:firstLine="0" w:firstLineChars="0"/>
        <w:jc w:val="left"/>
        <w:rPr>
          <w:rFonts w:cs="宋体" w:asciiTheme="minorEastAsia" w:hAnsiTheme="minorEastAsia"/>
          <w:color w:val="auto"/>
          <w:sz w:val="24"/>
          <w:szCs w:val="24"/>
          <w:highlight w:val="none"/>
        </w:rPr>
      </w:pPr>
      <w:r>
        <w:rPr>
          <w:rFonts w:hint="eastAsia" w:asciiTheme="minorEastAsia" w:hAnsiTheme="minorEastAsia"/>
          <w:color w:val="auto"/>
          <w:sz w:val="24"/>
          <w:highlight w:val="none"/>
          <w:lang w:val="en-US" w:eastAsia="zh-CN"/>
        </w:rPr>
        <w:t>3、</w:t>
      </w:r>
      <w:r>
        <w:rPr>
          <w:rFonts w:hint="eastAsia" w:cs="宋体" w:asciiTheme="minorEastAsia" w:hAnsiTheme="minorEastAsia"/>
          <w:color w:val="auto"/>
          <w:sz w:val="24"/>
          <w:szCs w:val="24"/>
          <w:highlight w:val="none"/>
        </w:rPr>
        <w:t>中小企业声明函、监狱企业、残疾人福利性单位及其他相关的充分的证明材料</w:t>
      </w:r>
      <w:r>
        <w:rPr>
          <w:rFonts w:asciiTheme="minorEastAsia" w:hAnsiTheme="minorEastAsia"/>
          <w:color w:val="auto"/>
          <w:sz w:val="24"/>
          <w:highlight w:val="none"/>
        </w:rPr>
        <w:t>…</w:t>
      </w:r>
      <w:r>
        <w:rPr>
          <w:rFonts w:hint="eastAsia" w:asciiTheme="minorEastAsia" w:hAnsiTheme="minorEastAsia"/>
          <w:color w:val="auto"/>
          <w:sz w:val="24"/>
          <w:szCs w:val="24"/>
          <w:highlight w:val="none"/>
        </w:rPr>
        <w:t>（页码）</w:t>
      </w:r>
    </w:p>
    <w:p w14:paraId="4E71416A">
      <w:pPr>
        <w:spacing w:line="480" w:lineRule="auto"/>
        <w:jc w:val="left"/>
        <w:rPr>
          <w:rFonts w:asciiTheme="minorEastAsia" w:hAnsiTheme="minorEastAsia" w:eastAsiaTheme="minorEastAsia"/>
          <w:color w:val="auto"/>
          <w:sz w:val="24"/>
          <w:highlight w:val="none"/>
        </w:rPr>
      </w:pPr>
      <w:r>
        <w:rPr>
          <w:rFonts w:asciiTheme="minorEastAsia" w:hAnsiTheme="minorEastAsia"/>
          <w:color w:val="auto"/>
          <w:sz w:val="24"/>
          <w:highlight w:val="none"/>
        </w:rPr>
        <w:t>………</w:t>
      </w:r>
      <w:r>
        <w:rPr>
          <w:rFonts w:asciiTheme="minorEastAsia" w:hAnsiTheme="minorEastAsia" w:eastAsiaTheme="minorEastAsia"/>
          <w:color w:val="auto"/>
          <w:sz w:val="24"/>
          <w:highlight w:val="none"/>
        </w:rPr>
        <w:t>( 目录自行扩展)</w:t>
      </w:r>
    </w:p>
    <w:p w14:paraId="006918AF">
      <w:pPr>
        <w:spacing w:line="480" w:lineRule="auto"/>
        <w:jc w:val="left"/>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投标人认为需提交的其他</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文件资料</w:t>
      </w:r>
      <w:r>
        <w:rPr>
          <w:rFonts w:hint="eastAsia" w:ascii="宋体" w:hAnsi="宋体" w:eastAsia="宋体" w:cs="宋体"/>
          <w:color w:val="auto"/>
          <w:sz w:val="24"/>
          <w:highlight w:val="none"/>
        </w:rPr>
        <w:t>…………………………………………（页码）</w:t>
      </w:r>
    </w:p>
    <w:p w14:paraId="7A715A50">
      <w:pPr>
        <w:spacing w:line="48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目录自行扩展)</w:t>
      </w:r>
    </w:p>
    <w:p w14:paraId="6BC52A6B">
      <w:pPr>
        <w:widowControl w:val="0"/>
        <w:spacing w:line="480" w:lineRule="auto"/>
        <w:ind w:left="0" w:leftChars="0" w:firstLine="0" w:firstLineChars="0"/>
        <w:jc w:val="left"/>
        <w:rPr>
          <w:rFonts w:ascii="宋体" w:hAnsi="宋体" w:eastAsia="宋体" w:cs="宋体"/>
          <w:color w:val="auto"/>
          <w:kern w:val="2"/>
          <w:sz w:val="24"/>
          <w:szCs w:val="24"/>
          <w:highlight w:val="none"/>
          <w:lang w:val="en-US" w:eastAsia="zh-CN" w:bidi="ar-SA"/>
        </w:rPr>
      </w:pPr>
    </w:p>
    <w:p w14:paraId="3EE3B86A">
      <w:pPr>
        <w:widowControl w:val="0"/>
        <w:ind w:left="2940" w:leftChars="1400"/>
        <w:jc w:val="both"/>
        <w:rPr>
          <w:rFonts w:ascii="宋体" w:hAnsi="宋体" w:eastAsia="宋体" w:cs="宋体"/>
          <w:color w:val="auto"/>
          <w:kern w:val="2"/>
          <w:sz w:val="21"/>
          <w:szCs w:val="24"/>
          <w:highlight w:val="none"/>
          <w:lang w:val="en-US" w:eastAsia="zh-CN" w:bidi="ar-SA"/>
        </w:rPr>
      </w:pPr>
    </w:p>
    <w:p w14:paraId="19C1C2FA">
      <w:pPr>
        <w:rPr>
          <w:rFonts w:ascii="宋体" w:hAnsi="宋体" w:eastAsia="宋体" w:cs="宋体"/>
          <w:color w:val="auto"/>
          <w:highlight w:val="none"/>
        </w:rPr>
      </w:pPr>
    </w:p>
    <w:p w14:paraId="18F53C83">
      <w:pPr>
        <w:widowControl w:val="0"/>
        <w:spacing w:after="120"/>
        <w:jc w:val="both"/>
        <w:rPr>
          <w:rFonts w:ascii="宋体" w:hAnsi="宋体" w:eastAsia="宋体" w:cs="宋体"/>
          <w:color w:val="auto"/>
          <w:kern w:val="2"/>
          <w:sz w:val="21"/>
          <w:szCs w:val="24"/>
          <w:highlight w:val="none"/>
          <w:lang w:val="en-US" w:eastAsia="zh-CN" w:bidi="ar-SA"/>
        </w:rPr>
      </w:pPr>
    </w:p>
    <w:p w14:paraId="6D3ED1C8">
      <w:pPr>
        <w:widowControl w:val="0"/>
        <w:ind w:left="2940" w:leftChars="1400"/>
        <w:jc w:val="both"/>
        <w:rPr>
          <w:rFonts w:ascii="宋体" w:hAnsi="宋体" w:eastAsia="宋体" w:cs="宋体"/>
          <w:color w:val="auto"/>
          <w:kern w:val="2"/>
          <w:sz w:val="21"/>
          <w:szCs w:val="24"/>
          <w:highlight w:val="none"/>
          <w:lang w:val="en-US" w:eastAsia="zh-CN" w:bidi="ar-SA"/>
        </w:rPr>
      </w:pPr>
    </w:p>
    <w:p w14:paraId="2C17702A">
      <w:pPr>
        <w:rPr>
          <w:rFonts w:ascii="宋体" w:hAnsi="宋体" w:eastAsia="宋体" w:cs="宋体"/>
          <w:color w:val="auto"/>
          <w:highlight w:val="none"/>
        </w:rPr>
      </w:pPr>
    </w:p>
    <w:p w14:paraId="4454097C">
      <w:pPr>
        <w:widowControl w:val="0"/>
        <w:spacing w:after="120"/>
        <w:jc w:val="both"/>
        <w:rPr>
          <w:rFonts w:ascii="宋体" w:hAnsi="宋体" w:eastAsia="宋体" w:cs="宋体"/>
          <w:color w:val="auto"/>
          <w:kern w:val="2"/>
          <w:sz w:val="21"/>
          <w:szCs w:val="24"/>
          <w:highlight w:val="none"/>
          <w:lang w:val="en-US" w:eastAsia="zh-CN" w:bidi="ar-SA"/>
        </w:rPr>
      </w:pPr>
    </w:p>
    <w:p w14:paraId="5069959D">
      <w:pPr>
        <w:widowControl w:val="0"/>
        <w:ind w:left="2940" w:leftChars="1400"/>
        <w:jc w:val="both"/>
        <w:rPr>
          <w:rFonts w:ascii="宋体" w:hAnsi="宋体" w:eastAsia="宋体" w:cs="宋体"/>
          <w:color w:val="auto"/>
          <w:kern w:val="2"/>
          <w:sz w:val="21"/>
          <w:szCs w:val="24"/>
          <w:highlight w:val="none"/>
          <w:lang w:val="en-US" w:eastAsia="zh-CN" w:bidi="ar-SA"/>
        </w:rPr>
      </w:pPr>
    </w:p>
    <w:p w14:paraId="10A9E363">
      <w:pPr>
        <w:rPr>
          <w:rFonts w:ascii="宋体" w:hAnsi="宋体" w:eastAsia="宋体" w:cs="宋体"/>
          <w:color w:val="auto"/>
          <w:highlight w:val="none"/>
        </w:rPr>
      </w:pPr>
    </w:p>
    <w:p w14:paraId="3745EB8D">
      <w:pPr>
        <w:widowControl w:val="0"/>
        <w:spacing w:after="120"/>
        <w:jc w:val="both"/>
        <w:rPr>
          <w:rFonts w:ascii="宋体" w:hAnsi="宋体" w:eastAsia="宋体" w:cs="宋体"/>
          <w:color w:val="auto"/>
          <w:kern w:val="2"/>
          <w:sz w:val="21"/>
          <w:szCs w:val="24"/>
          <w:highlight w:val="none"/>
          <w:lang w:val="en-US" w:eastAsia="zh-CN" w:bidi="ar-SA"/>
        </w:rPr>
      </w:pPr>
    </w:p>
    <w:p w14:paraId="71E36827">
      <w:pPr>
        <w:widowControl w:val="0"/>
        <w:ind w:left="2940" w:leftChars="1400"/>
        <w:jc w:val="both"/>
        <w:rPr>
          <w:rFonts w:ascii="宋体" w:hAnsi="宋体" w:eastAsia="宋体" w:cs="宋体"/>
          <w:color w:val="auto"/>
          <w:kern w:val="2"/>
          <w:sz w:val="21"/>
          <w:szCs w:val="24"/>
          <w:highlight w:val="none"/>
          <w:lang w:val="en-US" w:eastAsia="zh-CN" w:bidi="ar-SA"/>
        </w:rPr>
      </w:pPr>
    </w:p>
    <w:p w14:paraId="266A1A0E">
      <w:pPr>
        <w:rPr>
          <w:rFonts w:ascii="宋体" w:hAnsi="宋体" w:eastAsia="宋体" w:cs="宋体"/>
          <w:color w:val="auto"/>
          <w:highlight w:val="none"/>
        </w:rPr>
      </w:pPr>
    </w:p>
    <w:p w14:paraId="04A01829">
      <w:pPr>
        <w:spacing w:line="360" w:lineRule="auto"/>
        <w:jc w:val="both"/>
        <w:rPr>
          <w:rFonts w:ascii="宋体" w:hAnsi="宋体" w:cs="宋体"/>
          <w:b/>
          <w:bCs/>
          <w:color w:val="auto"/>
          <w:kern w:val="0"/>
          <w:sz w:val="32"/>
          <w:szCs w:val="32"/>
          <w:highlight w:val="none"/>
        </w:rPr>
        <w:sectPr>
          <w:pgSz w:w="11906" w:h="16838"/>
          <w:pgMar w:top="907" w:right="1134" w:bottom="907" w:left="1134" w:header="851" w:footer="992" w:gutter="0"/>
          <w:pgBorders>
            <w:top w:val="none" w:sz="0" w:space="0"/>
            <w:left w:val="none" w:sz="0" w:space="0"/>
            <w:bottom w:val="none" w:sz="0" w:space="0"/>
            <w:right w:val="none" w:sz="0" w:space="0"/>
          </w:pgBorders>
          <w:cols w:space="720" w:num="1"/>
          <w:docGrid w:type="lines" w:linePitch="312" w:charSpace="0"/>
        </w:sectPr>
      </w:pPr>
    </w:p>
    <w:p w14:paraId="31119B70">
      <w:pPr>
        <w:spacing w:line="360" w:lineRule="auto"/>
        <w:jc w:val="center"/>
        <w:rPr>
          <w:rFonts w:cs="宋体" w:asciiTheme="minorEastAsia" w:hAnsiTheme="minorEastAsia" w:eastAsiaTheme="minorEastAsia"/>
          <w:b/>
          <w:bCs/>
          <w:color w:val="auto"/>
          <w:kern w:val="0"/>
          <w:sz w:val="32"/>
          <w:szCs w:val="32"/>
          <w:highlight w:val="none"/>
        </w:rPr>
      </w:pPr>
      <w:r>
        <w:rPr>
          <w:rFonts w:hint="eastAsia" w:cs="宋体" w:asciiTheme="minorEastAsia" w:hAnsiTheme="minorEastAsia" w:eastAsiaTheme="minorEastAsia"/>
          <w:b/>
          <w:bCs/>
          <w:color w:val="auto"/>
          <w:kern w:val="0"/>
          <w:sz w:val="32"/>
          <w:szCs w:val="32"/>
          <w:highlight w:val="none"/>
          <w:lang w:eastAsia="zh-CN"/>
        </w:rPr>
        <w:t>一</w:t>
      </w:r>
      <w:r>
        <w:rPr>
          <w:rFonts w:hint="eastAsia" w:cs="宋体" w:asciiTheme="minorEastAsia" w:hAnsiTheme="minorEastAsia" w:eastAsiaTheme="minorEastAsia"/>
          <w:b/>
          <w:bCs/>
          <w:color w:val="auto"/>
          <w:kern w:val="0"/>
          <w:sz w:val="32"/>
          <w:szCs w:val="32"/>
          <w:highlight w:val="none"/>
        </w:rPr>
        <w:t>、</w:t>
      </w:r>
      <w:r>
        <w:rPr>
          <w:rFonts w:cs="宋体" w:asciiTheme="minorEastAsia" w:hAnsiTheme="minorEastAsia" w:eastAsiaTheme="minorEastAsia"/>
          <w:b/>
          <w:bCs/>
          <w:color w:val="auto"/>
          <w:kern w:val="0"/>
          <w:sz w:val="32"/>
          <w:szCs w:val="32"/>
          <w:highlight w:val="none"/>
        </w:rPr>
        <w:t>开标一览表</w:t>
      </w:r>
    </w:p>
    <w:p w14:paraId="65DDB998">
      <w:pPr>
        <w:tabs>
          <w:tab w:val="left" w:pos="8280"/>
        </w:tabs>
        <w:autoSpaceDE w:val="0"/>
        <w:autoSpaceDN w:val="0"/>
        <w:adjustRightInd w:val="0"/>
        <w:spacing w:line="300" w:lineRule="exact"/>
        <w:ind w:firstLine="360" w:firstLineChars="15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项目编号：                    项目名称：</w:t>
      </w:r>
      <w:r>
        <w:rPr>
          <w:rFonts w:hint="eastAsia" w:ascii="宋体" w:hAnsi="宋体" w:cs="宋体"/>
          <w:color w:val="auto"/>
          <w:sz w:val="24"/>
          <w:highlight w:val="none"/>
          <w:lang w:val="en-US" w:eastAsia="zh-CN"/>
        </w:rPr>
        <w:t xml:space="preserve">         标项：</w:t>
      </w:r>
    </w:p>
    <w:tbl>
      <w:tblPr>
        <w:tblStyle w:val="48"/>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546"/>
        <w:gridCol w:w="4125"/>
        <w:gridCol w:w="1735"/>
      </w:tblGrid>
      <w:tr w14:paraId="6833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1" w:type="dxa"/>
            <w:vAlign w:val="center"/>
          </w:tcPr>
          <w:p w14:paraId="1692C4B5">
            <w:pPr>
              <w:keepNext w:val="0"/>
              <w:keepLines w:val="0"/>
              <w:suppressLineNumbers w:val="0"/>
              <w:tabs>
                <w:tab w:val="left" w:pos="8280"/>
              </w:tabs>
              <w:autoSpaceDE w:val="0"/>
              <w:autoSpaceDN w:val="0"/>
              <w:adjustRightInd w:val="0"/>
              <w:spacing w:before="0" w:beforeAutospacing="0" w:after="0" w:afterAutospacing="0" w:line="30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序号</w:t>
            </w:r>
          </w:p>
        </w:tc>
        <w:tc>
          <w:tcPr>
            <w:tcW w:w="2546" w:type="dxa"/>
            <w:vAlign w:val="center"/>
          </w:tcPr>
          <w:p w14:paraId="41BFF64C">
            <w:pPr>
              <w:keepNext w:val="0"/>
              <w:keepLines w:val="0"/>
              <w:suppressLineNumbers w:val="0"/>
              <w:autoSpaceDE w:val="0"/>
              <w:autoSpaceDN w:val="0"/>
              <w:adjustRightInd w:val="0"/>
              <w:spacing w:before="0" w:beforeAutospacing="0" w:after="0" w:afterAutospacing="0" w:line="240" w:lineRule="exact"/>
              <w:ind w:left="0" w:right="25"/>
              <w:jc w:val="center"/>
              <w:rPr>
                <w:rFonts w:hint="default" w:ascii="宋体" w:hAnsi="宋体" w:cs="宋体"/>
                <w:color w:val="auto"/>
                <w:sz w:val="24"/>
                <w:highlight w:val="none"/>
              </w:rPr>
            </w:pPr>
            <w:r>
              <w:rPr>
                <w:rFonts w:hint="eastAsia" w:ascii="宋体" w:hAnsi="宋体" w:cs="宋体"/>
                <w:color w:val="auto"/>
                <w:sz w:val="24"/>
                <w:highlight w:val="none"/>
              </w:rPr>
              <w:t>采购内容</w:t>
            </w:r>
          </w:p>
        </w:tc>
        <w:tc>
          <w:tcPr>
            <w:tcW w:w="4125" w:type="dxa"/>
            <w:vAlign w:val="center"/>
          </w:tcPr>
          <w:p w14:paraId="15F03B00">
            <w:pPr>
              <w:keepNext w:val="0"/>
              <w:keepLines w:val="0"/>
              <w:suppressLineNumbers w:val="0"/>
              <w:autoSpaceDE w:val="0"/>
              <w:autoSpaceDN w:val="0"/>
              <w:adjustRightInd w:val="0"/>
              <w:spacing w:before="0" w:beforeAutospacing="0" w:after="0" w:afterAutospacing="0" w:line="240" w:lineRule="exact"/>
              <w:ind w:left="0" w:right="25"/>
              <w:jc w:val="center"/>
              <w:rPr>
                <w:rFonts w:hint="default" w:ascii="宋体" w:hAnsi="宋体" w:cs="宋体"/>
                <w:color w:val="auto"/>
                <w:sz w:val="24"/>
                <w:highlight w:val="none"/>
              </w:rPr>
            </w:pPr>
            <w:r>
              <w:rPr>
                <w:rFonts w:hint="eastAsia" w:ascii="宋体" w:hAnsi="宋体" w:cs="宋体"/>
                <w:color w:val="auto"/>
                <w:sz w:val="24"/>
                <w:highlight w:val="none"/>
              </w:rPr>
              <w:t>内容</w:t>
            </w:r>
          </w:p>
        </w:tc>
        <w:tc>
          <w:tcPr>
            <w:tcW w:w="1735" w:type="dxa"/>
            <w:vAlign w:val="center"/>
          </w:tcPr>
          <w:p w14:paraId="7A66FC15">
            <w:pPr>
              <w:keepNext w:val="0"/>
              <w:keepLines w:val="0"/>
              <w:suppressLineNumbers w:val="0"/>
              <w:autoSpaceDE w:val="0"/>
              <w:autoSpaceDN w:val="0"/>
              <w:adjustRightInd w:val="0"/>
              <w:spacing w:before="0" w:beforeAutospacing="0" w:after="0" w:afterAutospacing="0" w:line="240" w:lineRule="exact"/>
              <w:ind w:left="0" w:right="25"/>
              <w:jc w:val="center"/>
              <w:rPr>
                <w:rFonts w:hint="default" w:ascii="宋体" w:hAnsi="宋体" w:cs="宋体"/>
                <w:color w:val="auto"/>
                <w:sz w:val="24"/>
                <w:highlight w:val="none"/>
              </w:rPr>
            </w:pPr>
            <w:r>
              <w:rPr>
                <w:rFonts w:hint="eastAsia" w:ascii="宋体" w:hAnsi="宋体" w:cs="宋体"/>
                <w:color w:val="auto"/>
                <w:sz w:val="24"/>
                <w:highlight w:val="none"/>
              </w:rPr>
              <w:t>备注</w:t>
            </w:r>
          </w:p>
        </w:tc>
      </w:tr>
      <w:tr w14:paraId="39F7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41" w:type="dxa"/>
            <w:vMerge w:val="restart"/>
            <w:vAlign w:val="center"/>
          </w:tcPr>
          <w:p w14:paraId="7DE605FE">
            <w:pPr>
              <w:keepNext w:val="0"/>
              <w:keepLines w:val="0"/>
              <w:suppressLineNumbers w:val="0"/>
              <w:tabs>
                <w:tab w:val="left" w:pos="8280"/>
              </w:tabs>
              <w:autoSpaceDE w:val="0"/>
              <w:autoSpaceDN w:val="0"/>
              <w:adjustRightInd w:val="0"/>
              <w:spacing w:before="0" w:beforeAutospacing="0" w:after="0" w:afterAutospacing="0" w:line="30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2546" w:type="dxa"/>
            <w:vMerge w:val="restart"/>
            <w:vAlign w:val="center"/>
          </w:tcPr>
          <w:p w14:paraId="6AF7DC22">
            <w:pPr>
              <w:keepNext w:val="0"/>
              <w:keepLines w:val="0"/>
              <w:suppressLineNumbers w:val="0"/>
              <w:tabs>
                <w:tab w:val="left" w:pos="8280"/>
              </w:tabs>
              <w:autoSpaceDE w:val="0"/>
              <w:autoSpaceDN w:val="0"/>
              <w:adjustRightInd w:val="0"/>
              <w:spacing w:before="0" w:beforeAutospacing="0" w:after="0" w:afterAutospacing="0" w:line="300" w:lineRule="exact"/>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结算率</w:t>
            </w:r>
          </w:p>
        </w:tc>
        <w:tc>
          <w:tcPr>
            <w:tcW w:w="4125" w:type="dxa"/>
            <w:vAlign w:val="center"/>
          </w:tcPr>
          <w:p w14:paraId="6FADA494">
            <w:pPr>
              <w:keepNext w:val="0"/>
              <w:keepLines w:val="0"/>
              <w:suppressLineNumbers w:val="0"/>
              <w:tabs>
                <w:tab w:val="left" w:pos="8280"/>
              </w:tabs>
              <w:autoSpaceDE w:val="0"/>
              <w:autoSpaceDN w:val="0"/>
              <w:adjustRightInd w:val="0"/>
              <w:spacing w:before="0" w:beforeAutospacing="0" w:after="0" w:afterAutospacing="0" w:line="300" w:lineRule="exact"/>
              <w:ind w:left="0" w:right="0"/>
              <w:jc w:val="left"/>
              <w:rPr>
                <w:rFonts w:hint="default" w:ascii="宋体" w:hAnsi="宋体" w:cs="宋体"/>
                <w:color w:val="auto"/>
                <w:sz w:val="24"/>
                <w:highlight w:val="none"/>
              </w:rPr>
            </w:pPr>
            <w:r>
              <w:rPr>
                <w:rFonts w:hint="eastAsia" w:ascii="宋体" w:hAnsi="宋体" w:cs="宋体"/>
                <w:color w:val="auto"/>
                <w:sz w:val="24"/>
                <w:highlight w:val="none"/>
              </w:rPr>
              <w:t>大写：</w:t>
            </w:r>
          </w:p>
        </w:tc>
        <w:tc>
          <w:tcPr>
            <w:tcW w:w="1735" w:type="dxa"/>
            <w:vMerge w:val="restart"/>
            <w:vAlign w:val="center"/>
          </w:tcPr>
          <w:p w14:paraId="5C71D4DE">
            <w:pPr>
              <w:keepNext w:val="0"/>
              <w:keepLines w:val="0"/>
              <w:suppressLineNumbers w:val="0"/>
              <w:tabs>
                <w:tab w:val="left" w:pos="8280"/>
              </w:tabs>
              <w:autoSpaceDE w:val="0"/>
              <w:autoSpaceDN w:val="0"/>
              <w:adjustRightInd w:val="0"/>
              <w:spacing w:before="0" w:beforeAutospacing="0" w:after="0" w:afterAutospacing="0" w:line="300" w:lineRule="exact"/>
              <w:ind w:left="0" w:right="0"/>
              <w:jc w:val="center"/>
              <w:rPr>
                <w:rFonts w:hint="default" w:ascii="宋体" w:hAnsi="宋体" w:cs="宋体"/>
                <w:color w:val="auto"/>
                <w:sz w:val="24"/>
                <w:highlight w:val="none"/>
              </w:rPr>
            </w:pPr>
          </w:p>
        </w:tc>
      </w:tr>
      <w:tr w14:paraId="3B88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41" w:type="dxa"/>
            <w:vMerge w:val="continue"/>
            <w:vAlign w:val="center"/>
          </w:tcPr>
          <w:p w14:paraId="6EAA71C8">
            <w:pPr>
              <w:keepNext w:val="0"/>
              <w:keepLines w:val="0"/>
              <w:suppressLineNumbers w:val="0"/>
              <w:tabs>
                <w:tab w:val="left" w:pos="8280"/>
              </w:tabs>
              <w:autoSpaceDE w:val="0"/>
              <w:autoSpaceDN w:val="0"/>
              <w:adjustRightInd w:val="0"/>
              <w:spacing w:before="0" w:beforeAutospacing="0" w:after="0" w:afterAutospacing="0" w:line="300" w:lineRule="exact"/>
              <w:ind w:left="0" w:right="0"/>
              <w:jc w:val="center"/>
              <w:rPr>
                <w:rFonts w:hint="default" w:ascii="宋体" w:hAnsi="宋体" w:cs="宋体"/>
                <w:color w:val="auto"/>
                <w:sz w:val="24"/>
                <w:highlight w:val="none"/>
              </w:rPr>
            </w:pPr>
          </w:p>
        </w:tc>
        <w:tc>
          <w:tcPr>
            <w:tcW w:w="2546" w:type="dxa"/>
            <w:vMerge w:val="continue"/>
            <w:vAlign w:val="center"/>
          </w:tcPr>
          <w:p w14:paraId="601FB37F">
            <w:pPr>
              <w:keepNext w:val="0"/>
              <w:keepLines w:val="0"/>
              <w:suppressLineNumbers w:val="0"/>
              <w:tabs>
                <w:tab w:val="left" w:pos="8280"/>
              </w:tabs>
              <w:autoSpaceDE w:val="0"/>
              <w:autoSpaceDN w:val="0"/>
              <w:adjustRightInd w:val="0"/>
              <w:spacing w:before="0" w:beforeAutospacing="0" w:after="0" w:afterAutospacing="0" w:line="300" w:lineRule="exact"/>
              <w:ind w:left="0" w:right="0"/>
              <w:jc w:val="center"/>
              <w:rPr>
                <w:rFonts w:hint="default" w:ascii="宋体" w:hAnsi="宋体" w:cs="宋体"/>
                <w:color w:val="auto"/>
                <w:sz w:val="24"/>
                <w:highlight w:val="none"/>
              </w:rPr>
            </w:pPr>
          </w:p>
        </w:tc>
        <w:tc>
          <w:tcPr>
            <w:tcW w:w="4125" w:type="dxa"/>
            <w:vAlign w:val="center"/>
          </w:tcPr>
          <w:p w14:paraId="40F93D14">
            <w:pPr>
              <w:keepNext w:val="0"/>
              <w:keepLines w:val="0"/>
              <w:suppressLineNumbers w:val="0"/>
              <w:tabs>
                <w:tab w:val="left" w:pos="8280"/>
              </w:tabs>
              <w:autoSpaceDE w:val="0"/>
              <w:autoSpaceDN w:val="0"/>
              <w:adjustRightInd w:val="0"/>
              <w:spacing w:before="0" w:beforeAutospacing="0" w:after="0" w:afterAutospacing="0" w:line="300" w:lineRule="exact"/>
              <w:ind w:left="0" w:right="0"/>
              <w:jc w:val="left"/>
              <w:rPr>
                <w:rFonts w:hint="default" w:ascii="宋体" w:hAnsi="宋体" w:cs="宋体"/>
                <w:color w:val="auto"/>
                <w:sz w:val="24"/>
                <w:highlight w:val="none"/>
              </w:rPr>
            </w:pPr>
            <w:r>
              <w:rPr>
                <w:rFonts w:hint="eastAsia" w:ascii="宋体" w:hAnsi="宋体" w:cs="宋体"/>
                <w:color w:val="auto"/>
                <w:sz w:val="24"/>
                <w:highlight w:val="none"/>
              </w:rPr>
              <w:t>小写：</w:t>
            </w:r>
          </w:p>
        </w:tc>
        <w:tc>
          <w:tcPr>
            <w:tcW w:w="1735" w:type="dxa"/>
            <w:vMerge w:val="continue"/>
            <w:vAlign w:val="center"/>
          </w:tcPr>
          <w:p w14:paraId="0C1A7B16">
            <w:pPr>
              <w:keepNext w:val="0"/>
              <w:keepLines w:val="0"/>
              <w:suppressLineNumbers w:val="0"/>
              <w:tabs>
                <w:tab w:val="left" w:pos="8280"/>
              </w:tabs>
              <w:autoSpaceDE w:val="0"/>
              <w:autoSpaceDN w:val="0"/>
              <w:adjustRightInd w:val="0"/>
              <w:spacing w:before="0" w:beforeAutospacing="0" w:after="0" w:afterAutospacing="0" w:line="300" w:lineRule="exact"/>
              <w:ind w:left="0" w:right="0"/>
              <w:jc w:val="center"/>
              <w:rPr>
                <w:rFonts w:hint="default" w:ascii="宋体" w:hAnsi="宋体" w:cs="宋体"/>
                <w:color w:val="auto"/>
                <w:sz w:val="24"/>
                <w:highlight w:val="none"/>
              </w:rPr>
            </w:pPr>
          </w:p>
        </w:tc>
      </w:tr>
      <w:tr w14:paraId="76BD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387" w:type="dxa"/>
            <w:gridSpan w:val="2"/>
            <w:vAlign w:val="center"/>
          </w:tcPr>
          <w:p w14:paraId="32C32368">
            <w:pPr>
              <w:pStyle w:val="40"/>
              <w:keepNext w:val="0"/>
              <w:keepLines w:val="0"/>
              <w:suppressLineNumbers w:val="0"/>
              <w:spacing w:beforeAutospacing="0" w:afterAutospacing="0"/>
              <w:ind w:right="0"/>
              <w:jc w:val="center"/>
              <w:rPr>
                <w:rFonts w:hint="default" w:hAnsi="宋体"/>
                <w:b/>
                <w:color w:val="auto"/>
                <w:sz w:val="24"/>
                <w:highlight w:val="none"/>
              </w:rPr>
            </w:pPr>
            <w:r>
              <w:rPr>
                <w:rFonts w:hint="eastAsia" w:ascii="宋体" w:hAnsi="宋体" w:cs="宋体" w:eastAsiaTheme="minorEastAsia"/>
                <w:b/>
                <w:smallCaps w:val="0"/>
                <w:color w:val="auto"/>
                <w:kern w:val="0"/>
                <w:sz w:val="24"/>
                <w:szCs w:val="24"/>
                <w:highlight w:val="none"/>
                <w:lang w:val="en-US" w:eastAsia="zh-CN" w:bidi="ar-SA"/>
              </w:rPr>
              <w:t>交货期</w:t>
            </w:r>
          </w:p>
        </w:tc>
        <w:tc>
          <w:tcPr>
            <w:tcW w:w="5860" w:type="dxa"/>
            <w:gridSpan w:val="2"/>
            <w:vAlign w:val="center"/>
          </w:tcPr>
          <w:p w14:paraId="1190898F">
            <w:pPr>
              <w:pStyle w:val="40"/>
              <w:keepNext w:val="0"/>
              <w:keepLines w:val="0"/>
              <w:suppressLineNumbers w:val="0"/>
              <w:spacing w:beforeAutospacing="0" w:afterAutospacing="0"/>
              <w:ind w:right="0"/>
              <w:jc w:val="center"/>
              <w:rPr>
                <w:rFonts w:hint="default" w:ascii="宋体" w:hAnsi="宋体"/>
                <w:b/>
                <w:color w:val="auto"/>
                <w:sz w:val="24"/>
                <w:highlight w:val="none"/>
              </w:rPr>
            </w:pPr>
            <w:r>
              <w:rPr>
                <w:rFonts w:hint="eastAsia" w:ascii="宋体" w:hAnsi="宋体" w:cs="宋体" w:eastAsiaTheme="minorEastAsia"/>
                <w:b w:val="0"/>
                <w:bCs/>
                <w:smallCaps w:val="0"/>
                <w:color w:val="auto"/>
                <w:kern w:val="0"/>
                <w:sz w:val="24"/>
                <w:szCs w:val="24"/>
                <w:highlight w:val="none"/>
                <w:lang w:val="en-US" w:eastAsia="zh-CN" w:bidi="ar-SA"/>
              </w:rPr>
              <w:t>自合同签订之日起180天</w:t>
            </w:r>
          </w:p>
        </w:tc>
      </w:tr>
    </w:tbl>
    <w:p w14:paraId="57462D77">
      <w:pPr>
        <w:pStyle w:val="127"/>
        <w:spacing w:line="360" w:lineRule="auto"/>
        <w:ind w:right="480"/>
        <w:jc w:val="left"/>
        <w:rPr>
          <w:rFonts w:ascii="宋体" w:hAnsi="宋体" w:cs="宋体"/>
          <w:color w:val="auto"/>
          <w:sz w:val="24"/>
          <w:highlight w:val="none"/>
        </w:rPr>
      </w:pPr>
      <w:r>
        <w:rPr>
          <w:rFonts w:hint="eastAsia" w:ascii="宋体" w:hAnsi="宋体" w:cs="宋体"/>
          <w:color w:val="auto"/>
          <w:sz w:val="24"/>
          <w:highlight w:val="none"/>
        </w:rPr>
        <w:t xml:space="preserve"> 填报要求：</w:t>
      </w:r>
    </w:p>
    <w:p w14:paraId="4A4A01F0">
      <w:pPr>
        <w:spacing w:line="360" w:lineRule="auto"/>
        <w:rPr>
          <w:rFonts w:ascii="宋体" w:hAnsi="宋体" w:cs="宋体"/>
          <w:color w:val="auto"/>
          <w:sz w:val="24"/>
          <w:highlight w:val="none"/>
        </w:rPr>
      </w:pPr>
      <w:r>
        <w:rPr>
          <w:rFonts w:ascii="宋体" w:hAnsi="宋体" w:cs="宋体"/>
          <w:color w:val="auto"/>
          <w:sz w:val="24"/>
          <w:highlight w:val="none"/>
        </w:rPr>
        <w:t>1.报价一经涂改，应在涂改处加盖单位公章或者由法定代表人或授权委托人签字</w:t>
      </w:r>
      <w:r>
        <w:rPr>
          <w:rFonts w:hint="eastAsia" w:ascii="宋体" w:hAnsi="宋体" w:cs="宋体"/>
          <w:color w:val="auto"/>
          <w:sz w:val="24"/>
          <w:highlight w:val="none"/>
          <w:lang w:eastAsia="zh-CN"/>
        </w:rPr>
        <w:t>（</w:t>
      </w:r>
      <w:r>
        <w:rPr>
          <w:rFonts w:ascii="宋体" w:hAnsi="宋体" w:cs="宋体"/>
          <w:color w:val="auto"/>
          <w:sz w:val="24"/>
          <w:highlight w:val="none"/>
        </w:rPr>
        <w:t>或</w:t>
      </w:r>
      <w:r>
        <w:rPr>
          <w:rFonts w:hint="eastAsia" w:ascii="宋体" w:hAnsi="宋体" w:cs="宋体"/>
          <w:color w:val="auto"/>
          <w:sz w:val="24"/>
          <w:highlight w:val="none"/>
          <w:lang w:eastAsia="zh-CN"/>
        </w:rPr>
        <w:t>签章）</w:t>
      </w:r>
      <w:r>
        <w:rPr>
          <w:rFonts w:ascii="宋体" w:hAnsi="宋体" w:cs="宋体"/>
          <w:color w:val="auto"/>
          <w:sz w:val="24"/>
          <w:highlight w:val="none"/>
        </w:rPr>
        <w:t>，否则其投标作无效标处理；</w:t>
      </w:r>
    </w:p>
    <w:p w14:paraId="6C9407DC">
      <w:pPr>
        <w:spacing w:line="360" w:lineRule="auto"/>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投标报价包含实现本项目的所有功能及安全保障工作所需费用，其应包括（但不限于）材料、设备、劳务、人员工资、奖金、各种加班费、食宿与交通、手续审批、安全、管理、质保、保险、利润、税金、验收费用、招标代理服务费、政策性文件规定及合同包含的所有风险、责任等所有费用（即整个项目直至履约完成，采购人不再另行支付费用）全部费用已包含在开标一览表的投标总报价中。</w:t>
      </w:r>
    </w:p>
    <w:p w14:paraId="43BD20A0">
      <w:pPr>
        <w:spacing w:line="360" w:lineRule="auto"/>
        <w:ind w:left="420"/>
        <w:rPr>
          <w:rFonts w:ascii="宋体" w:hAnsi="宋体" w:cs="宋体"/>
          <w:color w:val="auto"/>
          <w:sz w:val="24"/>
          <w:highlight w:val="none"/>
        </w:rPr>
      </w:pPr>
    </w:p>
    <w:p w14:paraId="6589A48B">
      <w:pPr>
        <w:spacing w:line="360" w:lineRule="auto"/>
        <w:ind w:left="420"/>
        <w:jc w:val="right"/>
        <w:rPr>
          <w:rFonts w:ascii="宋体" w:hAnsi="宋体" w:cs="宋体"/>
          <w:color w:val="auto"/>
          <w:sz w:val="24"/>
          <w:highlight w:val="none"/>
        </w:rPr>
      </w:pPr>
      <w:r>
        <w:rPr>
          <w:rFonts w:hint="eastAsia" w:ascii="宋体" w:hAnsi="宋体" w:cs="宋体"/>
          <w:color w:val="auto"/>
          <w:sz w:val="24"/>
          <w:highlight w:val="none"/>
        </w:rPr>
        <w:t>投标人名称（盖公章）：</w:t>
      </w:r>
    </w:p>
    <w:p w14:paraId="47FD123D">
      <w:pPr>
        <w:spacing w:line="360" w:lineRule="auto"/>
        <w:ind w:firstLine="424" w:firstLineChars="177"/>
        <w:jc w:val="right"/>
        <w:rPr>
          <w:rFonts w:ascii="宋体" w:hAnsi="宋体" w:cs="宋体"/>
          <w:color w:val="auto"/>
          <w:sz w:val="24"/>
          <w:highlight w:val="none"/>
        </w:rPr>
      </w:pPr>
      <w:r>
        <w:rPr>
          <w:rFonts w:hint="eastAsia" w:ascii="宋体" w:hAnsi="宋体" w:cs="宋体"/>
          <w:color w:val="auto"/>
          <w:sz w:val="24"/>
          <w:highlight w:val="none"/>
        </w:rPr>
        <w:t>法定代表人或代理人（签字或</w:t>
      </w:r>
      <w:r>
        <w:rPr>
          <w:rFonts w:hint="eastAsia" w:ascii="宋体" w:hAnsi="宋体" w:cs="宋体"/>
          <w:color w:val="auto"/>
          <w:sz w:val="24"/>
          <w:highlight w:val="none"/>
          <w:lang w:eastAsia="zh-CN"/>
        </w:rPr>
        <w:t>签章</w:t>
      </w:r>
      <w:r>
        <w:rPr>
          <w:rFonts w:hint="eastAsia" w:ascii="宋体" w:hAnsi="宋体" w:cs="宋体"/>
          <w:color w:val="auto"/>
          <w:sz w:val="24"/>
          <w:highlight w:val="none"/>
        </w:rPr>
        <w:t>）：</w:t>
      </w:r>
    </w:p>
    <w:p w14:paraId="7274ABE2">
      <w:pPr>
        <w:spacing w:line="360" w:lineRule="auto"/>
        <w:ind w:firstLine="435"/>
        <w:jc w:val="right"/>
        <w:rPr>
          <w:rFonts w:ascii="宋体" w:hAnsi="宋体" w:cs="宋体"/>
          <w:color w:val="auto"/>
          <w:sz w:val="24"/>
          <w:highlight w:val="none"/>
        </w:rPr>
      </w:pPr>
      <w:r>
        <w:rPr>
          <w:rFonts w:hint="eastAsia" w:ascii="宋体" w:hAnsi="宋体" w:cs="宋体"/>
          <w:color w:val="auto"/>
          <w:sz w:val="24"/>
          <w:highlight w:val="none"/>
        </w:rPr>
        <w:t>日        期：</w:t>
      </w:r>
    </w:p>
    <w:p w14:paraId="1B5C8C5E">
      <w:pPr>
        <w:spacing w:line="480" w:lineRule="auto"/>
        <w:ind w:firstLine="435"/>
        <w:jc w:val="right"/>
        <w:rPr>
          <w:rFonts w:cs="宋体" w:asciiTheme="minorEastAsia" w:hAnsiTheme="minorEastAsia" w:eastAsiaTheme="minorEastAsia"/>
          <w:color w:val="auto"/>
          <w:szCs w:val="21"/>
          <w:highlight w:val="none"/>
        </w:rPr>
      </w:pPr>
    </w:p>
    <w:p w14:paraId="6E74FEA7">
      <w:pPr>
        <w:pStyle w:val="21"/>
        <w:rPr>
          <w:color w:val="auto"/>
          <w:highlight w:val="none"/>
        </w:rPr>
      </w:pPr>
    </w:p>
    <w:p w14:paraId="1D660F12">
      <w:pPr>
        <w:rPr>
          <w:color w:val="auto"/>
          <w:highlight w:val="none"/>
        </w:rPr>
      </w:pPr>
    </w:p>
    <w:p w14:paraId="19EADB67">
      <w:pPr>
        <w:pStyle w:val="21"/>
        <w:rPr>
          <w:color w:val="auto"/>
          <w:highlight w:val="none"/>
        </w:rPr>
      </w:pPr>
    </w:p>
    <w:p w14:paraId="746FCFEE">
      <w:pPr>
        <w:rPr>
          <w:color w:val="auto"/>
          <w:highlight w:val="none"/>
        </w:rPr>
      </w:pPr>
    </w:p>
    <w:p w14:paraId="7F72FDF0">
      <w:pPr>
        <w:rPr>
          <w:color w:val="auto"/>
          <w:highlight w:val="none"/>
        </w:rPr>
      </w:pPr>
    </w:p>
    <w:p w14:paraId="75074FCA">
      <w:pPr>
        <w:spacing w:line="360" w:lineRule="auto"/>
        <w:jc w:val="center"/>
        <w:rPr>
          <w:rFonts w:cs="宋体" w:asciiTheme="minorEastAsia" w:hAnsiTheme="minorEastAsia" w:eastAsiaTheme="minorEastAsia"/>
          <w:b/>
          <w:bCs/>
          <w:color w:val="auto"/>
          <w:kern w:val="0"/>
          <w:sz w:val="32"/>
          <w:szCs w:val="32"/>
          <w:highlight w:val="none"/>
        </w:rPr>
      </w:pPr>
    </w:p>
    <w:p w14:paraId="027D3F6F">
      <w:pPr>
        <w:pageBreakBefore/>
        <w:spacing w:line="360" w:lineRule="auto"/>
        <w:jc w:val="center"/>
        <w:rPr>
          <w:rFonts w:cs="宋体" w:asciiTheme="minorEastAsia" w:hAnsiTheme="minorEastAsia" w:eastAsiaTheme="minorEastAsia"/>
          <w:b/>
          <w:bCs/>
          <w:color w:val="auto"/>
          <w:kern w:val="0"/>
          <w:sz w:val="32"/>
          <w:szCs w:val="32"/>
          <w:highlight w:val="none"/>
        </w:rPr>
      </w:pPr>
      <w:r>
        <w:rPr>
          <w:rFonts w:hint="eastAsia" w:cs="宋体" w:asciiTheme="minorEastAsia" w:hAnsiTheme="minorEastAsia" w:eastAsiaTheme="minorEastAsia"/>
          <w:b/>
          <w:bCs/>
          <w:color w:val="auto"/>
          <w:kern w:val="0"/>
          <w:sz w:val="32"/>
          <w:szCs w:val="32"/>
          <w:highlight w:val="none"/>
          <w:lang w:eastAsia="zh-CN"/>
        </w:rPr>
        <w:t>二</w:t>
      </w:r>
      <w:r>
        <w:rPr>
          <w:rFonts w:hint="eastAsia" w:cs="宋体" w:asciiTheme="minorEastAsia" w:hAnsiTheme="minorEastAsia" w:eastAsiaTheme="minorEastAsia"/>
          <w:b/>
          <w:bCs/>
          <w:color w:val="auto"/>
          <w:kern w:val="0"/>
          <w:sz w:val="32"/>
          <w:szCs w:val="32"/>
          <w:highlight w:val="none"/>
        </w:rPr>
        <w:t>、报价明细表</w:t>
      </w:r>
    </w:p>
    <w:p w14:paraId="2F7FBEDD">
      <w:pPr>
        <w:tabs>
          <w:tab w:val="left" w:pos="8280"/>
        </w:tabs>
        <w:autoSpaceDE w:val="0"/>
        <w:autoSpaceDN w:val="0"/>
        <w:adjustRightInd w:val="0"/>
        <w:spacing w:line="300" w:lineRule="exact"/>
        <w:ind w:firstLine="361" w:firstLineChars="150"/>
        <w:rPr>
          <w:rFonts w:ascii="Arial" w:hAnsi="Arial" w:eastAsia="新宋体" w:cs="Arial"/>
          <w:b/>
          <w:color w:val="auto"/>
          <w:sz w:val="24"/>
          <w:highlight w:val="none"/>
        </w:rPr>
      </w:pPr>
      <w:r>
        <w:rPr>
          <w:rFonts w:ascii="Arial" w:hAnsi="Arial" w:cs="Arial"/>
          <w:b/>
          <w:color w:val="auto"/>
          <w:sz w:val="24"/>
          <w:highlight w:val="none"/>
        </w:rPr>
        <w:t xml:space="preserve">项目编号: </w:t>
      </w:r>
      <w:r>
        <w:rPr>
          <w:rFonts w:hint="eastAsia" w:ascii="Arial" w:hAnsi="Arial" w:cs="Arial"/>
          <w:b/>
          <w:color w:val="auto"/>
          <w:sz w:val="24"/>
          <w:highlight w:val="none"/>
        </w:rPr>
        <w:t xml:space="preserve">               </w:t>
      </w:r>
      <w:r>
        <w:rPr>
          <w:rFonts w:ascii="Arial" w:hAnsi="Arial" w:eastAsia="新宋体" w:cs="Arial"/>
          <w:b/>
          <w:color w:val="auto"/>
          <w:sz w:val="24"/>
          <w:highlight w:val="none"/>
        </w:rPr>
        <w:t>项目名称：</w:t>
      </w:r>
      <w:r>
        <w:rPr>
          <w:rFonts w:hint="eastAsia" w:ascii="Arial" w:hAnsi="Arial" w:eastAsia="新宋体" w:cs="Arial"/>
          <w:b/>
          <w:color w:val="auto"/>
          <w:sz w:val="24"/>
          <w:highlight w:val="none"/>
          <w:lang w:val="en-US" w:eastAsia="zh-CN"/>
        </w:rPr>
        <w:t xml:space="preserve">  </w:t>
      </w:r>
      <w:r>
        <w:rPr>
          <w:rFonts w:hint="eastAsia" w:ascii="Arial" w:hAnsi="Arial" w:eastAsia="新宋体" w:cs="Arial"/>
          <w:b/>
          <w:bCs w:val="0"/>
          <w:color w:val="auto"/>
          <w:sz w:val="24"/>
          <w:highlight w:val="none"/>
          <w:lang w:val="en-US" w:eastAsia="zh-CN"/>
        </w:rPr>
        <w:t xml:space="preserve">       </w:t>
      </w:r>
      <w:r>
        <w:rPr>
          <w:rFonts w:hint="eastAsia" w:ascii="宋体" w:hAnsi="宋体" w:cs="宋体"/>
          <w:b/>
          <w:bCs w:val="0"/>
          <w:color w:val="auto"/>
          <w:sz w:val="24"/>
          <w:highlight w:val="none"/>
          <w:lang w:val="en-US" w:eastAsia="zh-CN"/>
        </w:rPr>
        <w:t>标项：</w:t>
      </w:r>
    </w:p>
    <w:tbl>
      <w:tblPr>
        <w:tblStyle w:val="48"/>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305"/>
        <w:gridCol w:w="1545"/>
        <w:gridCol w:w="1125"/>
        <w:gridCol w:w="1170"/>
        <w:gridCol w:w="885"/>
        <w:gridCol w:w="656"/>
        <w:gridCol w:w="979"/>
        <w:gridCol w:w="735"/>
        <w:gridCol w:w="735"/>
      </w:tblGrid>
      <w:tr w14:paraId="366B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631" w:type="dxa"/>
            <w:vAlign w:val="center"/>
          </w:tcPr>
          <w:p w14:paraId="5E6AA0D5">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1305" w:type="dxa"/>
            <w:vAlign w:val="center"/>
          </w:tcPr>
          <w:p w14:paraId="43B705AA">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设备名称</w:t>
            </w:r>
          </w:p>
          <w:p w14:paraId="4F739126">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（采购标的）</w:t>
            </w:r>
          </w:p>
        </w:tc>
        <w:tc>
          <w:tcPr>
            <w:tcW w:w="1545" w:type="dxa"/>
            <w:vAlign w:val="center"/>
          </w:tcPr>
          <w:p w14:paraId="1B3B7F2A">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制造商名称（全称）</w:t>
            </w:r>
          </w:p>
        </w:tc>
        <w:tc>
          <w:tcPr>
            <w:tcW w:w="1125" w:type="dxa"/>
            <w:vAlign w:val="center"/>
          </w:tcPr>
          <w:p w14:paraId="2B78DEDC">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是否是</w:t>
            </w:r>
            <w:r>
              <w:rPr>
                <w:rFonts w:hint="eastAsia" w:ascii="宋体" w:hAnsi="宋体" w:cs="宋体"/>
                <w:b/>
                <w:bCs/>
                <w:color w:val="auto"/>
                <w:sz w:val="24"/>
                <w:highlight w:val="none"/>
                <w:lang w:eastAsia="zh-CN"/>
              </w:rPr>
              <w:t>中</w:t>
            </w:r>
            <w:r>
              <w:rPr>
                <w:rFonts w:hint="eastAsia" w:ascii="宋体" w:hAnsi="宋体" w:cs="宋体"/>
                <w:b/>
                <w:bCs/>
                <w:color w:val="auto"/>
                <w:sz w:val="24"/>
                <w:highlight w:val="none"/>
              </w:rPr>
              <w:t>小微企业</w:t>
            </w:r>
          </w:p>
        </w:tc>
        <w:tc>
          <w:tcPr>
            <w:tcW w:w="1170" w:type="dxa"/>
            <w:vAlign w:val="center"/>
          </w:tcPr>
          <w:p w14:paraId="48CD5C81">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品牌、产地</w:t>
            </w:r>
          </w:p>
          <w:p w14:paraId="00D639C0">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（如有）</w:t>
            </w:r>
          </w:p>
        </w:tc>
        <w:tc>
          <w:tcPr>
            <w:tcW w:w="885" w:type="dxa"/>
            <w:vAlign w:val="center"/>
          </w:tcPr>
          <w:p w14:paraId="120F6DC7">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型号和规格</w:t>
            </w:r>
          </w:p>
        </w:tc>
        <w:tc>
          <w:tcPr>
            <w:tcW w:w="656" w:type="dxa"/>
            <w:vAlign w:val="center"/>
          </w:tcPr>
          <w:p w14:paraId="3902949D">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单位</w:t>
            </w:r>
          </w:p>
        </w:tc>
        <w:tc>
          <w:tcPr>
            <w:tcW w:w="979" w:type="dxa"/>
            <w:vAlign w:val="center"/>
          </w:tcPr>
          <w:p w14:paraId="32C4AE31">
            <w:pPr>
              <w:keepNext w:val="0"/>
              <w:keepLines w:val="0"/>
              <w:suppressLineNumbers w:val="0"/>
              <w:spacing w:before="0" w:beforeAutospacing="0" w:after="0" w:afterAutospacing="0"/>
              <w:ind w:left="0" w:right="0"/>
              <w:jc w:val="center"/>
              <w:rPr>
                <w:rFonts w:hint="default" w:ascii="宋体" w:hAnsi="宋体" w:eastAsia="宋体" w:cs="宋体"/>
                <w:b/>
                <w:bCs/>
                <w:color w:val="auto"/>
                <w:sz w:val="24"/>
                <w:highlight w:val="none"/>
              </w:rPr>
            </w:pPr>
            <w:r>
              <w:rPr>
                <w:rFonts w:hint="eastAsia" w:ascii="宋体" w:hAnsi="宋体" w:eastAsia="宋体" w:cs="宋体"/>
                <w:b/>
                <w:bCs/>
                <w:color w:val="auto"/>
                <w:sz w:val="24"/>
                <w:highlight w:val="none"/>
              </w:rPr>
              <w:t>上限单价（元）</w:t>
            </w:r>
          </w:p>
        </w:tc>
        <w:tc>
          <w:tcPr>
            <w:tcW w:w="735" w:type="dxa"/>
            <w:vAlign w:val="center"/>
          </w:tcPr>
          <w:p w14:paraId="7BCBFFA0">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结算率</w:t>
            </w:r>
          </w:p>
        </w:tc>
        <w:tc>
          <w:tcPr>
            <w:tcW w:w="735" w:type="dxa"/>
            <w:vAlign w:val="center"/>
          </w:tcPr>
          <w:p w14:paraId="75ADE85F">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结算单价</w:t>
            </w:r>
          </w:p>
        </w:tc>
      </w:tr>
      <w:tr w14:paraId="11BE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31" w:type="dxa"/>
            <w:vAlign w:val="center"/>
          </w:tcPr>
          <w:p w14:paraId="25BBC1F1">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1305" w:type="dxa"/>
            <w:vAlign w:val="center"/>
          </w:tcPr>
          <w:p w14:paraId="5F48F0D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4"/>
                <w:highlight w:val="none"/>
              </w:rPr>
            </w:pPr>
            <w:r>
              <w:rPr>
                <w:rFonts w:hint="eastAsia" w:ascii="宋体" w:hAnsi="宋体" w:eastAsia="宋体" w:cs="宋体"/>
                <w:i w:val="0"/>
                <w:iCs w:val="0"/>
                <w:color w:val="auto"/>
                <w:kern w:val="0"/>
                <w:sz w:val="21"/>
                <w:szCs w:val="21"/>
                <w:highlight w:val="none"/>
                <w:u w:val="none"/>
                <w:lang w:val="en-US" w:eastAsia="zh-CN" w:bidi="ar"/>
              </w:rPr>
              <w:t>普通热熔标线</w:t>
            </w:r>
          </w:p>
        </w:tc>
        <w:tc>
          <w:tcPr>
            <w:tcW w:w="1545" w:type="dxa"/>
            <w:vAlign w:val="center"/>
          </w:tcPr>
          <w:p w14:paraId="1C1A0E73">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1125" w:type="dxa"/>
            <w:vAlign w:val="center"/>
          </w:tcPr>
          <w:p w14:paraId="5B1B311A">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1170" w:type="dxa"/>
            <w:vAlign w:val="center"/>
          </w:tcPr>
          <w:p w14:paraId="663B437C">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885" w:type="dxa"/>
            <w:vAlign w:val="center"/>
          </w:tcPr>
          <w:p w14:paraId="186D5BD2">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56" w:type="dxa"/>
            <w:vAlign w:val="center"/>
          </w:tcPr>
          <w:p w14:paraId="1065DA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auto"/>
                <w:kern w:val="0"/>
                <w:sz w:val="21"/>
                <w:szCs w:val="21"/>
                <w:highlight w:val="none"/>
                <w:u w:val="none"/>
                <w:lang w:val="en-US" w:eastAsia="zh-CN" w:bidi="ar"/>
              </w:rPr>
              <w:t>m</w:t>
            </w:r>
            <w:r>
              <w:rPr>
                <w:rStyle w:val="240"/>
                <w:color w:val="auto"/>
                <w:highlight w:val="none"/>
                <w:lang w:val="en-US" w:eastAsia="zh-CN" w:bidi="ar"/>
              </w:rPr>
              <w:t>2</w:t>
            </w:r>
          </w:p>
        </w:tc>
        <w:tc>
          <w:tcPr>
            <w:tcW w:w="979" w:type="dxa"/>
            <w:vAlign w:val="center"/>
          </w:tcPr>
          <w:p w14:paraId="4FCCB2E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4"/>
                <w:highlight w:val="none"/>
              </w:rPr>
            </w:pPr>
            <w:r>
              <w:rPr>
                <w:rFonts w:hint="eastAsia" w:ascii="宋体" w:hAnsi="宋体" w:cs="宋体"/>
                <w:i w:val="0"/>
                <w:iCs w:val="0"/>
                <w:color w:val="auto"/>
                <w:kern w:val="0"/>
                <w:sz w:val="21"/>
                <w:szCs w:val="21"/>
                <w:highlight w:val="none"/>
                <w:u w:val="none"/>
                <w:lang w:val="en-US" w:eastAsia="zh-CN" w:bidi="ar"/>
              </w:rPr>
              <w:t>45</w:t>
            </w:r>
          </w:p>
        </w:tc>
        <w:tc>
          <w:tcPr>
            <w:tcW w:w="735" w:type="dxa"/>
            <w:vAlign w:val="center"/>
          </w:tcPr>
          <w:p w14:paraId="4E32A69E">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735" w:type="dxa"/>
            <w:vAlign w:val="center"/>
          </w:tcPr>
          <w:p w14:paraId="50C5993A">
            <w:pPr>
              <w:keepNext w:val="0"/>
              <w:keepLines w:val="0"/>
              <w:suppressLineNumbers w:val="0"/>
              <w:spacing w:before="0" w:beforeAutospacing="0" w:after="0" w:afterAutospacing="0"/>
              <w:ind w:left="0" w:right="0"/>
              <w:rPr>
                <w:rFonts w:hint="default" w:ascii="宋体" w:hAnsi="宋体" w:cs="宋体"/>
                <w:color w:val="auto"/>
                <w:sz w:val="24"/>
                <w:highlight w:val="none"/>
              </w:rPr>
            </w:pPr>
          </w:p>
        </w:tc>
      </w:tr>
      <w:tr w14:paraId="2BE5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1" w:type="dxa"/>
            <w:vAlign w:val="center"/>
          </w:tcPr>
          <w:p w14:paraId="6D464E43">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1305" w:type="dxa"/>
            <w:vAlign w:val="center"/>
          </w:tcPr>
          <w:p w14:paraId="19C27C1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4"/>
                <w:highlight w:val="none"/>
              </w:rPr>
            </w:pPr>
            <w:r>
              <w:rPr>
                <w:rFonts w:hint="eastAsia" w:ascii="宋体" w:hAnsi="宋体" w:eastAsia="宋体" w:cs="宋体"/>
                <w:i w:val="0"/>
                <w:iCs w:val="0"/>
                <w:color w:val="auto"/>
                <w:kern w:val="0"/>
                <w:sz w:val="21"/>
                <w:szCs w:val="21"/>
                <w:highlight w:val="none"/>
                <w:u w:val="none"/>
                <w:lang w:val="en-US" w:eastAsia="zh-CN" w:bidi="ar"/>
              </w:rPr>
              <w:t>普通热熔振荡标线</w:t>
            </w:r>
          </w:p>
        </w:tc>
        <w:tc>
          <w:tcPr>
            <w:tcW w:w="1545" w:type="dxa"/>
            <w:vAlign w:val="center"/>
          </w:tcPr>
          <w:p w14:paraId="76331A9D">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1125" w:type="dxa"/>
            <w:vAlign w:val="center"/>
          </w:tcPr>
          <w:p w14:paraId="2E86EF38">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1170" w:type="dxa"/>
            <w:vAlign w:val="center"/>
          </w:tcPr>
          <w:p w14:paraId="1FDF8D6D">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885" w:type="dxa"/>
          </w:tcPr>
          <w:p w14:paraId="47DBCB9B">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56" w:type="dxa"/>
            <w:vAlign w:val="center"/>
          </w:tcPr>
          <w:p w14:paraId="72709C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auto"/>
                <w:kern w:val="0"/>
                <w:sz w:val="21"/>
                <w:szCs w:val="21"/>
                <w:highlight w:val="none"/>
                <w:u w:val="none"/>
                <w:lang w:val="en-US" w:eastAsia="zh-CN" w:bidi="ar"/>
              </w:rPr>
              <w:t>m</w:t>
            </w:r>
            <w:r>
              <w:rPr>
                <w:rStyle w:val="240"/>
                <w:color w:val="auto"/>
                <w:highlight w:val="none"/>
                <w:lang w:val="en-US" w:eastAsia="zh-CN" w:bidi="ar"/>
              </w:rPr>
              <w:t>2</w:t>
            </w:r>
          </w:p>
        </w:tc>
        <w:tc>
          <w:tcPr>
            <w:tcW w:w="979" w:type="dxa"/>
            <w:vAlign w:val="center"/>
          </w:tcPr>
          <w:p w14:paraId="4FF3C65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4"/>
                <w:highlight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35" w:type="dxa"/>
            <w:vAlign w:val="center"/>
          </w:tcPr>
          <w:p w14:paraId="462A2344">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735" w:type="dxa"/>
            <w:vAlign w:val="center"/>
          </w:tcPr>
          <w:p w14:paraId="66CD4AC0">
            <w:pPr>
              <w:keepNext w:val="0"/>
              <w:keepLines w:val="0"/>
              <w:suppressLineNumbers w:val="0"/>
              <w:spacing w:before="0" w:beforeAutospacing="0" w:after="0" w:afterAutospacing="0"/>
              <w:ind w:left="0" w:right="0"/>
              <w:rPr>
                <w:rFonts w:hint="default" w:ascii="宋体" w:hAnsi="宋体" w:cs="宋体"/>
                <w:color w:val="auto"/>
                <w:sz w:val="24"/>
                <w:highlight w:val="none"/>
              </w:rPr>
            </w:pPr>
          </w:p>
        </w:tc>
      </w:tr>
      <w:tr w14:paraId="07F5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31" w:type="dxa"/>
            <w:vAlign w:val="center"/>
          </w:tcPr>
          <w:p w14:paraId="50E7473F">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3</w:t>
            </w:r>
          </w:p>
        </w:tc>
        <w:tc>
          <w:tcPr>
            <w:tcW w:w="1305" w:type="dxa"/>
            <w:vAlign w:val="center"/>
          </w:tcPr>
          <w:p w14:paraId="5A3C1FE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4"/>
                <w:highlight w:val="none"/>
              </w:rPr>
            </w:pPr>
            <w:r>
              <w:rPr>
                <w:rFonts w:hint="eastAsia" w:ascii="宋体" w:hAnsi="宋体" w:eastAsia="宋体" w:cs="宋体"/>
                <w:i w:val="0"/>
                <w:iCs w:val="0"/>
                <w:color w:val="auto"/>
                <w:kern w:val="0"/>
                <w:sz w:val="21"/>
                <w:szCs w:val="21"/>
                <w:highlight w:val="none"/>
                <w:u w:val="none"/>
                <w:lang w:val="en-US" w:eastAsia="zh-CN" w:bidi="ar"/>
              </w:rPr>
              <w:t>彩色防滑路面标线</w:t>
            </w:r>
          </w:p>
        </w:tc>
        <w:tc>
          <w:tcPr>
            <w:tcW w:w="1545" w:type="dxa"/>
            <w:vAlign w:val="center"/>
          </w:tcPr>
          <w:p w14:paraId="40950DD7">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1125" w:type="dxa"/>
            <w:vAlign w:val="center"/>
          </w:tcPr>
          <w:p w14:paraId="1E38B67E">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1170" w:type="dxa"/>
            <w:vAlign w:val="center"/>
          </w:tcPr>
          <w:p w14:paraId="6FF75A44">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885" w:type="dxa"/>
          </w:tcPr>
          <w:p w14:paraId="3AE0B2C5">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56" w:type="dxa"/>
            <w:vAlign w:val="center"/>
          </w:tcPr>
          <w:p w14:paraId="45916B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auto"/>
                <w:kern w:val="0"/>
                <w:sz w:val="21"/>
                <w:szCs w:val="21"/>
                <w:highlight w:val="none"/>
                <w:u w:val="none"/>
                <w:lang w:val="en-US" w:eastAsia="zh-CN" w:bidi="ar"/>
              </w:rPr>
              <w:t>m</w:t>
            </w:r>
            <w:r>
              <w:rPr>
                <w:rStyle w:val="240"/>
                <w:color w:val="auto"/>
                <w:highlight w:val="none"/>
                <w:lang w:val="en-US" w:eastAsia="zh-CN" w:bidi="ar"/>
              </w:rPr>
              <w:t>2</w:t>
            </w:r>
          </w:p>
        </w:tc>
        <w:tc>
          <w:tcPr>
            <w:tcW w:w="979" w:type="dxa"/>
            <w:vAlign w:val="center"/>
          </w:tcPr>
          <w:p w14:paraId="729C13A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4"/>
                <w:highlight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35" w:type="dxa"/>
            <w:vAlign w:val="center"/>
          </w:tcPr>
          <w:p w14:paraId="54985D3F">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735" w:type="dxa"/>
            <w:vAlign w:val="center"/>
          </w:tcPr>
          <w:p w14:paraId="3B3BB07C">
            <w:pPr>
              <w:keepNext w:val="0"/>
              <w:keepLines w:val="0"/>
              <w:suppressLineNumbers w:val="0"/>
              <w:spacing w:before="0" w:beforeAutospacing="0" w:after="0" w:afterAutospacing="0"/>
              <w:ind w:left="0" w:right="0"/>
              <w:rPr>
                <w:rFonts w:hint="default" w:ascii="宋体" w:hAnsi="宋体" w:cs="宋体"/>
                <w:color w:val="auto"/>
                <w:sz w:val="24"/>
                <w:highlight w:val="none"/>
              </w:rPr>
            </w:pPr>
          </w:p>
        </w:tc>
      </w:tr>
      <w:tr w14:paraId="0B23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31" w:type="dxa"/>
            <w:vAlign w:val="center"/>
          </w:tcPr>
          <w:p w14:paraId="3906360D">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4</w:t>
            </w:r>
          </w:p>
        </w:tc>
        <w:tc>
          <w:tcPr>
            <w:tcW w:w="1305" w:type="dxa"/>
            <w:vAlign w:val="center"/>
          </w:tcPr>
          <w:p w14:paraId="4722ED4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4"/>
                <w:highlight w:val="none"/>
              </w:rPr>
            </w:pPr>
            <w:r>
              <w:rPr>
                <w:rFonts w:hint="eastAsia" w:ascii="宋体" w:hAnsi="宋体" w:eastAsia="宋体" w:cs="宋体"/>
                <w:i w:val="0"/>
                <w:iCs w:val="0"/>
                <w:color w:val="auto"/>
                <w:kern w:val="0"/>
                <w:sz w:val="21"/>
                <w:szCs w:val="21"/>
                <w:highlight w:val="none"/>
                <w:u w:val="none"/>
                <w:lang w:val="en-US" w:eastAsia="zh-CN" w:bidi="ar"/>
              </w:rPr>
              <w:t>双组份反光型标线（喷涂）</w:t>
            </w:r>
          </w:p>
        </w:tc>
        <w:tc>
          <w:tcPr>
            <w:tcW w:w="1545" w:type="dxa"/>
            <w:vAlign w:val="center"/>
          </w:tcPr>
          <w:p w14:paraId="0EDFBB9A">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1125" w:type="dxa"/>
            <w:vAlign w:val="center"/>
          </w:tcPr>
          <w:p w14:paraId="5F9E8A82">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1170" w:type="dxa"/>
            <w:vAlign w:val="center"/>
          </w:tcPr>
          <w:p w14:paraId="7C3E8313">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885" w:type="dxa"/>
          </w:tcPr>
          <w:p w14:paraId="3F7AABA1">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56" w:type="dxa"/>
            <w:vAlign w:val="center"/>
          </w:tcPr>
          <w:p w14:paraId="3C507F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auto"/>
                <w:kern w:val="0"/>
                <w:sz w:val="21"/>
                <w:szCs w:val="21"/>
                <w:highlight w:val="none"/>
                <w:u w:val="none"/>
                <w:lang w:val="en-US" w:eastAsia="zh-CN" w:bidi="ar"/>
              </w:rPr>
              <w:t>m</w:t>
            </w:r>
            <w:r>
              <w:rPr>
                <w:rStyle w:val="240"/>
                <w:color w:val="auto"/>
                <w:highlight w:val="none"/>
                <w:lang w:val="en-US" w:eastAsia="zh-CN" w:bidi="ar"/>
              </w:rPr>
              <w:t>2</w:t>
            </w:r>
          </w:p>
        </w:tc>
        <w:tc>
          <w:tcPr>
            <w:tcW w:w="979" w:type="dxa"/>
            <w:vAlign w:val="center"/>
          </w:tcPr>
          <w:p w14:paraId="2CD500A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4"/>
                <w:highlight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35" w:type="dxa"/>
            <w:vAlign w:val="center"/>
          </w:tcPr>
          <w:p w14:paraId="489AEBD4">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735" w:type="dxa"/>
            <w:vAlign w:val="center"/>
          </w:tcPr>
          <w:p w14:paraId="704F0F45">
            <w:pPr>
              <w:keepNext w:val="0"/>
              <w:keepLines w:val="0"/>
              <w:suppressLineNumbers w:val="0"/>
              <w:spacing w:before="0" w:beforeAutospacing="0" w:after="0" w:afterAutospacing="0"/>
              <w:ind w:left="0" w:right="0"/>
              <w:rPr>
                <w:rFonts w:hint="default" w:ascii="宋体" w:hAnsi="宋体" w:cs="宋体"/>
                <w:color w:val="auto"/>
                <w:sz w:val="24"/>
                <w:highlight w:val="none"/>
              </w:rPr>
            </w:pPr>
          </w:p>
        </w:tc>
      </w:tr>
      <w:tr w14:paraId="1580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1" w:type="dxa"/>
            <w:vAlign w:val="center"/>
          </w:tcPr>
          <w:p w14:paraId="22D12AA7">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5</w:t>
            </w:r>
          </w:p>
        </w:tc>
        <w:tc>
          <w:tcPr>
            <w:tcW w:w="1305" w:type="dxa"/>
            <w:vAlign w:val="center"/>
          </w:tcPr>
          <w:p w14:paraId="05C6E7E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4"/>
                <w:highlight w:val="none"/>
              </w:rPr>
            </w:pPr>
            <w:r>
              <w:rPr>
                <w:rFonts w:hint="eastAsia" w:ascii="宋体" w:hAnsi="宋体" w:eastAsia="宋体" w:cs="宋体"/>
                <w:i w:val="0"/>
                <w:iCs w:val="0"/>
                <w:color w:val="auto"/>
                <w:kern w:val="0"/>
                <w:sz w:val="21"/>
                <w:szCs w:val="21"/>
                <w:highlight w:val="none"/>
                <w:u w:val="none"/>
                <w:lang w:val="en-US" w:eastAsia="zh-CN" w:bidi="ar"/>
              </w:rPr>
              <w:t>双组份突起型反光标线（甩涂、刮涂、点涂）</w:t>
            </w:r>
          </w:p>
        </w:tc>
        <w:tc>
          <w:tcPr>
            <w:tcW w:w="1545" w:type="dxa"/>
            <w:vAlign w:val="center"/>
          </w:tcPr>
          <w:p w14:paraId="5A4F68A9">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1125" w:type="dxa"/>
            <w:vAlign w:val="center"/>
          </w:tcPr>
          <w:p w14:paraId="66317A17">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1170" w:type="dxa"/>
            <w:vAlign w:val="center"/>
          </w:tcPr>
          <w:p w14:paraId="59D84978">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885" w:type="dxa"/>
          </w:tcPr>
          <w:p w14:paraId="726170D3">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56" w:type="dxa"/>
            <w:vAlign w:val="center"/>
          </w:tcPr>
          <w:p w14:paraId="4A9DDF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auto"/>
                <w:kern w:val="0"/>
                <w:sz w:val="21"/>
                <w:szCs w:val="21"/>
                <w:highlight w:val="none"/>
                <w:u w:val="none"/>
                <w:lang w:val="en-US" w:eastAsia="zh-CN" w:bidi="ar"/>
              </w:rPr>
              <w:t>m</w:t>
            </w:r>
            <w:r>
              <w:rPr>
                <w:rStyle w:val="240"/>
                <w:color w:val="auto"/>
                <w:highlight w:val="none"/>
                <w:lang w:val="en-US" w:eastAsia="zh-CN" w:bidi="ar"/>
              </w:rPr>
              <w:t>2</w:t>
            </w:r>
          </w:p>
        </w:tc>
        <w:tc>
          <w:tcPr>
            <w:tcW w:w="979" w:type="dxa"/>
            <w:vAlign w:val="center"/>
          </w:tcPr>
          <w:p w14:paraId="7A883E7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4"/>
                <w:highlight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35" w:type="dxa"/>
            <w:vAlign w:val="center"/>
          </w:tcPr>
          <w:p w14:paraId="7DD39CE0">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735" w:type="dxa"/>
            <w:vAlign w:val="center"/>
          </w:tcPr>
          <w:p w14:paraId="4370D94F">
            <w:pPr>
              <w:keepNext w:val="0"/>
              <w:keepLines w:val="0"/>
              <w:suppressLineNumbers w:val="0"/>
              <w:spacing w:before="0" w:beforeAutospacing="0" w:after="0" w:afterAutospacing="0"/>
              <w:ind w:left="0" w:right="0"/>
              <w:rPr>
                <w:rFonts w:hint="default" w:ascii="宋体" w:hAnsi="宋体" w:cs="宋体"/>
                <w:color w:val="auto"/>
                <w:sz w:val="24"/>
                <w:highlight w:val="none"/>
              </w:rPr>
            </w:pPr>
          </w:p>
        </w:tc>
      </w:tr>
      <w:tr w14:paraId="33468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1" w:type="dxa"/>
            <w:vAlign w:val="center"/>
          </w:tcPr>
          <w:p w14:paraId="663307A3">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6</w:t>
            </w:r>
          </w:p>
        </w:tc>
        <w:tc>
          <w:tcPr>
            <w:tcW w:w="1305" w:type="dxa"/>
            <w:vAlign w:val="center"/>
          </w:tcPr>
          <w:p w14:paraId="7452CA6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4"/>
                <w:highlight w:val="none"/>
              </w:rPr>
            </w:pPr>
            <w:r>
              <w:rPr>
                <w:rFonts w:hint="eastAsia" w:ascii="宋体" w:hAnsi="宋体" w:eastAsia="宋体" w:cs="宋体"/>
                <w:i w:val="0"/>
                <w:iCs w:val="0"/>
                <w:color w:val="auto"/>
                <w:kern w:val="0"/>
                <w:sz w:val="21"/>
                <w:szCs w:val="21"/>
                <w:highlight w:val="none"/>
                <w:u w:val="none"/>
                <w:lang w:val="en-US" w:eastAsia="zh-CN" w:bidi="ar"/>
              </w:rPr>
              <w:t>热熔雨夜标线</w:t>
            </w:r>
          </w:p>
        </w:tc>
        <w:tc>
          <w:tcPr>
            <w:tcW w:w="1545" w:type="dxa"/>
            <w:vAlign w:val="center"/>
          </w:tcPr>
          <w:p w14:paraId="5716B1F5">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1125" w:type="dxa"/>
            <w:vAlign w:val="center"/>
          </w:tcPr>
          <w:p w14:paraId="76502DFC">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1170" w:type="dxa"/>
            <w:vAlign w:val="center"/>
          </w:tcPr>
          <w:p w14:paraId="4BA04FA1">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885" w:type="dxa"/>
          </w:tcPr>
          <w:p w14:paraId="0A871645">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56" w:type="dxa"/>
            <w:vAlign w:val="center"/>
          </w:tcPr>
          <w:p w14:paraId="739D88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auto"/>
                <w:kern w:val="0"/>
                <w:sz w:val="21"/>
                <w:szCs w:val="21"/>
                <w:highlight w:val="none"/>
                <w:u w:val="none"/>
                <w:lang w:val="en-US" w:eastAsia="zh-CN" w:bidi="ar"/>
              </w:rPr>
              <w:t>m</w:t>
            </w:r>
            <w:r>
              <w:rPr>
                <w:rStyle w:val="240"/>
                <w:color w:val="auto"/>
                <w:highlight w:val="none"/>
                <w:lang w:val="en-US" w:eastAsia="zh-CN" w:bidi="ar"/>
              </w:rPr>
              <w:t>2</w:t>
            </w:r>
          </w:p>
        </w:tc>
        <w:tc>
          <w:tcPr>
            <w:tcW w:w="979" w:type="dxa"/>
            <w:vAlign w:val="center"/>
          </w:tcPr>
          <w:p w14:paraId="411769B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4"/>
                <w:highlight w:val="none"/>
              </w:rPr>
            </w:pPr>
            <w:r>
              <w:rPr>
                <w:rFonts w:hint="eastAsia" w:ascii="宋体" w:hAnsi="宋体" w:eastAsia="宋体" w:cs="宋体"/>
                <w:i w:val="0"/>
                <w:iCs w:val="0"/>
                <w:color w:val="auto"/>
                <w:kern w:val="0"/>
                <w:sz w:val="21"/>
                <w:szCs w:val="21"/>
                <w:highlight w:val="none"/>
                <w:u w:val="none"/>
                <w:lang w:val="en-US" w:eastAsia="zh-CN" w:bidi="ar"/>
              </w:rPr>
              <w:t>178</w:t>
            </w:r>
          </w:p>
        </w:tc>
        <w:tc>
          <w:tcPr>
            <w:tcW w:w="735" w:type="dxa"/>
            <w:vAlign w:val="center"/>
          </w:tcPr>
          <w:p w14:paraId="7096D400">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735" w:type="dxa"/>
            <w:vAlign w:val="center"/>
          </w:tcPr>
          <w:p w14:paraId="1762BF97">
            <w:pPr>
              <w:keepNext w:val="0"/>
              <w:keepLines w:val="0"/>
              <w:suppressLineNumbers w:val="0"/>
              <w:spacing w:before="0" w:beforeAutospacing="0" w:after="0" w:afterAutospacing="0"/>
              <w:ind w:left="0" w:right="0"/>
              <w:rPr>
                <w:rFonts w:hint="default" w:ascii="宋体" w:hAnsi="宋体" w:cs="宋体"/>
                <w:color w:val="auto"/>
                <w:sz w:val="24"/>
                <w:highlight w:val="none"/>
              </w:rPr>
            </w:pPr>
          </w:p>
        </w:tc>
      </w:tr>
      <w:tr w14:paraId="03ED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1" w:type="dxa"/>
            <w:vAlign w:val="center"/>
          </w:tcPr>
          <w:p w14:paraId="34D2B63C">
            <w:pPr>
              <w:keepNext w:val="0"/>
              <w:keepLines w:val="0"/>
              <w:suppressLineNumbers w:val="0"/>
              <w:spacing w:before="0" w:beforeAutospacing="0" w:after="0" w:afterAutospacing="0" w:line="360" w:lineRule="auto"/>
              <w:ind w:left="0" w:right="0"/>
              <w:jc w:val="center"/>
              <w:rPr>
                <w:rFonts w:hint="default" w:ascii="Times New Roman" w:hAnsi="宋体"/>
                <w:color w:val="auto"/>
                <w:sz w:val="24"/>
                <w:highlight w:val="none"/>
              </w:rPr>
            </w:pPr>
            <w:r>
              <w:rPr>
                <w:rFonts w:hint="eastAsia" w:ascii="宋体" w:hAnsi="宋体" w:cs="宋体"/>
                <w:color w:val="auto"/>
                <w:sz w:val="24"/>
                <w:highlight w:val="none"/>
              </w:rPr>
              <w:t>7</w:t>
            </w:r>
          </w:p>
        </w:tc>
        <w:tc>
          <w:tcPr>
            <w:tcW w:w="1305" w:type="dxa"/>
            <w:vAlign w:val="center"/>
          </w:tcPr>
          <w:p w14:paraId="791F1FA0">
            <w:pPr>
              <w:keepNext w:val="0"/>
              <w:keepLines w:val="0"/>
              <w:widowControl/>
              <w:suppressLineNumbers w:val="0"/>
              <w:spacing w:before="0" w:beforeAutospacing="0" w:after="0" w:afterAutospacing="0"/>
              <w:ind w:left="0" w:right="0"/>
              <w:jc w:val="center"/>
              <w:textAlignment w:val="center"/>
              <w:rPr>
                <w:rFonts w:hint="default" w:ascii="Times New Roman" w:hAnsi="宋体"/>
                <w:color w:val="auto"/>
                <w:sz w:val="24"/>
                <w:highlight w:val="none"/>
              </w:rPr>
            </w:pPr>
            <w:r>
              <w:rPr>
                <w:rFonts w:hint="eastAsia" w:ascii="宋体" w:hAnsi="宋体" w:eastAsia="宋体" w:cs="宋体"/>
                <w:i w:val="0"/>
                <w:iCs w:val="0"/>
                <w:color w:val="auto"/>
                <w:kern w:val="0"/>
                <w:sz w:val="21"/>
                <w:szCs w:val="21"/>
                <w:highlight w:val="none"/>
                <w:u w:val="none"/>
                <w:lang w:val="en-US" w:eastAsia="zh-CN" w:bidi="ar"/>
              </w:rPr>
              <w:t>高压水除线</w:t>
            </w:r>
          </w:p>
        </w:tc>
        <w:tc>
          <w:tcPr>
            <w:tcW w:w="1545" w:type="dxa"/>
            <w:vAlign w:val="center"/>
          </w:tcPr>
          <w:p w14:paraId="34B5FF54">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1125" w:type="dxa"/>
            <w:vAlign w:val="center"/>
          </w:tcPr>
          <w:p w14:paraId="7B05E6AE">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1170" w:type="dxa"/>
            <w:vAlign w:val="center"/>
          </w:tcPr>
          <w:p w14:paraId="3F3DFA3B">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885" w:type="dxa"/>
          </w:tcPr>
          <w:p w14:paraId="2F98BBD1">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656" w:type="dxa"/>
            <w:vAlign w:val="center"/>
          </w:tcPr>
          <w:p w14:paraId="5F8BD3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highlight w:val="none"/>
              </w:rPr>
            </w:pPr>
            <w:r>
              <w:rPr>
                <w:rFonts w:hint="eastAsia" w:ascii="宋体" w:hAnsi="宋体" w:eastAsia="宋体" w:cs="宋体"/>
                <w:i w:val="0"/>
                <w:iCs w:val="0"/>
                <w:color w:val="auto"/>
                <w:kern w:val="0"/>
                <w:sz w:val="21"/>
                <w:szCs w:val="21"/>
                <w:highlight w:val="none"/>
                <w:u w:val="none"/>
                <w:lang w:val="en-US" w:eastAsia="zh-CN" w:bidi="ar"/>
              </w:rPr>
              <w:t>m</w:t>
            </w:r>
            <w:r>
              <w:rPr>
                <w:rStyle w:val="240"/>
                <w:color w:val="auto"/>
                <w:highlight w:val="none"/>
                <w:lang w:val="en-US" w:eastAsia="zh-CN" w:bidi="ar"/>
              </w:rPr>
              <w:t>2</w:t>
            </w:r>
          </w:p>
        </w:tc>
        <w:tc>
          <w:tcPr>
            <w:tcW w:w="979" w:type="dxa"/>
            <w:vAlign w:val="center"/>
          </w:tcPr>
          <w:p w14:paraId="3D83778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4"/>
                <w:highlight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735" w:type="dxa"/>
            <w:vAlign w:val="center"/>
          </w:tcPr>
          <w:p w14:paraId="0A288893">
            <w:pPr>
              <w:keepNext w:val="0"/>
              <w:keepLines w:val="0"/>
              <w:suppressLineNumbers w:val="0"/>
              <w:spacing w:before="0" w:beforeAutospacing="0" w:after="0" w:afterAutospacing="0"/>
              <w:ind w:left="0" w:right="0"/>
              <w:rPr>
                <w:rFonts w:hint="default" w:ascii="宋体" w:hAnsi="宋体" w:cs="宋体"/>
                <w:color w:val="auto"/>
                <w:sz w:val="24"/>
                <w:highlight w:val="none"/>
              </w:rPr>
            </w:pPr>
          </w:p>
        </w:tc>
        <w:tc>
          <w:tcPr>
            <w:tcW w:w="735" w:type="dxa"/>
            <w:vAlign w:val="center"/>
          </w:tcPr>
          <w:p w14:paraId="16BC806F">
            <w:pPr>
              <w:keepNext w:val="0"/>
              <w:keepLines w:val="0"/>
              <w:suppressLineNumbers w:val="0"/>
              <w:spacing w:before="0" w:beforeAutospacing="0" w:after="0" w:afterAutospacing="0"/>
              <w:ind w:left="0" w:right="0"/>
              <w:rPr>
                <w:rFonts w:hint="default" w:ascii="宋体" w:hAnsi="宋体" w:cs="宋体"/>
                <w:color w:val="auto"/>
                <w:sz w:val="24"/>
                <w:highlight w:val="none"/>
              </w:rPr>
            </w:pPr>
          </w:p>
        </w:tc>
      </w:tr>
    </w:tbl>
    <w:p w14:paraId="74DE19B5">
      <w:pPr>
        <w:numPr>
          <w:ilvl w:val="0"/>
          <w:numId w:val="0"/>
        </w:numPr>
        <w:rPr>
          <w:rFonts w:hint="eastAsia" w:ascii="宋体" w:hAnsi="宋体" w:eastAsia="宋体" w:cs="微软雅黑"/>
          <w:color w:val="auto"/>
          <w:kern w:val="0"/>
          <w:sz w:val="24"/>
          <w:highlight w:val="none"/>
          <w:lang w:val="en-US" w:eastAsia="zh-CN"/>
        </w:rPr>
      </w:pPr>
    </w:p>
    <w:p w14:paraId="36B17F66">
      <w:pPr>
        <w:numPr>
          <w:ilvl w:val="0"/>
          <w:numId w:val="17"/>
        </w:numPr>
        <w:ind w:left="-2" w:leftChars="-1" w:firstLine="480" w:firstLineChars="200"/>
        <w:rPr>
          <w:rFonts w:ascii="宋体" w:hAnsi="宋体" w:cs="微软雅黑"/>
          <w:color w:val="auto"/>
          <w:kern w:val="0"/>
          <w:sz w:val="24"/>
          <w:highlight w:val="none"/>
          <w:lang w:val="zh-CN"/>
        </w:rPr>
      </w:pPr>
      <w:r>
        <w:rPr>
          <w:rFonts w:hint="eastAsia" w:ascii="宋体" w:hAnsi="宋体" w:cs="微软雅黑"/>
          <w:color w:val="auto"/>
          <w:kern w:val="0"/>
          <w:sz w:val="24"/>
          <w:highlight w:val="none"/>
          <w:lang w:val="zh-CN"/>
        </w:rPr>
        <w:t>投标人需按本表格式填写，如无对应内容，则填写：“无或/”。</w:t>
      </w:r>
    </w:p>
    <w:p w14:paraId="28FDB0C5">
      <w:pPr>
        <w:spacing w:line="480" w:lineRule="auto"/>
        <w:ind w:left="420"/>
        <w:jc w:val="right"/>
        <w:rPr>
          <w:rFonts w:ascii="宋体" w:hAnsi="宋体" w:cs="微软雅黑"/>
          <w:color w:val="auto"/>
          <w:sz w:val="24"/>
          <w:highlight w:val="none"/>
          <w:u w:val="single"/>
        </w:rPr>
      </w:pPr>
      <w:r>
        <w:rPr>
          <w:rFonts w:hint="eastAsia" w:ascii="宋体" w:hAnsi="宋体" w:cs="微软雅黑"/>
          <w:color w:val="auto"/>
          <w:sz w:val="24"/>
          <w:highlight w:val="none"/>
        </w:rPr>
        <w:t>投标人名称（盖公章）：</w:t>
      </w:r>
    </w:p>
    <w:p w14:paraId="09B0B829">
      <w:pPr>
        <w:spacing w:line="480" w:lineRule="auto"/>
        <w:ind w:firstLine="424" w:firstLineChars="177"/>
        <w:jc w:val="right"/>
        <w:rPr>
          <w:rFonts w:ascii="宋体" w:hAnsi="宋体" w:cs="微软雅黑"/>
          <w:color w:val="auto"/>
          <w:sz w:val="24"/>
          <w:highlight w:val="none"/>
        </w:rPr>
      </w:pPr>
      <w:r>
        <w:rPr>
          <w:rFonts w:hint="eastAsia" w:ascii="宋体" w:hAnsi="宋体" w:cs="微软雅黑"/>
          <w:color w:val="auto"/>
          <w:sz w:val="24"/>
          <w:highlight w:val="none"/>
        </w:rPr>
        <w:t>法定代表人或代理人（签字或</w:t>
      </w:r>
      <w:r>
        <w:rPr>
          <w:rFonts w:hint="eastAsia" w:ascii="宋体" w:hAnsi="宋体" w:cs="微软雅黑"/>
          <w:color w:val="auto"/>
          <w:sz w:val="24"/>
          <w:highlight w:val="none"/>
          <w:lang w:eastAsia="zh-CN"/>
        </w:rPr>
        <w:t>签章</w:t>
      </w:r>
      <w:r>
        <w:rPr>
          <w:rFonts w:hint="eastAsia" w:ascii="宋体" w:hAnsi="宋体" w:cs="微软雅黑"/>
          <w:color w:val="auto"/>
          <w:sz w:val="24"/>
          <w:highlight w:val="none"/>
        </w:rPr>
        <w:t>）：</w:t>
      </w:r>
    </w:p>
    <w:p w14:paraId="2803C874">
      <w:pPr>
        <w:spacing w:line="360" w:lineRule="auto"/>
        <w:ind w:firstLine="435"/>
        <w:jc w:val="right"/>
        <w:rPr>
          <w:rFonts w:ascii="宋体" w:hAnsi="宋体" w:eastAsia="宋体" w:cs="宋体"/>
          <w:color w:val="auto"/>
          <w:szCs w:val="21"/>
          <w:highlight w:val="none"/>
        </w:rPr>
      </w:pPr>
      <w:r>
        <w:rPr>
          <w:rFonts w:hint="eastAsia" w:ascii="宋体" w:hAnsi="宋体" w:cs="微软雅黑"/>
          <w:color w:val="auto"/>
          <w:sz w:val="24"/>
          <w:highlight w:val="none"/>
        </w:rPr>
        <w:t>日        期：</w:t>
      </w:r>
    </w:p>
    <w:p w14:paraId="2452BC19">
      <w:pPr>
        <w:spacing w:line="480" w:lineRule="auto"/>
        <w:ind w:firstLine="435"/>
        <w:jc w:val="right"/>
        <w:rPr>
          <w:rFonts w:ascii="宋体" w:hAnsi="宋体" w:eastAsia="宋体" w:cs="宋体"/>
          <w:color w:val="auto"/>
          <w:szCs w:val="21"/>
          <w:highlight w:val="none"/>
        </w:rPr>
      </w:pPr>
    </w:p>
    <w:p w14:paraId="4E358825">
      <w:pPr>
        <w:pageBreakBefore/>
        <w:widowControl w:val="0"/>
        <w:spacing w:line="360" w:lineRule="auto"/>
        <w:ind w:left="0" w:leftChars="0" w:firstLine="0" w:firstLineChars="0"/>
        <w:jc w:val="center"/>
        <w:rPr>
          <w:rFonts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三、中小企业声明函、监狱企业、残疾人福利性单位及其他相关的充分的证明材料</w:t>
      </w:r>
    </w:p>
    <w:p w14:paraId="09EA82B8">
      <w:pPr>
        <w:jc w:val="center"/>
        <w:rPr>
          <w:rFonts w:hint="eastAsia" w:ascii="宋体" w:hAnsi="宋体" w:eastAsia="宋体" w:cs="宋体"/>
          <w:b/>
          <w:bCs/>
          <w:color w:val="auto"/>
          <w:kern w:val="0"/>
          <w:sz w:val="32"/>
          <w:szCs w:val="32"/>
          <w:highlight w:val="none"/>
          <w:lang w:eastAsia="zh-CN"/>
        </w:rPr>
      </w:pPr>
      <w:r>
        <w:rPr>
          <w:rFonts w:hint="eastAsia" w:ascii="宋体" w:hAnsi="宋体" w:eastAsia="宋体" w:cs="宋体"/>
          <w:b/>
          <w:bCs/>
          <w:color w:val="auto"/>
          <w:kern w:val="0"/>
          <w:sz w:val="32"/>
          <w:szCs w:val="32"/>
          <w:highlight w:val="none"/>
          <w:lang w:eastAsia="zh-CN"/>
        </w:rPr>
        <w:t>三</w:t>
      </w:r>
      <w:r>
        <w:rPr>
          <w:rFonts w:hint="eastAsia" w:ascii="宋体" w:hAnsi="宋体" w:eastAsia="宋体" w:cs="宋体"/>
          <w:b/>
          <w:bCs/>
          <w:color w:val="auto"/>
          <w:kern w:val="0"/>
          <w:sz w:val="32"/>
          <w:szCs w:val="32"/>
          <w:highlight w:val="none"/>
          <w:lang w:val="en-US" w:eastAsia="zh-CN"/>
        </w:rPr>
        <w:t>-1</w:t>
      </w:r>
      <w:r>
        <w:rPr>
          <w:rFonts w:hint="eastAsia" w:ascii="宋体" w:hAnsi="宋体" w:eastAsia="宋体" w:cs="宋体"/>
          <w:b/>
          <w:bCs/>
          <w:color w:val="auto"/>
          <w:kern w:val="0"/>
          <w:sz w:val="32"/>
          <w:szCs w:val="32"/>
          <w:highlight w:val="none"/>
        </w:rPr>
        <w:t>中小企业声明函</w:t>
      </w:r>
    </w:p>
    <w:p w14:paraId="6A861EB6">
      <w:pPr>
        <w:spacing w:line="360" w:lineRule="auto"/>
        <w:ind w:firstLine="533" w:firstLineChars="177"/>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中小企业声明函（</w:t>
      </w:r>
      <w:r>
        <w:rPr>
          <w:rFonts w:hint="eastAsia" w:ascii="宋体" w:hAnsi="宋体" w:cs="宋体"/>
          <w:b/>
          <w:color w:val="auto"/>
          <w:sz w:val="32"/>
          <w:szCs w:val="32"/>
          <w:highlight w:val="none"/>
        </w:rPr>
        <w:t>货物</w:t>
      </w:r>
      <w:r>
        <w:rPr>
          <w:rFonts w:hint="eastAsia" w:ascii="宋体" w:hAnsi="宋体" w:eastAsia="宋体" w:cs="宋体"/>
          <w:b/>
          <w:color w:val="auto"/>
          <w:sz w:val="30"/>
          <w:szCs w:val="30"/>
          <w:highlight w:val="none"/>
        </w:rPr>
        <w:t>）</w:t>
      </w:r>
    </w:p>
    <w:p w14:paraId="1203B6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43174FF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w:t>
      </w:r>
      <w:r>
        <w:rPr>
          <w:rFonts w:hint="eastAsia" w:cs="Times New Roman" w:asciiTheme="minorEastAsia" w:hAnsiTheme="minorEastAsia" w:eastAsiaTheme="minorEastAsia"/>
          <w:color w:val="auto"/>
          <w:sz w:val="24"/>
          <w:szCs w:val="24"/>
          <w:highlight w:val="none"/>
          <w:u w:val="single"/>
        </w:rPr>
        <w:t>普通热熔标线</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cs="Times New Roman" w:asciiTheme="minorEastAsia" w:hAnsiTheme="minorEastAsia" w:eastAsiaTheme="minorEastAsia"/>
          <w:color w:val="auto"/>
          <w:sz w:val="24"/>
          <w:szCs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（中型企业、小型企业、微型企业）；</w:t>
      </w:r>
    </w:p>
    <w:p w14:paraId="144525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cs="Times New Roman" w:asciiTheme="minorEastAsia" w:hAnsiTheme="minorEastAsia" w:eastAsiaTheme="minorEastAsia"/>
          <w:color w:val="auto"/>
          <w:sz w:val="24"/>
          <w:szCs w:val="24"/>
          <w:highlight w:val="none"/>
          <w:u w:val="single"/>
        </w:rPr>
        <w:t>普通热熔振荡标线</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cs="Times New Roman" w:asciiTheme="minorEastAsia" w:hAnsiTheme="minorEastAsia" w:eastAsiaTheme="minorEastAsia"/>
          <w:color w:val="auto"/>
          <w:sz w:val="24"/>
          <w:szCs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（中型企业、小型企业、微型企业）；</w:t>
      </w:r>
    </w:p>
    <w:p w14:paraId="332C5B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eastAsia="宋体" w:cs="宋体"/>
          <w:i w:val="0"/>
          <w:iCs w:val="0"/>
          <w:color w:val="auto"/>
          <w:kern w:val="0"/>
          <w:sz w:val="24"/>
          <w:szCs w:val="24"/>
          <w:highlight w:val="none"/>
          <w:u w:val="single"/>
          <w:lang w:val="en-US" w:eastAsia="zh-CN" w:bidi="ar"/>
        </w:rPr>
        <w:t>彩色防滑路面标线</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cs="Times New Roman" w:asciiTheme="minorEastAsia" w:hAnsiTheme="minorEastAsia" w:eastAsiaTheme="minorEastAsia"/>
          <w:color w:val="auto"/>
          <w:sz w:val="24"/>
          <w:szCs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（中型企业、小型企业、微型企业）；</w:t>
      </w:r>
    </w:p>
    <w:p w14:paraId="669828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eastAsia="宋体" w:cs="宋体"/>
          <w:i w:val="0"/>
          <w:iCs w:val="0"/>
          <w:color w:val="auto"/>
          <w:kern w:val="0"/>
          <w:sz w:val="24"/>
          <w:szCs w:val="24"/>
          <w:highlight w:val="none"/>
          <w:u w:val="single"/>
          <w:lang w:val="en-US" w:eastAsia="zh-CN" w:bidi="ar"/>
        </w:rPr>
        <w:t>双组份反光型标线（喷涂）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cs="Times New Roman" w:asciiTheme="minorEastAsia" w:hAnsiTheme="minorEastAsia" w:eastAsiaTheme="minorEastAsia"/>
          <w:color w:val="auto"/>
          <w:sz w:val="24"/>
          <w:szCs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（中型企业、小型企业、微型企业）；</w:t>
      </w:r>
    </w:p>
    <w:p w14:paraId="722EF3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eastAsia="宋体" w:cs="宋体"/>
          <w:i w:val="0"/>
          <w:iCs w:val="0"/>
          <w:color w:val="auto"/>
          <w:kern w:val="0"/>
          <w:sz w:val="24"/>
          <w:szCs w:val="24"/>
          <w:highlight w:val="none"/>
          <w:u w:val="single"/>
          <w:lang w:val="en-US" w:eastAsia="zh-CN" w:bidi="ar"/>
        </w:rPr>
        <w:t>双组份突起型反光标线（甩涂</w:t>
      </w:r>
      <w:r>
        <w:rPr>
          <w:rFonts w:hint="eastAsia" w:ascii="宋体" w:hAnsi="宋体" w:cs="宋体"/>
          <w:i w:val="0"/>
          <w:iCs w:val="0"/>
          <w:color w:val="auto"/>
          <w:kern w:val="0"/>
          <w:sz w:val="24"/>
          <w:szCs w:val="24"/>
          <w:highlight w:val="none"/>
          <w:u w:val="single"/>
          <w:lang w:val="en-US" w:eastAsia="zh-CN" w:bidi="ar"/>
        </w:rPr>
        <w:t>、刮涂、点涂</w:t>
      </w:r>
      <w:r>
        <w:rPr>
          <w:rFonts w:hint="eastAsia" w:ascii="宋体" w:hAnsi="宋体" w:eastAsia="宋体" w:cs="宋体"/>
          <w:i w:val="0"/>
          <w:iCs w:val="0"/>
          <w:color w:val="auto"/>
          <w:kern w:val="0"/>
          <w:sz w:val="24"/>
          <w:szCs w:val="24"/>
          <w:highlight w:val="none"/>
          <w:u w:val="single"/>
          <w:lang w:val="en-US" w:eastAsia="zh-CN" w:bidi="ar"/>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cs="Times New Roman" w:asciiTheme="minorEastAsia" w:hAnsiTheme="minorEastAsia" w:eastAsiaTheme="minorEastAsia"/>
          <w:color w:val="auto"/>
          <w:sz w:val="24"/>
          <w:szCs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（中型企业、小型企业、微型企业）；</w:t>
      </w:r>
    </w:p>
    <w:p w14:paraId="181968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eastAsia="宋体" w:cs="宋体"/>
          <w:i w:val="0"/>
          <w:iCs w:val="0"/>
          <w:color w:val="auto"/>
          <w:kern w:val="0"/>
          <w:sz w:val="24"/>
          <w:szCs w:val="24"/>
          <w:highlight w:val="none"/>
          <w:u w:val="single"/>
          <w:lang w:val="en-US" w:eastAsia="zh-CN" w:bidi="ar"/>
        </w:rPr>
        <w:t>热熔雨夜标线</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cs="Times New Roman" w:asciiTheme="minorEastAsia" w:hAnsiTheme="minorEastAsia" w:eastAsiaTheme="minorEastAsia"/>
          <w:color w:val="auto"/>
          <w:sz w:val="24"/>
          <w:szCs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（中型企业、小型企业、微型企业）；</w:t>
      </w:r>
    </w:p>
    <w:p w14:paraId="3BE167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eastAsia="宋体" w:cs="宋体"/>
          <w:i w:val="0"/>
          <w:iCs w:val="0"/>
          <w:color w:val="auto"/>
          <w:kern w:val="0"/>
          <w:sz w:val="24"/>
          <w:szCs w:val="24"/>
          <w:highlight w:val="none"/>
          <w:u w:val="single"/>
          <w:lang w:val="en-US" w:eastAsia="zh-CN" w:bidi="ar"/>
        </w:rPr>
        <w:t>高压水除线</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cs="Times New Roman" w:asciiTheme="minorEastAsia" w:hAnsiTheme="minorEastAsia" w:eastAsiaTheme="minorEastAsia"/>
          <w:color w:val="auto"/>
          <w:sz w:val="24"/>
          <w:szCs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（中型企业、小型企业、微型企业）；</w:t>
      </w:r>
    </w:p>
    <w:p w14:paraId="28FBAB42">
      <w:pPr>
        <w:spacing w:line="360" w:lineRule="auto"/>
        <w:ind w:firstLine="480" w:firstLineChars="200"/>
        <w:rPr>
          <w:rFonts w:ascii="宋体" w:hAnsi="宋体" w:cs="宋体"/>
          <w:color w:val="auto"/>
          <w:sz w:val="24"/>
          <w:highlight w:val="none"/>
        </w:rPr>
      </w:pPr>
    </w:p>
    <w:p w14:paraId="656BE4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2A8C3F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B8C784F">
      <w:pPr>
        <w:kinsoku/>
        <w:overflowPunct/>
        <w:topLinePunct w:val="0"/>
        <w:bidi w:val="0"/>
        <w:spacing w:beforeAutospacing="0" w:afterAutospacing="0"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highlight w:val="none"/>
        </w:rPr>
        <w:t>本企业对上述声明内容的真实性负责。如有虚假，将依法承担相应责任</w:t>
      </w:r>
      <w:r>
        <w:rPr>
          <w:rFonts w:hint="eastAsia" w:ascii="宋体" w:hAnsi="宋体" w:eastAsia="宋体" w:cs="宋体"/>
          <w:color w:val="auto"/>
          <w:sz w:val="24"/>
          <w:szCs w:val="24"/>
          <w:highlight w:val="none"/>
        </w:rPr>
        <w:t>。</w:t>
      </w:r>
    </w:p>
    <w:p w14:paraId="7B9E7417">
      <w:pPr>
        <w:kinsoku/>
        <w:overflowPunct/>
        <w:topLinePunct w:val="0"/>
        <w:bidi w:val="0"/>
        <w:spacing w:beforeAutospacing="0" w:afterAutospacing="0" w:line="440" w:lineRule="exact"/>
        <w:ind w:right="420" w:firstLine="5880" w:firstLineChars="2450"/>
        <w:jc w:val="left"/>
        <w:rPr>
          <w:rFonts w:hint="eastAsia" w:ascii="宋体" w:hAnsi="宋体" w:eastAsia="宋体" w:cs="宋体"/>
          <w:color w:val="auto"/>
          <w:sz w:val="24"/>
          <w:szCs w:val="24"/>
          <w:highlight w:val="none"/>
        </w:rPr>
      </w:pPr>
    </w:p>
    <w:p w14:paraId="12A285C0">
      <w:pPr>
        <w:kinsoku/>
        <w:overflowPunct/>
        <w:topLinePunct w:val="0"/>
        <w:bidi w:val="0"/>
        <w:spacing w:beforeAutospacing="0" w:afterAutospacing="0" w:line="440" w:lineRule="exact"/>
        <w:ind w:right="3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供应商名称（电子签名）：</w:t>
      </w:r>
    </w:p>
    <w:p w14:paraId="45B285E9">
      <w:pPr>
        <w:kinsoku/>
        <w:overflowPunct/>
        <w:topLinePunct w:val="0"/>
        <w:bidi w:val="0"/>
        <w:spacing w:beforeAutospacing="0" w:afterAutospacing="0" w:line="440" w:lineRule="exact"/>
        <w:ind w:right="420" w:firstLine="5520" w:firstLineChars="23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3A468EC9">
      <w:pPr>
        <w:kinsoku/>
        <w:overflowPunct/>
        <w:topLinePunct w:val="0"/>
        <w:bidi w:val="0"/>
        <w:spacing w:beforeAutospacing="0" w:afterAutospacing="0"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14:paraId="7BF4A401">
      <w:pPr>
        <w:kinsoku/>
        <w:overflowPunct/>
        <w:topLinePunct w:val="0"/>
        <w:bidi w:val="0"/>
        <w:spacing w:beforeAutospacing="0" w:afterAutospacing="0"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填写要求：①“标的名称”、“采购文件中明确的所属行业”依据招标文件第二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中的企业划型标准进行填报（</w:t>
      </w:r>
      <w:r>
        <w:rPr>
          <w:rFonts w:hint="eastAsia" w:ascii="宋体" w:hAnsi="宋体" w:eastAsia="宋体" w:cs="宋体"/>
          <w:color w:val="auto"/>
          <w:sz w:val="24"/>
          <w:szCs w:val="24"/>
          <w:highlight w:val="none"/>
        </w:rPr>
        <w:t>如国家颁布新的企业划型标准，则按最新标准执行。</w:t>
      </w:r>
      <w:r>
        <w:rPr>
          <w:rFonts w:hint="eastAsia" w:ascii="宋体" w:hAnsi="宋体" w:eastAsia="宋体" w:cs="宋体"/>
          <w:b/>
          <w:color w:val="auto"/>
          <w:sz w:val="24"/>
          <w:szCs w:val="24"/>
          <w:highlight w:val="none"/>
        </w:rPr>
        <w:t>）；④供应商提供的《中小企业声明函》与实际情况不符的或者未按以上要求填写的，中小企业声明函无效，不享受中小企业扶持政策。声明内容不实的，属于提供虚假材料谋取中标、成交的，依法承担法律责任。</w:t>
      </w:r>
    </w:p>
    <w:p w14:paraId="6CCEC9ED">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32"/>
          <w:szCs w:val="32"/>
          <w:highlight w:val="none"/>
          <w:lang w:eastAsia="zh-CN"/>
        </w:rPr>
      </w:pPr>
      <w:r>
        <w:rPr>
          <w:rFonts w:hint="eastAsia" w:ascii="宋体" w:hAnsi="宋体" w:eastAsia="宋体" w:cs="宋体"/>
          <w:b/>
          <w:bCs/>
          <w:color w:val="auto"/>
          <w:kern w:val="0"/>
          <w:sz w:val="32"/>
          <w:szCs w:val="32"/>
          <w:highlight w:val="none"/>
          <w:lang w:eastAsia="zh-CN"/>
        </w:rPr>
        <w:t>三</w:t>
      </w:r>
      <w:r>
        <w:rPr>
          <w:rFonts w:hint="eastAsia" w:ascii="宋体" w:hAnsi="宋体" w:eastAsia="宋体" w:cs="宋体"/>
          <w:b/>
          <w:bCs/>
          <w:color w:val="auto"/>
          <w:kern w:val="0"/>
          <w:sz w:val="32"/>
          <w:szCs w:val="32"/>
          <w:highlight w:val="none"/>
          <w:lang w:val="en-US" w:eastAsia="zh-CN"/>
        </w:rPr>
        <w:t>-2</w:t>
      </w:r>
      <w:r>
        <w:rPr>
          <w:rFonts w:hint="eastAsia" w:ascii="宋体" w:hAnsi="宋体" w:cs="宋体"/>
          <w:b/>
          <w:bCs/>
          <w:color w:val="auto"/>
          <w:kern w:val="0"/>
          <w:sz w:val="32"/>
          <w:szCs w:val="32"/>
          <w:highlight w:val="none"/>
          <w:lang w:val="en-US" w:eastAsia="zh-CN"/>
        </w:rPr>
        <w:t xml:space="preserve">    </w:t>
      </w:r>
      <w:r>
        <w:rPr>
          <w:rFonts w:hint="eastAsia" w:ascii="宋体" w:hAnsi="宋体" w:eastAsia="宋体" w:cs="宋体"/>
          <w:b/>
          <w:bCs/>
          <w:color w:val="auto"/>
          <w:kern w:val="0"/>
          <w:sz w:val="32"/>
          <w:szCs w:val="32"/>
          <w:highlight w:val="none"/>
          <w:lang w:eastAsia="zh-CN"/>
        </w:rPr>
        <w:t>残疾人福利性单位声明函</w:t>
      </w:r>
    </w:p>
    <w:p w14:paraId="7E7011C9">
      <w:pPr>
        <w:kinsoku/>
        <w:overflowPunct/>
        <w:topLinePunct w:val="0"/>
        <w:bidi w:val="0"/>
        <w:spacing w:beforeAutospacing="0" w:afterAutospacing="0" w:line="440" w:lineRule="exact"/>
        <w:jc w:val="center"/>
        <w:rPr>
          <w:rFonts w:hint="eastAsia" w:ascii="仿宋" w:hAnsi="仿宋" w:eastAsia="仿宋" w:cs="仿宋"/>
          <w:b/>
          <w:color w:val="auto"/>
          <w:spacing w:val="6"/>
          <w:sz w:val="32"/>
          <w:szCs w:val="32"/>
          <w:highlight w:val="none"/>
        </w:rPr>
      </w:pPr>
      <w:bookmarkStart w:id="160" w:name="OLE_LINK14"/>
      <w:bookmarkStart w:id="161" w:name="OLE_LINK13"/>
    </w:p>
    <w:p w14:paraId="10F8553F">
      <w:pPr>
        <w:kinsoku/>
        <w:overflowPunct/>
        <w:topLinePunct w:val="0"/>
        <w:bidi w:val="0"/>
        <w:spacing w:beforeAutospacing="0" w:afterAutospacing="0" w:line="440" w:lineRule="exact"/>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bookmarkEnd w:id="160"/>
    <w:bookmarkEnd w:id="161"/>
    <w:p w14:paraId="613C0393">
      <w:pPr>
        <w:kinsoku/>
        <w:overflowPunct/>
        <w:topLinePunct w:val="0"/>
        <w:bidi w:val="0"/>
        <w:spacing w:beforeAutospacing="0" w:afterAutospacing="0" w:line="440" w:lineRule="exact"/>
        <w:rPr>
          <w:rFonts w:hint="eastAsia" w:ascii="宋体" w:hAnsi="宋体" w:eastAsia="宋体" w:cs="宋体"/>
          <w:b/>
          <w:color w:val="auto"/>
          <w:spacing w:val="6"/>
          <w:sz w:val="30"/>
          <w:szCs w:val="30"/>
          <w:highlight w:val="none"/>
        </w:rPr>
      </w:pPr>
    </w:p>
    <w:p w14:paraId="19E939F4">
      <w:pPr>
        <w:kinsoku/>
        <w:overflowPunct/>
        <w:topLinePunct w:val="0"/>
        <w:bidi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szCs w:val="24"/>
          <w:highlight w:val="none"/>
          <w:u w:val="single"/>
        </w:rPr>
        <w:t>（采购人）</w:t>
      </w:r>
      <w:r>
        <w:rPr>
          <w:rFonts w:hint="eastAsia" w:ascii="宋体" w:hAnsi="宋体" w:eastAsia="宋体" w:cs="宋体"/>
          <w:color w:val="auto"/>
          <w:sz w:val="24"/>
          <w:szCs w:val="24"/>
          <w:highlight w:val="none"/>
        </w:rPr>
        <w:t>_单位的_</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__项目采购活动提供本单位制造的货物（由本单位承担工程/提供服务），或者提供其他残疾人福利性单位制造的货物（不包括使用非残疾人福利性单位注册商标的货物）。</w:t>
      </w:r>
    </w:p>
    <w:p w14:paraId="4526A11A">
      <w:pPr>
        <w:kinsoku/>
        <w:overflowPunct/>
        <w:topLinePunct w:val="0"/>
        <w:bidi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367C09E4">
      <w:pPr>
        <w:kinsoku/>
        <w:overflowPunct/>
        <w:topLinePunct w:val="0"/>
        <w:bidi w:val="0"/>
        <w:spacing w:beforeAutospacing="0" w:afterAutospacing="0" w:line="440" w:lineRule="exact"/>
        <w:ind w:firstLine="480" w:firstLineChars="200"/>
        <w:rPr>
          <w:rFonts w:hint="eastAsia" w:ascii="宋体" w:hAnsi="宋体" w:eastAsia="宋体" w:cs="宋体"/>
          <w:color w:val="auto"/>
          <w:sz w:val="24"/>
          <w:szCs w:val="24"/>
          <w:highlight w:val="none"/>
        </w:rPr>
      </w:pPr>
    </w:p>
    <w:p w14:paraId="0E0B4507">
      <w:pPr>
        <w:kinsoku/>
        <w:overflowPunct/>
        <w:topLinePunct w:val="0"/>
        <w:bidi w:val="0"/>
        <w:spacing w:beforeAutospacing="0" w:afterAutospacing="0" w:line="440" w:lineRule="exact"/>
        <w:ind w:firstLine="480" w:firstLineChars="200"/>
        <w:rPr>
          <w:rFonts w:hint="eastAsia" w:ascii="宋体" w:hAnsi="宋体" w:eastAsia="宋体" w:cs="宋体"/>
          <w:color w:val="auto"/>
          <w:sz w:val="24"/>
          <w:szCs w:val="24"/>
          <w:highlight w:val="none"/>
        </w:rPr>
      </w:pPr>
    </w:p>
    <w:p w14:paraId="67B89FFA">
      <w:pPr>
        <w:tabs>
          <w:tab w:val="left" w:pos="4860"/>
        </w:tabs>
        <w:kinsoku/>
        <w:overflowPunct/>
        <w:topLinePunct w:val="0"/>
        <w:bidi w:val="0"/>
        <w:spacing w:beforeAutospacing="0" w:afterAutospacing="0" w:line="440" w:lineRule="exact"/>
        <w:ind w:right="15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lang w:val="zh-CN"/>
        </w:rPr>
        <w:t>供应商名称（电子签名）</w:t>
      </w:r>
      <w:r>
        <w:rPr>
          <w:rFonts w:hint="eastAsia" w:ascii="宋体" w:hAnsi="宋体" w:eastAsia="宋体" w:cs="宋体"/>
          <w:color w:val="auto"/>
          <w:sz w:val="24"/>
          <w:szCs w:val="24"/>
          <w:highlight w:val="none"/>
        </w:rPr>
        <w:t>：</w:t>
      </w:r>
    </w:p>
    <w:p w14:paraId="5EDD91A4">
      <w:pPr>
        <w:tabs>
          <w:tab w:val="left" w:pos="4860"/>
        </w:tabs>
        <w:kinsoku/>
        <w:overflowPunct/>
        <w:topLinePunct w:val="0"/>
        <w:bidi w:val="0"/>
        <w:spacing w:beforeAutospacing="0" w:afterAutospacing="0" w:line="440" w:lineRule="exact"/>
        <w:ind w:right="15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7268720A">
      <w:pPr>
        <w:widowControl w:val="0"/>
        <w:snapToGrid w:val="0"/>
        <w:spacing w:line="500" w:lineRule="exact"/>
        <w:ind w:firstLine="720"/>
        <w:jc w:val="center"/>
        <w:rPr>
          <w:rFonts w:hint="eastAsia" w:ascii="宋体" w:hAnsi="宋体" w:eastAsia="宋体" w:cs="宋体"/>
          <w:b/>
          <w:color w:val="auto"/>
          <w:kern w:val="2"/>
          <w:sz w:val="32"/>
          <w:szCs w:val="32"/>
          <w:highlight w:val="none"/>
          <w:lang w:val="en-US" w:eastAsia="zh-CN" w:bidi="ar-SA"/>
        </w:rPr>
      </w:pPr>
    </w:p>
    <w:p w14:paraId="636F64AB">
      <w:pPr>
        <w:widowControl w:val="0"/>
        <w:snapToGrid w:val="0"/>
        <w:spacing w:line="500" w:lineRule="exact"/>
        <w:ind w:firstLine="720"/>
        <w:jc w:val="center"/>
        <w:rPr>
          <w:rFonts w:hint="eastAsia" w:ascii="宋体" w:hAnsi="宋体" w:eastAsia="宋体" w:cs="宋体"/>
          <w:b/>
          <w:color w:val="auto"/>
          <w:kern w:val="2"/>
          <w:sz w:val="32"/>
          <w:szCs w:val="32"/>
          <w:highlight w:val="none"/>
          <w:lang w:val="en-US" w:eastAsia="zh-CN" w:bidi="ar-SA"/>
        </w:rPr>
      </w:pPr>
    </w:p>
    <w:p w14:paraId="28A400F3">
      <w:pPr>
        <w:widowControl w:val="0"/>
        <w:snapToGrid w:val="0"/>
        <w:spacing w:line="500" w:lineRule="exact"/>
        <w:ind w:firstLine="720"/>
        <w:jc w:val="center"/>
        <w:rPr>
          <w:rFonts w:hint="eastAsia" w:ascii="宋体" w:hAnsi="宋体" w:eastAsia="宋体" w:cs="宋体"/>
          <w:b/>
          <w:color w:val="auto"/>
          <w:kern w:val="2"/>
          <w:sz w:val="32"/>
          <w:szCs w:val="32"/>
          <w:highlight w:val="none"/>
          <w:lang w:val="en-US" w:eastAsia="zh-CN" w:bidi="ar-SA"/>
        </w:rPr>
      </w:pPr>
    </w:p>
    <w:p w14:paraId="21C128FB">
      <w:pPr>
        <w:widowControl w:val="0"/>
        <w:snapToGrid w:val="0"/>
        <w:spacing w:line="500" w:lineRule="exact"/>
        <w:ind w:firstLine="720"/>
        <w:jc w:val="center"/>
        <w:rPr>
          <w:rFonts w:hint="eastAsia" w:ascii="宋体" w:hAnsi="宋体" w:eastAsia="宋体" w:cs="宋体"/>
          <w:b/>
          <w:color w:val="auto"/>
          <w:kern w:val="2"/>
          <w:sz w:val="32"/>
          <w:szCs w:val="32"/>
          <w:highlight w:val="none"/>
          <w:lang w:val="en-US" w:eastAsia="zh-CN" w:bidi="ar-SA"/>
        </w:rPr>
      </w:pPr>
    </w:p>
    <w:p w14:paraId="2AA0AA59">
      <w:pPr>
        <w:widowControl w:val="0"/>
        <w:snapToGrid w:val="0"/>
        <w:spacing w:line="500" w:lineRule="exact"/>
        <w:ind w:firstLine="720"/>
        <w:jc w:val="center"/>
        <w:rPr>
          <w:rFonts w:hint="eastAsia" w:ascii="宋体" w:hAnsi="宋体" w:eastAsia="宋体" w:cs="宋体"/>
          <w:b/>
          <w:color w:val="auto"/>
          <w:kern w:val="2"/>
          <w:sz w:val="32"/>
          <w:szCs w:val="32"/>
          <w:highlight w:val="none"/>
          <w:lang w:val="en-US" w:eastAsia="zh-CN" w:bidi="ar-SA"/>
        </w:rPr>
      </w:pPr>
    </w:p>
    <w:p w14:paraId="45C9982B">
      <w:pPr>
        <w:widowControl w:val="0"/>
        <w:snapToGrid w:val="0"/>
        <w:spacing w:line="500" w:lineRule="exact"/>
        <w:ind w:firstLine="720"/>
        <w:jc w:val="center"/>
        <w:rPr>
          <w:rFonts w:hint="eastAsia" w:ascii="宋体" w:hAnsi="宋体" w:eastAsia="宋体" w:cs="宋体"/>
          <w:b/>
          <w:color w:val="auto"/>
          <w:kern w:val="2"/>
          <w:sz w:val="32"/>
          <w:szCs w:val="32"/>
          <w:highlight w:val="none"/>
          <w:lang w:val="en-US" w:eastAsia="zh-CN" w:bidi="ar-SA"/>
        </w:rPr>
      </w:pPr>
    </w:p>
    <w:p w14:paraId="0F5D0DAE">
      <w:pPr>
        <w:widowControl w:val="0"/>
        <w:snapToGrid w:val="0"/>
        <w:spacing w:line="500" w:lineRule="exact"/>
        <w:ind w:firstLine="720"/>
        <w:jc w:val="center"/>
        <w:rPr>
          <w:rFonts w:hint="eastAsia" w:ascii="宋体" w:hAnsi="宋体" w:eastAsia="宋体" w:cs="宋体"/>
          <w:b/>
          <w:color w:val="auto"/>
          <w:kern w:val="2"/>
          <w:sz w:val="32"/>
          <w:szCs w:val="32"/>
          <w:highlight w:val="none"/>
          <w:lang w:val="en-US" w:eastAsia="zh-CN" w:bidi="ar-SA"/>
        </w:rPr>
      </w:pPr>
    </w:p>
    <w:p w14:paraId="71367D30">
      <w:pPr>
        <w:widowControl w:val="0"/>
        <w:snapToGrid w:val="0"/>
        <w:spacing w:line="500" w:lineRule="exact"/>
        <w:ind w:firstLine="720"/>
        <w:jc w:val="center"/>
        <w:rPr>
          <w:rFonts w:hint="eastAsia" w:ascii="宋体" w:hAnsi="宋体" w:eastAsia="宋体" w:cs="宋体"/>
          <w:b/>
          <w:color w:val="auto"/>
          <w:kern w:val="2"/>
          <w:sz w:val="32"/>
          <w:szCs w:val="32"/>
          <w:highlight w:val="none"/>
          <w:lang w:val="en-US" w:eastAsia="zh-CN" w:bidi="ar-SA"/>
        </w:rPr>
      </w:pPr>
    </w:p>
    <w:p w14:paraId="2F572D7B">
      <w:pPr>
        <w:widowControl w:val="0"/>
        <w:snapToGrid w:val="0"/>
        <w:spacing w:line="500" w:lineRule="exact"/>
        <w:ind w:firstLine="720"/>
        <w:jc w:val="center"/>
        <w:rPr>
          <w:rFonts w:hint="eastAsia" w:ascii="宋体" w:hAnsi="宋体" w:eastAsia="宋体" w:cs="宋体"/>
          <w:b/>
          <w:color w:val="auto"/>
          <w:kern w:val="2"/>
          <w:sz w:val="32"/>
          <w:szCs w:val="32"/>
          <w:highlight w:val="none"/>
          <w:lang w:val="en-US" w:eastAsia="zh-CN" w:bidi="ar-SA"/>
        </w:rPr>
      </w:pPr>
    </w:p>
    <w:p w14:paraId="61C4D5F4">
      <w:pPr>
        <w:widowControl w:val="0"/>
        <w:snapToGrid w:val="0"/>
        <w:spacing w:line="500" w:lineRule="exact"/>
        <w:ind w:firstLine="720"/>
        <w:jc w:val="center"/>
        <w:rPr>
          <w:rFonts w:hint="eastAsia" w:ascii="宋体" w:hAnsi="宋体" w:eastAsia="宋体" w:cs="宋体"/>
          <w:b/>
          <w:color w:val="auto"/>
          <w:kern w:val="2"/>
          <w:sz w:val="32"/>
          <w:szCs w:val="32"/>
          <w:highlight w:val="none"/>
          <w:lang w:val="en-US" w:eastAsia="zh-CN" w:bidi="ar-SA"/>
        </w:rPr>
      </w:pPr>
    </w:p>
    <w:p w14:paraId="7D9FA32E">
      <w:pPr>
        <w:widowControl w:val="0"/>
        <w:snapToGrid w:val="0"/>
        <w:spacing w:line="500" w:lineRule="exact"/>
        <w:ind w:firstLine="720"/>
        <w:jc w:val="center"/>
        <w:rPr>
          <w:rFonts w:hint="eastAsia" w:ascii="宋体" w:hAnsi="宋体" w:eastAsia="宋体" w:cs="宋体"/>
          <w:b/>
          <w:color w:val="auto"/>
          <w:kern w:val="2"/>
          <w:sz w:val="32"/>
          <w:szCs w:val="32"/>
          <w:highlight w:val="none"/>
          <w:lang w:val="en-US" w:eastAsia="zh-CN" w:bidi="ar-SA"/>
        </w:rPr>
      </w:pPr>
    </w:p>
    <w:p w14:paraId="073C2187">
      <w:pPr>
        <w:widowControl w:val="0"/>
        <w:snapToGrid w:val="0"/>
        <w:spacing w:line="500" w:lineRule="exact"/>
        <w:ind w:firstLine="720"/>
        <w:jc w:val="center"/>
        <w:rPr>
          <w:rFonts w:hint="eastAsia" w:ascii="宋体" w:hAnsi="宋体" w:eastAsia="宋体" w:cs="宋体"/>
          <w:b/>
          <w:color w:val="auto"/>
          <w:kern w:val="2"/>
          <w:sz w:val="32"/>
          <w:szCs w:val="32"/>
          <w:highlight w:val="none"/>
          <w:lang w:val="en-US" w:eastAsia="zh-CN" w:bidi="ar-SA"/>
        </w:rPr>
      </w:pPr>
    </w:p>
    <w:p w14:paraId="3245F7EF">
      <w:pPr>
        <w:widowControl w:val="0"/>
        <w:snapToGrid w:val="0"/>
        <w:spacing w:line="500" w:lineRule="exact"/>
        <w:ind w:firstLine="720"/>
        <w:jc w:val="center"/>
        <w:rPr>
          <w:rFonts w:hint="eastAsia" w:ascii="宋体" w:hAnsi="宋体" w:eastAsia="宋体" w:cs="宋体"/>
          <w:b/>
          <w:color w:val="auto"/>
          <w:kern w:val="2"/>
          <w:sz w:val="32"/>
          <w:szCs w:val="32"/>
          <w:highlight w:val="none"/>
          <w:lang w:val="en-US" w:eastAsia="zh-CN" w:bidi="ar-SA"/>
        </w:rPr>
      </w:pPr>
    </w:p>
    <w:p w14:paraId="3CC49D13">
      <w:pPr>
        <w:widowControl w:val="0"/>
        <w:snapToGrid w:val="0"/>
        <w:spacing w:line="500" w:lineRule="exact"/>
        <w:ind w:firstLine="720"/>
        <w:jc w:val="center"/>
        <w:rPr>
          <w:rFonts w:hint="eastAsia" w:ascii="宋体" w:hAnsi="宋体" w:eastAsia="宋体" w:cs="宋体"/>
          <w:b/>
          <w:color w:val="auto"/>
          <w:kern w:val="2"/>
          <w:sz w:val="32"/>
          <w:szCs w:val="32"/>
          <w:highlight w:val="none"/>
          <w:lang w:val="en-US" w:eastAsia="zh-CN" w:bidi="ar-SA"/>
        </w:rPr>
      </w:pPr>
    </w:p>
    <w:p w14:paraId="0B1363C5">
      <w:pPr>
        <w:widowControl w:val="0"/>
        <w:snapToGrid w:val="0"/>
        <w:spacing w:line="500" w:lineRule="exact"/>
        <w:ind w:firstLine="72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参加本项目采购活动的供应商须填写“政府采购活动现场确认声明书”，并在开标后30分钟内将扫描件发送至代理机构邮箱zgtzfgs@163.com。不填写或未按规定发出邮件的，视同默认不存在确认声明书中的相关违规情形。</w:t>
      </w:r>
    </w:p>
    <w:p w14:paraId="56D967CB">
      <w:pPr>
        <w:widowControl w:val="0"/>
        <w:snapToGrid w:val="0"/>
        <w:spacing w:line="500" w:lineRule="exact"/>
        <w:ind w:firstLine="720"/>
        <w:jc w:val="center"/>
        <w:rPr>
          <w:rFonts w:hint="default"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政府采购活动现场确认声明书</w:t>
      </w:r>
    </w:p>
    <w:p w14:paraId="6816825C">
      <w:pPr>
        <w:widowControl w:val="0"/>
        <w:snapToGrid w:val="0"/>
        <w:spacing w:line="440" w:lineRule="exact"/>
        <w:jc w:val="both"/>
        <w:rPr>
          <w:rFonts w:hint="default" w:ascii="宋体" w:hAnsi="宋体" w:eastAsia="宋体" w:cs="宋体"/>
          <w:b/>
          <w:color w:val="auto"/>
          <w:kern w:val="2"/>
          <w:sz w:val="24"/>
          <w:szCs w:val="24"/>
          <w:highlight w:val="none"/>
          <w:lang w:val="en-US" w:eastAsia="zh-CN" w:bidi="ar-SA"/>
        </w:rPr>
      </w:pPr>
      <w:r>
        <w:rPr>
          <w:rFonts w:hint="eastAsia" w:ascii="宋体" w:hAnsi="宋体" w:eastAsia="宋体" w:cs="宋体"/>
          <w:color w:val="auto"/>
          <w:kern w:val="0"/>
          <w:sz w:val="24"/>
          <w:szCs w:val="24"/>
          <w:highlight w:val="none"/>
          <w:u w:val="single"/>
          <w:lang w:val="en-US" w:eastAsia="zh-CN" w:bidi="ar-SA"/>
        </w:rPr>
        <w:t>中冠工程管理咨询有限公司</w:t>
      </w:r>
      <w:r>
        <w:rPr>
          <w:rFonts w:hint="eastAsia" w:ascii="宋体" w:hAnsi="宋体" w:eastAsia="宋体" w:cs="宋体"/>
          <w:color w:val="auto"/>
          <w:kern w:val="0"/>
          <w:sz w:val="24"/>
          <w:szCs w:val="24"/>
          <w:highlight w:val="none"/>
          <w:lang w:val="en-US" w:eastAsia="zh-CN" w:bidi="ar-SA"/>
        </w:rPr>
        <w:t>：</w:t>
      </w:r>
    </w:p>
    <w:p w14:paraId="46AD872B">
      <w:pPr>
        <w:widowControl w:val="0"/>
        <w:snapToGrid w:val="0"/>
        <w:spacing w:line="440" w:lineRule="exact"/>
        <w:ind w:firstLine="504" w:firstLineChars="200"/>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本人经由</w:t>
      </w:r>
      <w:r>
        <w:rPr>
          <w:rFonts w:hint="eastAsia" w:ascii="宋体" w:hAnsi="宋体" w:eastAsia="宋体" w:cs="宋体"/>
          <w:color w:val="auto"/>
          <w:spacing w:val="6"/>
          <w:kern w:val="2"/>
          <w:sz w:val="24"/>
          <w:szCs w:val="24"/>
          <w:highlight w:val="none"/>
          <w:u w:val="single"/>
          <w:lang w:val="en-US" w:eastAsia="zh-CN" w:bidi="ar-SA"/>
        </w:rPr>
        <w:t>（单位）</w:t>
      </w:r>
      <w:r>
        <w:rPr>
          <w:rFonts w:hint="eastAsia" w:ascii="宋体" w:hAnsi="宋体" w:eastAsia="宋体" w:cs="宋体"/>
          <w:color w:val="auto"/>
          <w:spacing w:val="6"/>
          <w:kern w:val="2"/>
          <w:sz w:val="24"/>
          <w:szCs w:val="24"/>
          <w:highlight w:val="none"/>
          <w:lang w:val="en-US" w:eastAsia="zh-CN" w:bidi="ar-SA"/>
        </w:rPr>
        <w:t>法人代表（负责人）</w:t>
      </w:r>
      <w:r>
        <w:rPr>
          <w:rFonts w:hint="eastAsia" w:ascii="宋体" w:hAnsi="宋体" w:eastAsia="宋体" w:cs="宋体"/>
          <w:color w:val="auto"/>
          <w:spacing w:val="6"/>
          <w:kern w:val="2"/>
          <w:sz w:val="24"/>
          <w:szCs w:val="24"/>
          <w:highlight w:val="none"/>
          <w:u w:val="single"/>
          <w:lang w:val="en-US" w:eastAsia="zh-CN" w:bidi="ar-SA"/>
        </w:rPr>
        <w:t>（姓名）</w:t>
      </w:r>
      <w:r>
        <w:rPr>
          <w:rFonts w:hint="eastAsia" w:ascii="宋体" w:hAnsi="宋体" w:eastAsia="宋体" w:cs="宋体"/>
          <w:color w:val="auto"/>
          <w:spacing w:val="6"/>
          <w:kern w:val="2"/>
          <w:sz w:val="24"/>
          <w:szCs w:val="24"/>
          <w:highlight w:val="none"/>
          <w:lang w:val="en-US" w:eastAsia="zh-CN" w:bidi="ar-SA"/>
        </w:rPr>
        <w:t>合法授权参加项目（编号：）政府采购活动，经与本单位法人代表（负责人）联系确认，现就有关公平竞争事项郑重声明如下：</w:t>
      </w:r>
    </w:p>
    <w:p w14:paraId="2CDB6033">
      <w:pPr>
        <w:widowControl/>
        <w:numPr>
          <w:ilvl w:val="0"/>
          <w:numId w:val="18"/>
        </w:numPr>
        <w:snapToGrid w:val="0"/>
        <w:spacing w:line="440" w:lineRule="exact"/>
        <w:ind w:firstLine="453" w:firstLineChars="189"/>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本单位与采购人之间□不存在利害关系□存在下列利害关系：</w:t>
      </w:r>
    </w:p>
    <w:p w14:paraId="1EFD8060">
      <w:pPr>
        <w:widowControl/>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A.投资关系    B.行政隶属关系    C.业务指导关系</w:t>
      </w:r>
    </w:p>
    <w:p w14:paraId="3FD58D64">
      <w:pPr>
        <w:widowControl/>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D.其他可能</w:t>
      </w:r>
      <w:r>
        <w:rPr>
          <w:rFonts w:hint="eastAsia" w:ascii="宋体" w:hAnsi="宋体" w:eastAsia="宋体" w:cs="宋体"/>
          <w:color w:val="auto"/>
          <w:kern w:val="2"/>
          <w:sz w:val="24"/>
          <w:szCs w:val="24"/>
          <w:highlight w:val="none"/>
          <w:lang w:val="en-US" w:eastAsia="zh-CN" w:bidi="ar-SA"/>
        </w:rPr>
        <w:t>影响采购公正的</w:t>
      </w:r>
      <w:r>
        <w:rPr>
          <w:rFonts w:hint="eastAsia" w:ascii="宋体" w:hAnsi="宋体" w:eastAsia="宋体" w:cs="宋体"/>
          <w:color w:val="auto"/>
          <w:kern w:val="0"/>
          <w:sz w:val="24"/>
          <w:szCs w:val="24"/>
          <w:highlight w:val="none"/>
          <w:lang w:val="en-US" w:eastAsia="zh-CN" w:bidi="ar-SA"/>
        </w:rPr>
        <w:t>利害关系</w:t>
      </w:r>
      <w:r>
        <w:rPr>
          <w:rFonts w:hint="eastAsia" w:ascii="宋体" w:hAnsi="宋体" w:eastAsia="宋体" w:cs="宋体"/>
          <w:color w:val="auto"/>
          <w:kern w:val="0"/>
          <w:sz w:val="24"/>
          <w:szCs w:val="24"/>
          <w:highlight w:val="none"/>
          <w:u w:val="single"/>
          <w:lang w:val="en-US" w:eastAsia="zh-CN" w:bidi="ar-SA"/>
        </w:rPr>
        <w:t>（如有，请如实说明）</w:t>
      </w:r>
      <w:r>
        <w:rPr>
          <w:rFonts w:hint="eastAsia" w:ascii="宋体" w:hAnsi="宋体" w:eastAsia="宋体" w:cs="宋体"/>
          <w:color w:val="auto"/>
          <w:kern w:val="0"/>
          <w:sz w:val="24"/>
          <w:szCs w:val="24"/>
          <w:highlight w:val="none"/>
          <w:lang w:val="en-US" w:eastAsia="zh-CN" w:bidi="ar-SA"/>
        </w:rPr>
        <w:t>。</w:t>
      </w:r>
    </w:p>
    <w:p w14:paraId="7D40E138">
      <w:pPr>
        <w:widowControl/>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二、</w:t>
      </w:r>
      <w:r>
        <w:rPr>
          <w:rFonts w:hint="eastAsia" w:ascii="宋体" w:hAnsi="宋体" w:eastAsia="宋体" w:cs="宋体"/>
          <w:color w:val="auto"/>
          <w:kern w:val="0"/>
          <w:sz w:val="24"/>
          <w:szCs w:val="24"/>
          <w:highlight w:val="none"/>
          <w:lang w:val="en-US" w:eastAsia="zh-CN" w:bidi="ar-SA"/>
        </w:rPr>
        <w:t>现已清楚知道参加本项目采购活动的其他所有供应商名称，本单位□与其他所有供应商之间均不存在利害关系□与</w:t>
      </w:r>
      <w:r>
        <w:rPr>
          <w:rFonts w:hint="eastAsia" w:ascii="宋体" w:hAnsi="宋体" w:eastAsia="宋体" w:cs="宋体"/>
          <w:color w:val="auto"/>
          <w:kern w:val="0"/>
          <w:sz w:val="24"/>
          <w:szCs w:val="24"/>
          <w:highlight w:val="none"/>
          <w:u w:val="single"/>
          <w:lang w:val="en-US" w:eastAsia="zh-CN" w:bidi="ar-SA"/>
        </w:rPr>
        <w:t xml:space="preserve">           （供应商名称）</w:t>
      </w:r>
      <w:r>
        <w:rPr>
          <w:rFonts w:hint="eastAsia" w:ascii="宋体" w:hAnsi="宋体" w:eastAsia="宋体" w:cs="宋体"/>
          <w:color w:val="auto"/>
          <w:kern w:val="0"/>
          <w:sz w:val="24"/>
          <w:szCs w:val="24"/>
          <w:highlight w:val="none"/>
          <w:lang w:val="en-US" w:eastAsia="zh-CN" w:bidi="ar-SA"/>
        </w:rPr>
        <w:t>之间存在下列利害关系：</w:t>
      </w:r>
    </w:p>
    <w:p w14:paraId="6549FE7C">
      <w:pPr>
        <w:widowControl w:val="0"/>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A.法定代表人或负责人或实际控制人是同一人；</w:t>
      </w:r>
    </w:p>
    <w:p w14:paraId="2634CC2F">
      <w:pPr>
        <w:widowControl w:val="0"/>
        <w:snapToGrid w:val="0"/>
        <w:spacing w:line="440" w:lineRule="exact"/>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B.法定代表人或负责人或实际控制人是夫妻关系；</w:t>
      </w:r>
    </w:p>
    <w:p w14:paraId="4032EBD5">
      <w:pPr>
        <w:widowControl w:val="0"/>
        <w:snapToGrid w:val="0"/>
        <w:spacing w:line="440" w:lineRule="exact"/>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C.法定代表人或负责人或实际控制人是直系血亲关系；</w:t>
      </w:r>
    </w:p>
    <w:p w14:paraId="6DAE0E73">
      <w:pPr>
        <w:widowControl w:val="0"/>
        <w:snapToGrid w:val="0"/>
        <w:spacing w:line="440" w:lineRule="exact"/>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D.法定代表人或负责人或实际控制人存在三代以内旁系血亲关系；</w:t>
      </w:r>
    </w:p>
    <w:p w14:paraId="71F829C5">
      <w:pPr>
        <w:widowControl w:val="0"/>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E.法定代表人或负责人或实际控制人存在近姻亲关系；</w:t>
      </w:r>
    </w:p>
    <w:p w14:paraId="2BC770D0">
      <w:pPr>
        <w:widowControl w:val="0"/>
        <w:snapToGrid w:val="0"/>
        <w:spacing w:line="440" w:lineRule="exact"/>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F.法定代表人或负责人或实际控制人存在股份控制或实际控制关系；</w:t>
      </w:r>
    </w:p>
    <w:p w14:paraId="5755E018">
      <w:pPr>
        <w:widowControl w:val="0"/>
        <w:snapToGrid w:val="0"/>
        <w:spacing w:line="440" w:lineRule="exact"/>
        <w:jc w:val="both"/>
        <w:outlineLvl w:val="0"/>
        <w:rPr>
          <w:rFonts w:hint="default" w:ascii="宋体" w:hAnsi="宋体" w:eastAsia="宋体" w:cs="宋体"/>
          <w:color w:val="auto"/>
          <w:kern w:val="0"/>
          <w:sz w:val="24"/>
          <w:szCs w:val="24"/>
          <w:highlight w:val="none"/>
          <w:lang w:val="en-US" w:eastAsia="zh-CN" w:bidi="ar-SA"/>
        </w:rPr>
      </w:pPr>
      <w:bookmarkStart w:id="162" w:name="_Toc24072"/>
      <w:bookmarkStart w:id="163" w:name="_Toc22017"/>
      <w:bookmarkStart w:id="164" w:name="_Toc19343"/>
      <w:bookmarkStart w:id="165" w:name="_Toc9031"/>
      <w:bookmarkStart w:id="166" w:name="_Toc9367"/>
      <w:bookmarkStart w:id="167" w:name="_Toc2857"/>
      <w:bookmarkStart w:id="168" w:name="_Toc15030"/>
      <w:bookmarkStart w:id="169" w:name="_Toc21795"/>
      <w:bookmarkStart w:id="170" w:name="_Toc20365"/>
      <w:r>
        <w:rPr>
          <w:rFonts w:hint="eastAsia" w:ascii="宋体" w:hAnsi="宋体" w:eastAsia="宋体" w:cs="宋体"/>
          <w:color w:val="auto"/>
          <w:kern w:val="0"/>
          <w:sz w:val="24"/>
          <w:szCs w:val="24"/>
          <w:highlight w:val="none"/>
          <w:lang w:val="en-US" w:eastAsia="zh-CN" w:bidi="ar-SA"/>
        </w:rPr>
        <w:t>G.存在共同直接或间接投资设立子公司、联营企业和合营企业情况；</w:t>
      </w:r>
      <w:bookmarkEnd w:id="162"/>
      <w:bookmarkEnd w:id="163"/>
      <w:bookmarkEnd w:id="164"/>
      <w:bookmarkEnd w:id="165"/>
      <w:bookmarkEnd w:id="166"/>
      <w:bookmarkEnd w:id="167"/>
      <w:bookmarkEnd w:id="168"/>
      <w:bookmarkEnd w:id="169"/>
      <w:bookmarkEnd w:id="170"/>
    </w:p>
    <w:p w14:paraId="473203DD">
      <w:pPr>
        <w:widowControl w:val="0"/>
        <w:snapToGrid w:val="0"/>
        <w:spacing w:line="440" w:lineRule="exact"/>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H.存在分级代理或代销关系、同一生产制造商关系、</w:t>
      </w:r>
      <w:r>
        <w:rPr>
          <w:rFonts w:hint="eastAsia" w:ascii="宋体" w:hAnsi="宋体" w:eastAsia="宋体" w:cs="宋体"/>
          <w:color w:val="auto"/>
          <w:kern w:val="2"/>
          <w:sz w:val="24"/>
          <w:szCs w:val="24"/>
          <w:highlight w:val="none"/>
          <w:lang w:val="en-US" w:eastAsia="zh-CN" w:bidi="ar-SA"/>
        </w:rPr>
        <w:t>管理关系、重要业务（占主营业务收入50%以上）或重要财务往来关系（如融资）等其他实质性控制关系；</w:t>
      </w:r>
    </w:p>
    <w:p w14:paraId="40FABAAC">
      <w:pPr>
        <w:widowControl w:val="0"/>
        <w:snapToGrid w:val="0"/>
        <w:spacing w:line="440" w:lineRule="exact"/>
        <w:jc w:val="both"/>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I</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其他利害关系情况</w:t>
      </w:r>
      <w:r>
        <w:rPr>
          <w:rFonts w:hint="eastAsia" w:ascii="宋体" w:hAnsi="宋体" w:eastAsia="宋体" w:cs="宋体"/>
          <w:color w:val="auto"/>
          <w:kern w:val="0"/>
          <w:sz w:val="24"/>
          <w:szCs w:val="24"/>
          <w:highlight w:val="none"/>
          <w:lang w:val="en-US" w:eastAsia="zh-CN" w:bidi="ar-SA"/>
        </w:rPr>
        <w:t>。</w:t>
      </w:r>
    </w:p>
    <w:p w14:paraId="0EE6C113">
      <w:pPr>
        <w:widowControl/>
        <w:numPr>
          <w:ilvl w:val="0"/>
          <w:numId w:val="19"/>
        </w:numPr>
        <w:snapToGrid w:val="0"/>
        <w:spacing w:line="440" w:lineRule="exact"/>
        <w:ind w:firstLine="453" w:firstLineChars="189"/>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现已清楚知道并</w:t>
      </w:r>
      <w:r>
        <w:rPr>
          <w:rFonts w:hint="eastAsia" w:ascii="宋体" w:hAnsi="宋体" w:eastAsia="宋体" w:cs="宋体"/>
          <w:color w:val="auto"/>
          <w:kern w:val="0"/>
          <w:sz w:val="24"/>
          <w:szCs w:val="24"/>
          <w:highlight w:val="none"/>
          <w:lang w:val="en-US" w:eastAsia="zh-CN" w:bidi="ar-SA"/>
        </w:rPr>
        <w:t>严格遵守政府采购法律法规和现场纪律。</w:t>
      </w:r>
    </w:p>
    <w:p w14:paraId="40544CD9">
      <w:pPr>
        <w:widowControl/>
        <w:numPr>
          <w:ilvl w:val="0"/>
          <w:numId w:val="19"/>
        </w:numPr>
        <w:snapToGrid w:val="0"/>
        <w:spacing w:line="440" w:lineRule="exact"/>
        <w:ind w:firstLine="453" w:firstLineChars="189"/>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我发现供应商</w:t>
      </w:r>
      <w:r>
        <w:rPr>
          <w:rFonts w:hint="eastAsia" w:ascii="宋体" w:hAnsi="宋体" w:eastAsia="宋体" w:cs="宋体"/>
          <w:color w:val="auto"/>
          <w:kern w:val="0"/>
          <w:sz w:val="24"/>
          <w:szCs w:val="24"/>
          <w:highlight w:val="none"/>
          <w:u w:val="single"/>
          <w:lang w:val="en-US" w:eastAsia="zh-CN" w:bidi="ar-SA"/>
        </w:rPr>
        <w:t xml:space="preserve">                     之间</w:t>
      </w:r>
      <w:r>
        <w:rPr>
          <w:rFonts w:hint="eastAsia" w:ascii="宋体" w:hAnsi="宋体" w:eastAsia="宋体" w:cs="宋体"/>
          <w:color w:val="auto"/>
          <w:kern w:val="0"/>
          <w:sz w:val="24"/>
          <w:szCs w:val="24"/>
          <w:highlight w:val="none"/>
          <w:lang w:val="en-US" w:eastAsia="zh-CN" w:bidi="ar-SA"/>
        </w:rPr>
        <w:t>存在或可能存在上述第二条第项利害关系。</w:t>
      </w:r>
    </w:p>
    <w:p w14:paraId="60C50731">
      <w:pPr>
        <w:widowControl w:val="0"/>
        <w:snapToGrid w:val="0"/>
        <w:spacing w:line="440" w:lineRule="exact"/>
        <w:jc w:val="both"/>
        <w:rPr>
          <w:rFonts w:hint="default" w:ascii="宋体" w:hAnsi="宋体" w:eastAsia="宋体" w:cs="宋体"/>
          <w:color w:val="auto"/>
          <w:kern w:val="2"/>
          <w:sz w:val="24"/>
          <w:szCs w:val="24"/>
          <w:highlight w:val="none"/>
          <w:lang w:val="en-US" w:eastAsia="zh-CN" w:bidi="ar-SA"/>
        </w:rPr>
      </w:pPr>
    </w:p>
    <w:p w14:paraId="5A3B060D">
      <w:pPr>
        <w:widowControl w:val="0"/>
        <w:snapToGrid w:val="0"/>
        <w:spacing w:line="440" w:lineRule="exact"/>
        <w:ind w:firstLine="480" w:firstLineChars="200"/>
        <w:jc w:val="right"/>
        <w:rPr>
          <w:rFonts w:hint="default" w:ascii="宋体" w:hAnsi="宋体" w:eastAsia="宋体" w:cs="宋体"/>
          <w:color w:val="auto"/>
          <w:kern w:val="2"/>
          <w:sz w:val="24"/>
          <w:szCs w:val="24"/>
          <w:highlight w:val="none"/>
          <w:lang w:val="en-US" w:eastAsia="zh-CN" w:bidi="ar-SA"/>
        </w:rPr>
      </w:pPr>
    </w:p>
    <w:p w14:paraId="47ECFCEC">
      <w:pPr>
        <w:pStyle w:val="132"/>
        <w:widowControl w:val="0"/>
        <w:snapToGrid w:val="0"/>
        <w:spacing w:line="440" w:lineRule="exact"/>
        <w:jc w:val="right"/>
        <w:rPr>
          <w:rFonts w:hint="default" w:asciiTheme="minorEastAsia" w:hAnsiTheme="minorEastAsia" w:eastAsiaTheme="minorEastAsia"/>
          <w:color w:val="auto"/>
          <w:sz w:val="24"/>
          <w:szCs w:val="24"/>
          <w:highlight w:val="none"/>
        </w:rPr>
      </w:pPr>
      <w:r>
        <w:rPr>
          <w:rFonts w:hint="eastAsia" w:ascii="宋体" w:hAnsi="宋体" w:eastAsia="宋体" w:cs="宋体"/>
          <w:color w:val="auto"/>
          <w:kern w:val="2"/>
          <w:sz w:val="24"/>
          <w:szCs w:val="24"/>
          <w:highlight w:val="none"/>
          <w:lang w:val="en-US" w:eastAsia="zh-CN" w:bidi="ar-SA"/>
        </w:rPr>
        <w:t>（供应商代表签名）：</w:t>
      </w:r>
    </w:p>
    <w:sectPr>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MS Gothic">
    <w:panose1 w:val="020B0609070205080204"/>
    <w:charset w:val="80"/>
    <w:family w:val="modern"/>
    <w:pitch w:val="default"/>
    <w:sig w:usb0="E00002FF" w:usb1="6AC7FDFB" w:usb2="00000012" w:usb3="00000000" w:csb0="4002009F" w:csb1="DFD7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33211">
    <w:pPr>
      <w:pStyle w:val="3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0BE80">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E60BE80">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75303">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B0EA1">
    <w:pPr>
      <w:pStyle w:val="3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77974">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2777974">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9C871">
    <w:pPr>
      <w:pStyle w:val="31"/>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3352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335280"/>
                      </a:xfrm>
                      <a:prstGeom prst="rect">
                        <a:avLst/>
                      </a:prstGeom>
                      <a:noFill/>
                      <a:ln>
                        <a:noFill/>
                      </a:ln>
                      <a:effectLst/>
                    </wps:spPr>
                    <wps:txbx>
                      <w:txbxContent>
                        <w:sdt>
                          <w:sdtPr>
                            <w:id w:val="4"/>
                          </w:sdtPr>
                          <w:sdtContent>
                            <w:p w14:paraId="281ACC4D">
                              <w:pPr>
                                <w:pStyle w:val="31"/>
                                <w:jc w:val="right"/>
                              </w:pPr>
                              <w:r>
                                <w:fldChar w:fldCharType="begin"/>
                              </w:r>
                              <w:r>
                                <w:instrText xml:space="preserve">PAGE   \* MERGEFORMAT</w:instrText>
                              </w:r>
                              <w:r>
                                <w:fldChar w:fldCharType="separate"/>
                              </w:r>
                              <w:r>
                                <w:rPr>
                                  <w:lang w:val="zh-CN"/>
                                </w:rPr>
                                <w:t>6</w:t>
                              </w:r>
                              <w:r>
                                <w:rPr>
                                  <w:lang w:val="zh-CN"/>
                                </w:rPr>
                                <w:fldChar w:fldCharType="end"/>
                              </w:r>
                            </w:p>
                          </w:sdtContent>
                        </w:sdt>
                        <w:p w14:paraId="58A67D37"/>
                      </w:txbxContent>
                    </wps:txbx>
                    <wps:bodyPr wrap="none" lIns="0" tIns="0" rIns="0" bIns="0" upright="1">
                      <a:spAutoFit/>
                    </wps:bodyPr>
                  </wps:wsp>
                </a:graphicData>
              </a:graphic>
            </wp:anchor>
          </w:drawing>
        </mc:Choice>
        <mc:Fallback>
          <w:pict>
            <v:shape id="_x0000_s1026" o:spid="_x0000_s1026" o:spt="202" type="#_x0000_t202" style="position:absolute;left:0pt;margin-top:0pt;height:26.4pt;width:9.05pt;mso-position-horizontal:center;mso-position-horizontal-relative:margin;mso-wrap-style:none;z-index:251661312;mso-width-relative:page;mso-height-relative:page;" filled="f" stroked="f" coordsize="21600,21600" o:gfxdata="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&#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mDyKnQAAAAAwEAAA8AAAAAAAAAAQAgAAAAIgAAAGRy&#10;cy9kb3ducmV2LnhtbFBLAQIUABQAAAAIAIdO4kAI5PxV1AEAAKUDAAAOAAAAAAAAAAEAIAAAAB8B&#10;AABkcnMvZTJvRG9jLnhtbFBLBQYAAAAABgAGAFkBAABlBQAAAAA=&#10;">
              <v:fill on="f" focussize="0,0"/>
              <v:stroke on="f"/>
              <v:imagedata o:title=""/>
              <o:lock v:ext="edit" aspectratio="f"/>
              <v:textbox inset="0mm,0mm,0mm,0mm" style="mso-fit-shape-to-text:t;">
                <w:txbxContent>
                  <w:sdt>
                    <w:sdtPr>
                      <w:id w:val="4"/>
                    </w:sdtPr>
                    <w:sdtContent>
                      <w:p w14:paraId="281ACC4D">
                        <w:pPr>
                          <w:pStyle w:val="31"/>
                          <w:jc w:val="right"/>
                        </w:pPr>
                        <w:r>
                          <w:fldChar w:fldCharType="begin"/>
                        </w:r>
                        <w:r>
                          <w:instrText xml:space="preserve">PAGE   \* MERGEFORMAT</w:instrText>
                        </w:r>
                        <w:r>
                          <w:fldChar w:fldCharType="separate"/>
                        </w:r>
                        <w:r>
                          <w:rPr>
                            <w:lang w:val="zh-CN"/>
                          </w:rPr>
                          <w:t>6</w:t>
                        </w:r>
                        <w:r>
                          <w:rPr>
                            <w:lang w:val="zh-CN"/>
                          </w:rPr>
                          <w:fldChar w:fldCharType="end"/>
                        </w:r>
                      </w:p>
                    </w:sdtContent>
                  </w:sdt>
                  <w:p w14:paraId="58A67D37"/>
                </w:txbxContent>
              </v:textbox>
            </v:shape>
          </w:pict>
        </mc:Fallback>
      </mc:AlternateContent>
    </w:r>
  </w:p>
  <w:p w14:paraId="19A1B310">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A70FF">
    <w:pPr>
      <w:pStyle w:val="31"/>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A8435F">
                          <w:pPr>
                            <w:pStyle w:val="31"/>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17A8435F">
                    <w:pPr>
                      <w:pStyle w:val="3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E12CF">
    <w:pPr>
      <w:widowControl w:val="0"/>
      <w:snapToGrid w:val="0"/>
      <w:ind w:firstLine="440"/>
      <w:jc w:val="right"/>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20650" cy="15494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w="6350">
                        <a:noFill/>
                      </a:ln>
                      <a:effectLst/>
                    </wps:spPr>
                    <wps:txbx>
                      <w:txbxContent>
                        <w:p w14:paraId="0E80D6D2">
                          <w:pPr>
                            <w:widowControl w:val="0"/>
                            <w:snapToGrid w:val="0"/>
                            <w:ind w:firstLine="440"/>
                            <w:jc w:val="right"/>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w:fldChar w:fldCharType="begin"/>
                          </w:r>
                          <w:r>
                            <w:rPr>
                              <w:rFonts w:ascii="等线" w:hAnsi="等线" w:eastAsia="宋体" w:cs="Times New Roman"/>
                              <w:kern w:val="2"/>
                              <w:sz w:val="18"/>
                              <w:szCs w:val="18"/>
                              <w:lang w:val="en-US" w:eastAsia="zh-CN" w:bidi="ar-SA"/>
                            </w:rPr>
                            <w:instrText xml:space="preserve"> PAGE  \* MERGEFORMAT </w:instrText>
                          </w:r>
                          <w:r>
                            <w:rPr>
                              <w:rFonts w:ascii="等线" w:hAnsi="等线" w:eastAsia="宋体" w:cs="Times New Roman"/>
                              <w:kern w:val="2"/>
                              <w:sz w:val="18"/>
                              <w:szCs w:val="18"/>
                              <w:lang w:val="en-US" w:eastAsia="zh-CN" w:bidi="ar-SA"/>
                            </w:rPr>
                            <w:fldChar w:fldCharType="separate"/>
                          </w:r>
                          <w:r>
                            <w:rPr>
                              <w:rFonts w:ascii="等线" w:hAnsi="等线" w:eastAsia="宋体" w:cs="Times New Roman"/>
                              <w:kern w:val="2"/>
                              <w:sz w:val="18"/>
                              <w:szCs w:val="18"/>
                              <w:lang w:val="en-US" w:eastAsia="zh-CN" w:bidi="ar-SA"/>
                            </w:rPr>
                            <w:t>42</w:t>
                          </w:r>
                          <w:r>
                            <w:rPr>
                              <w:rFonts w:ascii="等线" w:hAnsi="等线" w:eastAsia="宋体" w:cs="Times New Roman"/>
                              <w:kern w:val="2"/>
                              <w:sz w:val="18"/>
                              <w:szCs w:val="18"/>
                              <w:lang w:val="en-US" w:eastAsia="zh-CN" w:bidi="ar-SA"/>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2.2pt;width:9.5pt;mso-position-horizontal:center;mso-position-horizontal-relative:margin;mso-wrap-style:none;z-index:251666432;mso-width-relative:page;mso-height-relative:page;" filled="f" stroked="f" coordsize="21600,21600"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JV+P30QAAAAMBAAAPAAAAAAAAAAEAIAAA&#10;ACIAAABkcnMvZG93bnJldi54bWxQSwECFAAUAAAACACHTuJAbJr+O9oBAACuAwAADgAAAAAAAAAB&#10;ACAAAAAgAQAAZHJzL2Uyb0RvYy54bWxQSwUGAAAAAAYABgBZAQAAbAUAAAAA&#10;">
              <v:fill on="f" focussize="0,0"/>
              <v:stroke on="f" weight="0.5pt"/>
              <v:imagedata o:title=""/>
              <o:lock v:ext="edit" aspectratio="f"/>
              <v:textbox inset="0mm,0mm,0mm,0mm" style="mso-fit-shape-to-text:t;">
                <w:txbxContent>
                  <w:p w14:paraId="0E80D6D2">
                    <w:pPr>
                      <w:widowControl w:val="0"/>
                      <w:snapToGrid w:val="0"/>
                      <w:ind w:firstLine="440"/>
                      <w:jc w:val="right"/>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w:fldChar w:fldCharType="begin"/>
                    </w:r>
                    <w:r>
                      <w:rPr>
                        <w:rFonts w:ascii="等线" w:hAnsi="等线" w:eastAsia="宋体" w:cs="Times New Roman"/>
                        <w:kern w:val="2"/>
                        <w:sz w:val="18"/>
                        <w:szCs w:val="18"/>
                        <w:lang w:val="en-US" w:eastAsia="zh-CN" w:bidi="ar-SA"/>
                      </w:rPr>
                      <w:instrText xml:space="preserve"> PAGE  \* MERGEFORMAT </w:instrText>
                    </w:r>
                    <w:r>
                      <w:rPr>
                        <w:rFonts w:ascii="等线" w:hAnsi="等线" w:eastAsia="宋体" w:cs="Times New Roman"/>
                        <w:kern w:val="2"/>
                        <w:sz w:val="18"/>
                        <w:szCs w:val="18"/>
                        <w:lang w:val="en-US" w:eastAsia="zh-CN" w:bidi="ar-SA"/>
                      </w:rPr>
                      <w:fldChar w:fldCharType="separate"/>
                    </w:r>
                    <w:r>
                      <w:rPr>
                        <w:rFonts w:ascii="等线" w:hAnsi="等线" w:eastAsia="宋体" w:cs="Times New Roman"/>
                        <w:kern w:val="2"/>
                        <w:sz w:val="18"/>
                        <w:szCs w:val="18"/>
                        <w:lang w:val="en-US" w:eastAsia="zh-CN" w:bidi="ar-SA"/>
                      </w:rPr>
                      <w:t>42</w:t>
                    </w:r>
                    <w:r>
                      <w:rPr>
                        <w:rFonts w:ascii="等线" w:hAnsi="等线" w:eastAsia="宋体" w:cs="Times New Roman"/>
                        <w:kern w:val="2"/>
                        <w:sz w:val="18"/>
                        <w:szCs w:val="18"/>
                        <w:lang w:val="en-US" w:eastAsia="zh-CN" w:bidi="ar-SA"/>
                      </w:rPr>
                      <w:fldChar w:fldCharType="end"/>
                    </w:r>
                  </w:p>
                </w:txbxContent>
              </v:textbox>
            </v:shape>
          </w:pict>
        </mc:Fallback>
      </mc:AlternateContent>
    </w:r>
  </w:p>
  <w:p w14:paraId="2CA0689B">
    <w:pPr>
      <w:widowControl w:val="0"/>
      <w:snapToGrid w:val="0"/>
      <w:ind w:firstLine="440"/>
      <w:jc w:val="left"/>
      <w:rPr>
        <w:rFonts w:ascii="等线" w:hAnsi="等线" w:eastAsia="宋体" w:cs="Times New Roman"/>
        <w:kern w:val="2"/>
        <w:sz w:val="18"/>
        <w:szCs w:val="18"/>
        <w:lang w:val="en-US" w:eastAsia="zh-CN"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1AEBB">
    <w:pPr>
      <w:framePr w:wrap="around" w:vAnchor="text" w:hAnchor="margin" w:xAlign="center" w:y="1"/>
      <w:widowControl w:val="0"/>
      <w:snapToGrid w:val="0"/>
      <w:jc w:val="left"/>
      <w:rPr>
        <w:rStyle w:val="52"/>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w:fldChar w:fldCharType="begin"/>
    </w:r>
    <w:r>
      <w:rPr>
        <w:rStyle w:val="52"/>
        <w:rFonts w:ascii="等线" w:hAnsi="等线" w:eastAsia="宋体" w:cs="Times New Roman"/>
        <w:kern w:val="2"/>
        <w:sz w:val="21"/>
        <w:szCs w:val="24"/>
        <w:lang w:val="en-US" w:eastAsia="zh-CN" w:bidi="ar-SA"/>
      </w:rPr>
      <w:instrText xml:space="preserve">PAGE  </w:instrText>
    </w:r>
    <w:r>
      <w:rPr>
        <w:rFonts w:ascii="等线" w:hAnsi="等线" w:eastAsia="宋体" w:cs="Times New Roman"/>
        <w:kern w:val="2"/>
        <w:sz w:val="18"/>
        <w:szCs w:val="18"/>
        <w:lang w:val="en-US" w:eastAsia="zh-CN" w:bidi="ar-SA"/>
      </w:rPr>
      <w:fldChar w:fldCharType="separate"/>
    </w:r>
    <w:r>
      <w:rPr>
        <w:rStyle w:val="52"/>
        <w:rFonts w:ascii="等线" w:hAnsi="等线" w:eastAsia="宋体" w:cs="Times New Roman"/>
        <w:kern w:val="2"/>
        <w:sz w:val="21"/>
        <w:szCs w:val="24"/>
        <w:lang w:val="en-US" w:eastAsia="zh-CN" w:bidi="ar-SA"/>
      </w:rPr>
      <w:t>70</w:t>
    </w:r>
    <w:r>
      <w:rPr>
        <w:rFonts w:ascii="等线" w:hAnsi="等线" w:eastAsia="宋体" w:cs="Times New Roman"/>
        <w:kern w:val="2"/>
        <w:sz w:val="18"/>
        <w:szCs w:val="18"/>
        <w:lang w:val="en-US" w:eastAsia="zh-CN" w:bidi="ar-SA"/>
      </w:rPr>
      <w:fldChar w:fldCharType="end"/>
    </w:r>
  </w:p>
  <w:p w14:paraId="4A9AFF4A">
    <w:pPr>
      <w:widowControl w:val="0"/>
      <w:snapToGrid w:val="0"/>
      <w:ind w:right="360" w:firstLine="360"/>
      <w:jc w:val="left"/>
      <w:rPr>
        <w:rFonts w:ascii="等线" w:hAnsi="等线" w:eastAsia="宋体" w:cs="Times New Roman"/>
        <w:kern w:val="2"/>
        <w:sz w:val="18"/>
        <w:szCs w:val="18"/>
        <w:lang w:val="en-US" w:eastAsia="zh-CN" w:bidi="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AAC42">
    <w:pPr>
      <w:widowControl w:val="0"/>
      <w:snapToGrid w:val="0"/>
      <w:ind w:firstLine="440"/>
      <w:jc w:val="center"/>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723E65">
                          <w:pPr>
                            <w:widowControl w:val="0"/>
                            <w:snapToGrid w:val="0"/>
                            <w:ind w:firstLine="440"/>
                            <w:jc w:val="left"/>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w:fldChar w:fldCharType="begin"/>
                          </w:r>
                          <w:r>
                            <w:rPr>
                              <w:rFonts w:ascii="等线" w:hAnsi="等线" w:eastAsia="宋体" w:cs="Times New Roman"/>
                              <w:kern w:val="2"/>
                              <w:sz w:val="18"/>
                              <w:szCs w:val="18"/>
                              <w:lang w:val="en-US" w:eastAsia="zh-CN" w:bidi="ar-SA"/>
                            </w:rPr>
                            <w:instrText xml:space="preserve"> PAGE  \* MERGEFORMAT </w:instrText>
                          </w:r>
                          <w:r>
                            <w:rPr>
                              <w:rFonts w:ascii="等线" w:hAnsi="等线" w:eastAsia="宋体" w:cs="Times New Roman"/>
                              <w:kern w:val="2"/>
                              <w:sz w:val="18"/>
                              <w:szCs w:val="18"/>
                              <w:lang w:val="en-US" w:eastAsia="zh-CN" w:bidi="ar-SA"/>
                            </w:rPr>
                            <w:fldChar w:fldCharType="separate"/>
                          </w:r>
                          <w:r>
                            <w:rPr>
                              <w:rFonts w:ascii="等线" w:hAnsi="等线" w:eastAsia="宋体" w:cs="Times New Roman"/>
                              <w:kern w:val="2"/>
                              <w:sz w:val="18"/>
                              <w:szCs w:val="18"/>
                              <w:lang w:val="en-US" w:eastAsia="zh-CN" w:bidi="ar-SA"/>
                            </w:rPr>
                            <w:t>58</w:t>
                          </w:r>
                          <w:r>
                            <w:rPr>
                              <w:rFonts w:ascii="等线" w:hAnsi="等线" w:eastAsia="宋体" w:cs="Times New Roman"/>
                              <w:kern w:val="2"/>
                              <w:sz w:val="18"/>
                              <w:szCs w:val="18"/>
                              <w:lang w:val="en-US" w:eastAsia="zh-CN" w:bidi="ar-S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9BcdDtgBAACwAwAADgAAAAAAAAABACAA&#10;AAAfAQAAZHJzL2Uyb0RvYy54bWxQSwUGAAAAAAYABgBZAQAAaQUAAAAA&#10;">
              <v:fill on="f" focussize="0,0"/>
              <v:stroke on="f" weight="0.5pt"/>
              <v:imagedata o:title=""/>
              <o:lock v:ext="edit" aspectratio="f"/>
              <v:textbox inset="0mm,0mm,0mm,0mm" style="mso-fit-shape-to-text:t;">
                <w:txbxContent>
                  <w:p w14:paraId="19723E65">
                    <w:pPr>
                      <w:widowControl w:val="0"/>
                      <w:snapToGrid w:val="0"/>
                      <w:ind w:firstLine="440"/>
                      <w:jc w:val="left"/>
                      <w:rPr>
                        <w:rFonts w:ascii="等线" w:hAnsi="等线" w:eastAsia="宋体" w:cs="Times New Roman"/>
                        <w:kern w:val="2"/>
                        <w:sz w:val="18"/>
                        <w:szCs w:val="18"/>
                        <w:lang w:val="en-US" w:eastAsia="zh-CN" w:bidi="ar-SA"/>
                      </w:rPr>
                    </w:pPr>
                    <w:r>
                      <w:rPr>
                        <w:rFonts w:ascii="等线" w:hAnsi="等线" w:eastAsia="宋体" w:cs="Times New Roman"/>
                        <w:kern w:val="2"/>
                        <w:sz w:val="18"/>
                        <w:szCs w:val="18"/>
                        <w:lang w:val="en-US" w:eastAsia="zh-CN" w:bidi="ar-SA"/>
                      </w:rPr>
                      <w:fldChar w:fldCharType="begin"/>
                    </w:r>
                    <w:r>
                      <w:rPr>
                        <w:rFonts w:ascii="等线" w:hAnsi="等线" w:eastAsia="宋体" w:cs="Times New Roman"/>
                        <w:kern w:val="2"/>
                        <w:sz w:val="18"/>
                        <w:szCs w:val="18"/>
                        <w:lang w:val="en-US" w:eastAsia="zh-CN" w:bidi="ar-SA"/>
                      </w:rPr>
                      <w:instrText xml:space="preserve"> PAGE  \* MERGEFORMAT </w:instrText>
                    </w:r>
                    <w:r>
                      <w:rPr>
                        <w:rFonts w:ascii="等线" w:hAnsi="等线" w:eastAsia="宋体" w:cs="Times New Roman"/>
                        <w:kern w:val="2"/>
                        <w:sz w:val="18"/>
                        <w:szCs w:val="18"/>
                        <w:lang w:val="en-US" w:eastAsia="zh-CN" w:bidi="ar-SA"/>
                      </w:rPr>
                      <w:fldChar w:fldCharType="separate"/>
                    </w:r>
                    <w:r>
                      <w:rPr>
                        <w:rFonts w:ascii="等线" w:hAnsi="等线" w:eastAsia="宋体" w:cs="Times New Roman"/>
                        <w:kern w:val="2"/>
                        <w:sz w:val="18"/>
                        <w:szCs w:val="18"/>
                        <w:lang w:val="en-US" w:eastAsia="zh-CN" w:bidi="ar-SA"/>
                      </w:rPr>
                      <w:t>58</w:t>
                    </w:r>
                    <w:r>
                      <w:rPr>
                        <w:rFonts w:ascii="等线" w:hAnsi="等线" w:eastAsia="宋体" w:cs="Times New Roman"/>
                        <w:kern w:val="2"/>
                        <w:sz w:val="18"/>
                        <w:szCs w:val="18"/>
                        <w:lang w:val="en-US" w:eastAsia="zh-CN" w:bidi="ar-SA"/>
                      </w:rPr>
                      <w:fldChar w:fldCharType="end"/>
                    </w:r>
                  </w:p>
                </w:txbxContent>
              </v:textbox>
            </v:shape>
          </w:pict>
        </mc:Fallback>
      </mc:AlternateContent>
    </w:r>
    <w:r>
      <w:rPr>
        <w:rFonts w:ascii="等线" w:hAnsi="等线"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8DF90A">
                          <w:pPr>
                            <w:widowControl w:val="0"/>
                            <w:snapToGrid w:val="0"/>
                            <w:ind w:firstLine="440"/>
                            <w:jc w:val="center"/>
                            <w:rPr>
                              <w:rFonts w:ascii="等线" w:hAnsi="等线" w:eastAsia="宋体" w:cs="Times New Roman"/>
                              <w:kern w:val="2"/>
                              <w:sz w:val="18"/>
                              <w:szCs w:val="18"/>
                              <w:lang w:val="en-US" w:eastAsia="zh-CN" w:bidi="ar-SA"/>
                            </w:rPr>
                          </w:pPr>
                        </w:p>
                        <w:p w14:paraId="693CE8A0">
                          <w:pPr>
                            <w:rPr>
                              <w:rFonts w:eastAsia="宋体"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2A8DF90A">
                    <w:pPr>
                      <w:widowControl w:val="0"/>
                      <w:snapToGrid w:val="0"/>
                      <w:ind w:firstLine="440"/>
                      <w:jc w:val="center"/>
                      <w:rPr>
                        <w:rFonts w:ascii="等线" w:hAnsi="等线" w:eastAsia="宋体" w:cs="Times New Roman"/>
                        <w:kern w:val="2"/>
                        <w:sz w:val="18"/>
                        <w:szCs w:val="18"/>
                        <w:lang w:val="en-US" w:eastAsia="zh-CN" w:bidi="ar-SA"/>
                      </w:rPr>
                    </w:pPr>
                  </w:p>
                  <w:p w14:paraId="693CE8A0">
                    <w:pPr>
                      <w:rPr>
                        <w:rFonts w:eastAsia="宋体" w:cs="Times New Roman"/>
                      </w:rPr>
                    </w:pPr>
                  </w:p>
                </w:txbxContent>
              </v:textbox>
            </v:shape>
          </w:pict>
        </mc:Fallback>
      </mc:AlternateContent>
    </w:r>
  </w:p>
  <w:p w14:paraId="4689281A">
    <w:pPr>
      <w:widowControl w:val="0"/>
      <w:snapToGrid w:val="0"/>
      <w:ind w:firstLine="440"/>
      <w:jc w:val="left"/>
      <w:rPr>
        <w:rFonts w:ascii="等线" w:hAnsi="等线" w:eastAsia="宋体" w:cs="Times New Roman"/>
        <w:kern w:val="2"/>
        <w:sz w:val="18"/>
        <w:szCs w:val="18"/>
        <w:lang w:val="en-US" w:eastAsia="zh-CN" w:bidi="ar-S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1C741">
    <w:pPr>
      <w:pStyle w:val="3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650" cy="1549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w="6350">
                        <a:noFill/>
                      </a:ln>
                      <a:effectLst/>
                    </wps:spPr>
                    <wps:txbx>
                      <w:txbxContent>
                        <w:p w14:paraId="0FA1A593">
                          <w:pPr>
                            <w:pStyle w:val="31"/>
                          </w:pPr>
                          <w:r>
                            <w:fldChar w:fldCharType="begin"/>
                          </w:r>
                          <w:r>
                            <w:instrText xml:space="preserve"> PAGE  \* MERGEFORMAT </w:instrText>
                          </w:r>
                          <w:r>
                            <w:fldChar w:fldCharType="separate"/>
                          </w:r>
                          <w:r>
                            <w:t>78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59264;mso-width-relative:page;mso-height-relative:page;" filled="f" stroked="f" coordsize="21600,21600"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JV+P30QAAAAMBAAAPAAAAAAAAAAEAIAAA&#10;ACIAAABkcnMvZG93bnJldi54bWxQSwECFAAUAAAACACHTuJAcHnNqtoBAACuAwAADgAAAAAAAAAB&#10;ACAAAAAgAQAAZHJzL2Uyb0RvYy54bWxQSwUGAAAAAAYABgBZAQAAbAUAAAAA&#10;">
              <v:fill on="f" focussize="0,0"/>
              <v:stroke on="f" weight="0.5pt"/>
              <v:imagedata o:title=""/>
              <o:lock v:ext="edit" aspectratio="f"/>
              <v:textbox inset="0mm,0mm,0mm,0mm" style="mso-fit-shape-to-text:t;">
                <w:txbxContent>
                  <w:p w14:paraId="0FA1A593">
                    <w:pPr>
                      <w:pStyle w:val="31"/>
                    </w:pPr>
                    <w:r>
                      <w:fldChar w:fldCharType="begin"/>
                    </w:r>
                    <w:r>
                      <w:instrText xml:space="preserve"> PAGE  \* MERGEFORMAT </w:instrText>
                    </w:r>
                    <w:r>
                      <w:fldChar w:fldCharType="separate"/>
                    </w:r>
                    <w:r>
                      <w:t>78</w:t>
                    </w:r>
                    <w:r>
                      <w:fldChar w:fldCharType="end"/>
                    </w:r>
                  </w:p>
                </w:txbxContent>
              </v:textbox>
            </v:shape>
          </w:pict>
        </mc:Fallback>
      </mc:AlternateContent>
    </w:r>
  </w:p>
  <w:p w14:paraId="6173CFC1">
    <w:pPr>
      <w:pStyle w:val="31"/>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ACF91">
    <w:pPr>
      <w:pStyle w:val="32"/>
      <w:pBdr>
        <w:bottom w:val="none" w:color="auto" w:sz="0" w:space="0"/>
      </w:pBdr>
      <w:tabs>
        <w:tab w:val="right" w:pos="9813"/>
        <w:tab w:val="clear" w:pos="4153"/>
        <w:tab w:val="clear" w:pos="8306"/>
      </w:tabs>
      <w:ind w:left="-966" w:right="-968"/>
      <w:rPr>
        <w:rFonts w:ascii="宋体" w:hAnsi="宋体"/>
        <w:w w:val="80"/>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F1DA9">
    <w:pPr>
      <w:pStyle w:val="32"/>
    </w:pPr>
    <w:r>
      <w:rPr>
        <w:rFonts w:hint="eastAsia" w:ascii="仿宋_GB2312" w:eastAsia="仿宋_GB2312"/>
        <w:sz w:val="24"/>
      </w:rPr>
      <w:t>丽水市政府采购中心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77B98"/>
    <w:multiLevelType w:val="singleLevel"/>
    <w:tmpl w:val="9FC77B98"/>
    <w:lvl w:ilvl="0" w:tentative="0">
      <w:start w:val="1"/>
      <w:numFmt w:val="chineseCounting"/>
      <w:suff w:val="nothing"/>
      <w:lvlText w:val="%1、"/>
      <w:lvlJc w:val="left"/>
      <w:rPr>
        <w:rFonts w:hint="eastAsia"/>
      </w:rPr>
    </w:lvl>
  </w:abstractNum>
  <w:abstractNum w:abstractNumId="1">
    <w:nsid w:val="A7051260"/>
    <w:multiLevelType w:val="singleLevel"/>
    <w:tmpl w:val="A7051260"/>
    <w:lvl w:ilvl="0" w:tentative="0">
      <w:start w:val="3"/>
      <w:numFmt w:val="decimal"/>
      <w:suff w:val="nothing"/>
      <w:lvlText w:val="（%1）"/>
      <w:lvlJc w:val="left"/>
    </w:lvl>
  </w:abstractNum>
  <w:abstractNum w:abstractNumId="2">
    <w:nsid w:val="AACF55E7"/>
    <w:multiLevelType w:val="singleLevel"/>
    <w:tmpl w:val="AACF55E7"/>
    <w:lvl w:ilvl="0" w:tentative="0">
      <w:start w:val="27"/>
      <w:numFmt w:val="decimal"/>
      <w:suff w:val="nothing"/>
      <w:lvlText w:val="%1、"/>
      <w:lvlJc w:val="left"/>
    </w:lvl>
  </w:abstractNum>
  <w:abstractNum w:abstractNumId="3">
    <w:nsid w:val="B3D4544A"/>
    <w:multiLevelType w:val="singleLevel"/>
    <w:tmpl w:val="B3D4544A"/>
    <w:lvl w:ilvl="0" w:tentative="0">
      <w:start w:val="1"/>
      <w:numFmt w:val="decimal"/>
      <w:suff w:val="nothing"/>
      <w:lvlText w:val="%1、"/>
      <w:lvlJc w:val="left"/>
    </w:lvl>
  </w:abstractNum>
  <w:abstractNum w:abstractNumId="4">
    <w:nsid w:val="DA069F1E"/>
    <w:multiLevelType w:val="singleLevel"/>
    <w:tmpl w:val="DA069F1E"/>
    <w:lvl w:ilvl="0" w:tentative="0">
      <w:start w:val="1"/>
      <w:numFmt w:val="decimal"/>
      <w:pStyle w:val="12"/>
      <w:lvlText w:val="%1."/>
      <w:lvlJc w:val="left"/>
      <w:pPr>
        <w:tabs>
          <w:tab w:val="left" w:pos="780"/>
        </w:tabs>
        <w:ind w:left="780" w:hanging="360"/>
      </w:pPr>
    </w:lvl>
  </w:abstractNum>
  <w:abstractNum w:abstractNumId="5">
    <w:nsid w:val="DADFD21D"/>
    <w:multiLevelType w:val="singleLevel"/>
    <w:tmpl w:val="DADFD21D"/>
    <w:lvl w:ilvl="0" w:tentative="0">
      <w:start w:val="1"/>
      <w:numFmt w:val="decimal"/>
      <w:pStyle w:val="269"/>
      <w:suff w:val="nothing"/>
      <w:lvlText w:val="%1、"/>
      <w:lvlJc w:val="left"/>
    </w:lvl>
  </w:abstractNum>
  <w:abstractNum w:abstractNumId="6">
    <w:nsid w:val="07A97BC2"/>
    <w:multiLevelType w:val="multilevel"/>
    <w:tmpl w:val="07A97BC2"/>
    <w:lvl w:ilvl="0" w:tentative="0">
      <w:start w:val="1"/>
      <w:numFmt w:val="bullet"/>
      <w:pStyle w:val="273"/>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7">
    <w:nsid w:val="0B65B9C3"/>
    <w:multiLevelType w:val="singleLevel"/>
    <w:tmpl w:val="0B65B9C3"/>
    <w:lvl w:ilvl="0" w:tentative="0">
      <w:start w:val="1"/>
      <w:numFmt w:val="decimal"/>
      <w:suff w:val="nothing"/>
      <w:lvlText w:val="%1、"/>
      <w:lvlJc w:val="left"/>
    </w:lvl>
  </w:abstractNum>
  <w:abstractNum w:abstractNumId="8">
    <w:nsid w:val="10DB0A64"/>
    <w:multiLevelType w:val="singleLevel"/>
    <w:tmpl w:val="10DB0A64"/>
    <w:lvl w:ilvl="0" w:tentative="0">
      <w:start w:val="14"/>
      <w:numFmt w:val="chineseCounting"/>
      <w:suff w:val="nothing"/>
      <w:lvlText w:val="%1、"/>
      <w:lvlJc w:val="left"/>
      <w:rPr>
        <w:rFonts w:hint="eastAsia"/>
      </w:rPr>
    </w:lvl>
  </w:abstractNum>
  <w:abstractNum w:abstractNumId="9">
    <w:nsid w:val="17CE76C7"/>
    <w:multiLevelType w:val="multilevel"/>
    <w:tmpl w:val="17CE76C7"/>
    <w:lvl w:ilvl="0" w:tentative="0">
      <w:start w:val="1"/>
      <w:numFmt w:val="japaneseCounting"/>
      <w:lvlText w:val="%1、"/>
      <w:lvlJc w:val="left"/>
      <w:pPr>
        <w:ind w:left="761" w:hanging="6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F650465"/>
    <w:multiLevelType w:val="multilevel"/>
    <w:tmpl w:val="2F65046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E3EF080"/>
    <w:multiLevelType w:val="singleLevel"/>
    <w:tmpl w:val="4E3EF080"/>
    <w:lvl w:ilvl="0" w:tentative="0">
      <w:start w:val="1"/>
      <w:numFmt w:val="decimal"/>
      <w:lvlText w:val="%1."/>
      <w:lvlJc w:val="left"/>
      <w:pPr>
        <w:tabs>
          <w:tab w:val="left" w:pos="312"/>
        </w:tabs>
      </w:pPr>
    </w:lvl>
  </w:abstractNum>
  <w:abstractNum w:abstractNumId="12">
    <w:nsid w:val="520C8405"/>
    <w:multiLevelType w:val="singleLevel"/>
    <w:tmpl w:val="520C8405"/>
    <w:lvl w:ilvl="0" w:tentative="0">
      <w:start w:val="1"/>
      <w:numFmt w:val="chineseCounting"/>
      <w:pStyle w:val="266"/>
      <w:suff w:val="nothing"/>
      <w:lvlText w:val="%1、"/>
      <w:lvlJc w:val="left"/>
      <w:rPr>
        <w:rFonts w:hint="eastAsia"/>
      </w:rPr>
    </w:lvl>
  </w:abstractNum>
  <w:abstractNum w:abstractNumId="13">
    <w:nsid w:val="54F403B5"/>
    <w:multiLevelType w:val="singleLevel"/>
    <w:tmpl w:val="54F403B5"/>
    <w:lvl w:ilvl="0" w:tentative="0">
      <w:start w:val="1"/>
      <w:numFmt w:val="chineseCounting"/>
      <w:suff w:val="nothing"/>
      <w:lvlText w:val="%1、"/>
      <w:lvlJc w:val="left"/>
    </w:lvl>
  </w:abstractNum>
  <w:abstractNum w:abstractNumId="14">
    <w:nsid w:val="557FD3DA"/>
    <w:multiLevelType w:val="singleLevel"/>
    <w:tmpl w:val="557FD3DA"/>
    <w:lvl w:ilvl="0" w:tentative="0">
      <w:start w:val="3"/>
      <w:numFmt w:val="chineseCounting"/>
      <w:suff w:val="nothing"/>
      <w:lvlText w:val="%1、"/>
      <w:lvlJc w:val="left"/>
    </w:lvl>
  </w:abstractNum>
  <w:abstractNum w:abstractNumId="15">
    <w:nsid w:val="55DC2298"/>
    <w:multiLevelType w:val="multilevel"/>
    <w:tmpl w:val="55DC2298"/>
    <w:lvl w:ilvl="0" w:tentative="0">
      <w:start w:val="1"/>
      <w:numFmt w:val="chineseCountingThousand"/>
      <w:pStyle w:val="44"/>
      <w:lvlText w:val="第%1章"/>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7A3B6B16"/>
    <w:multiLevelType w:val="multilevel"/>
    <w:tmpl w:val="7A3B6B1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CA93F89"/>
    <w:multiLevelType w:val="multilevel"/>
    <w:tmpl w:val="7CA93F89"/>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E4DCA85"/>
    <w:multiLevelType w:val="singleLevel"/>
    <w:tmpl w:val="7E4DCA85"/>
    <w:lvl w:ilvl="0" w:tentative="0">
      <w:start w:val="1"/>
      <w:numFmt w:val="decimal"/>
      <w:suff w:val="nothing"/>
      <w:lvlText w:val="%1、"/>
      <w:lvlJc w:val="left"/>
    </w:lvl>
  </w:abstractNum>
  <w:num w:numId="1">
    <w:abstractNumId w:val="4"/>
  </w:num>
  <w:num w:numId="2">
    <w:abstractNumId w:val="15"/>
  </w:num>
  <w:num w:numId="3">
    <w:abstractNumId w:val="12"/>
  </w:num>
  <w:num w:numId="4">
    <w:abstractNumId w:val="5"/>
  </w:num>
  <w:num w:numId="5">
    <w:abstractNumId w:val="6"/>
  </w:num>
  <w:num w:numId="6">
    <w:abstractNumId w:val="18"/>
  </w:num>
  <w:num w:numId="7">
    <w:abstractNumId w:val="2"/>
  </w:num>
  <w:num w:numId="8">
    <w:abstractNumId w:val="3"/>
  </w:num>
  <w:num w:numId="9">
    <w:abstractNumId w:val="10"/>
  </w:num>
  <w:num w:numId="10">
    <w:abstractNumId w:val="16"/>
  </w:num>
  <w:num w:numId="11">
    <w:abstractNumId w:val="1"/>
  </w:num>
  <w:num w:numId="12">
    <w:abstractNumId w:val="9"/>
  </w:num>
  <w:num w:numId="13">
    <w:abstractNumId w:val="0"/>
  </w:num>
  <w:num w:numId="14">
    <w:abstractNumId w:val="8"/>
  </w:num>
  <w:num w:numId="15">
    <w:abstractNumId w:val="17"/>
  </w:num>
  <w:num w:numId="16">
    <w:abstractNumId w:val="7"/>
  </w:num>
  <w:num w:numId="17">
    <w:abstractNumId w:val="11"/>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hMmY3ZDY3ZWY5ZjhkMmU3YjE5MjgzYWU4NThiZDAifQ=="/>
    <w:docVar w:name="KSO_WPS_MARK_KEY" w:val="8a0c89e6-ed9b-4421-8040-6b767f61daa1"/>
  </w:docVars>
  <w:rsids>
    <w:rsidRoot w:val="00F42B94"/>
    <w:rsid w:val="00000762"/>
    <w:rsid w:val="00001465"/>
    <w:rsid w:val="00001C6A"/>
    <w:rsid w:val="000044C6"/>
    <w:rsid w:val="00004E7D"/>
    <w:rsid w:val="00010975"/>
    <w:rsid w:val="00011EB0"/>
    <w:rsid w:val="00012B18"/>
    <w:rsid w:val="0002041D"/>
    <w:rsid w:val="00023D21"/>
    <w:rsid w:val="00023E3A"/>
    <w:rsid w:val="00024F27"/>
    <w:rsid w:val="00025B3B"/>
    <w:rsid w:val="000272BF"/>
    <w:rsid w:val="0002734A"/>
    <w:rsid w:val="000303FA"/>
    <w:rsid w:val="00031543"/>
    <w:rsid w:val="0003158D"/>
    <w:rsid w:val="00031FF1"/>
    <w:rsid w:val="000329DA"/>
    <w:rsid w:val="00033FAF"/>
    <w:rsid w:val="0003440F"/>
    <w:rsid w:val="00034A15"/>
    <w:rsid w:val="0003720C"/>
    <w:rsid w:val="000378E8"/>
    <w:rsid w:val="00041935"/>
    <w:rsid w:val="0004250C"/>
    <w:rsid w:val="000447C4"/>
    <w:rsid w:val="00044E85"/>
    <w:rsid w:val="00050830"/>
    <w:rsid w:val="00051171"/>
    <w:rsid w:val="000515CF"/>
    <w:rsid w:val="0005221F"/>
    <w:rsid w:val="000522A6"/>
    <w:rsid w:val="000525A0"/>
    <w:rsid w:val="00057655"/>
    <w:rsid w:val="00057E21"/>
    <w:rsid w:val="00062441"/>
    <w:rsid w:val="00062E7B"/>
    <w:rsid w:val="00063713"/>
    <w:rsid w:val="00064543"/>
    <w:rsid w:val="000725D0"/>
    <w:rsid w:val="00075589"/>
    <w:rsid w:val="00080445"/>
    <w:rsid w:val="00081011"/>
    <w:rsid w:val="00081DA6"/>
    <w:rsid w:val="00081F5F"/>
    <w:rsid w:val="00084226"/>
    <w:rsid w:val="00084F20"/>
    <w:rsid w:val="00085E3C"/>
    <w:rsid w:val="00086D54"/>
    <w:rsid w:val="00087829"/>
    <w:rsid w:val="00090559"/>
    <w:rsid w:val="00090924"/>
    <w:rsid w:val="0009183B"/>
    <w:rsid w:val="0009269F"/>
    <w:rsid w:val="0009417B"/>
    <w:rsid w:val="000946F7"/>
    <w:rsid w:val="000957AF"/>
    <w:rsid w:val="000978B4"/>
    <w:rsid w:val="000A1A77"/>
    <w:rsid w:val="000A21E3"/>
    <w:rsid w:val="000A281E"/>
    <w:rsid w:val="000A31AB"/>
    <w:rsid w:val="000A5353"/>
    <w:rsid w:val="000A6BE6"/>
    <w:rsid w:val="000A7AB5"/>
    <w:rsid w:val="000B2495"/>
    <w:rsid w:val="000B29CD"/>
    <w:rsid w:val="000B4522"/>
    <w:rsid w:val="000B5823"/>
    <w:rsid w:val="000C121D"/>
    <w:rsid w:val="000C13B4"/>
    <w:rsid w:val="000C4E1D"/>
    <w:rsid w:val="000C729C"/>
    <w:rsid w:val="000C72D6"/>
    <w:rsid w:val="000C78F3"/>
    <w:rsid w:val="000D0268"/>
    <w:rsid w:val="000D1F81"/>
    <w:rsid w:val="000D5278"/>
    <w:rsid w:val="000D625F"/>
    <w:rsid w:val="000D6668"/>
    <w:rsid w:val="000E0D3F"/>
    <w:rsid w:val="000E349E"/>
    <w:rsid w:val="000E38FD"/>
    <w:rsid w:val="000E7353"/>
    <w:rsid w:val="000E745A"/>
    <w:rsid w:val="000F01DF"/>
    <w:rsid w:val="000F0690"/>
    <w:rsid w:val="000F2CFB"/>
    <w:rsid w:val="000F2DF2"/>
    <w:rsid w:val="000F753C"/>
    <w:rsid w:val="00106871"/>
    <w:rsid w:val="001068E5"/>
    <w:rsid w:val="00110BCF"/>
    <w:rsid w:val="00113970"/>
    <w:rsid w:val="00114B62"/>
    <w:rsid w:val="0011513E"/>
    <w:rsid w:val="00115531"/>
    <w:rsid w:val="00123CD3"/>
    <w:rsid w:val="0012467F"/>
    <w:rsid w:val="00124913"/>
    <w:rsid w:val="001249DF"/>
    <w:rsid w:val="00124DAE"/>
    <w:rsid w:val="00124E03"/>
    <w:rsid w:val="00126BAF"/>
    <w:rsid w:val="00127235"/>
    <w:rsid w:val="00130D18"/>
    <w:rsid w:val="00134577"/>
    <w:rsid w:val="00141870"/>
    <w:rsid w:val="00141C37"/>
    <w:rsid w:val="00141C72"/>
    <w:rsid w:val="00144D6E"/>
    <w:rsid w:val="00150508"/>
    <w:rsid w:val="001535A6"/>
    <w:rsid w:val="00153D99"/>
    <w:rsid w:val="00154745"/>
    <w:rsid w:val="00156755"/>
    <w:rsid w:val="00157FB4"/>
    <w:rsid w:val="0016003C"/>
    <w:rsid w:val="00161A82"/>
    <w:rsid w:val="00162879"/>
    <w:rsid w:val="00162B57"/>
    <w:rsid w:val="001647C6"/>
    <w:rsid w:val="00164AAD"/>
    <w:rsid w:val="00170457"/>
    <w:rsid w:val="00172416"/>
    <w:rsid w:val="00176000"/>
    <w:rsid w:val="00176CC4"/>
    <w:rsid w:val="00177BB0"/>
    <w:rsid w:val="001800E2"/>
    <w:rsid w:val="00180F85"/>
    <w:rsid w:val="001822AF"/>
    <w:rsid w:val="00182D33"/>
    <w:rsid w:val="00183CA1"/>
    <w:rsid w:val="00186101"/>
    <w:rsid w:val="001868FC"/>
    <w:rsid w:val="00187118"/>
    <w:rsid w:val="00187FC2"/>
    <w:rsid w:val="0019104C"/>
    <w:rsid w:val="00192965"/>
    <w:rsid w:val="00193604"/>
    <w:rsid w:val="00194A69"/>
    <w:rsid w:val="00195202"/>
    <w:rsid w:val="001956C2"/>
    <w:rsid w:val="00195846"/>
    <w:rsid w:val="00196C48"/>
    <w:rsid w:val="001A01C0"/>
    <w:rsid w:val="001A028D"/>
    <w:rsid w:val="001A44B8"/>
    <w:rsid w:val="001A4529"/>
    <w:rsid w:val="001A56C1"/>
    <w:rsid w:val="001A7117"/>
    <w:rsid w:val="001B018C"/>
    <w:rsid w:val="001B057E"/>
    <w:rsid w:val="001C1C84"/>
    <w:rsid w:val="001C1DCA"/>
    <w:rsid w:val="001C2573"/>
    <w:rsid w:val="001C43B5"/>
    <w:rsid w:val="001C6223"/>
    <w:rsid w:val="001C7A2C"/>
    <w:rsid w:val="001C7A91"/>
    <w:rsid w:val="001D1C0E"/>
    <w:rsid w:val="001D6B71"/>
    <w:rsid w:val="001E1F3B"/>
    <w:rsid w:val="001E20DE"/>
    <w:rsid w:val="001E2571"/>
    <w:rsid w:val="001E291B"/>
    <w:rsid w:val="001E41F2"/>
    <w:rsid w:val="001E5719"/>
    <w:rsid w:val="001E5FC6"/>
    <w:rsid w:val="001E69A1"/>
    <w:rsid w:val="001F17FE"/>
    <w:rsid w:val="001F1A18"/>
    <w:rsid w:val="001F4F2F"/>
    <w:rsid w:val="001F6C0A"/>
    <w:rsid w:val="00211A93"/>
    <w:rsid w:val="00211B56"/>
    <w:rsid w:val="00213322"/>
    <w:rsid w:val="002137CE"/>
    <w:rsid w:val="00215E1F"/>
    <w:rsid w:val="00217476"/>
    <w:rsid w:val="00217E4A"/>
    <w:rsid w:val="00221130"/>
    <w:rsid w:val="00222A02"/>
    <w:rsid w:val="002234ED"/>
    <w:rsid w:val="0022407A"/>
    <w:rsid w:val="002272C8"/>
    <w:rsid w:val="00231B55"/>
    <w:rsid w:val="00232245"/>
    <w:rsid w:val="002356D6"/>
    <w:rsid w:val="002369B3"/>
    <w:rsid w:val="00237B9D"/>
    <w:rsid w:val="00242142"/>
    <w:rsid w:val="00242C32"/>
    <w:rsid w:val="0024483F"/>
    <w:rsid w:val="00247CB5"/>
    <w:rsid w:val="002507EA"/>
    <w:rsid w:val="0025201A"/>
    <w:rsid w:val="00252549"/>
    <w:rsid w:val="00253737"/>
    <w:rsid w:val="00253D22"/>
    <w:rsid w:val="00254DB5"/>
    <w:rsid w:val="002570D2"/>
    <w:rsid w:val="00257E3F"/>
    <w:rsid w:val="00261BE8"/>
    <w:rsid w:val="002620E8"/>
    <w:rsid w:val="002625BC"/>
    <w:rsid w:val="0026420C"/>
    <w:rsid w:val="00267AA7"/>
    <w:rsid w:val="00270E12"/>
    <w:rsid w:val="00272161"/>
    <w:rsid w:val="002722B2"/>
    <w:rsid w:val="002733B8"/>
    <w:rsid w:val="00274300"/>
    <w:rsid w:val="002746DA"/>
    <w:rsid w:val="002749D3"/>
    <w:rsid w:val="00277380"/>
    <w:rsid w:val="0027787C"/>
    <w:rsid w:val="00277BA0"/>
    <w:rsid w:val="00277BFD"/>
    <w:rsid w:val="00277DD5"/>
    <w:rsid w:val="00277F46"/>
    <w:rsid w:val="00280EC2"/>
    <w:rsid w:val="002825A0"/>
    <w:rsid w:val="0028388C"/>
    <w:rsid w:val="002838DD"/>
    <w:rsid w:val="002857A1"/>
    <w:rsid w:val="002860C9"/>
    <w:rsid w:val="00287152"/>
    <w:rsid w:val="0029051E"/>
    <w:rsid w:val="00290A0C"/>
    <w:rsid w:val="00295357"/>
    <w:rsid w:val="00297B67"/>
    <w:rsid w:val="002A43F4"/>
    <w:rsid w:val="002A68F3"/>
    <w:rsid w:val="002B6004"/>
    <w:rsid w:val="002C0105"/>
    <w:rsid w:val="002C3455"/>
    <w:rsid w:val="002C4C38"/>
    <w:rsid w:val="002C5065"/>
    <w:rsid w:val="002C573D"/>
    <w:rsid w:val="002C738A"/>
    <w:rsid w:val="002D0B8F"/>
    <w:rsid w:val="002D232C"/>
    <w:rsid w:val="002D2674"/>
    <w:rsid w:val="002D3E6B"/>
    <w:rsid w:val="002D4BBD"/>
    <w:rsid w:val="002D779E"/>
    <w:rsid w:val="002E0A6B"/>
    <w:rsid w:val="002E0EBD"/>
    <w:rsid w:val="002E241B"/>
    <w:rsid w:val="002E2865"/>
    <w:rsid w:val="002E41DD"/>
    <w:rsid w:val="002E46D1"/>
    <w:rsid w:val="002E4736"/>
    <w:rsid w:val="002E4E75"/>
    <w:rsid w:val="002E631F"/>
    <w:rsid w:val="002E6ABA"/>
    <w:rsid w:val="002F062F"/>
    <w:rsid w:val="002F0BD5"/>
    <w:rsid w:val="002F2ECB"/>
    <w:rsid w:val="002F661B"/>
    <w:rsid w:val="002F6AFC"/>
    <w:rsid w:val="002F74D6"/>
    <w:rsid w:val="00302F15"/>
    <w:rsid w:val="00304513"/>
    <w:rsid w:val="003055D7"/>
    <w:rsid w:val="00310946"/>
    <w:rsid w:val="00310A55"/>
    <w:rsid w:val="00310C05"/>
    <w:rsid w:val="00312039"/>
    <w:rsid w:val="00313163"/>
    <w:rsid w:val="0031472D"/>
    <w:rsid w:val="003149EA"/>
    <w:rsid w:val="003177C2"/>
    <w:rsid w:val="00317A78"/>
    <w:rsid w:val="00317D0C"/>
    <w:rsid w:val="00317D8D"/>
    <w:rsid w:val="00320468"/>
    <w:rsid w:val="003209C5"/>
    <w:rsid w:val="003209F9"/>
    <w:rsid w:val="0032224E"/>
    <w:rsid w:val="003228EA"/>
    <w:rsid w:val="003232DE"/>
    <w:rsid w:val="00323C23"/>
    <w:rsid w:val="00324383"/>
    <w:rsid w:val="003269A6"/>
    <w:rsid w:val="00326DD4"/>
    <w:rsid w:val="00326DE6"/>
    <w:rsid w:val="003277B2"/>
    <w:rsid w:val="00330A07"/>
    <w:rsid w:val="0033126E"/>
    <w:rsid w:val="00331DB0"/>
    <w:rsid w:val="0033204F"/>
    <w:rsid w:val="003327A3"/>
    <w:rsid w:val="003345F4"/>
    <w:rsid w:val="00337289"/>
    <w:rsid w:val="00337C2C"/>
    <w:rsid w:val="00342C3D"/>
    <w:rsid w:val="00346440"/>
    <w:rsid w:val="003479BA"/>
    <w:rsid w:val="0035123E"/>
    <w:rsid w:val="003519A9"/>
    <w:rsid w:val="0035267F"/>
    <w:rsid w:val="00353831"/>
    <w:rsid w:val="0035399B"/>
    <w:rsid w:val="00354382"/>
    <w:rsid w:val="00354749"/>
    <w:rsid w:val="0035796B"/>
    <w:rsid w:val="003609B1"/>
    <w:rsid w:val="0036350A"/>
    <w:rsid w:val="0036389C"/>
    <w:rsid w:val="00365BDA"/>
    <w:rsid w:val="0036727F"/>
    <w:rsid w:val="00367B6A"/>
    <w:rsid w:val="00370621"/>
    <w:rsid w:val="00370E02"/>
    <w:rsid w:val="003713C2"/>
    <w:rsid w:val="0037290E"/>
    <w:rsid w:val="00374306"/>
    <w:rsid w:val="003766CE"/>
    <w:rsid w:val="003813FC"/>
    <w:rsid w:val="00385F28"/>
    <w:rsid w:val="003866B1"/>
    <w:rsid w:val="003875C5"/>
    <w:rsid w:val="00387B33"/>
    <w:rsid w:val="003902BD"/>
    <w:rsid w:val="00390887"/>
    <w:rsid w:val="00390F6B"/>
    <w:rsid w:val="00391CC3"/>
    <w:rsid w:val="00391EA6"/>
    <w:rsid w:val="00392B38"/>
    <w:rsid w:val="00394155"/>
    <w:rsid w:val="003942A0"/>
    <w:rsid w:val="00395CB7"/>
    <w:rsid w:val="003963B5"/>
    <w:rsid w:val="00397575"/>
    <w:rsid w:val="003A0E12"/>
    <w:rsid w:val="003A0F16"/>
    <w:rsid w:val="003A24DC"/>
    <w:rsid w:val="003A3B05"/>
    <w:rsid w:val="003A4948"/>
    <w:rsid w:val="003A4D65"/>
    <w:rsid w:val="003A6341"/>
    <w:rsid w:val="003B14F7"/>
    <w:rsid w:val="003B4A60"/>
    <w:rsid w:val="003B5C60"/>
    <w:rsid w:val="003B6332"/>
    <w:rsid w:val="003C1C96"/>
    <w:rsid w:val="003C28DE"/>
    <w:rsid w:val="003C3F61"/>
    <w:rsid w:val="003C6E3E"/>
    <w:rsid w:val="003D033B"/>
    <w:rsid w:val="003D0637"/>
    <w:rsid w:val="003D1FF1"/>
    <w:rsid w:val="003D23CF"/>
    <w:rsid w:val="003D389C"/>
    <w:rsid w:val="003D4077"/>
    <w:rsid w:val="003D6662"/>
    <w:rsid w:val="003E0108"/>
    <w:rsid w:val="003E0AAF"/>
    <w:rsid w:val="003E1977"/>
    <w:rsid w:val="003E578B"/>
    <w:rsid w:val="003F0351"/>
    <w:rsid w:val="003F0866"/>
    <w:rsid w:val="003F2136"/>
    <w:rsid w:val="003F2DBD"/>
    <w:rsid w:val="003F4F19"/>
    <w:rsid w:val="003F6380"/>
    <w:rsid w:val="003F63CE"/>
    <w:rsid w:val="003F7EA9"/>
    <w:rsid w:val="00401A5F"/>
    <w:rsid w:val="00401D7D"/>
    <w:rsid w:val="00406ACE"/>
    <w:rsid w:val="0041063D"/>
    <w:rsid w:val="00411617"/>
    <w:rsid w:val="004142D5"/>
    <w:rsid w:val="00414C3A"/>
    <w:rsid w:val="004168DA"/>
    <w:rsid w:val="00420AFF"/>
    <w:rsid w:val="004221E8"/>
    <w:rsid w:val="0042490D"/>
    <w:rsid w:val="004301EE"/>
    <w:rsid w:val="00430ADD"/>
    <w:rsid w:val="00433E25"/>
    <w:rsid w:val="00435601"/>
    <w:rsid w:val="0043611A"/>
    <w:rsid w:val="004425C5"/>
    <w:rsid w:val="00446139"/>
    <w:rsid w:val="00446CF0"/>
    <w:rsid w:val="00451D12"/>
    <w:rsid w:val="00452A91"/>
    <w:rsid w:val="00456619"/>
    <w:rsid w:val="00456841"/>
    <w:rsid w:val="004640BA"/>
    <w:rsid w:val="00464FC9"/>
    <w:rsid w:val="00467261"/>
    <w:rsid w:val="004721C8"/>
    <w:rsid w:val="00472C47"/>
    <w:rsid w:val="0047423D"/>
    <w:rsid w:val="004749F7"/>
    <w:rsid w:val="00475306"/>
    <w:rsid w:val="004761BC"/>
    <w:rsid w:val="00480E69"/>
    <w:rsid w:val="00490404"/>
    <w:rsid w:val="00490E81"/>
    <w:rsid w:val="00493FFC"/>
    <w:rsid w:val="0049507A"/>
    <w:rsid w:val="0049521C"/>
    <w:rsid w:val="004977CB"/>
    <w:rsid w:val="004A03D5"/>
    <w:rsid w:val="004A12F0"/>
    <w:rsid w:val="004A2219"/>
    <w:rsid w:val="004A2962"/>
    <w:rsid w:val="004A2993"/>
    <w:rsid w:val="004A42D8"/>
    <w:rsid w:val="004A458E"/>
    <w:rsid w:val="004A48D8"/>
    <w:rsid w:val="004A61DE"/>
    <w:rsid w:val="004A6426"/>
    <w:rsid w:val="004A6837"/>
    <w:rsid w:val="004A73DF"/>
    <w:rsid w:val="004B2C6F"/>
    <w:rsid w:val="004B4539"/>
    <w:rsid w:val="004B573B"/>
    <w:rsid w:val="004B5D86"/>
    <w:rsid w:val="004C0A3E"/>
    <w:rsid w:val="004C14C9"/>
    <w:rsid w:val="004C2A8F"/>
    <w:rsid w:val="004C4B33"/>
    <w:rsid w:val="004C6066"/>
    <w:rsid w:val="004C710F"/>
    <w:rsid w:val="004C725B"/>
    <w:rsid w:val="004D5A0C"/>
    <w:rsid w:val="004E206A"/>
    <w:rsid w:val="004E505D"/>
    <w:rsid w:val="004E5E2F"/>
    <w:rsid w:val="004E729F"/>
    <w:rsid w:val="004F1A04"/>
    <w:rsid w:val="004F3C8E"/>
    <w:rsid w:val="004F4817"/>
    <w:rsid w:val="004F538F"/>
    <w:rsid w:val="004F5EB3"/>
    <w:rsid w:val="005002AE"/>
    <w:rsid w:val="00502DE4"/>
    <w:rsid w:val="0050600C"/>
    <w:rsid w:val="00507199"/>
    <w:rsid w:val="0051429F"/>
    <w:rsid w:val="00514835"/>
    <w:rsid w:val="00516B48"/>
    <w:rsid w:val="00517525"/>
    <w:rsid w:val="00522DD9"/>
    <w:rsid w:val="00525C8F"/>
    <w:rsid w:val="005316F9"/>
    <w:rsid w:val="005317C5"/>
    <w:rsid w:val="00532AD2"/>
    <w:rsid w:val="00544C4F"/>
    <w:rsid w:val="0054717C"/>
    <w:rsid w:val="00550394"/>
    <w:rsid w:val="00553ABE"/>
    <w:rsid w:val="00554490"/>
    <w:rsid w:val="00554CDB"/>
    <w:rsid w:val="0055551D"/>
    <w:rsid w:val="00556CC9"/>
    <w:rsid w:val="0055716F"/>
    <w:rsid w:val="005575BC"/>
    <w:rsid w:val="0055797F"/>
    <w:rsid w:val="00560972"/>
    <w:rsid w:val="00561C5E"/>
    <w:rsid w:val="0056261A"/>
    <w:rsid w:val="00563842"/>
    <w:rsid w:val="00564F64"/>
    <w:rsid w:val="005703A3"/>
    <w:rsid w:val="005708AE"/>
    <w:rsid w:val="00572043"/>
    <w:rsid w:val="00572C95"/>
    <w:rsid w:val="005733D5"/>
    <w:rsid w:val="00576723"/>
    <w:rsid w:val="005771F4"/>
    <w:rsid w:val="00577DD0"/>
    <w:rsid w:val="00577F99"/>
    <w:rsid w:val="00581C39"/>
    <w:rsid w:val="00583B79"/>
    <w:rsid w:val="00583EAB"/>
    <w:rsid w:val="00584495"/>
    <w:rsid w:val="00585B19"/>
    <w:rsid w:val="00586ED9"/>
    <w:rsid w:val="00586EE9"/>
    <w:rsid w:val="00590196"/>
    <w:rsid w:val="00591DE4"/>
    <w:rsid w:val="005925AE"/>
    <w:rsid w:val="005925F5"/>
    <w:rsid w:val="00593681"/>
    <w:rsid w:val="00594BD6"/>
    <w:rsid w:val="00595FB1"/>
    <w:rsid w:val="005969AF"/>
    <w:rsid w:val="005972DE"/>
    <w:rsid w:val="005A174A"/>
    <w:rsid w:val="005A7169"/>
    <w:rsid w:val="005A78A2"/>
    <w:rsid w:val="005B1A53"/>
    <w:rsid w:val="005B4095"/>
    <w:rsid w:val="005B4183"/>
    <w:rsid w:val="005B593D"/>
    <w:rsid w:val="005C0BE9"/>
    <w:rsid w:val="005C3827"/>
    <w:rsid w:val="005D0B93"/>
    <w:rsid w:val="005D0D4C"/>
    <w:rsid w:val="005D0DC2"/>
    <w:rsid w:val="005D1999"/>
    <w:rsid w:val="005D4E6D"/>
    <w:rsid w:val="005D5686"/>
    <w:rsid w:val="005E0B31"/>
    <w:rsid w:val="005E1E55"/>
    <w:rsid w:val="005E4BA6"/>
    <w:rsid w:val="005E66E0"/>
    <w:rsid w:val="005E675D"/>
    <w:rsid w:val="005E7C9A"/>
    <w:rsid w:val="005E7CD1"/>
    <w:rsid w:val="005F0574"/>
    <w:rsid w:val="005F0684"/>
    <w:rsid w:val="005F1B6F"/>
    <w:rsid w:val="005F502F"/>
    <w:rsid w:val="005F56B9"/>
    <w:rsid w:val="005F58C5"/>
    <w:rsid w:val="005F7C84"/>
    <w:rsid w:val="00601A1C"/>
    <w:rsid w:val="00604D11"/>
    <w:rsid w:val="00604DBE"/>
    <w:rsid w:val="006066D7"/>
    <w:rsid w:val="00606964"/>
    <w:rsid w:val="00610815"/>
    <w:rsid w:val="00611781"/>
    <w:rsid w:val="00616DA5"/>
    <w:rsid w:val="006211D0"/>
    <w:rsid w:val="00621DCB"/>
    <w:rsid w:val="00623C00"/>
    <w:rsid w:val="00623D7C"/>
    <w:rsid w:val="00625A2E"/>
    <w:rsid w:val="00625B17"/>
    <w:rsid w:val="00626001"/>
    <w:rsid w:val="00630EEB"/>
    <w:rsid w:val="0063109A"/>
    <w:rsid w:val="00634454"/>
    <w:rsid w:val="00635507"/>
    <w:rsid w:val="00642438"/>
    <w:rsid w:val="006458EA"/>
    <w:rsid w:val="0064591D"/>
    <w:rsid w:val="0064698F"/>
    <w:rsid w:val="006469E1"/>
    <w:rsid w:val="00650D5F"/>
    <w:rsid w:val="00650E52"/>
    <w:rsid w:val="00651A29"/>
    <w:rsid w:val="006522EB"/>
    <w:rsid w:val="00656C13"/>
    <w:rsid w:val="00660E54"/>
    <w:rsid w:val="00661651"/>
    <w:rsid w:val="00664F13"/>
    <w:rsid w:val="006711DD"/>
    <w:rsid w:val="00671E19"/>
    <w:rsid w:val="00675120"/>
    <w:rsid w:val="00675A83"/>
    <w:rsid w:val="00677E4E"/>
    <w:rsid w:val="006826E2"/>
    <w:rsid w:val="00684BF9"/>
    <w:rsid w:val="00686166"/>
    <w:rsid w:val="006870EC"/>
    <w:rsid w:val="00690164"/>
    <w:rsid w:val="006938D8"/>
    <w:rsid w:val="006A0F62"/>
    <w:rsid w:val="006A1419"/>
    <w:rsid w:val="006A21BA"/>
    <w:rsid w:val="006A410B"/>
    <w:rsid w:val="006A42C9"/>
    <w:rsid w:val="006A75F9"/>
    <w:rsid w:val="006B49B4"/>
    <w:rsid w:val="006B53A3"/>
    <w:rsid w:val="006B5891"/>
    <w:rsid w:val="006B70E3"/>
    <w:rsid w:val="006B791F"/>
    <w:rsid w:val="006C14E1"/>
    <w:rsid w:val="006C240C"/>
    <w:rsid w:val="006C3FB0"/>
    <w:rsid w:val="006C4AD3"/>
    <w:rsid w:val="006C606A"/>
    <w:rsid w:val="006D0873"/>
    <w:rsid w:val="006D0CC0"/>
    <w:rsid w:val="006D2AAC"/>
    <w:rsid w:val="006D2C83"/>
    <w:rsid w:val="006E1834"/>
    <w:rsid w:val="006E3A64"/>
    <w:rsid w:val="006E43C4"/>
    <w:rsid w:val="006E573E"/>
    <w:rsid w:val="006E5966"/>
    <w:rsid w:val="006E6AFB"/>
    <w:rsid w:val="006F033F"/>
    <w:rsid w:val="006F10F0"/>
    <w:rsid w:val="0070103E"/>
    <w:rsid w:val="00701D18"/>
    <w:rsid w:val="0070240C"/>
    <w:rsid w:val="0070447E"/>
    <w:rsid w:val="00705017"/>
    <w:rsid w:val="007053B8"/>
    <w:rsid w:val="00705768"/>
    <w:rsid w:val="0070592F"/>
    <w:rsid w:val="007075CA"/>
    <w:rsid w:val="00711234"/>
    <w:rsid w:val="0071289F"/>
    <w:rsid w:val="00713030"/>
    <w:rsid w:val="007160FD"/>
    <w:rsid w:val="00721AEE"/>
    <w:rsid w:val="00721BA5"/>
    <w:rsid w:val="0072329D"/>
    <w:rsid w:val="007238A4"/>
    <w:rsid w:val="007240DF"/>
    <w:rsid w:val="007241BD"/>
    <w:rsid w:val="007255F3"/>
    <w:rsid w:val="00727E49"/>
    <w:rsid w:val="00731694"/>
    <w:rsid w:val="00732E8F"/>
    <w:rsid w:val="00734B19"/>
    <w:rsid w:val="00734D60"/>
    <w:rsid w:val="007401DA"/>
    <w:rsid w:val="00740886"/>
    <w:rsid w:val="00742C30"/>
    <w:rsid w:val="00742DBD"/>
    <w:rsid w:val="00742E10"/>
    <w:rsid w:val="00743FE9"/>
    <w:rsid w:val="0074513B"/>
    <w:rsid w:val="00751FAE"/>
    <w:rsid w:val="007522C4"/>
    <w:rsid w:val="007531FB"/>
    <w:rsid w:val="007532EB"/>
    <w:rsid w:val="00754C56"/>
    <w:rsid w:val="007562E3"/>
    <w:rsid w:val="0076083E"/>
    <w:rsid w:val="00763688"/>
    <w:rsid w:val="00763753"/>
    <w:rsid w:val="007639B0"/>
    <w:rsid w:val="00764FD1"/>
    <w:rsid w:val="00766DA6"/>
    <w:rsid w:val="007671DE"/>
    <w:rsid w:val="00773F23"/>
    <w:rsid w:val="00773FD0"/>
    <w:rsid w:val="0077709A"/>
    <w:rsid w:val="00782568"/>
    <w:rsid w:val="00782FF3"/>
    <w:rsid w:val="00784CF3"/>
    <w:rsid w:val="00786122"/>
    <w:rsid w:val="00790DE6"/>
    <w:rsid w:val="00791758"/>
    <w:rsid w:val="0079254E"/>
    <w:rsid w:val="0079537E"/>
    <w:rsid w:val="00795EBD"/>
    <w:rsid w:val="007A1A54"/>
    <w:rsid w:val="007A20FF"/>
    <w:rsid w:val="007A273C"/>
    <w:rsid w:val="007A3536"/>
    <w:rsid w:val="007A595C"/>
    <w:rsid w:val="007A7900"/>
    <w:rsid w:val="007B05F1"/>
    <w:rsid w:val="007B229C"/>
    <w:rsid w:val="007B4029"/>
    <w:rsid w:val="007C1957"/>
    <w:rsid w:val="007C2328"/>
    <w:rsid w:val="007C32C2"/>
    <w:rsid w:val="007C3D11"/>
    <w:rsid w:val="007C43D5"/>
    <w:rsid w:val="007C4640"/>
    <w:rsid w:val="007C5CFC"/>
    <w:rsid w:val="007C5F2D"/>
    <w:rsid w:val="007C6213"/>
    <w:rsid w:val="007D0C3B"/>
    <w:rsid w:val="007D2B5D"/>
    <w:rsid w:val="007D48FC"/>
    <w:rsid w:val="007D4BFD"/>
    <w:rsid w:val="007D6A51"/>
    <w:rsid w:val="007D6EEE"/>
    <w:rsid w:val="007D7A2E"/>
    <w:rsid w:val="007E0254"/>
    <w:rsid w:val="007E0B08"/>
    <w:rsid w:val="007E198F"/>
    <w:rsid w:val="007E419C"/>
    <w:rsid w:val="007E6992"/>
    <w:rsid w:val="007E74BE"/>
    <w:rsid w:val="007F011F"/>
    <w:rsid w:val="007F0317"/>
    <w:rsid w:val="007F0D37"/>
    <w:rsid w:val="007F1FCD"/>
    <w:rsid w:val="007F22DF"/>
    <w:rsid w:val="007F354E"/>
    <w:rsid w:val="007F4EC1"/>
    <w:rsid w:val="0080077C"/>
    <w:rsid w:val="0080205A"/>
    <w:rsid w:val="00804FE3"/>
    <w:rsid w:val="00807101"/>
    <w:rsid w:val="00810BA5"/>
    <w:rsid w:val="008117CB"/>
    <w:rsid w:val="00814657"/>
    <w:rsid w:val="00814AD5"/>
    <w:rsid w:val="00815A93"/>
    <w:rsid w:val="00817386"/>
    <w:rsid w:val="0082276F"/>
    <w:rsid w:val="008239E5"/>
    <w:rsid w:val="00823F1F"/>
    <w:rsid w:val="008243A9"/>
    <w:rsid w:val="008251E2"/>
    <w:rsid w:val="008310E7"/>
    <w:rsid w:val="00831724"/>
    <w:rsid w:val="00833716"/>
    <w:rsid w:val="00833D52"/>
    <w:rsid w:val="00834C1D"/>
    <w:rsid w:val="00842393"/>
    <w:rsid w:val="00843E29"/>
    <w:rsid w:val="00844B53"/>
    <w:rsid w:val="00844FC2"/>
    <w:rsid w:val="00850131"/>
    <w:rsid w:val="00851160"/>
    <w:rsid w:val="00851BC3"/>
    <w:rsid w:val="00851DC4"/>
    <w:rsid w:val="0085381B"/>
    <w:rsid w:val="00853B8C"/>
    <w:rsid w:val="00856A63"/>
    <w:rsid w:val="0085769B"/>
    <w:rsid w:val="00860899"/>
    <w:rsid w:val="00860E07"/>
    <w:rsid w:val="00865378"/>
    <w:rsid w:val="008665A7"/>
    <w:rsid w:val="008729D7"/>
    <w:rsid w:val="008745B2"/>
    <w:rsid w:val="00874BA3"/>
    <w:rsid w:val="008805F2"/>
    <w:rsid w:val="008813B0"/>
    <w:rsid w:val="00883B1D"/>
    <w:rsid w:val="00884BAD"/>
    <w:rsid w:val="008857C7"/>
    <w:rsid w:val="00885AED"/>
    <w:rsid w:val="0088762C"/>
    <w:rsid w:val="00891752"/>
    <w:rsid w:val="00891C31"/>
    <w:rsid w:val="00893B62"/>
    <w:rsid w:val="00894E2D"/>
    <w:rsid w:val="0089583E"/>
    <w:rsid w:val="00895CBC"/>
    <w:rsid w:val="008A0DD5"/>
    <w:rsid w:val="008A2FAA"/>
    <w:rsid w:val="008A3AA8"/>
    <w:rsid w:val="008A4071"/>
    <w:rsid w:val="008A4EDE"/>
    <w:rsid w:val="008B08B9"/>
    <w:rsid w:val="008B0DFB"/>
    <w:rsid w:val="008B23FB"/>
    <w:rsid w:val="008B2957"/>
    <w:rsid w:val="008B3459"/>
    <w:rsid w:val="008B38B7"/>
    <w:rsid w:val="008B44B6"/>
    <w:rsid w:val="008B45C2"/>
    <w:rsid w:val="008B5509"/>
    <w:rsid w:val="008B7616"/>
    <w:rsid w:val="008C0D03"/>
    <w:rsid w:val="008C3614"/>
    <w:rsid w:val="008C7643"/>
    <w:rsid w:val="008C780E"/>
    <w:rsid w:val="008C79AF"/>
    <w:rsid w:val="008D089D"/>
    <w:rsid w:val="008D092F"/>
    <w:rsid w:val="008D3909"/>
    <w:rsid w:val="008D4142"/>
    <w:rsid w:val="008D4424"/>
    <w:rsid w:val="008D5FE6"/>
    <w:rsid w:val="008E0A80"/>
    <w:rsid w:val="008E0D1A"/>
    <w:rsid w:val="008E1A30"/>
    <w:rsid w:val="008E25B8"/>
    <w:rsid w:val="008E377F"/>
    <w:rsid w:val="008E4BD9"/>
    <w:rsid w:val="008E56B0"/>
    <w:rsid w:val="008E6025"/>
    <w:rsid w:val="008F00B1"/>
    <w:rsid w:val="008F2A14"/>
    <w:rsid w:val="008F33F6"/>
    <w:rsid w:val="008F627D"/>
    <w:rsid w:val="00901CE5"/>
    <w:rsid w:val="00901D20"/>
    <w:rsid w:val="009037A1"/>
    <w:rsid w:val="00903A3E"/>
    <w:rsid w:val="00907009"/>
    <w:rsid w:val="00911B44"/>
    <w:rsid w:val="0091275D"/>
    <w:rsid w:val="009137F2"/>
    <w:rsid w:val="00913D22"/>
    <w:rsid w:val="00913F90"/>
    <w:rsid w:val="009163D8"/>
    <w:rsid w:val="00916416"/>
    <w:rsid w:val="00920F02"/>
    <w:rsid w:val="00921873"/>
    <w:rsid w:val="009223E9"/>
    <w:rsid w:val="00922D01"/>
    <w:rsid w:val="00925D43"/>
    <w:rsid w:val="00927143"/>
    <w:rsid w:val="00930BB8"/>
    <w:rsid w:val="00930CD7"/>
    <w:rsid w:val="00932D2D"/>
    <w:rsid w:val="00934821"/>
    <w:rsid w:val="00937B05"/>
    <w:rsid w:val="009407A6"/>
    <w:rsid w:val="00942899"/>
    <w:rsid w:val="00942DC1"/>
    <w:rsid w:val="009475EB"/>
    <w:rsid w:val="00947D27"/>
    <w:rsid w:val="00952878"/>
    <w:rsid w:val="00953D11"/>
    <w:rsid w:val="009566A2"/>
    <w:rsid w:val="0095694E"/>
    <w:rsid w:val="00957F94"/>
    <w:rsid w:val="00960431"/>
    <w:rsid w:val="00960CC2"/>
    <w:rsid w:val="00961CB3"/>
    <w:rsid w:val="00963D96"/>
    <w:rsid w:val="00964DE7"/>
    <w:rsid w:val="00965F81"/>
    <w:rsid w:val="009679CA"/>
    <w:rsid w:val="00967EC9"/>
    <w:rsid w:val="0097006C"/>
    <w:rsid w:val="009706E4"/>
    <w:rsid w:val="009737F3"/>
    <w:rsid w:val="00974CA2"/>
    <w:rsid w:val="009753E3"/>
    <w:rsid w:val="00977797"/>
    <w:rsid w:val="00981CDB"/>
    <w:rsid w:val="009829B7"/>
    <w:rsid w:val="00984E8C"/>
    <w:rsid w:val="0098538E"/>
    <w:rsid w:val="00985B84"/>
    <w:rsid w:val="00986433"/>
    <w:rsid w:val="00987EF2"/>
    <w:rsid w:val="00992117"/>
    <w:rsid w:val="00993966"/>
    <w:rsid w:val="00993F17"/>
    <w:rsid w:val="009952D4"/>
    <w:rsid w:val="00995D34"/>
    <w:rsid w:val="009A01B5"/>
    <w:rsid w:val="009A1762"/>
    <w:rsid w:val="009A1904"/>
    <w:rsid w:val="009A409A"/>
    <w:rsid w:val="009A48AB"/>
    <w:rsid w:val="009A5C63"/>
    <w:rsid w:val="009A6ED7"/>
    <w:rsid w:val="009B1321"/>
    <w:rsid w:val="009B190C"/>
    <w:rsid w:val="009B5197"/>
    <w:rsid w:val="009B5739"/>
    <w:rsid w:val="009B68A2"/>
    <w:rsid w:val="009B7859"/>
    <w:rsid w:val="009C04C9"/>
    <w:rsid w:val="009C1F1F"/>
    <w:rsid w:val="009C77A5"/>
    <w:rsid w:val="009C7ABE"/>
    <w:rsid w:val="009D1086"/>
    <w:rsid w:val="009D1C85"/>
    <w:rsid w:val="009D2010"/>
    <w:rsid w:val="009D29A4"/>
    <w:rsid w:val="009D3A94"/>
    <w:rsid w:val="009D5013"/>
    <w:rsid w:val="009E1BEA"/>
    <w:rsid w:val="009E28CE"/>
    <w:rsid w:val="009E3674"/>
    <w:rsid w:val="009E376D"/>
    <w:rsid w:val="009E68B7"/>
    <w:rsid w:val="009E6AA3"/>
    <w:rsid w:val="009F10EC"/>
    <w:rsid w:val="009F20EF"/>
    <w:rsid w:val="009F257E"/>
    <w:rsid w:val="009F2DC0"/>
    <w:rsid w:val="009F4D9C"/>
    <w:rsid w:val="00A04F3B"/>
    <w:rsid w:val="00A0529C"/>
    <w:rsid w:val="00A06C62"/>
    <w:rsid w:val="00A07EFF"/>
    <w:rsid w:val="00A07F01"/>
    <w:rsid w:val="00A133E0"/>
    <w:rsid w:val="00A14E81"/>
    <w:rsid w:val="00A16C9F"/>
    <w:rsid w:val="00A20021"/>
    <w:rsid w:val="00A20754"/>
    <w:rsid w:val="00A20BF9"/>
    <w:rsid w:val="00A2365A"/>
    <w:rsid w:val="00A238F6"/>
    <w:rsid w:val="00A25268"/>
    <w:rsid w:val="00A3167C"/>
    <w:rsid w:val="00A4018D"/>
    <w:rsid w:val="00A4153D"/>
    <w:rsid w:val="00A425A3"/>
    <w:rsid w:val="00A43989"/>
    <w:rsid w:val="00A47467"/>
    <w:rsid w:val="00A478F9"/>
    <w:rsid w:val="00A51C09"/>
    <w:rsid w:val="00A53F4E"/>
    <w:rsid w:val="00A549B1"/>
    <w:rsid w:val="00A55F44"/>
    <w:rsid w:val="00A57559"/>
    <w:rsid w:val="00A57ABF"/>
    <w:rsid w:val="00A60962"/>
    <w:rsid w:val="00A62948"/>
    <w:rsid w:val="00A64A86"/>
    <w:rsid w:val="00A651F1"/>
    <w:rsid w:val="00A655C7"/>
    <w:rsid w:val="00A66EF1"/>
    <w:rsid w:val="00A763ED"/>
    <w:rsid w:val="00A765EA"/>
    <w:rsid w:val="00A80403"/>
    <w:rsid w:val="00A81283"/>
    <w:rsid w:val="00A81B7C"/>
    <w:rsid w:val="00A81D91"/>
    <w:rsid w:val="00A8252D"/>
    <w:rsid w:val="00A83497"/>
    <w:rsid w:val="00A842DE"/>
    <w:rsid w:val="00A8430A"/>
    <w:rsid w:val="00A86FC5"/>
    <w:rsid w:val="00A93AF1"/>
    <w:rsid w:val="00A96F98"/>
    <w:rsid w:val="00A97848"/>
    <w:rsid w:val="00AA1679"/>
    <w:rsid w:val="00AA5793"/>
    <w:rsid w:val="00AA7279"/>
    <w:rsid w:val="00AB0DB5"/>
    <w:rsid w:val="00AB2E55"/>
    <w:rsid w:val="00AB41CA"/>
    <w:rsid w:val="00AC006D"/>
    <w:rsid w:val="00AC1129"/>
    <w:rsid w:val="00AC140E"/>
    <w:rsid w:val="00AC5339"/>
    <w:rsid w:val="00AC6CCF"/>
    <w:rsid w:val="00AD026D"/>
    <w:rsid w:val="00AD04FF"/>
    <w:rsid w:val="00AD7DE0"/>
    <w:rsid w:val="00AE02B8"/>
    <w:rsid w:val="00AE0C04"/>
    <w:rsid w:val="00AE21C1"/>
    <w:rsid w:val="00AE2394"/>
    <w:rsid w:val="00AE42D6"/>
    <w:rsid w:val="00AF1AF8"/>
    <w:rsid w:val="00AF2F72"/>
    <w:rsid w:val="00AF4A04"/>
    <w:rsid w:val="00AF5CAC"/>
    <w:rsid w:val="00B00A76"/>
    <w:rsid w:val="00B02819"/>
    <w:rsid w:val="00B0530B"/>
    <w:rsid w:val="00B06CFD"/>
    <w:rsid w:val="00B071E8"/>
    <w:rsid w:val="00B13F29"/>
    <w:rsid w:val="00B14AE3"/>
    <w:rsid w:val="00B1505C"/>
    <w:rsid w:val="00B152B8"/>
    <w:rsid w:val="00B15ACB"/>
    <w:rsid w:val="00B16D03"/>
    <w:rsid w:val="00B17A51"/>
    <w:rsid w:val="00B211FD"/>
    <w:rsid w:val="00B225B5"/>
    <w:rsid w:val="00B24C84"/>
    <w:rsid w:val="00B25410"/>
    <w:rsid w:val="00B2699E"/>
    <w:rsid w:val="00B3034C"/>
    <w:rsid w:val="00B3053E"/>
    <w:rsid w:val="00B31108"/>
    <w:rsid w:val="00B32314"/>
    <w:rsid w:val="00B32609"/>
    <w:rsid w:val="00B41018"/>
    <w:rsid w:val="00B411A8"/>
    <w:rsid w:val="00B43197"/>
    <w:rsid w:val="00B43594"/>
    <w:rsid w:val="00B437DC"/>
    <w:rsid w:val="00B4401B"/>
    <w:rsid w:val="00B44477"/>
    <w:rsid w:val="00B463E0"/>
    <w:rsid w:val="00B47938"/>
    <w:rsid w:val="00B54498"/>
    <w:rsid w:val="00B55EF0"/>
    <w:rsid w:val="00B60268"/>
    <w:rsid w:val="00B6213C"/>
    <w:rsid w:val="00B62CE4"/>
    <w:rsid w:val="00B64F0C"/>
    <w:rsid w:val="00B65265"/>
    <w:rsid w:val="00B660E2"/>
    <w:rsid w:val="00B70DF4"/>
    <w:rsid w:val="00B7117E"/>
    <w:rsid w:val="00B711BC"/>
    <w:rsid w:val="00B72288"/>
    <w:rsid w:val="00B75537"/>
    <w:rsid w:val="00B75F3E"/>
    <w:rsid w:val="00B7658B"/>
    <w:rsid w:val="00B77002"/>
    <w:rsid w:val="00B81FBC"/>
    <w:rsid w:val="00B82373"/>
    <w:rsid w:val="00B826F9"/>
    <w:rsid w:val="00B8365A"/>
    <w:rsid w:val="00B85623"/>
    <w:rsid w:val="00B8588F"/>
    <w:rsid w:val="00B85C73"/>
    <w:rsid w:val="00B93BCF"/>
    <w:rsid w:val="00B9556B"/>
    <w:rsid w:val="00B973AD"/>
    <w:rsid w:val="00B97CED"/>
    <w:rsid w:val="00BA0104"/>
    <w:rsid w:val="00BA0131"/>
    <w:rsid w:val="00BA13D4"/>
    <w:rsid w:val="00BA1C31"/>
    <w:rsid w:val="00BA20EC"/>
    <w:rsid w:val="00BA4119"/>
    <w:rsid w:val="00BA733A"/>
    <w:rsid w:val="00BB0099"/>
    <w:rsid w:val="00BB299B"/>
    <w:rsid w:val="00BB3681"/>
    <w:rsid w:val="00BB59B6"/>
    <w:rsid w:val="00BB7E72"/>
    <w:rsid w:val="00BC2028"/>
    <w:rsid w:val="00BC3AF8"/>
    <w:rsid w:val="00BC61A2"/>
    <w:rsid w:val="00BC62F5"/>
    <w:rsid w:val="00BC672B"/>
    <w:rsid w:val="00BD0697"/>
    <w:rsid w:val="00BD09AE"/>
    <w:rsid w:val="00BD344D"/>
    <w:rsid w:val="00BD58EF"/>
    <w:rsid w:val="00BD7E52"/>
    <w:rsid w:val="00BE1BA4"/>
    <w:rsid w:val="00BE2E03"/>
    <w:rsid w:val="00BE37D8"/>
    <w:rsid w:val="00BE4B57"/>
    <w:rsid w:val="00BE59A1"/>
    <w:rsid w:val="00BE68AA"/>
    <w:rsid w:val="00BE7BBD"/>
    <w:rsid w:val="00BF2743"/>
    <w:rsid w:val="00BF2AC8"/>
    <w:rsid w:val="00BF3932"/>
    <w:rsid w:val="00BF4580"/>
    <w:rsid w:val="00C014FC"/>
    <w:rsid w:val="00C019C7"/>
    <w:rsid w:val="00C027B0"/>
    <w:rsid w:val="00C03602"/>
    <w:rsid w:val="00C07E1E"/>
    <w:rsid w:val="00C1497B"/>
    <w:rsid w:val="00C15F57"/>
    <w:rsid w:val="00C17A2F"/>
    <w:rsid w:val="00C21BBB"/>
    <w:rsid w:val="00C231BA"/>
    <w:rsid w:val="00C23A01"/>
    <w:rsid w:val="00C2421A"/>
    <w:rsid w:val="00C26967"/>
    <w:rsid w:val="00C269E2"/>
    <w:rsid w:val="00C27343"/>
    <w:rsid w:val="00C31813"/>
    <w:rsid w:val="00C32976"/>
    <w:rsid w:val="00C329FA"/>
    <w:rsid w:val="00C345A3"/>
    <w:rsid w:val="00C34B47"/>
    <w:rsid w:val="00C36186"/>
    <w:rsid w:val="00C41926"/>
    <w:rsid w:val="00C42D07"/>
    <w:rsid w:val="00C43984"/>
    <w:rsid w:val="00C45F03"/>
    <w:rsid w:val="00C4766C"/>
    <w:rsid w:val="00C47E33"/>
    <w:rsid w:val="00C517F5"/>
    <w:rsid w:val="00C539B2"/>
    <w:rsid w:val="00C54D00"/>
    <w:rsid w:val="00C57529"/>
    <w:rsid w:val="00C602EF"/>
    <w:rsid w:val="00C615B1"/>
    <w:rsid w:val="00C61FF9"/>
    <w:rsid w:val="00C6244E"/>
    <w:rsid w:val="00C646D8"/>
    <w:rsid w:val="00C648AB"/>
    <w:rsid w:val="00C650D5"/>
    <w:rsid w:val="00C65633"/>
    <w:rsid w:val="00C65F22"/>
    <w:rsid w:val="00C71893"/>
    <w:rsid w:val="00C73CDC"/>
    <w:rsid w:val="00C773F3"/>
    <w:rsid w:val="00C80696"/>
    <w:rsid w:val="00C81C0A"/>
    <w:rsid w:val="00C821CB"/>
    <w:rsid w:val="00C84E3F"/>
    <w:rsid w:val="00C87E9D"/>
    <w:rsid w:val="00C90400"/>
    <w:rsid w:val="00C93364"/>
    <w:rsid w:val="00C93C23"/>
    <w:rsid w:val="00C95B7F"/>
    <w:rsid w:val="00C96354"/>
    <w:rsid w:val="00C970A1"/>
    <w:rsid w:val="00C97DDA"/>
    <w:rsid w:val="00CA04D8"/>
    <w:rsid w:val="00CA63E9"/>
    <w:rsid w:val="00CB097C"/>
    <w:rsid w:val="00CB1EE2"/>
    <w:rsid w:val="00CB2124"/>
    <w:rsid w:val="00CB4368"/>
    <w:rsid w:val="00CB7F6A"/>
    <w:rsid w:val="00CC0FC1"/>
    <w:rsid w:val="00CC1DF7"/>
    <w:rsid w:val="00CC6862"/>
    <w:rsid w:val="00CC73B3"/>
    <w:rsid w:val="00CD0A0F"/>
    <w:rsid w:val="00CD6FEE"/>
    <w:rsid w:val="00CD76AF"/>
    <w:rsid w:val="00CE093E"/>
    <w:rsid w:val="00CE28AA"/>
    <w:rsid w:val="00CE5321"/>
    <w:rsid w:val="00CE5BF4"/>
    <w:rsid w:val="00CE5F28"/>
    <w:rsid w:val="00CE77E7"/>
    <w:rsid w:val="00CF034D"/>
    <w:rsid w:val="00CF30D4"/>
    <w:rsid w:val="00CF38F0"/>
    <w:rsid w:val="00CF49F9"/>
    <w:rsid w:val="00CF4CE7"/>
    <w:rsid w:val="00D0000F"/>
    <w:rsid w:val="00D008CE"/>
    <w:rsid w:val="00D02536"/>
    <w:rsid w:val="00D03C0C"/>
    <w:rsid w:val="00D069CC"/>
    <w:rsid w:val="00D07288"/>
    <w:rsid w:val="00D073DA"/>
    <w:rsid w:val="00D11019"/>
    <w:rsid w:val="00D112C3"/>
    <w:rsid w:val="00D121D3"/>
    <w:rsid w:val="00D1226E"/>
    <w:rsid w:val="00D12E9F"/>
    <w:rsid w:val="00D16291"/>
    <w:rsid w:val="00D207EA"/>
    <w:rsid w:val="00D208AC"/>
    <w:rsid w:val="00D2112C"/>
    <w:rsid w:val="00D25F14"/>
    <w:rsid w:val="00D276FF"/>
    <w:rsid w:val="00D27AB0"/>
    <w:rsid w:val="00D308B2"/>
    <w:rsid w:val="00D31D08"/>
    <w:rsid w:val="00D31E2E"/>
    <w:rsid w:val="00D32A29"/>
    <w:rsid w:val="00D336D8"/>
    <w:rsid w:val="00D33C0E"/>
    <w:rsid w:val="00D356D8"/>
    <w:rsid w:val="00D36106"/>
    <w:rsid w:val="00D361D2"/>
    <w:rsid w:val="00D40054"/>
    <w:rsid w:val="00D414C5"/>
    <w:rsid w:val="00D42786"/>
    <w:rsid w:val="00D45554"/>
    <w:rsid w:val="00D52217"/>
    <w:rsid w:val="00D537EE"/>
    <w:rsid w:val="00D53A16"/>
    <w:rsid w:val="00D54514"/>
    <w:rsid w:val="00D54BA5"/>
    <w:rsid w:val="00D56085"/>
    <w:rsid w:val="00D561C7"/>
    <w:rsid w:val="00D57AA5"/>
    <w:rsid w:val="00D60BD6"/>
    <w:rsid w:val="00D65454"/>
    <w:rsid w:val="00D6626F"/>
    <w:rsid w:val="00D66B22"/>
    <w:rsid w:val="00D70EED"/>
    <w:rsid w:val="00D71655"/>
    <w:rsid w:val="00D7172C"/>
    <w:rsid w:val="00D74E84"/>
    <w:rsid w:val="00D75617"/>
    <w:rsid w:val="00D75D8F"/>
    <w:rsid w:val="00D76A8B"/>
    <w:rsid w:val="00D77126"/>
    <w:rsid w:val="00D84762"/>
    <w:rsid w:val="00D865B5"/>
    <w:rsid w:val="00D9067A"/>
    <w:rsid w:val="00D94555"/>
    <w:rsid w:val="00D9648E"/>
    <w:rsid w:val="00D966C7"/>
    <w:rsid w:val="00D96EB9"/>
    <w:rsid w:val="00D96F6A"/>
    <w:rsid w:val="00D979C0"/>
    <w:rsid w:val="00DA35B0"/>
    <w:rsid w:val="00DA3C45"/>
    <w:rsid w:val="00DA5BA7"/>
    <w:rsid w:val="00DA6962"/>
    <w:rsid w:val="00DA7EA8"/>
    <w:rsid w:val="00DB00E1"/>
    <w:rsid w:val="00DB1124"/>
    <w:rsid w:val="00DB212C"/>
    <w:rsid w:val="00DB2774"/>
    <w:rsid w:val="00DB6CDA"/>
    <w:rsid w:val="00DC16C3"/>
    <w:rsid w:val="00DC2DA0"/>
    <w:rsid w:val="00DC31F6"/>
    <w:rsid w:val="00DC43D0"/>
    <w:rsid w:val="00DC4F0D"/>
    <w:rsid w:val="00DC5183"/>
    <w:rsid w:val="00DC7C14"/>
    <w:rsid w:val="00DD2096"/>
    <w:rsid w:val="00DD3483"/>
    <w:rsid w:val="00DD4183"/>
    <w:rsid w:val="00DD64EA"/>
    <w:rsid w:val="00DD678B"/>
    <w:rsid w:val="00DD7AB6"/>
    <w:rsid w:val="00DE22DC"/>
    <w:rsid w:val="00DE2CC1"/>
    <w:rsid w:val="00DE3856"/>
    <w:rsid w:val="00DE3D22"/>
    <w:rsid w:val="00DE4755"/>
    <w:rsid w:val="00DE77DC"/>
    <w:rsid w:val="00DE7B09"/>
    <w:rsid w:val="00DF5969"/>
    <w:rsid w:val="00DF63BB"/>
    <w:rsid w:val="00DF738A"/>
    <w:rsid w:val="00DF7CDB"/>
    <w:rsid w:val="00E027F6"/>
    <w:rsid w:val="00E04243"/>
    <w:rsid w:val="00E07027"/>
    <w:rsid w:val="00E070F0"/>
    <w:rsid w:val="00E11426"/>
    <w:rsid w:val="00E24664"/>
    <w:rsid w:val="00E252E4"/>
    <w:rsid w:val="00E2767E"/>
    <w:rsid w:val="00E27F61"/>
    <w:rsid w:val="00E328E2"/>
    <w:rsid w:val="00E33B95"/>
    <w:rsid w:val="00E35445"/>
    <w:rsid w:val="00E35B09"/>
    <w:rsid w:val="00E35D80"/>
    <w:rsid w:val="00E35DD7"/>
    <w:rsid w:val="00E422A1"/>
    <w:rsid w:val="00E4369A"/>
    <w:rsid w:val="00E448D9"/>
    <w:rsid w:val="00E46839"/>
    <w:rsid w:val="00E46A5B"/>
    <w:rsid w:val="00E52E2D"/>
    <w:rsid w:val="00E556DF"/>
    <w:rsid w:val="00E55B09"/>
    <w:rsid w:val="00E56CCE"/>
    <w:rsid w:val="00E60AEE"/>
    <w:rsid w:val="00E61956"/>
    <w:rsid w:val="00E61E9E"/>
    <w:rsid w:val="00E65C33"/>
    <w:rsid w:val="00E66E53"/>
    <w:rsid w:val="00E672A2"/>
    <w:rsid w:val="00E67C5A"/>
    <w:rsid w:val="00E70DD7"/>
    <w:rsid w:val="00E71993"/>
    <w:rsid w:val="00E73D04"/>
    <w:rsid w:val="00E73D06"/>
    <w:rsid w:val="00E7465E"/>
    <w:rsid w:val="00E74E46"/>
    <w:rsid w:val="00E7789B"/>
    <w:rsid w:val="00E84A26"/>
    <w:rsid w:val="00E90030"/>
    <w:rsid w:val="00E9026C"/>
    <w:rsid w:val="00E904F8"/>
    <w:rsid w:val="00E91A73"/>
    <w:rsid w:val="00E92A85"/>
    <w:rsid w:val="00E9313A"/>
    <w:rsid w:val="00E93347"/>
    <w:rsid w:val="00E938FD"/>
    <w:rsid w:val="00E9418E"/>
    <w:rsid w:val="00E94F9D"/>
    <w:rsid w:val="00E95041"/>
    <w:rsid w:val="00E96DB5"/>
    <w:rsid w:val="00EA08EF"/>
    <w:rsid w:val="00EA3FB8"/>
    <w:rsid w:val="00EA475D"/>
    <w:rsid w:val="00EA4B26"/>
    <w:rsid w:val="00EA5E60"/>
    <w:rsid w:val="00EB01C8"/>
    <w:rsid w:val="00EB03EE"/>
    <w:rsid w:val="00EB24D7"/>
    <w:rsid w:val="00EB4186"/>
    <w:rsid w:val="00EC0CFF"/>
    <w:rsid w:val="00EC1F22"/>
    <w:rsid w:val="00EC4FDE"/>
    <w:rsid w:val="00EC779A"/>
    <w:rsid w:val="00ED1487"/>
    <w:rsid w:val="00ED24B0"/>
    <w:rsid w:val="00ED5E1D"/>
    <w:rsid w:val="00ED646B"/>
    <w:rsid w:val="00ED7581"/>
    <w:rsid w:val="00EE0202"/>
    <w:rsid w:val="00EE3477"/>
    <w:rsid w:val="00EE368F"/>
    <w:rsid w:val="00EE7E38"/>
    <w:rsid w:val="00EF4039"/>
    <w:rsid w:val="00EF4505"/>
    <w:rsid w:val="00EF5E77"/>
    <w:rsid w:val="00EF6198"/>
    <w:rsid w:val="00EF648F"/>
    <w:rsid w:val="00EF7389"/>
    <w:rsid w:val="00F004F4"/>
    <w:rsid w:val="00F0104B"/>
    <w:rsid w:val="00F01DD8"/>
    <w:rsid w:val="00F03A7C"/>
    <w:rsid w:val="00F0617B"/>
    <w:rsid w:val="00F0726F"/>
    <w:rsid w:val="00F078D7"/>
    <w:rsid w:val="00F1048F"/>
    <w:rsid w:val="00F10FDB"/>
    <w:rsid w:val="00F144A6"/>
    <w:rsid w:val="00F14522"/>
    <w:rsid w:val="00F14560"/>
    <w:rsid w:val="00F24753"/>
    <w:rsid w:val="00F25729"/>
    <w:rsid w:val="00F30DC9"/>
    <w:rsid w:val="00F33248"/>
    <w:rsid w:val="00F34FC9"/>
    <w:rsid w:val="00F366B2"/>
    <w:rsid w:val="00F37182"/>
    <w:rsid w:val="00F378D2"/>
    <w:rsid w:val="00F42849"/>
    <w:rsid w:val="00F42B94"/>
    <w:rsid w:val="00F43CA5"/>
    <w:rsid w:val="00F43DED"/>
    <w:rsid w:val="00F51C11"/>
    <w:rsid w:val="00F52E62"/>
    <w:rsid w:val="00F54293"/>
    <w:rsid w:val="00F57BE6"/>
    <w:rsid w:val="00F62819"/>
    <w:rsid w:val="00F64FF6"/>
    <w:rsid w:val="00F67021"/>
    <w:rsid w:val="00F670FA"/>
    <w:rsid w:val="00F72F00"/>
    <w:rsid w:val="00F73705"/>
    <w:rsid w:val="00F761A0"/>
    <w:rsid w:val="00F77391"/>
    <w:rsid w:val="00F77727"/>
    <w:rsid w:val="00F81E63"/>
    <w:rsid w:val="00F87444"/>
    <w:rsid w:val="00F87FAC"/>
    <w:rsid w:val="00F904EA"/>
    <w:rsid w:val="00F92506"/>
    <w:rsid w:val="00F92566"/>
    <w:rsid w:val="00F93151"/>
    <w:rsid w:val="00F94050"/>
    <w:rsid w:val="00F97261"/>
    <w:rsid w:val="00F973FD"/>
    <w:rsid w:val="00FA07D1"/>
    <w:rsid w:val="00FA141D"/>
    <w:rsid w:val="00FA2609"/>
    <w:rsid w:val="00FB210A"/>
    <w:rsid w:val="00FB2824"/>
    <w:rsid w:val="00FB34A4"/>
    <w:rsid w:val="00FB4C18"/>
    <w:rsid w:val="00FB6049"/>
    <w:rsid w:val="00FC266C"/>
    <w:rsid w:val="00FC40A7"/>
    <w:rsid w:val="00FC4686"/>
    <w:rsid w:val="00FD077C"/>
    <w:rsid w:val="00FE0FC1"/>
    <w:rsid w:val="00FE24C8"/>
    <w:rsid w:val="00FE2B74"/>
    <w:rsid w:val="00FE45A4"/>
    <w:rsid w:val="00FE522D"/>
    <w:rsid w:val="00FE536A"/>
    <w:rsid w:val="00FE5FF3"/>
    <w:rsid w:val="00FE6234"/>
    <w:rsid w:val="00FE6360"/>
    <w:rsid w:val="00FE63B0"/>
    <w:rsid w:val="00FE7F4C"/>
    <w:rsid w:val="00FF2180"/>
    <w:rsid w:val="00FF3D98"/>
    <w:rsid w:val="00FF5EA5"/>
    <w:rsid w:val="00FF7F46"/>
    <w:rsid w:val="012E1C2C"/>
    <w:rsid w:val="01401144"/>
    <w:rsid w:val="020C7F63"/>
    <w:rsid w:val="02524569"/>
    <w:rsid w:val="02717984"/>
    <w:rsid w:val="02757725"/>
    <w:rsid w:val="027D13B9"/>
    <w:rsid w:val="02836FD5"/>
    <w:rsid w:val="029C7664"/>
    <w:rsid w:val="02DF13AE"/>
    <w:rsid w:val="03A002AD"/>
    <w:rsid w:val="03AF1619"/>
    <w:rsid w:val="044F0764"/>
    <w:rsid w:val="04620439"/>
    <w:rsid w:val="04C15E47"/>
    <w:rsid w:val="04FA5415"/>
    <w:rsid w:val="052851DF"/>
    <w:rsid w:val="05434B14"/>
    <w:rsid w:val="05832C2A"/>
    <w:rsid w:val="05924D4E"/>
    <w:rsid w:val="05C8651C"/>
    <w:rsid w:val="05DB04A3"/>
    <w:rsid w:val="05E71039"/>
    <w:rsid w:val="06592C3F"/>
    <w:rsid w:val="068848E9"/>
    <w:rsid w:val="068B1EC9"/>
    <w:rsid w:val="06986594"/>
    <w:rsid w:val="069D39AB"/>
    <w:rsid w:val="06B156A8"/>
    <w:rsid w:val="06C67807"/>
    <w:rsid w:val="06E71064"/>
    <w:rsid w:val="073C55D1"/>
    <w:rsid w:val="07434B4F"/>
    <w:rsid w:val="079C288F"/>
    <w:rsid w:val="0802440D"/>
    <w:rsid w:val="084E7652"/>
    <w:rsid w:val="08712E62"/>
    <w:rsid w:val="09150170"/>
    <w:rsid w:val="095F3199"/>
    <w:rsid w:val="09C556F2"/>
    <w:rsid w:val="09D15AE5"/>
    <w:rsid w:val="09DA18A6"/>
    <w:rsid w:val="0A402FCB"/>
    <w:rsid w:val="0A4E6541"/>
    <w:rsid w:val="0A521BF4"/>
    <w:rsid w:val="0A5E78F5"/>
    <w:rsid w:val="0A6C019B"/>
    <w:rsid w:val="0A9D1AC2"/>
    <w:rsid w:val="0B3A2110"/>
    <w:rsid w:val="0B772213"/>
    <w:rsid w:val="0C345C12"/>
    <w:rsid w:val="0C437EE4"/>
    <w:rsid w:val="0C685EC7"/>
    <w:rsid w:val="0C7A3C79"/>
    <w:rsid w:val="0C8B0C29"/>
    <w:rsid w:val="0C913FB2"/>
    <w:rsid w:val="0CD520F0"/>
    <w:rsid w:val="0D4B23B2"/>
    <w:rsid w:val="0D624460"/>
    <w:rsid w:val="0D662D48"/>
    <w:rsid w:val="0D690A8B"/>
    <w:rsid w:val="0D8409E7"/>
    <w:rsid w:val="0DB665CA"/>
    <w:rsid w:val="0DDC2091"/>
    <w:rsid w:val="0DF442BC"/>
    <w:rsid w:val="0E1A06E3"/>
    <w:rsid w:val="0E52151F"/>
    <w:rsid w:val="0E59189D"/>
    <w:rsid w:val="0E6179B4"/>
    <w:rsid w:val="0E655D57"/>
    <w:rsid w:val="0EC853E9"/>
    <w:rsid w:val="0EEA32E0"/>
    <w:rsid w:val="0EFA0B9D"/>
    <w:rsid w:val="0F276507"/>
    <w:rsid w:val="0F663740"/>
    <w:rsid w:val="0F933B9E"/>
    <w:rsid w:val="0FA67D74"/>
    <w:rsid w:val="0FAF05F5"/>
    <w:rsid w:val="0FCD6B82"/>
    <w:rsid w:val="0FD30808"/>
    <w:rsid w:val="0FD45288"/>
    <w:rsid w:val="0FD7617F"/>
    <w:rsid w:val="100531C8"/>
    <w:rsid w:val="10156CA8"/>
    <w:rsid w:val="10223A7C"/>
    <w:rsid w:val="10331FC2"/>
    <w:rsid w:val="105A290D"/>
    <w:rsid w:val="107214AD"/>
    <w:rsid w:val="10991687"/>
    <w:rsid w:val="10C761F4"/>
    <w:rsid w:val="10EF4126"/>
    <w:rsid w:val="115713E8"/>
    <w:rsid w:val="11E9255E"/>
    <w:rsid w:val="125C6E10"/>
    <w:rsid w:val="126006AE"/>
    <w:rsid w:val="126246A3"/>
    <w:rsid w:val="126A5950"/>
    <w:rsid w:val="12CC5073"/>
    <w:rsid w:val="13D32EAA"/>
    <w:rsid w:val="13E3036E"/>
    <w:rsid w:val="13F76DF0"/>
    <w:rsid w:val="14171668"/>
    <w:rsid w:val="143F3A5E"/>
    <w:rsid w:val="14A14FAE"/>
    <w:rsid w:val="14AF3D90"/>
    <w:rsid w:val="14BC3B96"/>
    <w:rsid w:val="14C501E8"/>
    <w:rsid w:val="14EF1875"/>
    <w:rsid w:val="153C1E4B"/>
    <w:rsid w:val="155707AA"/>
    <w:rsid w:val="15746C69"/>
    <w:rsid w:val="15B56FF0"/>
    <w:rsid w:val="15BF56EC"/>
    <w:rsid w:val="15C23272"/>
    <w:rsid w:val="15D46CBD"/>
    <w:rsid w:val="160B7C2E"/>
    <w:rsid w:val="16C65C69"/>
    <w:rsid w:val="16C827C1"/>
    <w:rsid w:val="16D45DFF"/>
    <w:rsid w:val="173E758D"/>
    <w:rsid w:val="178E4568"/>
    <w:rsid w:val="179901BE"/>
    <w:rsid w:val="17A03013"/>
    <w:rsid w:val="17CE1649"/>
    <w:rsid w:val="17D226D6"/>
    <w:rsid w:val="17DB2585"/>
    <w:rsid w:val="18162D91"/>
    <w:rsid w:val="182A7928"/>
    <w:rsid w:val="18383533"/>
    <w:rsid w:val="185C1918"/>
    <w:rsid w:val="186A6F13"/>
    <w:rsid w:val="189C5406"/>
    <w:rsid w:val="19197809"/>
    <w:rsid w:val="197930F0"/>
    <w:rsid w:val="19D90D46"/>
    <w:rsid w:val="1A120A17"/>
    <w:rsid w:val="1A3F34E6"/>
    <w:rsid w:val="1B5E7755"/>
    <w:rsid w:val="1B662AAD"/>
    <w:rsid w:val="1BBE0811"/>
    <w:rsid w:val="1BCC7D1A"/>
    <w:rsid w:val="1BFB31F6"/>
    <w:rsid w:val="1C0A4F2E"/>
    <w:rsid w:val="1D4C0356"/>
    <w:rsid w:val="1D886D0B"/>
    <w:rsid w:val="1DB51C45"/>
    <w:rsid w:val="1DCA1548"/>
    <w:rsid w:val="1DCB4477"/>
    <w:rsid w:val="1E544EE0"/>
    <w:rsid w:val="1E5C35AB"/>
    <w:rsid w:val="1EA23DFC"/>
    <w:rsid w:val="1F106342"/>
    <w:rsid w:val="1F386298"/>
    <w:rsid w:val="1F52137F"/>
    <w:rsid w:val="1F5F584A"/>
    <w:rsid w:val="1F6E53CE"/>
    <w:rsid w:val="1F7E6617"/>
    <w:rsid w:val="1FB23F8C"/>
    <w:rsid w:val="1FB2427B"/>
    <w:rsid w:val="206536DB"/>
    <w:rsid w:val="207167BE"/>
    <w:rsid w:val="20B901F1"/>
    <w:rsid w:val="20E420DA"/>
    <w:rsid w:val="21142EBD"/>
    <w:rsid w:val="211B3955"/>
    <w:rsid w:val="213C3B04"/>
    <w:rsid w:val="219A6D4B"/>
    <w:rsid w:val="21AD0AEE"/>
    <w:rsid w:val="21AF47B7"/>
    <w:rsid w:val="22206FE5"/>
    <w:rsid w:val="22562288"/>
    <w:rsid w:val="22D91657"/>
    <w:rsid w:val="22DB198C"/>
    <w:rsid w:val="22EE6507"/>
    <w:rsid w:val="230230BC"/>
    <w:rsid w:val="231D7594"/>
    <w:rsid w:val="23847554"/>
    <w:rsid w:val="239C52BE"/>
    <w:rsid w:val="23C31FB6"/>
    <w:rsid w:val="23EB3F49"/>
    <w:rsid w:val="23ED5B1A"/>
    <w:rsid w:val="246163AE"/>
    <w:rsid w:val="249D61A7"/>
    <w:rsid w:val="24BC729A"/>
    <w:rsid w:val="24E8008F"/>
    <w:rsid w:val="24EF1480"/>
    <w:rsid w:val="253B0B07"/>
    <w:rsid w:val="254E083A"/>
    <w:rsid w:val="25777D91"/>
    <w:rsid w:val="25891872"/>
    <w:rsid w:val="25AE752B"/>
    <w:rsid w:val="263E65FC"/>
    <w:rsid w:val="267D7507"/>
    <w:rsid w:val="26AA79A0"/>
    <w:rsid w:val="26B0380F"/>
    <w:rsid w:val="26C32B62"/>
    <w:rsid w:val="26C54B2C"/>
    <w:rsid w:val="26C92BC5"/>
    <w:rsid w:val="27117D71"/>
    <w:rsid w:val="273720EB"/>
    <w:rsid w:val="273D198C"/>
    <w:rsid w:val="273F4ECE"/>
    <w:rsid w:val="27767BD4"/>
    <w:rsid w:val="277F75BE"/>
    <w:rsid w:val="27870033"/>
    <w:rsid w:val="27AF40F6"/>
    <w:rsid w:val="27FF7BCA"/>
    <w:rsid w:val="282B227A"/>
    <w:rsid w:val="28445F24"/>
    <w:rsid w:val="288E0F4E"/>
    <w:rsid w:val="28B163DE"/>
    <w:rsid w:val="28F973C4"/>
    <w:rsid w:val="290A0F1C"/>
    <w:rsid w:val="290B259E"/>
    <w:rsid w:val="29722D78"/>
    <w:rsid w:val="29932CBF"/>
    <w:rsid w:val="299F2EE6"/>
    <w:rsid w:val="2A077209"/>
    <w:rsid w:val="2A657023"/>
    <w:rsid w:val="2A68414C"/>
    <w:rsid w:val="2A704DAF"/>
    <w:rsid w:val="2AEA61BB"/>
    <w:rsid w:val="2B02634F"/>
    <w:rsid w:val="2B082C47"/>
    <w:rsid w:val="2B111DFB"/>
    <w:rsid w:val="2B45623B"/>
    <w:rsid w:val="2B591CE7"/>
    <w:rsid w:val="2B8C5C18"/>
    <w:rsid w:val="2BC76C50"/>
    <w:rsid w:val="2BF67536"/>
    <w:rsid w:val="2BF85B7E"/>
    <w:rsid w:val="2C0651FD"/>
    <w:rsid w:val="2C0F23A5"/>
    <w:rsid w:val="2C1C00BB"/>
    <w:rsid w:val="2C312A5B"/>
    <w:rsid w:val="2C49635E"/>
    <w:rsid w:val="2C7F39CF"/>
    <w:rsid w:val="2C944DD8"/>
    <w:rsid w:val="2D3E5F4B"/>
    <w:rsid w:val="2D5902D2"/>
    <w:rsid w:val="2D5C161A"/>
    <w:rsid w:val="2D7B6970"/>
    <w:rsid w:val="2D825525"/>
    <w:rsid w:val="2D97165B"/>
    <w:rsid w:val="2DEB3174"/>
    <w:rsid w:val="2E6C1D31"/>
    <w:rsid w:val="2E701821"/>
    <w:rsid w:val="2E8C24F8"/>
    <w:rsid w:val="2E9574DA"/>
    <w:rsid w:val="2EA94D33"/>
    <w:rsid w:val="2EF20488"/>
    <w:rsid w:val="2F3E592A"/>
    <w:rsid w:val="2F63276B"/>
    <w:rsid w:val="2F6A001E"/>
    <w:rsid w:val="2F7B1B78"/>
    <w:rsid w:val="2F7B66D0"/>
    <w:rsid w:val="2F8310E0"/>
    <w:rsid w:val="2F8F18E7"/>
    <w:rsid w:val="2F9F4969"/>
    <w:rsid w:val="301902AB"/>
    <w:rsid w:val="305E79C7"/>
    <w:rsid w:val="30CC3BFA"/>
    <w:rsid w:val="30E06BCF"/>
    <w:rsid w:val="30FA7AC8"/>
    <w:rsid w:val="31097D0B"/>
    <w:rsid w:val="313905F0"/>
    <w:rsid w:val="313D2FFD"/>
    <w:rsid w:val="315E00CE"/>
    <w:rsid w:val="31ED3189"/>
    <w:rsid w:val="320B5473"/>
    <w:rsid w:val="32290665"/>
    <w:rsid w:val="322D761C"/>
    <w:rsid w:val="324803BF"/>
    <w:rsid w:val="327D62BB"/>
    <w:rsid w:val="327F0285"/>
    <w:rsid w:val="32B36180"/>
    <w:rsid w:val="33354C61"/>
    <w:rsid w:val="33AF4B9A"/>
    <w:rsid w:val="33D10DE0"/>
    <w:rsid w:val="33D22636"/>
    <w:rsid w:val="33FB4AD5"/>
    <w:rsid w:val="3428494C"/>
    <w:rsid w:val="34313801"/>
    <w:rsid w:val="34383AED"/>
    <w:rsid w:val="34620281"/>
    <w:rsid w:val="346D235F"/>
    <w:rsid w:val="347A791D"/>
    <w:rsid w:val="351017B8"/>
    <w:rsid w:val="354D466A"/>
    <w:rsid w:val="35552E2C"/>
    <w:rsid w:val="355D244C"/>
    <w:rsid w:val="358618BD"/>
    <w:rsid w:val="35C80195"/>
    <w:rsid w:val="35F83319"/>
    <w:rsid w:val="35FD0FF5"/>
    <w:rsid w:val="36545C9A"/>
    <w:rsid w:val="36614130"/>
    <w:rsid w:val="367774C5"/>
    <w:rsid w:val="36C4095C"/>
    <w:rsid w:val="370F76FD"/>
    <w:rsid w:val="37270EEB"/>
    <w:rsid w:val="37585548"/>
    <w:rsid w:val="37677539"/>
    <w:rsid w:val="37797999"/>
    <w:rsid w:val="378E0F6A"/>
    <w:rsid w:val="380A6843"/>
    <w:rsid w:val="38143DE4"/>
    <w:rsid w:val="38436600"/>
    <w:rsid w:val="386D2F8D"/>
    <w:rsid w:val="387D129C"/>
    <w:rsid w:val="389D242B"/>
    <w:rsid w:val="38A00F55"/>
    <w:rsid w:val="38A071A7"/>
    <w:rsid w:val="38A764F8"/>
    <w:rsid w:val="38E466B3"/>
    <w:rsid w:val="390F79A2"/>
    <w:rsid w:val="392755EE"/>
    <w:rsid w:val="39457BDA"/>
    <w:rsid w:val="395051B1"/>
    <w:rsid w:val="398E34A3"/>
    <w:rsid w:val="399D36E6"/>
    <w:rsid w:val="3A211C22"/>
    <w:rsid w:val="3A6F0BDF"/>
    <w:rsid w:val="3A726921"/>
    <w:rsid w:val="3AD10538"/>
    <w:rsid w:val="3B585B17"/>
    <w:rsid w:val="3B760E9F"/>
    <w:rsid w:val="3BB56AC5"/>
    <w:rsid w:val="3BB840E2"/>
    <w:rsid w:val="3BD64F66"/>
    <w:rsid w:val="3BD827B4"/>
    <w:rsid w:val="3BEB91C6"/>
    <w:rsid w:val="3C1D0A16"/>
    <w:rsid w:val="3C2105FF"/>
    <w:rsid w:val="3C3B3A58"/>
    <w:rsid w:val="3C554C79"/>
    <w:rsid w:val="3C601127"/>
    <w:rsid w:val="3CE81E35"/>
    <w:rsid w:val="3D194F1C"/>
    <w:rsid w:val="3D2824D0"/>
    <w:rsid w:val="3D457307"/>
    <w:rsid w:val="3D486B76"/>
    <w:rsid w:val="3D5271FE"/>
    <w:rsid w:val="3D5F66E9"/>
    <w:rsid w:val="3D814A07"/>
    <w:rsid w:val="3D8E1623"/>
    <w:rsid w:val="3DAC214A"/>
    <w:rsid w:val="3DF45B6C"/>
    <w:rsid w:val="3E047A6B"/>
    <w:rsid w:val="3E153CC6"/>
    <w:rsid w:val="3E8346A9"/>
    <w:rsid w:val="3EA6028E"/>
    <w:rsid w:val="3F0D4E6A"/>
    <w:rsid w:val="3F6644B1"/>
    <w:rsid w:val="3F6F1945"/>
    <w:rsid w:val="3F7722BD"/>
    <w:rsid w:val="3FCBC233"/>
    <w:rsid w:val="3FEBBCB0"/>
    <w:rsid w:val="3FED72D4"/>
    <w:rsid w:val="3FFF64D9"/>
    <w:rsid w:val="40107744"/>
    <w:rsid w:val="40730CFD"/>
    <w:rsid w:val="409B0C49"/>
    <w:rsid w:val="40CB4CC1"/>
    <w:rsid w:val="40F576DF"/>
    <w:rsid w:val="40FC3CFB"/>
    <w:rsid w:val="41313092"/>
    <w:rsid w:val="418B7E82"/>
    <w:rsid w:val="41E8409F"/>
    <w:rsid w:val="41FF0A9A"/>
    <w:rsid w:val="421F634F"/>
    <w:rsid w:val="422F4D7D"/>
    <w:rsid w:val="425F56CD"/>
    <w:rsid w:val="42731488"/>
    <w:rsid w:val="42942681"/>
    <w:rsid w:val="42C46F38"/>
    <w:rsid w:val="42D9753D"/>
    <w:rsid w:val="431C38CE"/>
    <w:rsid w:val="432F53AF"/>
    <w:rsid w:val="435968D0"/>
    <w:rsid w:val="437876E6"/>
    <w:rsid w:val="44052B5B"/>
    <w:rsid w:val="44224F14"/>
    <w:rsid w:val="444B6112"/>
    <w:rsid w:val="445552E9"/>
    <w:rsid w:val="44760467"/>
    <w:rsid w:val="44775FA6"/>
    <w:rsid w:val="44827761"/>
    <w:rsid w:val="44A91191"/>
    <w:rsid w:val="44D426B2"/>
    <w:rsid w:val="44F87A23"/>
    <w:rsid w:val="45725A27"/>
    <w:rsid w:val="459B423E"/>
    <w:rsid w:val="45C609CB"/>
    <w:rsid w:val="463F1DAD"/>
    <w:rsid w:val="4646138E"/>
    <w:rsid w:val="46A329BF"/>
    <w:rsid w:val="46B52A48"/>
    <w:rsid w:val="46E82445"/>
    <w:rsid w:val="470913EF"/>
    <w:rsid w:val="47171988"/>
    <w:rsid w:val="47217705"/>
    <w:rsid w:val="47462CC7"/>
    <w:rsid w:val="47B6488F"/>
    <w:rsid w:val="47B858C7"/>
    <w:rsid w:val="4819618B"/>
    <w:rsid w:val="4887761A"/>
    <w:rsid w:val="48E258DF"/>
    <w:rsid w:val="48FE7EA6"/>
    <w:rsid w:val="494A7626"/>
    <w:rsid w:val="495A7D97"/>
    <w:rsid w:val="4A08695A"/>
    <w:rsid w:val="4A121587"/>
    <w:rsid w:val="4A3911D6"/>
    <w:rsid w:val="4A435283"/>
    <w:rsid w:val="4A4D1D30"/>
    <w:rsid w:val="4AC13678"/>
    <w:rsid w:val="4AE253FD"/>
    <w:rsid w:val="4B490FD8"/>
    <w:rsid w:val="4B562034"/>
    <w:rsid w:val="4BA07FCD"/>
    <w:rsid w:val="4BD84856"/>
    <w:rsid w:val="4BDC2C88"/>
    <w:rsid w:val="4BEE462D"/>
    <w:rsid w:val="4C563E14"/>
    <w:rsid w:val="4C6423B9"/>
    <w:rsid w:val="4C6F6961"/>
    <w:rsid w:val="4C7B1665"/>
    <w:rsid w:val="4C924FEE"/>
    <w:rsid w:val="4C9269AF"/>
    <w:rsid w:val="4C9E7102"/>
    <w:rsid w:val="4CBB312B"/>
    <w:rsid w:val="4D4C4DB0"/>
    <w:rsid w:val="4DF74249"/>
    <w:rsid w:val="4E404914"/>
    <w:rsid w:val="4E7D2DE3"/>
    <w:rsid w:val="4E8E3F55"/>
    <w:rsid w:val="4F381A8F"/>
    <w:rsid w:val="4FC11A85"/>
    <w:rsid w:val="50502E09"/>
    <w:rsid w:val="50833C49"/>
    <w:rsid w:val="50B631AE"/>
    <w:rsid w:val="51022355"/>
    <w:rsid w:val="51171C09"/>
    <w:rsid w:val="51525A50"/>
    <w:rsid w:val="51565AE5"/>
    <w:rsid w:val="52F21F55"/>
    <w:rsid w:val="52F25D4B"/>
    <w:rsid w:val="531463D8"/>
    <w:rsid w:val="53B8319F"/>
    <w:rsid w:val="53B92FEC"/>
    <w:rsid w:val="53C25DCC"/>
    <w:rsid w:val="53EC29B6"/>
    <w:rsid w:val="53F36189"/>
    <w:rsid w:val="540B32CF"/>
    <w:rsid w:val="541B3EC0"/>
    <w:rsid w:val="542E2AEA"/>
    <w:rsid w:val="544A6CFB"/>
    <w:rsid w:val="545F6D80"/>
    <w:rsid w:val="54D51B2F"/>
    <w:rsid w:val="55064017"/>
    <w:rsid w:val="554F18E1"/>
    <w:rsid w:val="5558136E"/>
    <w:rsid w:val="55A41C2D"/>
    <w:rsid w:val="55DA4455"/>
    <w:rsid w:val="55E71B19"/>
    <w:rsid w:val="55E738C7"/>
    <w:rsid w:val="5627572A"/>
    <w:rsid w:val="56390724"/>
    <w:rsid w:val="56B03EFA"/>
    <w:rsid w:val="56B75990"/>
    <w:rsid w:val="56BF6C9D"/>
    <w:rsid w:val="56E600C7"/>
    <w:rsid w:val="57203535"/>
    <w:rsid w:val="572A7F10"/>
    <w:rsid w:val="573568B4"/>
    <w:rsid w:val="57405985"/>
    <w:rsid w:val="579D4D0F"/>
    <w:rsid w:val="57A035E1"/>
    <w:rsid w:val="580C1D0B"/>
    <w:rsid w:val="582C5F09"/>
    <w:rsid w:val="586138B6"/>
    <w:rsid w:val="587055E6"/>
    <w:rsid w:val="589D2551"/>
    <w:rsid w:val="58E467E4"/>
    <w:rsid w:val="58E77090"/>
    <w:rsid w:val="58F7F96F"/>
    <w:rsid w:val="59412DE1"/>
    <w:rsid w:val="59715A31"/>
    <w:rsid w:val="599E2E37"/>
    <w:rsid w:val="59B520CD"/>
    <w:rsid w:val="59C445B1"/>
    <w:rsid w:val="59D46859"/>
    <w:rsid w:val="5A1E1882"/>
    <w:rsid w:val="5A2D64C2"/>
    <w:rsid w:val="5A3D7F5A"/>
    <w:rsid w:val="5A8C7682"/>
    <w:rsid w:val="5A9E2D45"/>
    <w:rsid w:val="5B1016C6"/>
    <w:rsid w:val="5B15744D"/>
    <w:rsid w:val="5B81163A"/>
    <w:rsid w:val="5B9B762E"/>
    <w:rsid w:val="5C6A7000"/>
    <w:rsid w:val="5CE312A0"/>
    <w:rsid w:val="5D3A69D3"/>
    <w:rsid w:val="5D7D374B"/>
    <w:rsid w:val="5D8D5A2D"/>
    <w:rsid w:val="5DA02DE2"/>
    <w:rsid w:val="5DB74FEB"/>
    <w:rsid w:val="5E295461"/>
    <w:rsid w:val="5E457F08"/>
    <w:rsid w:val="5E55596E"/>
    <w:rsid w:val="5E587A58"/>
    <w:rsid w:val="5E6443B5"/>
    <w:rsid w:val="5EA54320"/>
    <w:rsid w:val="5F0A607E"/>
    <w:rsid w:val="5F1F2324"/>
    <w:rsid w:val="5F8E327C"/>
    <w:rsid w:val="5F9C39F1"/>
    <w:rsid w:val="60024BA1"/>
    <w:rsid w:val="61330309"/>
    <w:rsid w:val="613C40F3"/>
    <w:rsid w:val="615F10FE"/>
    <w:rsid w:val="619E6B26"/>
    <w:rsid w:val="61A3613F"/>
    <w:rsid w:val="61F5073C"/>
    <w:rsid w:val="62061579"/>
    <w:rsid w:val="620A1069"/>
    <w:rsid w:val="62685D90"/>
    <w:rsid w:val="628837D1"/>
    <w:rsid w:val="62975F54"/>
    <w:rsid w:val="62AF7E63"/>
    <w:rsid w:val="62BE5969"/>
    <w:rsid w:val="62D13935"/>
    <w:rsid w:val="62D3168C"/>
    <w:rsid w:val="62DD7D21"/>
    <w:rsid w:val="62FF4946"/>
    <w:rsid w:val="63350368"/>
    <w:rsid w:val="63527DE2"/>
    <w:rsid w:val="63536A40"/>
    <w:rsid w:val="639A354F"/>
    <w:rsid w:val="64090851"/>
    <w:rsid w:val="640E6778"/>
    <w:rsid w:val="641000A9"/>
    <w:rsid w:val="64925346"/>
    <w:rsid w:val="64F27563"/>
    <w:rsid w:val="65297C01"/>
    <w:rsid w:val="65604D87"/>
    <w:rsid w:val="65680BE6"/>
    <w:rsid w:val="65836B94"/>
    <w:rsid w:val="658E1FB1"/>
    <w:rsid w:val="65A817CA"/>
    <w:rsid w:val="65E7150F"/>
    <w:rsid w:val="660B715E"/>
    <w:rsid w:val="66A55F62"/>
    <w:rsid w:val="66A576EF"/>
    <w:rsid w:val="66B678B7"/>
    <w:rsid w:val="66C13CC1"/>
    <w:rsid w:val="66EA3218"/>
    <w:rsid w:val="67064FD7"/>
    <w:rsid w:val="6780592A"/>
    <w:rsid w:val="67966BA2"/>
    <w:rsid w:val="67C7309F"/>
    <w:rsid w:val="67CE40BD"/>
    <w:rsid w:val="67D068B1"/>
    <w:rsid w:val="67EC2FBF"/>
    <w:rsid w:val="681137F0"/>
    <w:rsid w:val="687A4A6F"/>
    <w:rsid w:val="6881195A"/>
    <w:rsid w:val="68C379AA"/>
    <w:rsid w:val="68EF32B8"/>
    <w:rsid w:val="69674FF3"/>
    <w:rsid w:val="69AF0748"/>
    <w:rsid w:val="69C02083"/>
    <w:rsid w:val="69CF614F"/>
    <w:rsid w:val="6AC4499F"/>
    <w:rsid w:val="6AC82FF8"/>
    <w:rsid w:val="6B5E5D06"/>
    <w:rsid w:val="6BA77597"/>
    <w:rsid w:val="6BAE515B"/>
    <w:rsid w:val="6BBF4746"/>
    <w:rsid w:val="6C9F6852"/>
    <w:rsid w:val="6CCE3F39"/>
    <w:rsid w:val="6CF05300"/>
    <w:rsid w:val="6D836174"/>
    <w:rsid w:val="6DA5433C"/>
    <w:rsid w:val="6DA73067"/>
    <w:rsid w:val="6DD7186B"/>
    <w:rsid w:val="6DF129E9"/>
    <w:rsid w:val="6E273209"/>
    <w:rsid w:val="6E8D6E9D"/>
    <w:rsid w:val="6E9F2B3A"/>
    <w:rsid w:val="6EDC1FE0"/>
    <w:rsid w:val="6EE53D51"/>
    <w:rsid w:val="6F090932"/>
    <w:rsid w:val="6F4F1391"/>
    <w:rsid w:val="6F6C30F7"/>
    <w:rsid w:val="6F8F0E00"/>
    <w:rsid w:val="70D43EF5"/>
    <w:rsid w:val="70FB3751"/>
    <w:rsid w:val="713015A1"/>
    <w:rsid w:val="715D01A9"/>
    <w:rsid w:val="716E7255"/>
    <w:rsid w:val="71F10668"/>
    <w:rsid w:val="72017972"/>
    <w:rsid w:val="722021E3"/>
    <w:rsid w:val="7220748C"/>
    <w:rsid w:val="722717C4"/>
    <w:rsid w:val="72454484"/>
    <w:rsid w:val="72987FCC"/>
    <w:rsid w:val="729A3D44"/>
    <w:rsid w:val="72A55954"/>
    <w:rsid w:val="72D9233C"/>
    <w:rsid w:val="7309711B"/>
    <w:rsid w:val="733A1C6D"/>
    <w:rsid w:val="73A232F3"/>
    <w:rsid w:val="73BE4993"/>
    <w:rsid w:val="73C3551C"/>
    <w:rsid w:val="74327443"/>
    <w:rsid w:val="749173F7"/>
    <w:rsid w:val="74D379E1"/>
    <w:rsid w:val="74E02767"/>
    <w:rsid w:val="74FD5CA0"/>
    <w:rsid w:val="750152E4"/>
    <w:rsid w:val="75BB7F12"/>
    <w:rsid w:val="75D03F20"/>
    <w:rsid w:val="76DF08BF"/>
    <w:rsid w:val="76EC4D8A"/>
    <w:rsid w:val="7704554E"/>
    <w:rsid w:val="776BD466"/>
    <w:rsid w:val="77938881"/>
    <w:rsid w:val="77BA4E88"/>
    <w:rsid w:val="77C530E4"/>
    <w:rsid w:val="77D575CC"/>
    <w:rsid w:val="77FFB9A8"/>
    <w:rsid w:val="780600CD"/>
    <w:rsid w:val="78347044"/>
    <w:rsid w:val="7845162D"/>
    <w:rsid w:val="78C87131"/>
    <w:rsid w:val="78F10436"/>
    <w:rsid w:val="79294073"/>
    <w:rsid w:val="797B3A40"/>
    <w:rsid w:val="798219D5"/>
    <w:rsid w:val="79E32474"/>
    <w:rsid w:val="79EE027B"/>
    <w:rsid w:val="7A48387A"/>
    <w:rsid w:val="7A5213A8"/>
    <w:rsid w:val="7A960FFF"/>
    <w:rsid w:val="7AC8166A"/>
    <w:rsid w:val="7AD734A6"/>
    <w:rsid w:val="7B095807"/>
    <w:rsid w:val="7B1407E6"/>
    <w:rsid w:val="7B18473D"/>
    <w:rsid w:val="7B1B641F"/>
    <w:rsid w:val="7B212313"/>
    <w:rsid w:val="7BC1326E"/>
    <w:rsid w:val="7C0B180E"/>
    <w:rsid w:val="7C315D0E"/>
    <w:rsid w:val="7C3E7E36"/>
    <w:rsid w:val="7C5E2986"/>
    <w:rsid w:val="7CC421F3"/>
    <w:rsid w:val="7CF63249"/>
    <w:rsid w:val="7D0270B5"/>
    <w:rsid w:val="7D3F20B7"/>
    <w:rsid w:val="7D8C033F"/>
    <w:rsid w:val="7DC94B4F"/>
    <w:rsid w:val="7DFF8966"/>
    <w:rsid w:val="7E173F7D"/>
    <w:rsid w:val="7E275317"/>
    <w:rsid w:val="7E3F60E7"/>
    <w:rsid w:val="7E456BA8"/>
    <w:rsid w:val="7E5558E9"/>
    <w:rsid w:val="7F6776A3"/>
    <w:rsid w:val="7F7FD813"/>
    <w:rsid w:val="7F82470C"/>
    <w:rsid w:val="7FBBBFB6"/>
    <w:rsid w:val="7FD14B1D"/>
    <w:rsid w:val="7FD91C23"/>
    <w:rsid w:val="7FDE764C"/>
    <w:rsid w:val="7FF94A26"/>
    <w:rsid w:val="7FFD24C4"/>
    <w:rsid w:val="8F6F66FF"/>
    <w:rsid w:val="A85D1C81"/>
    <w:rsid w:val="CB7DBE4F"/>
    <w:rsid w:val="CF6B5361"/>
    <w:rsid w:val="CFFB75EE"/>
    <w:rsid w:val="D277F3C4"/>
    <w:rsid w:val="D4E7AB06"/>
    <w:rsid w:val="DAF3CD38"/>
    <w:rsid w:val="DDBD4760"/>
    <w:rsid w:val="DE90EAEC"/>
    <w:rsid w:val="EBFE3B55"/>
    <w:rsid w:val="F76E1C34"/>
    <w:rsid w:val="F8FE02EE"/>
    <w:rsid w:val="FE7ADBAD"/>
    <w:rsid w:val="FF7EF9B1"/>
    <w:rsid w:val="FFEA1AD8"/>
    <w:rsid w:val="FFFF7C7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iPriority="39" w:semiHidden="0" w:name="toc 6"/>
    <w:lsdException w:uiPriority="39" w:name="toc 7"/>
    <w:lsdException w:qFormat="1" w:uiPriority="39" w:semiHidden="0"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0"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4"/>
      <w:lang w:val="en-US" w:eastAsia="zh-CN" w:bidi="ar-SA"/>
    </w:rPr>
  </w:style>
  <w:style w:type="paragraph" w:styleId="2">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2"/>
    <w:qFormat/>
    <w:uiPriority w:val="0"/>
    <w:pPr>
      <w:keepNext/>
      <w:keepLines/>
      <w:widowControl/>
      <w:tabs>
        <w:tab w:val="left" w:pos="720"/>
      </w:tabs>
      <w:spacing w:before="120" w:after="120" w:line="360" w:lineRule="auto"/>
      <w:jc w:val="center"/>
      <w:outlineLvl w:val="2"/>
    </w:pPr>
    <w:rPr>
      <w:rFonts w:ascii="Times New Roman" w:hAnsi="Times New Roman" w:eastAsia="??"/>
      <w:b/>
      <w:kern w:val="0"/>
      <w:sz w:val="32"/>
      <w:szCs w:val="28"/>
    </w:rPr>
  </w:style>
  <w:style w:type="paragraph" w:styleId="5">
    <w:name w:val="heading 4"/>
    <w:basedOn w:val="1"/>
    <w:next w:val="1"/>
    <w:link w:val="63"/>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64"/>
    <w:qFormat/>
    <w:uiPriority w:val="0"/>
    <w:pPr>
      <w:keepNext/>
      <w:keepLines/>
      <w:widowControl/>
      <w:tabs>
        <w:tab w:val="left" w:pos="1008"/>
      </w:tabs>
      <w:spacing w:before="280" w:after="290" w:line="376" w:lineRule="auto"/>
      <w:ind w:left="1008" w:hanging="1008"/>
      <w:jc w:val="left"/>
      <w:outlineLvl w:val="4"/>
    </w:pPr>
    <w:rPr>
      <w:rFonts w:ascii="Times New Roman" w:hAnsi="Times New Roman"/>
      <w:b/>
      <w:bCs/>
      <w:kern w:val="0"/>
      <w:sz w:val="28"/>
      <w:szCs w:val="28"/>
    </w:rPr>
  </w:style>
  <w:style w:type="paragraph" w:styleId="7">
    <w:name w:val="heading 6"/>
    <w:basedOn w:val="1"/>
    <w:next w:val="1"/>
    <w:link w:val="65"/>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66"/>
    <w:qFormat/>
    <w:uiPriority w:val="0"/>
    <w:pPr>
      <w:keepNext/>
      <w:keepLines/>
      <w:widowControl/>
      <w:tabs>
        <w:tab w:val="left" w:pos="2520"/>
      </w:tabs>
      <w:spacing w:before="240" w:after="64" w:line="320" w:lineRule="auto"/>
      <w:ind w:left="1296" w:hanging="1296"/>
      <w:jc w:val="left"/>
      <w:outlineLvl w:val="6"/>
    </w:pPr>
    <w:rPr>
      <w:rFonts w:ascii="Times New Roman" w:hAnsi="Times New Roman"/>
      <w:b/>
      <w:bCs/>
      <w:kern w:val="0"/>
      <w:sz w:val="24"/>
    </w:rPr>
  </w:style>
  <w:style w:type="paragraph" w:styleId="9">
    <w:name w:val="heading 8"/>
    <w:basedOn w:val="1"/>
    <w:next w:val="1"/>
    <w:link w:val="67"/>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68"/>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3"/>
    <w:basedOn w:val="1"/>
    <w:unhideWhenUsed/>
    <w:qFormat/>
    <w:uiPriority w:val="99"/>
    <w:pPr>
      <w:ind w:left="100" w:leftChars="400" w:hanging="200" w:hangingChars="200"/>
      <w:contextualSpacing/>
    </w:pPr>
  </w:style>
  <w:style w:type="paragraph" w:styleId="12">
    <w:name w:val="List Number 2"/>
    <w:basedOn w:val="1"/>
    <w:semiHidden/>
    <w:unhideWhenUsed/>
    <w:qFormat/>
    <w:uiPriority w:val="99"/>
    <w:pPr>
      <w:numPr>
        <w:ilvl w:val="0"/>
        <w:numId w:val="1"/>
      </w:numPr>
      <w:tabs>
        <w:tab w:val="left" w:pos="360"/>
        <w:tab w:val="clear" w:pos="780"/>
      </w:tabs>
      <w:ind w:left="0" w:firstLine="0"/>
    </w:pPr>
  </w:style>
  <w:style w:type="paragraph" w:styleId="13">
    <w:name w:val="List Number"/>
    <w:basedOn w:val="1"/>
    <w:link w:val="69"/>
    <w:qFormat/>
    <w:uiPriority w:val="0"/>
    <w:pPr>
      <w:tabs>
        <w:tab w:val="left" w:pos="360"/>
      </w:tabs>
      <w:spacing w:line="360" w:lineRule="auto"/>
      <w:ind w:left="360" w:hanging="360" w:hangingChars="200"/>
    </w:pPr>
    <w:rPr>
      <w:rFonts w:eastAsia="楷体_GB2312"/>
      <w:sz w:val="24"/>
    </w:rPr>
  </w:style>
  <w:style w:type="paragraph" w:styleId="14">
    <w:name w:val="Normal Indent"/>
    <w:basedOn w:val="1"/>
    <w:next w:val="1"/>
    <w:link w:val="70"/>
    <w:qFormat/>
    <w:uiPriority w:val="0"/>
    <w:pPr>
      <w:ind w:firstLine="420" w:firstLineChars="200"/>
    </w:pPr>
  </w:style>
  <w:style w:type="paragraph" w:styleId="15">
    <w:name w:val="caption"/>
    <w:basedOn w:val="1"/>
    <w:next w:val="1"/>
    <w:link w:val="71"/>
    <w:qFormat/>
    <w:uiPriority w:val="0"/>
    <w:pPr>
      <w:spacing w:before="152" w:after="160"/>
    </w:pPr>
    <w:rPr>
      <w:rFonts w:ascii="Arial" w:hAnsi="Arial" w:eastAsia="黑体" w:cs="Arial"/>
      <w:sz w:val="20"/>
      <w:szCs w:val="20"/>
    </w:rPr>
  </w:style>
  <w:style w:type="paragraph" w:styleId="16">
    <w:name w:val="Document Map"/>
    <w:basedOn w:val="1"/>
    <w:link w:val="72"/>
    <w:qFormat/>
    <w:uiPriority w:val="0"/>
    <w:rPr>
      <w:rFonts w:ascii="宋体" w:hAnsi="Calibri" w:eastAsiaTheme="minorEastAsia" w:cstheme="minorBidi"/>
      <w:sz w:val="18"/>
      <w:szCs w:val="18"/>
    </w:rPr>
  </w:style>
  <w:style w:type="paragraph" w:styleId="17">
    <w:name w:val="annotation text"/>
    <w:basedOn w:val="1"/>
    <w:link w:val="73"/>
    <w:qFormat/>
    <w:uiPriority w:val="0"/>
    <w:pPr>
      <w:jc w:val="left"/>
    </w:pPr>
    <w:rPr>
      <w:rFonts w:cs="Lucida Sans" w:asciiTheme="minorHAnsi" w:hAnsiTheme="minorHAnsi"/>
      <w:szCs w:val="22"/>
    </w:rPr>
  </w:style>
  <w:style w:type="paragraph" w:styleId="18">
    <w:name w:val="Body Text 3"/>
    <w:basedOn w:val="1"/>
    <w:link w:val="74"/>
    <w:qFormat/>
    <w:uiPriority w:val="0"/>
    <w:pPr>
      <w:spacing w:after="120"/>
    </w:pPr>
    <w:rPr>
      <w:rFonts w:asciiTheme="minorHAnsi" w:hAnsiTheme="minorHAnsi" w:eastAsiaTheme="minorEastAsia" w:cstheme="minorBidi"/>
      <w:sz w:val="16"/>
      <w:szCs w:val="16"/>
    </w:rPr>
  </w:style>
  <w:style w:type="paragraph" w:styleId="19">
    <w:name w:val="Closing"/>
    <w:basedOn w:val="1"/>
    <w:semiHidden/>
    <w:qFormat/>
    <w:uiPriority w:val="0"/>
    <w:pPr>
      <w:ind w:left="4320"/>
    </w:pPr>
    <w:rPr>
      <w:kern w:val="1"/>
    </w:rPr>
  </w:style>
  <w:style w:type="paragraph" w:styleId="20">
    <w:name w:val="Body Text"/>
    <w:basedOn w:val="1"/>
    <w:next w:val="19"/>
    <w:link w:val="75"/>
    <w:unhideWhenUsed/>
    <w:qFormat/>
    <w:uiPriority w:val="99"/>
    <w:pPr>
      <w:spacing w:after="120"/>
    </w:pPr>
  </w:style>
  <w:style w:type="paragraph" w:styleId="21">
    <w:name w:val="Body Text Indent"/>
    <w:basedOn w:val="1"/>
    <w:next w:val="1"/>
    <w:link w:val="59"/>
    <w:qFormat/>
    <w:uiPriority w:val="0"/>
    <w:pPr>
      <w:spacing w:line="480" w:lineRule="atLeast"/>
      <w:ind w:firstLine="570"/>
    </w:pPr>
    <w:rPr>
      <w:rFonts w:ascii="??" w:hAnsi="??" w:eastAsia="??" w:cs="宋体"/>
      <w:sz w:val="28"/>
      <w:szCs w:val="28"/>
    </w:rPr>
  </w:style>
  <w:style w:type="paragraph" w:styleId="22">
    <w:name w:val="List 2"/>
    <w:basedOn w:val="1"/>
    <w:unhideWhenUsed/>
    <w:qFormat/>
    <w:uiPriority w:val="0"/>
    <w:pPr>
      <w:ind w:left="100" w:leftChars="200" w:hanging="200" w:hangingChars="200"/>
      <w:contextualSpacing/>
    </w:pPr>
  </w:style>
  <w:style w:type="paragraph" w:styleId="23">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hAnsi="Times New Roman"/>
      <w:color w:val="000000"/>
      <w:kern w:val="0"/>
      <w:sz w:val="24"/>
    </w:rPr>
  </w:style>
  <w:style w:type="paragraph" w:styleId="24">
    <w:name w:val="toc 5"/>
    <w:basedOn w:val="1"/>
    <w:next w:val="1"/>
    <w:qFormat/>
    <w:uiPriority w:val="0"/>
    <w:pPr>
      <w:ind w:left="840"/>
      <w:jc w:val="left"/>
    </w:pPr>
    <w:rPr>
      <w:rFonts w:ascii="Times New Roman" w:hAnsi="Times New Roman"/>
      <w:sz w:val="18"/>
      <w:szCs w:val="18"/>
    </w:rPr>
  </w:style>
  <w:style w:type="paragraph" w:styleId="25">
    <w:name w:val="toc 3"/>
    <w:basedOn w:val="1"/>
    <w:next w:val="1"/>
    <w:link w:val="76"/>
    <w:qFormat/>
    <w:uiPriority w:val="39"/>
    <w:pPr>
      <w:tabs>
        <w:tab w:val="left" w:pos="1440"/>
        <w:tab w:val="right" w:leader="dot" w:pos="8302"/>
      </w:tabs>
      <w:ind w:left="718" w:leftChars="342" w:firstLine="120" w:firstLineChars="60"/>
    </w:pPr>
    <w:rPr>
      <w:rFonts w:ascii="Arial" w:hAnsi="Arial"/>
      <w:smallCaps/>
      <w:sz w:val="20"/>
    </w:rPr>
  </w:style>
  <w:style w:type="paragraph" w:styleId="26">
    <w:name w:val="Plain Text"/>
    <w:basedOn w:val="1"/>
    <w:next w:val="27"/>
    <w:link w:val="78"/>
    <w:qFormat/>
    <w:uiPriority w:val="0"/>
    <w:rPr>
      <w:rFonts w:ascii="??" w:hAnsi="??" w:eastAsia="??" w:cs="宋体"/>
      <w:szCs w:val="21"/>
    </w:rPr>
  </w:style>
  <w:style w:type="paragraph" w:styleId="27">
    <w:name w:val="Date"/>
    <w:basedOn w:val="1"/>
    <w:next w:val="1"/>
    <w:link w:val="77"/>
    <w:unhideWhenUsed/>
    <w:qFormat/>
    <w:uiPriority w:val="0"/>
    <w:pPr>
      <w:ind w:left="100" w:leftChars="2500"/>
    </w:pPr>
  </w:style>
  <w:style w:type="paragraph" w:styleId="28">
    <w:name w:val="toc 8"/>
    <w:basedOn w:val="1"/>
    <w:next w:val="1"/>
    <w:unhideWhenUsed/>
    <w:qFormat/>
    <w:uiPriority w:val="39"/>
    <w:pPr>
      <w:ind w:left="2940" w:leftChars="1400"/>
    </w:pPr>
  </w:style>
  <w:style w:type="paragraph" w:styleId="29">
    <w:name w:val="Body Text Indent 2"/>
    <w:basedOn w:val="1"/>
    <w:link w:val="79"/>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hAnsiTheme="minorHAnsi" w:eastAsiaTheme="minorEastAsia" w:cstheme="minorBidi"/>
      <w:color w:val="000000"/>
      <w:kern w:val="0"/>
      <w:sz w:val="24"/>
      <w:szCs w:val="20"/>
    </w:rPr>
  </w:style>
  <w:style w:type="paragraph" w:styleId="30">
    <w:name w:val="Balloon Text"/>
    <w:basedOn w:val="1"/>
    <w:link w:val="80"/>
    <w:unhideWhenUsed/>
    <w:qFormat/>
    <w:uiPriority w:val="0"/>
    <w:rPr>
      <w:sz w:val="18"/>
      <w:szCs w:val="18"/>
    </w:rPr>
  </w:style>
  <w:style w:type="paragraph" w:styleId="31">
    <w:name w:val="footer"/>
    <w:basedOn w:val="1"/>
    <w:link w:val="81"/>
    <w:unhideWhenUsed/>
    <w:qFormat/>
    <w:uiPriority w:val="99"/>
    <w:pPr>
      <w:tabs>
        <w:tab w:val="center" w:pos="4153"/>
        <w:tab w:val="right" w:pos="8306"/>
      </w:tabs>
      <w:snapToGrid w:val="0"/>
      <w:jc w:val="left"/>
    </w:pPr>
    <w:rPr>
      <w:sz w:val="18"/>
      <w:szCs w:val="18"/>
    </w:rPr>
  </w:style>
  <w:style w:type="paragraph" w:styleId="32">
    <w:name w:val="header"/>
    <w:basedOn w:val="1"/>
    <w:link w:val="82"/>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middleDot" w:pos="8789"/>
      </w:tabs>
      <w:spacing w:line="360" w:lineRule="auto"/>
    </w:pPr>
    <w:rPr>
      <w:rFonts w:ascii="Times New Roman" w:hAnsi="Times New Roman"/>
      <w:sz w:val="24"/>
      <w:szCs w:val="20"/>
    </w:rPr>
  </w:style>
  <w:style w:type="paragraph" w:styleId="34">
    <w:name w:val="toc 4"/>
    <w:basedOn w:val="1"/>
    <w:next w:val="1"/>
    <w:qFormat/>
    <w:uiPriority w:val="39"/>
    <w:pPr>
      <w:spacing w:line="360" w:lineRule="auto"/>
      <w:ind w:left="300" w:leftChars="300" w:firstLine="200" w:firstLineChars="200"/>
    </w:pPr>
    <w:rPr>
      <w:rFonts w:ascii="Times New Roman" w:hAnsi="Times New Roman"/>
      <w:sz w:val="24"/>
    </w:rPr>
  </w:style>
  <w:style w:type="paragraph" w:styleId="35">
    <w:name w:val="Subtitle"/>
    <w:basedOn w:val="1"/>
    <w:next w:val="1"/>
    <w:link w:val="83"/>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rPr>
      <w:rFonts w:ascii="Times New Roman" w:hAnsi="Times New Roman"/>
      <w:sz w:val="28"/>
    </w:rPr>
  </w:style>
  <w:style w:type="paragraph" w:styleId="37">
    <w:name w:val="footnote text"/>
    <w:basedOn w:val="1"/>
    <w:link w:val="84"/>
    <w:qFormat/>
    <w:uiPriority w:val="0"/>
    <w:pPr>
      <w:snapToGrid w:val="0"/>
      <w:jc w:val="left"/>
    </w:pPr>
    <w:rPr>
      <w:rFonts w:ascii="Times New Roman" w:hAnsi="Times New Roman" w:eastAsia="仿宋_GB2312"/>
      <w:sz w:val="18"/>
      <w:szCs w:val="20"/>
    </w:rPr>
  </w:style>
  <w:style w:type="paragraph" w:styleId="38">
    <w:name w:val="toc 6"/>
    <w:basedOn w:val="1"/>
    <w:next w:val="1"/>
    <w:unhideWhenUsed/>
    <w:qFormat/>
    <w:uiPriority w:val="39"/>
    <w:pPr>
      <w:ind w:left="2100" w:leftChars="1000"/>
    </w:pPr>
  </w:style>
  <w:style w:type="paragraph" w:styleId="39">
    <w:name w:val="Body Text Indent 3"/>
    <w:basedOn w:val="1"/>
    <w:link w:val="85"/>
    <w:qFormat/>
    <w:uiPriority w:val="0"/>
    <w:pPr>
      <w:autoSpaceDE w:val="0"/>
      <w:autoSpaceDN w:val="0"/>
      <w:adjustRightInd w:val="0"/>
      <w:spacing w:line="360" w:lineRule="atLeast"/>
      <w:ind w:left="1853"/>
      <w:jc w:val="center"/>
    </w:pPr>
    <w:rPr>
      <w:rFonts w:ascii="宋体" w:hAnsiTheme="minorHAnsi" w:eastAsiaTheme="minorEastAsia" w:cstheme="minorBidi"/>
      <w:b/>
      <w:color w:val="000000"/>
      <w:kern w:val="0"/>
      <w:sz w:val="36"/>
    </w:rPr>
  </w:style>
  <w:style w:type="paragraph" w:styleId="40">
    <w:name w:val="toc 2"/>
    <w:basedOn w:val="1"/>
    <w:next w:val="1"/>
    <w:qFormat/>
    <w:uiPriority w:val="39"/>
    <w:pPr>
      <w:tabs>
        <w:tab w:val="right" w:leader="middleDot" w:pos="8948"/>
      </w:tabs>
      <w:spacing w:before="60" w:after="60"/>
      <w:ind w:left="210"/>
    </w:pPr>
    <w:rPr>
      <w:smallCaps/>
    </w:rPr>
  </w:style>
  <w:style w:type="paragraph" w:styleId="41">
    <w:name w:val="Body Text 2"/>
    <w:basedOn w:val="1"/>
    <w:link w:val="86"/>
    <w:qFormat/>
    <w:uiPriority w:val="0"/>
    <w:pPr>
      <w:autoSpaceDE w:val="0"/>
      <w:autoSpaceDN w:val="0"/>
      <w:adjustRightInd w:val="0"/>
      <w:spacing w:line="360" w:lineRule="auto"/>
    </w:pPr>
    <w:rPr>
      <w:rFonts w:ascii="宋体" w:hAnsiTheme="minorHAnsi" w:eastAsiaTheme="minorEastAsia" w:cstheme="minorBidi"/>
      <w:color w:val="000000"/>
      <w:kern w:val="0"/>
      <w:sz w:val="24"/>
    </w:rPr>
  </w:style>
  <w:style w:type="paragraph" w:styleId="42">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3">
    <w:name w:val="Normal (Web)"/>
    <w:basedOn w:val="1"/>
    <w:next w:val="40"/>
    <w:link w:val="88"/>
    <w:qFormat/>
    <w:uiPriority w:val="99"/>
    <w:pPr>
      <w:widowControl/>
      <w:spacing w:before="100" w:beforeAutospacing="1" w:after="100" w:afterAutospacing="1"/>
      <w:jc w:val="left"/>
    </w:pPr>
    <w:rPr>
      <w:rFonts w:ascii="??" w:hAnsi="??" w:eastAsia="??" w:cs="宋体"/>
      <w:kern w:val="0"/>
      <w:sz w:val="24"/>
    </w:rPr>
  </w:style>
  <w:style w:type="paragraph" w:styleId="44">
    <w:name w:val="Title"/>
    <w:basedOn w:val="1"/>
    <w:next w:val="1"/>
    <w:link w:val="322"/>
    <w:qFormat/>
    <w:uiPriority w:val="10"/>
    <w:pPr>
      <w:numPr>
        <w:ilvl w:val="0"/>
        <w:numId w:val="2"/>
      </w:numPr>
      <w:spacing w:before="240" w:after="60"/>
      <w:jc w:val="center"/>
      <w:outlineLvl w:val="0"/>
    </w:pPr>
    <w:rPr>
      <w:rFonts w:asciiTheme="majorHAnsi" w:hAnsiTheme="majorHAnsi" w:cstheme="majorBidi"/>
      <w:b/>
      <w:bCs/>
      <w:sz w:val="36"/>
      <w:szCs w:val="32"/>
    </w:rPr>
  </w:style>
  <w:style w:type="paragraph" w:styleId="45">
    <w:name w:val="annotation subject"/>
    <w:basedOn w:val="17"/>
    <w:next w:val="17"/>
    <w:link w:val="90"/>
    <w:qFormat/>
    <w:uiPriority w:val="0"/>
    <w:rPr>
      <w:rFonts w:ascii="Times New Roman" w:hAnsi="Times New Roman" w:cs="Times New Roman"/>
      <w:b/>
      <w:bCs/>
      <w:szCs w:val="24"/>
    </w:rPr>
  </w:style>
  <w:style w:type="paragraph" w:styleId="46">
    <w:name w:val="Body Text First Indent"/>
    <w:basedOn w:val="20"/>
    <w:next w:val="33"/>
    <w:link w:val="91"/>
    <w:unhideWhenUsed/>
    <w:qFormat/>
    <w:uiPriority w:val="99"/>
    <w:pPr>
      <w:keepNext w:val="0"/>
      <w:keepLines w:val="0"/>
      <w:widowControl w:val="0"/>
      <w:suppressLineNumbers w:val="0"/>
      <w:spacing w:before="0" w:beforeAutospacing="0" w:after="0" w:afterAutospacing="0" w:line="360" w:lineRule="exact"/>
      <w:ind w:left="0" w:right="0" w:firstLine="420"/>
      <w:jc w:val="both"/>
    </w:pPr>
    <w:rPr>
      <w:rFonts w:hint="default" w:ascii="Times New Roman" w:hAnsi="Calibri" w:eastAsia="宋体" w:cs="Times New Roman"/>
      <w:kern w:val="2"/>
      <w:sz w:val="21"/>
      <w:szCs w:val="21"/>
      <w:lang w:val="en-US" w:eastAsia="zh-CN" w:bidi="ar"/>
    </w:rPr>
  </w:style>
  <w:style w:type="paragraph" w:styleId="47">
    <w:name w:val="Body Text First Indent 2"/>
    <w:basedOn w:val="21"/>
    <w:next w:val="1"/>
    <w:link w:val="92"/>
    <w:unhideWhenUsed/>
    <w:qFormat/>
    <w:uiPriority w:val="0"/>
    <w:pPr>
      <w:spacing w:after="120" w:line="240" w:lineRule="auto"/>
      <w:ind w:left="420" w:leftChars="200" w:firstLine="420" w:firstLineChars="200"/>
    </w:pPr>
    <w:rPr>
      <w:rFonts w:ascii="等线" w:hAnsi="等线" w:eastAsia="宋体" w:cs="Times New Roman"/>
      <w:sz w:val="21"/>
      <w:szCs w:val="24"/>
    </w:rPr>
  </w:style>
  <w:style w:type="table" w:styleId="49">
    <w:name w:val="Table Grid"/>
    <w:basedOn w:val="48"/>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51">
    <w:name w:val="Strong"/>
    <w:basedOn w:val="50"/>
    <w:qFormat/>
    <w:uiPriority w:val="0"/>
    <w:rPr>
      <w:b/>
    </w:rPr>
  </w:style>
  <w:style w:type="character" w:styleId="52">
    <w:name w:val="page number"/>
    <w:basedOn w:val="50"/>
    <w:qFormat/>
    <w:uiPriority w:val="0"/>
  </w:style>
  <w:style w:type="character" w:styleId="53">
    <w:name w:val="FollowedHyperlink"/>
    <w:basedOn w:val="50"/>
    <w:qFormat/>
    <w:uiPriority w:val="0"/>
    <w:rPr>
      <w:color w:val="800080" w:themeColor="followedHyperlink"/>
      <w:u w:val="single"/>
      <w14:textFill>
        <w14:solidFill>
          <w14:schemeClr w14:val="folHlink"/>
        </w14:solidFill>
      </w14:textFill>
    </w:rPr>
  </w:style>
  <w:style w:type="character" w:styleId="54">
    <w:name w:val="Emphasis"/>
    <w:qFormat/>
    <w:uiPriority w:val="20"/>
    <w:rPr>
      <w:i/>
      <w:iCs/>
    </w:rPr>
  </w:style>
  <w:style w:type="character" w:styleId="55">
    <w:name w:val="HTML Typewriter"/>
    <w:qFormat/>
    <w:uiPriority w:val="0"/>
    <w:rPr>
      <w:rFonts w:hint="eastAsia" w:ascii="黑体" w:hAnsi="Courier New" w:eastAsia="黑体" w:cs="Times New Roman"/>
      <w:sz w:val="14"/>
      <w:szCs w:val="24"/>
    </w:rPr>
  </w:style>
  <w:style w:type="character" w:styleId="56">
    <w:name w:val="Hyperlink"/>
    <w:qFormat/>
    <w:uiPriority w:val="99"/>
    <w:rPr>
      <w:color w:val="0000FF"/>
      <w:u w:val="single"/>
    </w:rPr>
  </w:style>
  <w:style w:type="character" w:styleId="57">
    <w:name w:val="annotation reference"/>
    <w:basedOn w:val="50"/>
    <w:qFormat/>
    <w:uiPriority w:val="0"/>
    <w:rPr>
      <w:sz w:val="21"/>
      <w:szCs w:val="21"/>
    </w:rPr>
  </w:style>
  <w:style w:type="character" w:styleId="58">
    <w:name w:val="footnote reference"/>
    <w:qFormat/>
    <w:uiPriority w:val="0"/>
    <w:rPr>
      <w:vertAlign w:val="superscript"/>
    </w:rPr>
  </w:style>
  <w:style w:type="character" w:customStyle="1" w:styleId="59">
    <w:name w:val="正文文本缩进 Char"/>
    <w:basedOn w:val="50"/>
    <w:link w:val="21"/>
    <w:qFormat/>
    <w:uiPriority w:val="0"/>
    <w:rPr>
      <w:rFonts w:ascii="??" w:hAnsi="??" w:eastAsia="??" w:cs="宋体"/>
      <w:sz w:val="28"/>
      <w:szCs w:val="28"/>
    </w:rPr>
  </w:style>
  <w:style w:type="character" w:customStyle="1" w:styleId="60">
    <w:name w:val="标题 1 Char"/>
    <w:basedOn w:val="50"/>
    <w:link w:val="2"/>
    <w:qFormat/>
    <w:uiPriority w:val="0"/>
    <w:rPr>
      <w:rFonts w:ascii="等线" w:hAnsi="等线" w:eastAsia="宋体" w:cs="Times New Roman"/>
      <w:b/>
      <w:bCs/>
      <w:kern w:val="44"/>
      <w:sz w:val="44"/>
      <w:szCs w:val="44"/>
    </w:rPr>
  </w:style>
  <w:style w:type="character" w:customStyle="1" w:styleId="61">
    <w:name w:val="标题 2 Char"/>
    <w:basedOn w:val="50"/>
    <w:link w:val="3"/>
    <w:qFormat/>
    <w:uiPriority w:val="8"/>
    <w:rPr>
      <w:rFonts w:asciiTheme="majorHAnsi" w:hAnsiTheme="majorHAnsi" w:eastAsiaTheme="majorEastAsia" w:cstheme="majorBidi"/>
      <w:b/>
      <w:bCs/>
      <w:sz w:val="32"/>
      <w:szCs w:val="32"/>
    </w:rPr>
  </w:style>
  <w:style w:type="character" w:customStyle="1" w:styleId="62">
    <w:name w:val="标题 3 Char"/>
    <w:basedOn w:val="50"/>
    <w:link w:val="4"/>
    <w:qFormat/>
    <w:uiPriority w:val="0"/>
    <w:rPr>
      <w:rFonts w:ascii="Times New Roman" w:hAnsi="Times New Roman" w:eastAsia="??" w:cs="Times New Roman"/>
      <w:b/>
      <w:kern w:val="0"/>
      <w:sz w:val="32"/>
      <w:szCs w:val="28"/>
    </w:rPr>
  </w:style>
  <w:style w:type="character" w:customStyle="1" w:styleId="63">
    <w:name w:val="标题 4 Char"/>
    <w:basedOn w:val="50"/>
    <w:link w:val="5"/>
    <w:qFormat/>
    <w:uiPriority w:val="0"/>
    <w:rPr>
      <w:rFonts w:ascii="Cambria" w:hAnsi="Cambria" w:eastAsia="宋体" w:cs="Times New Roman"/>
      <w:b/>
      <w:bCs/>
      <w:sz w:val="28"/>
      <w:szCs w:val="28"/>
    </w:rPr>
  </w:style>
  <w:style w:type="character" w:customStyle="1" w:styleId="64">
    <w:name w:val="标题 5 Char"/>
    <w:basedOn w:val="50"/>
    <w:link w:val="6"/>
    <w:qFormat/>
    <w:uiPriority w:val="0"/>
    <w:rPr>
      <w:rFonts w:ascii="Times New Roman" w:hAnsi="Times New Roman" w:eastAsia="宋体" w:cs="Times New Roman"/>
      <w:b/>
      <w:bCs/>
      <w:kern w:val="0"/>
      <w:sz w:val="28"/>
      <w:szCs w:val="28"/>
    </w:rPr>
  </w:style>
  <w:style w:type="character" w:customStyle="1" w:styleId="65">
    <w:name w:val="标题 6 Char"/>
    <w:basedOn w:val="50"/>
    <w:link w:val="7"/>
    <w:qFormat/>
    <w:uiPriority w:val="0"/>
    <w:rPr>
      <w:rFonts w:ascii="Arial" w:hAnsi="Arial" w:eastAsia="黑体" w:cs="Times New Roman"/>
      <w:b/>
      <w:bCs/>
      <w:kern w:val="0"/>
      <w:sz w:val="24"/>
      <w:szCs w:val="24"/>
    </w:rPr>
  </w:style>
  <w:style w:type="character" w:customStyle="1" w:styleId="66">
    <w:name w:val="标题 7 Char"/>
    <w:basedOn w:val="50"/>
    <w:link w:val="8"/>
    <w:qFormat/>
    <w:uiPriority w:val="0"/>
    <w:rPr>
      <w:rFonts w:ascii="Times New Roman" w:hAnsi="Times New Roman" w:eastAsia="宋体" w:cs="Times New Roman"/>
      <w:b/>
      <w:bCs/>
      <w:kern w:val="0"/>
      <w:sz w:val="24"/>
      <w:szCs w:val="24"/>
    </w:rPr>
  </w:style>
  <w:style w:type="character" w:customStyle="1" w:styleId="67">
    <w:name w:val="标题 8 Char"/>
    <w:basedOn w:val="50"/>
    <w:link w:val="9"/>
    <w:qFormat/>
    <w:uiPriority w:val="0"/>
    <w:rPr>
      <w:rFonts w:ascii="Arial" w:hAnsi="Arial" w:eastAsia="黑体" w:cs="Times New Roman"/>
      <w:kern w:val="0"/>
      <w:sz w:val="24"/>
      <w:szCs w:val="24"/>
    </w:rPr>
  </w:style>
  <w:style w:type="character" w:customStyle="1" w:styleId="68">
    <w:name w:val="标题 9 Char"/>
    <w:basedOn w:val="50"/>
    <w:link w:val="10"/>
    <w:qFormat/>
    <w:uiPriority w:val="0"/>
    <w:rPr>
      <w:rFonts w:ascii="Arial" w:hAnsi="Arial" w:eastAsia="黑体" w:cs="Times New Roman"/>
      <w:kern w:val="0"/>
      <w:szCs w:val="21"/>
    </w:rPr>
  </w:style>
  <w:style w:type="character" w:customStyle="1" w:styleId="69">
    <w:name w:val="列表编号 Char"/>
    <w:link w:val="13"/>
    <w:qFormat/>
    <w:uiPriority w:val="0"/>
    <w:rPr>
      <w:rFonts w:ascii="等线" w:hAnsi="等线" w:eastAsia="楷体_GB2312" w:cs="Times New Roman"/>
      <w:sz w:val="24"/>
      <w:szCs w:val="24"/>
    </w:rPr>
  </w:style>
  <w:style w:type="character" w:customStyle="1" w:styleId="70">
    <w:name w:val="正文缩进 Char"/>
    <w:link w:val="14"/>
    <w:qFormat/>
    <w:uiPriority w:val="0"/>
    <w:rPr>
      <w:rFonts w:ascii="等线" w:hAnsi="等线" w:eastAsia="宋体" w:cs="Times New Roman"/>
      <w:szCs w:val="24"/>
    </w:rPr>
  </w:style>
  <w:style w:type="character" w:customStyle="1" w:styleId="71">
    <w:name w:val="题注 Char"/>
    <w:link w:val="15"/>
    <w:qFormat/>
    <w:uiPriority w:val="0"/>
    <w:rPr>
      <w:rFonts w:ascii="Arial" w:hAnsi="Arial" w:eastAsia="黑体" w:cs="Arial"/>
      <w:kern w:val="2"/>
    </w:rPr>
  </w:style>
  <w:style w:type="character" w:customStyle="1" w:styleId="72">
    <w:name w:val="文档结构图 Char2"/>
    <w:basedOn w:val="50"/>
    <w:link w:val="16"/>
    <w:qFormat/>
    <w:uiPriority w:val="0"/>
    <w:rPr>
      <w:rFonts w:ascii="宋体" w:hAnsi="Calibri"/>
      <w:sz w:val="18"/>
      <w:szCs w:val="18"/>
    </w:rPr>
  </w:style>
  <w:style w:type="character" w:customStyle="1" w:styleId="73">
    <w:name w:val="批注文字 Char"/>
    <w:basedOn w:val="50"/>
    <w:link w:val="17"/>
    <w:qFormat/>
    <w:uiPriority w:val="0"/>
    <w:rPr>
      <w:rFonts w:eastAsia="宋体" w:cs="Lucida Sans"/>
    </w:rPr>
  </w:style>
  <w:style w:type="character" w:customStyle="1" w:styleId="74">
    <w:name w:val="正文文本 3 Char1"/>
    <w:basedOn w:val="50"/>
    <w:link w:val="18"/>
    <w:qFormat/>
    <w:uiPriority w:val="0"/>
    <w:rPr>
      <w:sz w:val="16"/>
      <w:szCs w:val="16"/>
    </w:rPr>
  </w:style>
  <w:style w:type="character" w:customStyle="1" w:styleId="75">
    <w:name w:val="正文文本 Char"/>
    <w:basedOn w:val="50"/>
    <w:link w:val="20"/>
    <w:qFormat/>
    <w:uiPriority w:val="0"/>
    <w:rPr>
      <w:rFonts w:ascii="等线" w:hAnsi="等线" w:eastAsia="宋体" w:cs="Times New Roman"/>
      <w:szCs w:val="24"/>
    </w:rPr>
  </w:style>
  <w:style w:type="character" w:customStyle="1" w:styleId="76">
    <w:name w:val="目录 3 Char"/>
    <w:link w:val="25"/>
    <w:qFormat/>
    <w:uiPriority w:val="39"/>
    <w:rPr>
      <w:rFonts w:ascii="Arial" w:hAnsi="Arial" w:eastAsia="宋体" w:cs="Times New Roman"/>
      <w:smallCaps/>
      <w:kern w:val="2"/>
      <w:szCs w:val="24"/>
    </w:rPr>
  </w:style>
  <w:style w:type="character" w:customStyle="1" w:styleId="77">
    <w:name w:val="日期 Char"/>
    <w:basedOn w:val="50"/>
    <w:link w:val="27"/>
    <w:qFormat/>
    <w:uiPriority w:val="0"/>
    <w:rPr>
      <w:rFonts w:ascii="等线" w:hAnsi="等线" w:eastAsia="宋体" w:cs="Times New Roman"/>
      <w:szCs w:val="24"/>
    </w:rPr>
  </w:style>
  <w:style w:type="character" w:customStyle="1" w:styleId="78">
    <w:name w:val="纯文本 Char1"/>
    <w:link w:val="26"/>
    <w:qFormat/>
    <w:uiPriority w:val="0"/>
    <w:rPr>
      <w:rFonts w:ascii="??" w:hAnsi="??" w:eastAsia="??" w:cs="宋体"/>
      <w:szCs w:val="21"/>
    </w:rPr>
  </w:style>
  <w:style w:type="character" w:customStyle="1" w:styleId="79">
    <w:name w:val="正文文本缩进 2 Char1"/>
    <w:basedOn w:val="50"/>
    <w:link w:val="29"/>
    <w:qFormat/>
    <w:uiPriority w:val="0"/>
    <w:rPr>
      <w:rFonts w:ascii="宋体"/>
      <w:color w:val="000000"/>
      <w:kern w:val="0"/>
      <w:sz w:val="24"/>
      <w:szCs w:val="20"/>
    </w:rPr>
  </w:style>
  <w:style w:type="character" w:customStyle="1" w:styleId="80">
    <w:name w:val="批注框文本 Char"/>
    <w:basedOn w:val="50"/>
    <w:link w:val="30"/>
    <w:qFormat/>
    <w:uiPriority w:val="99"/>
    <w:rPr>
      <w:rFonts w:ascii="等线" w:hAnsi="等线" w:eastAsia="宋体" w:cs="Times New Roman"/>
      <w:sz w:val="18"/>
      <w:szCs w:val="18"/>
    </w:rPr>
  </w:style>
  <w:style w:type="character" w:customStyle="1" w:styleId="81">
    <w:name w:val="页脚 Char"/>
    <w:basedOn w:val="50"/>
    <w:link w:val="31"/>
    <w:qFormat/>
    <w:uiPriority w:val="0"/>
    <w:rPr>
      <w:sz w:val="18"/>
      <w:szCs w:val="18"/>
    </w:rPr>
  </w:style>
  <w:style w:type="character" w:customStyle="1" w:styleId="82">
    <w:name w:val="页眉 Char"/>
    <w:basedOn w:val="50"/>
    <w:link w:val="32"/>
    <w:qFormat/>
    <w:uiPriority w:val="0"/>
    <w:rPr>
      <w:sz w:val="18"/>
      <w:szCs w:val="18"/>
    </w:rPr>
  </w:style>
  <w:style w:type="character" w:customStyle="1" w:styleId="83">
    <w:name w:val="副标题 Char"/>
    <w:basedOn w:val="50"/>
    <w:link w:val="35"/>
    <w:qFormat/>
    <w:uiPriority w:val="0"/>
    <w:rPr>
      <w:rFonts w:ascii="Cambria" w:hAnsi="Cambria" w:eastAsia="宋体" w:cs="Times New Roman"/>
      <w:b/>
      <w:bCs/>
      <w:kern w:val="28"/>
      <w:sz w:val="32"/>
      <w:szCs w:val="32"/>
    </w:rPr>
  </w:style>
  <w:style w:type="character" w:customStyle="1" w:styleId="84">
    <w:name w:val="脚注文本 Char"/>
    <w:basedOn w:val="50"/>
    <w:link w:val="37"/>
    <w:qFormat/>
    <w:uiPriority w:val="0"/>
    <w:rPr>
      <w:rFonts w:ascii="Times New Roman" w:hAnsi="Times New Roman" w:eastAsia="仿宋_GB2312" w:cs="Times New Roman"/>
      <w:sz w:val="18"/>
      <w:szCs w:val="20"/>
    </w:rPr>
  </w:style>
  <w:style w:type="character" w:customStyle="1" w:styleId="85">
    <w:name w:val="正文文本缩进 3 Char1"/>
    <w:basedOn w:val="50"/>
    <w:link w:val="39"/>
    <w:qFormat/>
    <w:uiPriority w:val="0"/>
    <w:rPr>
      <w:rFonts w:ascii="宋体"/>
      <w:b/>
      <w:color w:val="000000"/>
      <w:kern w:val="0"/>
      <w:sz w:val="36"/>
      <w:szCs w:val="24"/>
    </w:rPr>
  </w:style>
  <w:style w:type="character" w:customStyle="1" w:styleId="86">
    <w:name w:val="正文文本 2 Char1"/>
    <w:basedOn w:val="50"/>
    <w:link w:val="41"/>
    <w:qFormat/>
    <w:uiPriority w:val="0"/>
    <w:rPr>
      <w:rFonts w:ascii="宋体"/>
      <w:color w:val="000000"/>
      <w:kern w:val="0"/>
      <w:sz w:val="24"/>
      <w:szCs w:val="24"/>
    </w:rPr>
  </w:style>
  <w:style w:type="character" w:customStyle="1" w:styleId="87">
    <w:name w:val="HTML 预设格式 Char"/>
    <w:basedOn w:val="50"/>
    <w:link w:val="42"/>
    <w:qFormat/>
    <w:uiPriority w:val="0"/>
    <w:rPr>
      <w:rFonts w:ascii="宋体" w:hAnsi="宋体" w:eastAsia="宋体" w:cs="宋体"/>
      <w:kern w:val="0"/>
      <w:sz w:val="24"/>
      <w:szCs w:val="24"/>
    </w:rPr>
  </w:style>
  <w:style w:type="character" w:customStyle="1" w:styleId="88">
    <w:name w:val="普通(网站) Char"/>
    <w:link w:val="43"/>
    <w:qFormat/>
    <w:uiPriority w:val="99"/>
    <w:rPr>
      <w:rFonts w:ascii="??" w:hAnsi="??" w:eastAsia="??" w:cs="宋体"/>
      <w:sz w:val="24"/>
      <w:szCs w:val="24"/>
    </w:rPr>
  </w:style>
  <w:style w:type="character" w:customStyle="1" w:styleId="89">
    <w:name w:val="标题 Char"/>
    <w:basedOn w:val="50"/>
    <w:qFormat/>
    <w:uiPriority w:val="10"/>
    <w:rPr>
      <w:rFonts w:eastAsia="宋体" w:asciiTheme="majorHAnsi" w:hAnsiTheme="majorHAnsi" w:cstheme="majorBidi"/>
      <w:b/>
      <w:bCs/>
      <w:sz w:val="36"/>
      <w:szCs w:val="32"/>
    </w:rPr>
  </w:style>
  <w:style w:type="character" w:customStyle="1" w:styleId="90">
    <w:name w:val="批注主题 Char"/>
    <w:basedOn w:val="73"/>
    <w:link w:val="45"/>
    <w:qFormat/>
    <w:uiPriority w:val="0"/>
    <w:rPr>
      <w:rFonts w:ascii="Times New Roman" w:hAnsi="Times New Roman" w:eastAsia="宋体" w:cs="Times New Roman"/>
      <w:b/>
      <w:bCs/>
      <w:szCs w:val="24"/>
    </w:rPr>
  </w:style>
  <w:style w:type="character" w:customStyle="1" w:styleId="91">
    <w:name w:val="正文首行缩进 Char"/>
    <w:basedOn w:val="75"/>
    <w:link w:val="46"/>
    <w:qFormat/>
    <w:uiPriority w:val="99"/>
    <w:rPr>
      <w:rFonts w:ascii="等线" w:hAnsi="等线" w:eastAsia="宋体" w:cs="Times New Roman"/>
      <w:szCs w:val="24"/>
    </w:rPr>
  </w:style>
  <w:style w:type="character" w:customStyle="1" w:styleId="92">
    <w:name w:val="正文首行缩进 2 Char"/>
    <w:basedOn w:val="59"/>
    <w:link w:val="47"/>
    <w:qFormat/>
    <w:uiPriority w:val="0"/>
    <w:rPr>
      <w:rFonts w:ascii="等线" w:hAnsi="等线" w:eastAsia="宋体" w:cs="Times New Roman"/>
      <w:sz w:val="28"/>
      <w:szCs w:val="24"/>
    </w:rPr>
  </w:style>
  <w:style w:type="character" w:customStyle="1" w:styleId="93">
    <w:name w:val="纯文本 Char"/>
    <w:basedOn w:val="50"/>
    <w:qFormat/>
    <w:uiPriority w:val="0"/>
    <w:rPr>
      <w:rFonts w:ascii="宋体" w:hAnsi="Courier New" w:eastAsia="宋体" w:cs="Courier New"/>
      <w:szCs w:val="21"/>
    </w:rPr>
  </w:style>
  <w:style w:type="character" w:customStyle="1" w:styleId="94">
    <w:name w:val="*正文 Char"/>
    <w:link w:val="95"/>
    <w:qFormat/>
    <w:uiPriority w:val="0"/>
    <w:rPr>
      <w:rFonts w:ascii="宋体" w:hAnsi="宋体"/>
      <w:sz w:val="22"/>
    </w:rPr>
  </w:style>
  <w:style w:type="paragraph" w:customStyle="1" w:styleId="95">
    <w:name w:val="*正文"/>
    <w:basedOn w:val="1"/>
    <w:link w:val="94"/>
    <w:qFormat/>
    <w:uiPriority w:val="0"/>
    <w:pPr>
      <w:spacing w:line="360" w:lineRule="auto"/>
      <w:ind w:left="420" w:leftChars="200" w:firstLine="200" w:firstLineChars="200"/>
    </w:pPr>
    <w:rPr>
      <w:rFonts w:ascii="宋体" w:hAnsi="宋体" w:eastAsiaTheme="minorEastAsia" w:cstheme="minorBidi"/>
      <w:sz w:val="22"/>
      <w:szCs w:val="22"/>
    </w:rPr>
  </w:style>
  <w:style w:type="paragraph" w:customStyle="1" w:styleId="96">
    <w:name w:val="表格用"/>
    <w:basedOn w:val="1"/>
    <w:qFormat/>
    <w:uiPriority w:val="0"/>
    <w:rPr>
      <w:kern w:val="0"/>
    </w:rPr>
  </w:style>
  <w:style w:type="character" w:customStyle="1" w:styleId="97">
    <w:name w:val="文档结构图 Char"/>
    <w:basedOn w:val="50"/>
    <w:qFormat/>
    <w:uiPriority w:val="0"/>
    <w:rPr>
      <w:rFonts w:ascii="宋体" w:hAnsi="等线" w:eastAsia="宋体" w:cs="Times New Roman"/>
      <w:sz w:val="18"/>
      <w:szCs w:val="18"/>
    </w:rPr>
  </w:style>
  <w:style w:type="character" w:customStyle="1" w:styleId="98">
    <w:name w:val="正文文本 3 Char"/>
    <w:basedOn w:val="50"/>
    <w:qFormat/>
    <w:uiPriority w:val="0"/>
    <w:rPr>
      <w:rFonts w:ascii="等线" w:hAnsi="等线" w:eastAsia="宋体" w:cs="Times New Roman"/>
      <w:sz w:val="16"/>
      <w:szCs w:val="16"/>
    </w:rPr>
  </w:style>
  <w:style w:type="character" w:customStyle="1" w:styleId="99">
    <w:name w:val="正文文本缩进 2 Char"/>
    <w:basedOn w:val="50"/>
    <w:qFormat/>
    <w:uiPriority w:val="0"/>
    <w:rPr>
      <w:rFonts w:ascii="等线" w:hAnsi="等线" w:eastAsia="宋体" w:cs="Times New Roman"/>
      <w:szCs w:val="24"/>
    </w:rPr>
  </w:style>
  <w:style w:type="character" w:customStyle="1" w:styleId="100">
    <w:name w:val="正文文本缩进 3 Char"/>
    <w:basedOn w:val="50"/>
    <w:qFormat/>
    <w:uiPriority w:val="0"/>
    <w:rPr>
      <w:rFonts w:ascii="等线" w:hAnsi="等线" w:eastAsia="宋体" w:cs="Times New Roman"/>
      <w:sz w:val="16"/>
      <w:szCs w:val="16"/>
    </w:rPr>
  </w:style>
  <w:style w:type="character" w:customStyle="1" w:styleId="101">
    <w:name w:val="正文文本 2 Char"/>
    <w:basedOn w:val="50"/>
    <w:qFormat/>
    <w:uiPriority w:val="0"/>
    <w:rPr>
      <w:rFonts w:ascii="等线" w:hAnsi="等线" w:eastAsia="宋体" w:cs="Times New Roman"/>
      <w:szCs w:val="24"/>
    </w:rPr>
  </w:style>
  <w:style w:type="paragraph" w:customStyle="1" w:styleId="102">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103">
    <w:name w:val="列出段落1"/>
    <w:basedOn w:val="1"/>
    <w:qFormat/>
    <w:uiPriority w:val="34"/>
    <w:pPr>
      <w:snapToGrid w:val="0"/>
      <w:spacing w:line="276" w:lineRule="auto"/>
      <w:ind w:firstLine="420" w:firstLineChars="200"/>
    </w:pPr>
    <w:rPr>
      <w:rFonts w:ascii="Calibri" w:hAnsi="Calibri" w:eastAsia="微软雅黑"/>
      <w:sz w:val="24"/>
      <w:szCs w:val="21"/>
    </w:rPr>
  </w:style>
  <w:style w:type="paragraph" w:customStyle="1" w:styleId="104">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105">
    <w:name w:val="Default"/>
    <w:link w:val="10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6">
    <w:name w:val="Default Char"/>
    <w:link w:val="105"/>
    <w:qFormat/>
    <w:uiPriority w:val="0"/>
    <w:rPr>
      <w:rFonts w:ascii="宋体" w:hAnsi="Times New Roman" w:eastAsia="宋体" w:cs="宋体"/>
      <w:color w:val="000000"/>
      <w:sz w:val="24"/>
      <w:szCs w:val="24"/>
    </w:rPr>
  </w:style>
  <w:style w:type="character" w:customStyle="1" w:styleId="107">
    <w:name w:val="正文文本缩进 Char1"/>
    <w:basedOn w:val="50"/>
    <w:qFormat/>
    <w:uiPriority w:val="99"/>
    <w:rPr>
      <w:rFonts w:ascii="等线" w:hAnsi="等线" w:eastAsia="宋体" w:cs="Times New Roman"/>
      <w:szCs w:val="24"/>
    </w:rPr>
  </w:style>
  <w:style w:type="paragraph" w:customStyle="1" w:styleId="108">
    <w:name w:val="WPSOffice手动目录 1"/>
    <w:qFormat/>
    <w:uiPriority w:val="0"/>
    <w:rPr>
      <w:rFonts w:ascii="Times New Roman" w:hAnsi="Times New Roman" w:eastAsia="宋体" w:cs="Times New Roman"/>
      <w:lang w:val="en-US" w:eastAsia="zh-CN" w:bidi="ar-SA"/>
    </w:rPr>
  </w:style>
  <w:style w:type="character" w:customStyle="1" w:styleId="109">
    <w:name w:val="正文2 Char"/>
    <w:link w:val="110"/>
    <w:qFormat/>
    <w:locked/>
    <w:uiPriority w:val="0"/>
    <w:rPr>
      <w:rFonts w:eastAsia="??"/>
      <w:sz w:val="24"/>
      <w:szCs w:val="28"/>
    </w:rPr>
  </w:style>
  <w:style w:type="paragraph" w:customStyle="1" w:styleId="110">
    <w:name w:val="正文2"/>
    <w:basedOn w:val="1"/>
    <w:link w:val="109"/>
    <w:qFormat/>
    <w:uiPriority w:val="0"/>
    <w:pPr>
      <w:spacing w:before="156" w:line="360" w:lineRule="auto"/>
      <w:ind w:firstLine="200" w:firstLineChars="200"/>
    </w:pPr>
    <w:rPr>
      <w:rFonts w:eastAsia="??" w:asciiTheme="minorHAnsi" w:hAnsiTheme="minorHAnsi" w:cstheme="minorBidi"/>
      <w:sz w:val="24"/>
      <w:szCs w:val="28"/>
    </w:rPr>
  </w:style>
  <w:style w:type="character" w:customStyle="1" w:styleId="111">
    <w:name w:val="批注文字 Char1"/>
    <w:basedOn w:val="50"/>
    <w:semiHidden/>
    <w:qFormat/>
    <w:uiPriority w:val="99"/>
    <w:rPr>
      <w:rFonts w:ascii="等线" w:hAnsi="等线" w:eastAsia="宋体" w:cs="Times New Roman"/>
      <w:szCs w:val="24"/>
    </w:rPr>
  </w:style>
  <w:style w:type="paragraph" w:styleId="112">
    <w:name w:val="List Paragraph"/>
    <w:basedOn w:val="1"/>
    <w:link w:val="113"/>
    <w:qFormat/>
    <w:uiPriority w:val="34"/>
    <w:pPr>
      <w:widowControl/>
      <w:ind w:firstLine="200" w:firstLineChars="200"/>
      <w:jc w:val="left"/>
    </w:pPr>
    <w:rPr>
      <w:rFonts w:ascii="??" w:hAnsi="??" w:eastAsia="??" w:cs="??"/>
      <w:kern w:val="0"/>
      <w:sz w:val="24"/>
    </w:rPr>
  </w:style>
  <w:style w:type="character" w:customStyle="1" w:styleId="113">
    <w:name w:val="列出段落 Char"/>
    <w:link w:val="112"/>
    <w:qFormat/>
    <w:uiPriority w:val="34"/>
    <w:rPr>
      <w:rFonts w:ascii="??" w:hAnsi="??" w:eastAsia="??" w:cs="??"/>
      <w:kern w:val="0"/>
      <w:sz w:val="24"/>
      <w:szCs w:val="24"/>
    </w:rPr>
  </w:style>
  <w:style w:type="paragraph" w:customStyle="1" w:styleId="11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16">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11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正文_14"/>
    <w:qFormat/>
    <w:uiPriority w:val="0"/>
    <w:rPr>
      <w:rFonts w:ascii="Times New Roman" w:hAnsi="Times New Roman" w:eastAsia="宋体" w:cs="Times New Roman"/>
      <w:sz w:val="21"/>
      <w:szCs w:val="22"/>
      <w:lang w:val="en-US" w:eastAsia="zh-CN" w:bidi="ar-SA"/>
    </w:rPr>
  </w:style>
  <w:style w:type="paragraph" w:customStyle="1" w:styleId="12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纯文本_3"/>
    <w:basedOn w:val="122"/>
    <w:link w:val="124"/>
    <w:qFormat/>
    <w:uiPriority w:val="0"/>
    <w:pPr>
      <w:widowControl/>
      <w:jc w:val="left"/>
    </w:pPr>
    <w:rPr>
      <w:rFonts w:ascii="宋体" w:hAnsi="Courier New" w:eastAsiaTheme="minorEastAsia" w:cstheme="minorBidi"/>
      <w:szCs w:val="21"/>
    </w:rPr>
  </w:style>
  <w:style w:type="character" w:customStyle="1" w:styleId="124">
    <w:name w:val="纯文本 Char_3"/>
    <w:link w:val="123"/>
    <w:qFormat/>
    <w:uiPriority w:val="0"/>
    <w:rPr>
      <w:rFonts w:ascii="宋体" w:hAnsi="Courier New"/>
      <w:szCs w:val="21"/>
    </w:rPr>
  </w:style>
  <w:style w:type="paragraph" w:customStyle="1" w:styleId="125">
    <w:name w:val="纯文本_0_1"/>
    <w:basedOn w:val="1"/>
    <w:link w:val="126"/>
    <w:qFormat/>
    <w:uiPriority w:val="0"/>
    <w:pPr>
      <w:widowControl/>
      <w:jc w:val="left"/>
    </w:pPr>
    <w:rPr>
      <w:rFonts w:ascii="宋体" w:hAnsi="Courier New" w:eastAsiaTheme="minorEastAsia" w:cstheme="minorBidi"/>
      <w:szCs w:val="21"/>
    </w:rPr>
  </w:style>
  <w:style w:type="character" w:customStyle="1" w:styleId="126">
    <w:name w:val="纯文本 Char_1_0"/>
    <w:link w:val="125"/>
    <w:qFormat/>
    <w:uiPriority w:val="0"/>
    <w:rPr>
      <w:rFonts w:ascii="宋体" w:hAnsi="Courier New"/>
      <w:szCs w:val="21"/>
    </w:rPr>
  </w:style>
  <w:style w:type="paragraph" w:customStyle="1" w:styleId="127">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0">
    <w:name w:val="纯文本 Char_1"/>
    <w:link w:val="131"/>
    <w:qFormat/>
    <w:uiPriority w:val="0"/>
    <w:rPr>
      <w:rFonts w:ascii="宋体" w:hAnsi="Courier New"/>
      <w:szCs w:val="21"/>
    </w:rPr>
  </w:style>
  <w:style w:type="paragraph" w:customStyle="1" w:styleId="131">
    <w:name w:val="纯文本_1"/>
    <w:basedOn w:val="1"/>
    <w:link w:val="130"/>
    <w:qFormat/>
    <w:uiPriority w:val="0"/>
    <w:pPr>
      <w:widowControl/>
      <w:jc w:val="left"/>
    </w:pPr>
    <w:rPr>
      <w:rFonts w:ascii="宋体" w:hAnsi="Courier New" w:eastAsiaTheme="minorEastAsia" w:cstheme="minorBidi"/>
      <w:szCs w:val="21"/>
    </w:rPr>
  </w:style>
  <w:style w:type="paragraph" w:customStyle="1" w:styleId="132">
    <w:name w:val="纯文本1"/>
    <w:basedOn w:val="133"/>
    <w:qFormat/>
    <w:uiPriority w:val="0"/>
    <w:pPr>
      <w:widowControl/>
      <w:jc w:val="left"/>
    </w:pPr>
    <w:rPr>
      <w:rFonts w:ascii="宋体" w:hAnsi="Courier New"/>
    </w:rPr>
  </w:style>
  <w:style w:type="paragraph" w:customStyle="1" w:styleId="13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4">
    <w:name w:val="p0"/>
    <w:basedOn w:val="1"/>
    <w:qFormat/>
    <w:uiPriority w:val="0"/>
    <w:pPr>
      <w:widowControl/>
    </w:pPr>
    <w:rPr>
      <w:rFonts w:ascii="宋体" w:hAnsi="宋体" w:cs="宋体"/>
      <w:kern w:val="0"/>
      <w:szCs w:val="21"/>
    </w:rPr>
  </w:style>
  <w:style w:type="paragraph" w:customStyle="1" w:styleId="135">
    <w:name w:val="_Style 2"/>
    <w:qFormat/>
    <w:uiPriority w:val="0"/>
    <w:pPr>
      <w:adjustRightInd w:val="0"/>
      <w:snapToGrid w:val="0"/>
    </w:pPr>
    <w:rPr>
      <w:rFonts w:ascii="Tahoma" w:hAnsi="Tahoma" w:eastAsia="微软雅黑" w:cs="Tahoma"/>
      <w:sz w:val="22"/>
      <w:szCs w:val="22"/>
      <w:lang w:val="en-US" w:eastAsia="zh-CN" w:bidi="ar-SA"/>
    </w:rPr>
  </w:style>
  <w:style w:type="character" w:customStyle="1" w:styleId="136">
    <w:name w:val="内容文本 Char"/>
    <w:link w:val="137"/>
    <w:qFormat/>
    <w:uiPriority w:val="0"/>
    <w:rPr>
      <w:rFonts w:ascii="宋体" w:hAnsi="宋体"/>
      <w:sz w:val="24"/>
      <w:szCs w:val="24"/>
      <w:lang w:eastAsia="en-US" w:bidi="en-US"/>
    </w:rPr>
  </w:style>
  <w:style w:type="paragraph" w:customStyle="1" w:styleId="137">
    <w:name w:val="内容文本"/>
    <w:basedOn w:val="1"/>
    <w:link w:val="136"/>
    <w:qFormat/>
    <w:uiPriority w:val="0"/>
    <w:pPr>
      <w:spacing w:line="360" w:lineRule="auto"/>
      <w:ind w:firstLine="200" w:firstLineChars="200"/>
      <w:contextualSpacing/>
      <w:jc w:val="left"/>
    </w:pPr>
    <w:rPr>
      <w:rFonts w:ascii="宋体" w:hAnsi="宋体" w:eastAsiaTheme="minorEastAsia" w:cstheme="minorBidi"/>
      <w:sz w:val="24"/>
      <w:lang w:eastAsia="en-US" w:bidi="en-US"/>
    </w:rPr>
  </w:style>
  <w:style w:type="character" w:customStyle="1" w:styleId="138">
    <w:name w:val="样式1 Char_1"/>
    <w:link w:val="139"/>
    <w:qFormat/>
    <w:uiPriority w:val="0"/>
    <w:rPr>
      <w:rFonts w:ascii="宋体" w:hAnsi="Arial"/>
      <w:b/>
      <w:sz w:val="32"/>
    </w:rPr>
  </w:style>
  <w:style w:type="paragraph" w:customStyle="1" w:styleId="139">
    <w:name w:val="样式1_1"/>
    <w:basedOn w:val="1"/>
    <w:link w:val="138"/>
    <w:qFormat/>
    <w:uiPriority w:val="0"/>
    <w:pPr>
      <w:keepNext/>
      <w:keepLines/>
      <w:widowControl/>
      <w:tabs>
        <w:tab w:val="left" w:pos="420"/>
      </w:tabs>
      <w:adjustRightInd w:val="0"/>
      <w:snapToGrid w:val="0"/>
      <w:spacing w:line="360" w:lineRule="auto"/>
      <w:ind w:left="420" w:hanging="420"/>
      <w:jc w:val="center"/>
      <w:outlineLvl w:val="1"/>
    </w:pPr>
    <w:rPr>
      <w:rFonts w:ascii="宋体" w:hAnsi="Arial" w:eastAsiaTheme="minorEastAsia" w:cstheme="minorBidi"/>
      <w:b/>
      <w:sz w:val="32"/>
      <w:szCs w:val="22"/>
    </w:rPr>
  </w:style>
  <w:style w:type="character" w:customStyle="1" w:styleId="140">
    <w:name w:val="列出段落 Char1"/>
    <w:basedOn w:val="50"/>
    <w:qFormat/>
    <w:uiPriority w:val="34"/>
  </w:style>
  <w:style w:type="character" w:customStyle="1" w:styleId="141">
    <w:name w:val="标题 4 Char1"/>
    <w:qFormat/>
    <w:uiPriority w:val="0"/>
    <w:rPr>
      <w:rFonts w:ascii="Cambria" w:hAnsi="Cambria" w:eastAsia="宋体" w:cs="Times New Roman"/>
      <w:b/>
      <w:bCs/>
      <w:sz w:val="28"/>
      <w:szCs w:val="28"/>
    </w:rPr>
  </w:style>
  <w:style w:type="character" w:customStyle="1" w:styleId="142">
    <w:name w:val="p141"/>
    <w:qFormat/>
    <w:uiPriority w:val="0"/>
    <w:rPr>
      <w:sz w:val="21"/>
      <w:szCs w:val="21"/>
    </w:rPr>
  </w:style>
  <w:style w:type="character" w:customStyle="1" w:styleId="143">
    <w:name w:val="样式5 Char"/>
    <w:link w:val="144"/>
    <w:qFormat/>
    <w:uiPriority w:val="0"/>
    <w:rPr>
      <w:rFonts w:ascii="方正书宋简体" w:hAnsi="Calibri" w:eastAsia="方正书宋简体" w:cs="黑体"/>
    </w:rPr>
  </w:style>
  <w:style w:type="paragraph" w:customStyle="1" w:styleId="144">
    <w:name w:val="样式5"/>
    <w:basedOn w:val="1"/>
    <w:link w:val="143"/>
    <w:qFormat/>
    <w:uiPriority w:val="0"/>
    <w:pPr>
      <w:spacing w:line="340" w:lineRule="exact"/>
      <w:ind w:firstLine="420" w:firstLineChars="200"/>
    </w:pPr>
    <w:rPr>
      <w:rFonts w:ascii="方正书宋简体" w:hAnsi="Calibri" w:eastAsia="方正书宋简体" w:cs="黑体"/>
      <w:szCs w:val="22"/>
    </w:rPr>
  </w:style>
  <w:style w:type="character" w:customStyle="1" w:styleId="145">
    <w:name w:val="正文文本 Char1"/>
    <w:qFormat/>
    <w:uiPriority w:val="99"/>
    <w:rPr>
      <w:rFonts w:eastAsia="Times New Roman"/>
      <w:kern w:val="2"/>
      <w:sz w:val="24"/>
      <w:szCs w:val="24"/>
    </w:rPr>
  </w:style>
  <w:style w:type="character" w:customStyle="1" w:styleId="146">
    <w:name w:val="日期 Char1"/>
    <w:qFormat/>
    <w:uiPriority w:val="99"/>
    <w:rPr>
      <w:rFonts w:ascii="Calibri" w:hAnsi="Calibri" w:eastAsia="楷体_GB2312"/>
      <w:kern w:val="2"/>
      <w:sz w:val="32"/>
      <w:szCs w:val="22"/>
    </w:rPr>
  </w:style>
  <w:style w:type="character" w:customStyle="1" w:styleId="147">
    <w:name w:val="标题 Char1"/>
    <w:qFormat/>
    <w:uiPriority w:val="10"/>
    <w:rPr>
      <w:rFonts w:ascii="Cambria" w:hAnsi="Cambria" w:eastAsia="Times New Roman"/>
      <w:b/>
      <w:bCs/>
      <w:kern w:val="2"/>
      <w:sz w:val="32"/>
      <w:szCs w:val="32"/>
    </w:rPr>
  </w:style>
  <w:style w:type="character" w:customStyle="1" w:styleId="148">
    <w:name w:val="标题 3 Char1"/>
    <w:qFormat/>
    <w:uiPriority w:val="9"/>
    <w:rPr>
      <w:b/>
      <w:bCs/>
      <w:sz w:val="32"/>
      <w:szCs w:val="32"/>
    </w:rPr>
  </w:style>
  <w:style w:type="paragraph" w:customStyle="1" w:styleId="149">
    <w:name w:val="正文首行缩进1"/>
    <w:basedOn w:val="20"/>
    <w:next w:val="1"/>
    <w:qFormat/>
    <w:uiPriority w:val="0"/>
    <w:pPr>
      <w:widowControl/>
      <w:ind w:firstLine="420" w:firstLineChars="100"/>
      <w:jc w:val="left"/>
    </w:pPr>
    <w:rPr>
      <w:rFonts w:ascii="Calibri" w:hAnsi="Calibri" w:eastAsia="Times New Roman" w:cs="黑体"/>
      <w:szCs w:val="22"/>
    </w:rPr>
  </w:style>
  <w:style w:type="character" w:customStyle="1" w:styleId="150">
    <w:name w:val="样式1 Char"/>
    <w:link w:val="151"/>
    <w:qFormat/>
    <w:uiPriority w:val="0"/>
    <w:rPr>
      <w:rFonts w:ascii="宋体" w:hAnsi="Arial"/>
      <w:b/>
      <w:sz w:val="32"/>
    </w:rPr>
  </w:style>
  <w:style w:type="paragraph" w:customStyle="1" w:styleId="151">
    <w:name w:val="样式1_0"/>
    <w:basedOn w:val="1"/>
    <w:link w:val="150"/>
    <w:qFormat/>
    <w:uiPriority w:val="0"/>
    <w:pPr>
      <w:keepNext/>
      <w:keepLines/>
      <w:widowControl/>
      <w:tabs>
        <w:tab w:val="left" w:pos="420"/>
      </w:tabs>
      <w:adjustRightInd w:val="0"/>
      <w:snapToGrid w:val="0"/>
      <w:spacing w:line="360" w:lineRule="auto"/>
      <w:ind w:left="420" w:hanging="420"/>
      <w:jc w:val="center"/>
      <w:outlineLvl w:val="1"/>
    </w:pPr>
    <w:rPr>
      <w:rFonts w:ascii="宋体" w:hAnsi="Arial" w:eastAsiaTheme="minorEastAsia" w:cstheme="minorBidi"/>
      <w:b/>
      <w:sz w:val="32"/>
      <w:szCs w:val="22"/>
    </w:rPr>
  </w:style>
  <w:style w:type="character" w:customStyle="1" w:styleId="152">
    <w:name w:val="样式44 Char"/>
    <w:basedOn w:val="63"/>
    <w:link w:val="153"/>
    <w:qFormat/>
    <w:uiPriority w:val="0"/>
    <w:rPr>
      <w:rFonts w:ascii="Cambria" w:hAnsi="Cambria" w:eastAsia="宋体" w:cs="Times New Roman"/>
      <w:sz w:val="28"/>
      <w:szCs w:val="28"/>
    </w:rPr>
  </w:style>
  <w:style w:type="paragraph" w:customStyle="1" w:styleId="153">
    <w:name w:val="样式44"/>
    <w:basedOn w:val="5"/>
    <w:link w:val="152"/>
    <w:qFormat/>
    <w:uiPriority w:val="0"/>
  </w:style>
  <w:style w:type="character" w:customStyle="1" w:styleId="154">
    <w:name w:val="apple-converted-space"/>
    <w:basedOn w:val="50"/>
    <w:qFormat/>
    <w:uiPriority w:val="0"/>
  </w:style>
  <w:style w:type="character" w:customStyle="1" w:styleId="155">
    <w:name w:val="纯文本 Char_0_0"/>
    <w:link w:val="156"/>
    <w:qFormat/>
    <w:locked/>
    <w:uiPriority w:val="0"/>
    <w:rPr>
      <w:rFonts w:ascii="宋体" w:hAnsi="Courier New"/>
      <w:szCs w:val="21"/>
    </w:rPr>
  </w:style>
  <w:style w:type="paragraph" w:customStyle="1" w:styleId="156">
    <w:name w:val="纯文本_0"/>
    <w:basedOn w:val="1"/>
    <w:link w:val="155"/>
    <w:unhideWhenUsed/>
    <w:qFormat/>
    <w:uiPriority w:val="0"/>
    <w:pPr>
      <w:widowControl/>
      <w:jc w:val="left"/>
    </w:pPr>
    <w:rPr>
      <w:rFonts w:ascii="宋体" w:hAnsi="Courier New" w:eastAsiaTheme="minorEastAsia" w:cstheme="minorBidi"/>
      <w:szCs w:val="21"/>
    </w:rPr>
  </w:style>
  <w:style w:type="character" w:customStyle="1" w:styleId="157">
    <w:name w:val="文档结构图 Char1"/>
    <w:qFormat/>
    <w:uiPriority w:val="99"/>
    <w:rPr>
      <w:rFonts w:ascii="宋体" w:hAnsi="Calibri"/>
      <w:kern w:val="2"/>
      <w:sz w:val="18"/>
      <w:szCs w:val="18"/>
    </w:rPr>
  </w:style>
  <w:style w:type="character" w:styleId="158">
    <w:name w:val="Placeholder Text"/>
    <w:semiHidden/>
    <w:qFormat/>
    <w:uiPriority w:val="99"/>
    <w:rPr>
      <w:color w:val="808080"/>
    </w:rPr>
  </w:style>
  <w:style w:type="character" w:customStyle="1" w:styleId="159">
    <w:name w:val="日期 Char2"/>
    <w:basedOn w:val="50"/>
    <w:semiHidden/>
    <w:qFormat/>
    <w:uiPriority w:val="99"/>
    <w:rPr>
      <w:kern w:val="2"/>
      <w:sz w:val="21"/>
    </w:rPr>
  </w:style>
  <w:style w:type="character" w:customStyle="1" w:styleId="160">
    <w:name w:val="批注文字 Char2"/>
    <w:basedOn w:val="50"/>
    <w:qFormat/>
    <w:uiPriority w:val="0"/>
    <w:rPr>
      <w:kern w:val="2"/>
      <w:sz w:val="21"/>
    </w:rPr>
  </w:style>
  <w:style w:type="character" w:customStyle="1" w:styleId="161">
    <w:name w:val="批注主题 Char1"/>
    <w:basedOn w:val="160"/>
    <w:semiHidden/>
    <w:qFormat/>
    <w:uiPriority w:val="99"/>
    <w:rPr>
      <w:b/>
      <w:bCs/>
      <w:kern w:val="2"/>
      <w:sz w:val="21"/>
    </w:rPr>
  </w:style>
  <w:style w:type="character" w:customStyle="1" w:styleId="162">
    <w:name w:val="正文文本缩进 Char2"/>
    <w:basedOn w:val="50"/>
    <w:qFormat/>
    <w:uiPriority w:val="0"/>
    <w:rPr>
      <w:kern w:val="2"/>
      <w:sz w:val="21"/>
    </w:rPr>
  </w:style>
  <w:style w:type="character" w:customStyle="1" w:styleId="163">
    <w:name w:val="正文首行缩进 2 Char1"/>
    <w:basedOn w:val="59"/>
    <w:qFormat/>
    <w:uiPriority w:val="0"/>
    <w:rPr>
      <w:rFonts w:ascii="??" w:hAnsi="??" w:eastAsia="??" w:cs="宋体"/>
      <w:kern w:val="2"/>
      <w:sz w:val="21"/>
      <w:szCs w:val="28"/>
    </w:rPr>
  </w:style>
  <w:style w:type="character" w:customStyle="1" w:styleId="164">
    <w:name w:val="页脚 Char1"/>
    <w:basedOn w:val="50"/>
    <w:semiHidden/>
    <w:qFormat/>
    <w:uiPriority w:val="99"/>
    <w:rPr>
      <w:kern w:val="2"/>
      <w:sz w:val="18"/>
      <w:szCs w:val="18"/>
    </w:rPr>
  </w:style>
  <w:style w:type="character" w:customStyle="1" w:styleId="165">
    <w:name w:val="正文首行缩进 Char1"/>
    <w:basedOn w:val="75"/>
    <w:qFormat/>
    <w:uiPriority w:val="99"/>
    <w:rPr>
      <w:rFonts w:ascii="等线" w:hAnsi="等线" w:eastAsia="宋体" w:cs="Times New Roman"/>
      <w:kern w:val="2"/>
      <w:sz w:val="21"/>
      <w:szCs w:val="24"/>
    </w:rPr>
  </w:style>
  <w:style w:type="character" w:customStyle="1" w:styleId="166">
    <w:name w:val="页眉 Char1"/>
    <w:basedOn w:val="50"/>
    <w:qFormat/>
    <w:uiPriority w:val="0"/>
    <w:rPr>
      <w:kern w:val="2"/>
      <w:sz w:val="18"/>
      <w:szCs w:val="18"/>
    </w:rPr>
  </w:style>
  <w:style w:type="character" w:customStyle="1" w:styleId="167">
    <w:name w:val="标题 Char2"/>
    <w:basedOn w:val="50"/>
    <w:qFormat/>
    <w:uiPriority w:val="10"/>
    <w:rPr>
      <w:rFonts w:asciiTheme="majorHAnsi" w:hAnsiTheme="majorHAnsi" w:cstheme="majorBidi"/>
      <w:b/>
      <w:bCs/>
      <w:kern w:val="2"/>
      <w:sz w:val="32"/>
      <w:szCs w:val="32"/>
    </w:rPr>
  </w:style>
  <w:style w:type="character" w:customStyle="1" w:styleId="168">
    <w:name w:val="批注框文本 Char1"/>
    <w:basedOn w:val="50"/>
    <w:semiHidden/>
    <w:qFormat/>
    <w:uiPriority w:val="99"/>
    <w:rPr>
      <w:kern w:val="2"/>
      <w:sz w:val="18"/>
      <w:szCs w:val="18"/>
    </w:rPr>
  </w:style>
  <w:style w:type="character" w:customStyle="1" w:styleId="169">
    <w:name w:val="纯文本 Char2"/>
    <w:basedOn w:val="50"/>
    <w:semiHidden/>
    <w:qFormat/>
    <w:uiPriority w:val="99"/>
    <w:rPr>
      <w:rFonts w:ascii="宋体" w:hAnsi="Courier New" w:cs="Courier New"/>
      <w:kern w:val="2"/>
      <w:sz w:val="21"/>
      <w:szCs w:val="21"/>
    </w:rPr>
  </w:style>
  <w:style w:type="paragraph" w:customStyle="1" w:styleId="17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71">
    <w:name w:val="默认段落字体 Para Char Char Char Char Char Char Char Char Char1 Char Char Char Char"/>
    <w:basedOn w:val="1"/>
    <w:qFormat/>
    <w:uiPriority w:val="0"/>
    <w:rPr>
      <w:rFonts w:ascii="Tahoma" w:hAnsi="Tahoma"/>
      <w:sz w:val="24"/>
      <w:szCs w:val="20"/>
    </w:rPr>
  </w:style>
  <w:style w:type="paragraph" w:customStyle="1" w:styleId="172">
    <w:name w:val="Char Char1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173">
    <w:name w:val="1"/>
    <w:basedOn w:val="1"/>
    <w:next w:val="26"/>
    <w:qFormat/>
    <w:uiPriority w:val="0"/>
    <w:rPr>
      <w:rFonts w:ascii="宋体" w:hAnsi="Courier New"/>
      <w:szCs w:val="22"/>
    </w:rPr>
  </w:style>
  <w:style w:type="paragraph" w:customStyle="1" w:styleId="174">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5">
    <w:name w:val=".正文"/>
    <w:basedOn w:val="1"/>
    <w:qFormat/>
    <w:uiPriority w:val="99"/>
    <w:pPr>
      <w:spacing w:beforeLines="50" w:afterLines="50"/>
      <w:ind w:firstLine="200" w:firstLineChars="200"/>
    </w:pPr>
    <w:rPr>
      <w:rFonts w:ascii="Calibri" w:hAnsi="Calibri"/>
      <w:szCs w:val="22"/>
    </w:rPr>
  </w:style>
  <w:style w:type="paragraph" w:customStyle="1" w:styleId="176">
    <w:name w:val="列出段落3"/>
    <w:basedOn w:val="1"/>
    <w:qFormat/>
    <w:uiPriority w:val="99"/>
    <w:pPr>
      <w:ind w:firstLine="420" w:firstLineChars="200"/>
    </w:pPr>
    <w:rPr>
      <w:rFonts w:ascii="Calibri" w:hAnsi="Calibri"/>
      <w:szCs w:val="22"/>
    </w:rPr>
  </w:style>
  <w:style w:type="paragraph" w:customStyle="1" w:styleId="177">
    <w:name w:val="_Style 22"/>
    <w:basedOn w:val="1"/>
    <w:qFormat/>
    <w:uiPriority w:val="0"/>
    <w:rPr>
      <w:rFonts w:ascii="Times New Roman" w:hAnsi="Times New Roman"/>
    </w:rPr>
  </w:style>
  <w:style w:type="paragraph" w:customStyle="1" w:styleId="178">
    <w:name w:val="自定义正文"/>
    <w:basedOn w:val="1"/>
    <w:qFormat/>
    <w:uiPriority w:val="0"/>
    <w:pPr>
      <w:spacing w:before="120" w:after="60" w:line="400" w:lineRule="exact"/>
      <w:ind w:firstLine="200" w:firstLineChars="200"/>
    </w:pPr>
    <w:rPr>
      <w:rFonts w:ascii="仿宋_GB2312" w:hAnsi="Times New Roman" w:eastAsia="仿宋_GB2312"/>
    </w:rPr>
  </w:style>
  <w:style w:type="paragraph" w:customStyle="1" w:styleId="179">
    <w:name w:val="DAS正文"/>
    <w:basedOn w:val="1"/>
    <w:qFormat/>
    <w:uiPriority w:val="0"/>
    <w:pPr>
      <w:spacing w:line="360" w:lineRule="auto"/>
      <w:ind w:right="181" w:firstLine="480" w:firstLineChars="200"/>
    </w:pPr>
    <w:rPr>
      <w:rFonts w:ascii="Verdana" w:hAnsi="Verdana"/>
      <w:sz w:val="24"/>
      <w:szCs w:val="21"/>
    </w:rPr>
  </w:style>
  <w:style w:type="paragraph" w:customStyle="1" w:styleId="18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Char1"/>
    <w:basedOn w:val="1"/>
    <w:qFormat/>
    <w:uiPriority w:val="0"/>
    <w:rPr>
      <w:rFonts w:ascii="Tahoma" w:hAnsi="Tahoma"/>
      <w:sz w:val="24"/>
      <w:szCs w:val="20"/>
    </w:rPr>
  </w:style>
  <w:style w:type="paragraph" w:customStyle="1" w:styleId="182">
    <w:name w:val="列出段落11"/>
    <w:basedOn w:val="1"/>
    <w:qFormat/>
    <w:uiPriority w:val="0"/>
    <w:pPr>
      <w:ind w:firstLine="200" w:firstLineChars="200"/>
    </w:pPr>
    <w:rPr>
      <w:rFonts w:ascii="Calibri" w:hAnsi="Calibri"/>
    </w:rPr>
  </w:style>
  <w:style w:type="paragraph" w:customStyle="1" w:styleId="183">
    <w:name w:val="Char"/>
    <w:basedOn w:val="1"/>
    <w:qFormat/>
    <w:uiPriority w:val="0"/>
    <w:rPr>
      <w:rFonts w:ascii="Times New Roman" w:hAnsi="Times New Roman"/>
    </w:rPr>
  </w:style>
  <w:style w:type="paragraph" w:customStyle="1" w:styleId="184">
    <w:name w:val="WW-正文文字缩进 2"/>
    <w:basedOn w:val="1"/>
    <w:qFormat/>
    <w:uiPriority w:val="0"/>
    <w:pPr>
      <w:suppressAutoHyphens/>
      <w:ind w:firstLine="420"/>
    </w:pPr>
    <w:rPr>
      <w:rFonts w:ascii="Times New Roman" w:hAnsi="Times New Roman"/>
      <w:kern w:val="1"/>
      <w:szCs w:val="20"/>
    </w:rPr>
  </w:style>
  <w:style w:type="paragraph" w:customStyle="1" w:styleId="185">
    <w:name w:val="列出段落2"/>
    <w:qFormat/>
    <w:uiPriority w:val="34"/>
    <w:pPr>
      <w:ind w:firstLine="420" w:firstLineChars="200"/>
    </w:pPr>
    <w:rPr>
      <w:rFonts w:ascii="Times New Roman" w:hAnsi="Times New Roman" w:eastAsia="宋体" w:cs="Times New Roman"/>
      <w:lang w:val="en-US" w:eastAsia="zh-CN" w:bidi="ar-SA"/>
    </w:rPr>
  </w:style>
  <w:style w:type="paragraph" w:customStyle="1" w:styleId="186">
    <w:name w:val="此正文"/>
    <w:basedOn w:val="1"/>
    <w:qFormat/>
    <w:uiPriority w:val="99"/>
    <w:pPr>
      <w:spacing w:line="360" w:lineRule="auto"/>
      <w:ind w:firstLine="200" w:firstLineChars="200"/>
    </w:pPr>
    <w:rPr>
      <w:rFonts w:ascii="Times New Roman" w:hAnsi="Times New Roman"/>
      <w:sz w:val="24"/>
    </w:rPr>
  </w:style>
  <w:style w:type="paragraph" w:customStyle="1" w:styleId="187">
    <w:name w:val="标题 41"/>
    <w:basedOn w:val="1"/>
    <w:next w:val="1"/>
    <w:unhideWhenUsed/>
    <w:qFormat/>
    <w:uiPriority w:val="9"/>
    <w:pPr>
      <w:keepNext/>
      <w:keepLines/>
      <w:spacing w:before="280" w:after="290" w:line="376" w:lineRule="auto"/>
      <w:outlineLvl w:val="3"/>
    </w:pPr>
    <w:rPr>
      <w:rFonts w:ascii="Cambria" w:hAnsi="Cambria"/>
      <w:b/>
      <w:bCs/>
      <w:sz w:val="28"/>
      <w:szCs w:val="28"/>
    </w:rPr>
  </w:style>
  <w:style w:type="paragraph" w:customStyle="1" w:styleId="188">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89">
    <w:name w:val="列出段落61"/>
    <w:basedOn w:val="1"/>
    <w:unhideWhenUsed/>
    <w:qFormat/>
    <w:uiPriority w:val="0"/>
    <w:pPr>
      <w:ind w:firstLine="420" w:firstLineChars="200"/>
    </w:pPr>
    <w:rPr>
      <w:rFonts w:ascii="Calibri" w:hAnsi="Calibri" w:cs="黑体"/>
      <w:szCs w:val="22"/>
    </w:rPr>
  </w:style>
  <w:style w:type="table" w:customStyle="1" w:styleId="190">
    <w:name w:val="网格型1"/>
    <w:basedOn w:val="4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1">
    <w:name w:val="font11"/>
    <w:qFormat/>
    <w:uiPriority w:val="0"/>
    <w:rPr>
      <w:rFonts w:hint="eastAsia" w:ascii="宋体" w:hAnsi="宋体" w:eastAsia="宋体" w:cs="宋体"/>
      <w:color w:val="000000"/>
      <w:sz w:val="24"/>
      <w:szCs w:val="24"/>
      <w:u w:val="none"/>
    </w:rPr>
  </w:style>
  <w:style w:type="character" w:customStyle="1" w:styleId="192">
    <w:name w:val="无间隔 Char"/>
    <w:link w:val="193"/>
    <w:qFormat/>
    <w:uiPriority w:val="1"/>
  </w:style>
  <w:style w:type="paragraph" w:styleId="193">
    <w:name w:val="No Spacing"/>
    <w:link w:val="192"/>
    <w:qFormat/>
    <w:uiPriority w:val="1"/>
    <w:pPr>
      <w:widowControl w:val="0"/>
      <w:autoSpaceDE w:val="0"/>
      <w:autoSpaceDN w:val="0"/>
      <w:adjustRightInd w:val="0"/>
      <w:jc w:val="both"/>
      <w:textAlignment w:val="baseline"/>
    </w:pPr>
    <w:rPr>
      <w:rFonts w:asciiTheme="minorHAnsi" w:hAnsiTheme="minorHAnsi" w:eastAsiaTheme="minorEastAsia" w:cstheme="minorBidi"/>
      <w:kern w:val="2"/>
      <w:sz w:val="21"/>
      <w:szCs w:val="22"/>
      <w:lang w:val="en-US" w:eastAsia="zh-CN" w:bidi="ar-SA"/>
    </w:rPr>
  </w:style>
  <w:style w:type="paragraph" w:customStyle="1" w:styleId="194">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5">
    <w:name w:val="表格文字"/>
    <w:basedOn w:val="26"/>
    <w:next w:val="20"/>
    <w:qFormat/>
    <w:uiPriority w:val="0"/>
    <w:pPr>
      <w:adjustRightInd w:val="0"/>
      <w:spacing w:line="420" w:lineRule="atLeast"/>
      <w:jc w:val="left"/>
      <w:textAlignment w:val="baseline"/>
    </w:pPr>
    <w:rPr>
      <w:rFonts w:ascii="Times New Roman" w:hAnsi="Times New Roman"/>
      <w:kern w:val="0"/>
      <w:szCs w:val="20"/>
    </w:rPr>
  </w:style>
  <w:style w:type="paragraph" w:customStyle="1" w:styleId="196">
    <w:name w:val="￥正文"/>
    <w:basedOn w:val="1"/>
    <w:qFormat/>
    <w:uiPriority w:val="0"/>
    <w:pPr>
      <w:spacing w:line="360" w:lineRule="auto"/>
      <w:ind w:firstLine="200" w:firstLineChars="200"/>
    </w:pPr>
    <w:rPr>
      <w:rFonts w:ascii="Calibri" w:hAnsi="Calibri"/>
    </w:rPr>
  </w:style>
  <w:style w:type="paragraph" w:customStyle="1" w:styleId="197">
    <w:name w:val="正文空格"/>
    <w:basedOn w:val="1"/>
    <w:next w:val="1"/>
    <w:qFormat/>
    <w:uiPriority w:val="0"/>
    <w:pPr>
      <w:spacing w:line="400" w:lineRule="exact"/>
      <w:ind w:firstLine="200" w:firstLineChars="200"/>
    </w:pPr>
    <w:rPr>
      <w:sz w:val="24"/>
      <w:szCs w:val="22"/>
    </w:rPr>
  </w:style>
  <w:style w:type="paragraph" w:customStyle="1" w:styleId="198">
    <w:name w:val="_Style 116"/>
    <w:qFormat/>
    <w:uiPriority w:val="99"/>
    <w:rPr>
      <w:rFonts w:ascii="Times New Roman" w:hAnsi="Times New Roman" w:eastAsia="宋体" w:cs="Times New Roman"/>
      <w:sz w:val="24"/>
      <w:szCs w:val="22"/>
      <w:lang w:val="en-US" w:eastAsia="zh-CN" w:bidi="ar-SA"/>
    </w:rPr>
  </w:style>
  <w:style w:type="paragraph" w:customStyle="1" w:styleId="199">
    <w:name w:val="样式 首行缩进:  0 字符"/>
    <w:basedOn w:val="1"/>
    <w:link w:val="200"/>
    <w:qFormat/>
    <w:uiPriority w:val="0"/>
    <w:rPr>
      <w:rFonts w:ascii="Times New Roman" w:hAnsi="Times New Roman"/>
    </w:rPr>
  </w:style>
  <w:style w:type="character" w:customStyle="1" w:styleId="200">
    <w:name w:val="样式 首行缩进:  0 字符 Char"/>
    <w:link w:val="199"/>
    <w:qFormat/>
    <w:uiPriority w:val="0"/>
    <w:rPr>
      <w:rFonts w:ascii="Times New Roman" w:hAnsi="Times New Roman" w:eastAsia="宋体" w:cs="Times New Roman"/>
      <w:kern w:val="2"/>
      <w:sz w:val="21"/>
      <w:szCs w:val="24"/>
    </w:rPr>
  </w:style>
  <w:style w:type="paragraph" w:customStyle="1" w:styleId="201">
    <w:name w:val="表格内正文"/>
    <w:basedOn w:val="20"/>
    <w:qFormat/>
    <w:uiPriority w:val="0"/>
    <w:rPr>
      <w:rFonts w:ascii="Times New Roman" w:hAnsi="Times New Roman"/>
    </w:rPr>
  </w:style>
  <w:style w:type="paragraph" w:customStyle="1" w:styleId="202">
    <w:name w:val="标题1"/>
    <w:basedOn w:val="1"/>
    <w:next w:val="1"/>
    <w:qFormat/>
    <w:uiPriority w:val="0"/>
    <w:pPr>
      <w:adjustRightInd w:val="0"/>
      <w:spacing w:before="240" w:after="60" w:line="420" w:lineRule="atLeast"/>
      <w:jc w:val="center"/>
      <w:textAlignment w:val="baseline"/>
      <w:outlineLvl w:val="0"/>
    </w:pPr>
    <w:rPr>
      <w:rFonts w:ascii="Arial" w:hAnsi="Arial"/>
      <w:b/>
      <w:sz w:val="32"/>
    </w:rPr>
  </w:style>
  <w:style w:type="paragraph" w:customStyle="1" w:styleId="203">
    <w:name w:val="正文格式（小四）"/>
    <w:basedOn w:val="1"/>
    <w:qFormat/>
    <w:uiPriority w:val="0"/>
    <w:pPr>
      <w:widowControl/>
      <w:adjustRightInd w:val="0"/>
      <w:snapToGrid w:val="0"/>
      <w:ind w:firstLine="482"/>
      <w:jc w:val="left"/>
      <w:textAlignment w:val="baseline"/>
    </w:pPr>
    <w:rPr>
      <w:rFonts w:ascii="Times New Roman" w:hAnsi="Times New Roman"/>
      <w:kern w:val="24"/>
    </w:rPr>
  </w:style>
  <w:style w:type="character" w:customStyle="1" w:styleId="204">
    <w:name w:val="明显引用 Char"/>
    <w:qFormat/>
    <w:uiPriority w:val="0"/>
    <w:rPr>
      <w:b/>
      <w:bCs/>
      <w:i/>
      <w:iCs/>
      <w:color w:val="4F81BD"/>
      <w:kern w:val="2"/>
      <w:sz w:val="21"/>
      <w:szCs w:val="22"/>
    </w:rPr>
  </w:style>
  <w:style w:type="paragraph" w:styleId="205">
    <w:name w:val="Intense Quote"/>
    <w:basedOn w:val="1"/>
    <w:next w:val="1"/>
    <w:link w:val="206"/>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206">
    <w:name w:val="明显引用 Char1"/>
    <w:basedOn w:val="50"/>
    <w:link w:val="205"/>
    <w:qFormat/>
    <w:uiPriority w:val="30"/>
    <w:rPr>
      <w:rFonts w:ascii="Calibri" w:hAnsi="Calibri" w:eastAsia="宋体" w:cs="Times New Roman"/>
      <w:b/>
      <w:bCs/>
      <w:i/>
      <w:iCs/>
      <w:color w:val="4F81BD"/>
    </w:rPr>
  </w:style>
  <w:style w:type="character" w:customStyle="1" w:styleId="207">
    <w:name w:val="标题5 Char Char"/>
    <w:link w:val="208"/>
    <w:qFormat/>
    <w:uiPriority w:val="0"/>
    <w:rPr>
      <w:rFonts w:ascii="Arial" w:hAnsi="Arial"/>
      <w:b/>
      <w:bCs/>
      <w:sz w:val="24"/>
      <w:szCs w:val="32"/>
    </w:rPr>
  </w:style>
  <w:style w:type="paragraph" w:customStyle="1" w:styleId="208">
    <w:name w:val="标题5"/>
    <w:basedOn w:val="4"/>
    <w:link w:val="207"/>
    <w:qFormat/>
    <w:uiPriority w:val="0"/>
    <w:pPr>
      <w:widowControl w:val="0"/>
      <w:tabs>
        <w:tab w:val="clear" w:pos="720"/>
      </w:tabs>
      <w:spacing w:before="260" w:after="260" w:line="413" w:lineRule="auto"/>
      <w:jc w:val="both"/>
    </w:pPr>
    <w:rPr>
      <w:rFonts w:ascii="Arial" w:hAnsi="Arial" w:eastAsiaTheme="minorEastAsia" w:cstheme="minorBidi"/>
      <w:bCs/>
      <w:kern w:val="2"/>
      <w:sz w:val="24"/>
      <w:szCs w:val="32"/>
    </w:rPr>
  </w:style>
  <w:style w:type="character" w:customStyle="1" w:styleId="209">
    <w:name w:val="普通文字 Char1"/>
    <w:basedOn w:val="50"/>
    <w:qFormat/>
    <w:uiPriority w:val="0"/>
    <w:rPr>
      <w:rFonts w:ascii="宋体" w:hAnsi="Courier New" w:eastAsia="宋体"/>
      <w:kern w:val="2"/>
      <w:sz w:val="21"/>
      <w:szCs w:val="24"/>
      <w:lang w:val="en-US" w:eastAsia="zh-CN" w:bidi="ar-SA"/>
    </w:rPr>
  </w:style>
  <w:style w:type="character" w:customStyle="1" w:styleId="210">
    <w:name w:val="二 Char1"/>
    <w:qFormat/>
    <w:uiPriority w:val="0"/>
    <w:rPr>
      <w:rFonts w:eastAsia="宋体"/>
      <w:kern w:val="2"/>
      <w:sz w:val="21"/>
      <w:szCs w:val="24"/>
      <w:lang w:val="en-US" w:eastAsia="zh-CN" w:bidi="ar-SA"/>
    </w:rPr>
  </w:style>
  <w:style w:type="character" w:customStyle="1" w:styleId="211">
    <w:name w:val="二 Char11"/>
    <w:qFormat/>
    <w:uiPriority w:val="0"/>
    <w:rPr>
      <w:rFonts w:eastAsia="宋体"/>
      <w:kern w:val="2"/>
      <w:sz w:val="21"/>
      <w:szCs w:val="24"/>
      <w:lang w:val="en-US" w:eastAsia="zh-CN" w:bidi="ar-SA"/>
    </w:rPr>
  </w:style>
  <w:style w:type="character" w:customStyle="1" w:styleId="212">
    <w:name w:val="Char Char1"/>
    <w:basedOn w:val="50"/>
    <w:qFormat/>
    <w:uiPriority w:val="0"/>
    <w:rPr>
      <w:rFonts w:ascii="Arial" w:hAnsi="Arial" w:eastAsia="黑体"/>
      <w:b/>
      <w:bCs/>
      <w:kern w:val="2"/>
      <w:sz w:val="32"/>
      <w:szCs w:val="32"/>
      <w:lang w:val="en-US" w:eastAsia="zh-CN" w:bidi="ar-SA"/>
    </w:rPr>
  </w:style>
  <w:style w:type="character" w:customStyle="1" w:styleId="213">
    <w:name w:val="引用 Char"/>
    <w:qFormat/>
    <w:uiPriority w:val="0"/>
    <w:rPr>
      <w:i/>
      <w:iCs/>
      <w:color w:val="000000"/>
      <w:kern w:val="2"/>
      <w:sz w:val="21"/>
      <w:szCs w:val="22"/>
    </w:rPr>
  </w:style>
  <w:style w:type="paragraph" w:styleId="214">
    <w:name w:val="Quote"/>
    <w:basedOn w:val="1"/>
    <w:next w:val="1"/>
    <w:link w:val="215"/>
    <w:qFormat/>
    <w:uiPriority w:val="0"/>
    <w:rPr>
      <w:rFonts w:ascii="Calibri" w:hAnsi="Calibri"/>
      <w:i/>
      <w:iCs/>
      <w:color w:val="000000"/>
      <w:szCs w:val="22"/>
    </w:rPr>
  </w:style>
  <w:style w:type="character" w:customStyle="1" w:styleId="215">
    <w:name w:val="引用 Char1"/>
    <w:basedOn w:val="50"/>
    <w:link w:val="214"/>
    <w:qFormat/>
    <w:uiPriority w:val="29"/>
    <w:rPr>
      <w:rFonts w:ascii="Calibri" w:hAnsi="Calibri" w:eastAsia="宋体" w:cs="Times New Roman"/>
      <w:i/>
      <w:iCs/>
      <w:color w:val="000000"/>
    </w:rPr>
  </w:style>
  <w:style w:type="character" w:customStyle="1" w:styleId="216">
    <w:name w:val="font161"/>
    <w:basedOn w:val="50"/>
    <w:qFormat/>
    <w:uiPriority w:val="0"/>
    <w:rPr>
      <w:b/>
      <w:bCs/>
      <w:sz w:val="32"/>
      <w:szCs w:val="32"/>
    </w:rPr>
  </w:style>
  <w:style w:type="character" w:customStyle="1" w:styleId="217">
    <w:name w:val="fx_label"/>
    <w:basedOn w:val="50"/>
    <w:qFormat/>
    <w:uiPriority w:val="0"/>
  </w:style>
  <w:style w:type="character" w:customStyle="1" w:styleId="218">
    <w:name w:val="正文文字4 Char Char"/>
    <w:qFormat/>
    <w:uiPriority w:val="0"/>
    <w:rPr>
      <w:rFonts w:eastAsia="宋体"/>
      <w:kern w:val="2"/>
      <w:sz w:val="21"/>
      <w:szCs w:val="24"/>
      <w:lang w:val="en-US" w:eastAsia="zh-CN" w:bidi="ar-SA"/>
    </w:rPr>
  </w:style>
  <w:style w:type="character" w:customStyle="1" w:styleId="219">
    <w:name w:val="htd01"/>
    <w:basedOn w:val="50"/>
    <w:qFormat/>
    <w:uiPriority w:val="0"/>
  </w:style>
  <w:style w:type="character" w:customStyle="1" w:styleId="220">
    <w:name w:val="标题4 Char Char"/>
    <w:link w:val="221"/>
    <w:qFormat/>
    <w:uiPriority w:val="0"/>
    <w:rPr>
      <w:rFonts w:eastAsia="仿宋_GB2312"/>
      <w:sz w:val="32"/>
    </w:rPr>
  </w:style>
  <w:style w:type="paragraph" w:customStyle="1" w:styleId="221">
    <w:name w:val="标题4"/>
    <w:basedOn w:val="1"/>
    <w:link w:val="220"/>
    <w:qFormat/>
    <w:uiPriority w:val="0"/>
    <w:rPr>
      <w:rFonts w:eastAsia="仿宋_GB2312" w:asciiTheme="minorHAnsi" w:hAnsiTheme="minorHAnsi" w:cstheme="minorBidi"/>
      <w:sz w:val="32"/>
      <w:szCs w:val="22"/>
    </w:rPr>
  </w:style>
  <w:style w:type="character" w:customStyle="1" w:styleId="222">
    <w:name w:val="副标题 Char1"/>
    <w:basedOn w:val="50"/>
    <w:qFormat/>
    <w:uiPriority w:val="11"/>
    <w:rPr>
      <w:rFonts w:ascii="Cambria" w:hAnsi="Cambria" w:eastAsia="宋体" w:cs="Times New Roman"/>
      <w:b/>
      <w:bCs/>
      <w:kern w:val="28"/>
      <w:sz w:val="32"/>
      <w:szCs w:val="32"/>
    </w:rPr>
  </w:style>
  <w:style w:type="character" w:customStyle="1" w:styleId="223">
    <w:name w:val="Char Char28"/>
    <w:qFormat/>
    <w:uiPriority w:val="0"/>
    <w:rPr>
      <w:rFonts w:ascii="Arial" w:hAnsi="Arial" w:eastAsia="黑体"/>
      <w:b/>
      <w:bCs/>
      <w:sz w:val="32"/>
      <w:szCs w:val="32"/>
      <w:lang w:val="en-US" w:eastAsia="zh-CN" w:bidi="ar-SA"/>
    </w:rPr>
  </w:style>
  <w:style w:type="paragraph" w:customStyle="1" w:styleId="224">
    <w:name w:val="正文 + 宋体"/>
    <w:basedOn w:val="1"/>
    <w:qFormat/>
    <w:uiPriority w:val="0"/>
    <w:pPr>
      <w:spacing w:line="360" w:lineRule="auto"/>
    </w:pPr>
    <w:rPr>
      <w:rFonts w:ascii="宋体" w:hAnsi="宋体"/>
      <w:kern w:val="0"/>
      <w:sz w:val="28"/>
      <w:szCs w:val="28"/>
    </w:rPr>
  </w:style>
  <w:style w:type="paragraph" w:customStyle="1" w:styleId="225">
    <w:name w:val="_Style 164"/>
    <w:basedOn w:val="1"/>
    <w:qFormat/>
    <w:uiPriority w:val="0"/>
    <w:pPr>
      <w:widowControl/>
      <w:spacing w:line="360" w:lineRule="auto"/>
      <w:ind w:firstLine="200" w:firstLineChars="200"/>
    </w:pPr>
    <w:rPr>
      <w:rFonts w:ascii="Tahoma" w:hAnsi="Tahoma" w:cs="Arial"/>
      <w:sz w:val="24"/>
      <w:szCs w:val="20"/>
    </w:rPr>
  </w:style>
  <w:style w:type="paragraph" w:customStyle="1" w:styleId="226">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227">
    <w:name w:val="样式 标题 3 + 段前: 7.8 磅"/>
    <w:basedOn w:val="4"/>
    <w:qFormat/>
    <w:uiPriority w:val="0"/>
    <w:pPr>
      <w:keepNext w:val="0"/>
      <w:keepLines w:val="0"/>
      <w:widowControl w:val="0"/>
      <w:tabs>
        <w:tab w:val="clear" w:pos="720"/>
      </w:tabs>
      <w:spacing w:before="156" w:after="0"/>
      <w:ind w:left="2220" w:hanging="420"/>
      <w:jc w:val="both"/>
    </w:pPr>
    <w:rPr>
      <w:rFonts w:eastAsia="宋体" w:cs="宋体"/>
      <w:b w:val="0"/>
      <w:kern w:val="2"/>
      <w:sz w:val="24"/>
      <w:szCs w:val="20"/>
    </w:rPr>
  </w:style>
  <w:style w:type="paragraph" w:customStyle="1" w:styleId="228">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29">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230">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231">
    <w:name w:val="样式 标题 3 + Arial"/>
    <w:basedOn w:val="4"/>
    <w:qFormat/>
    <w:uiPriority w:val="0"/>
    <w:pPr>
      <w:widowControl w:val="0"/>
      <w:tabs>
        <w:tab w:val="clear" w:pos="720"/>
      </w:tabs>
      <w:spacing w:beforeLines="100" w:after="0"/>
      <w:jc w:val="both"/>
    </w:pPr>
    <w:rPr>
      <w:rFonts w:ascii="Arial" w:hAnsi="Arial" w:eastAsia="宋体"/>
      <w:bCs/>
      <w:kern w:val="2"/>
      <w:sz w:val="24"/>
      <w:szCs w:val="32"/>
    </w:rPr>
  </w:style>
  <w:style w:type="paragraph" w:customStyle="1" w:styleId="232">
    <w:name w:val="样式 标题 3 + (中文) 黑体 小四 非加粗 段前: 7.8 磅 段后: 0 磅 行距: 固定值 20 磅"/>
    <w:basedOn w:val="4"/>
    <w:qFormat/>
    <w:uiPriority w:val="0"/>
    <w:pPr>
      <w:widowControl w:val="0"/>
      <w:tabs>
        <w:tab w:val="clear" w:pos="720"/>
      </w:tabs>
      <w:spacing w:before="0" w:after="0" w:line="400" w:lineRule="exact"/>
      <w:jc w:val="both"/>
    </w:pPr>
    <w:rPr>
      <w:rFonts w:eastAsia="黑体" w:cs="宋体"/>
      <w:b w:val="0"/>
      <w:kern w:val="2"/>
      <w:sz w:val="24"/>
      <w:szCs w:val="20"/>
    </w:rPr>
  </w:style>
  <w:style w:type="paragraph" w:customStyle="1" w:styleId="233">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34">
    <w:name w:val="表格"/>
    <w:basedOn w:val="1"/>
    <w:qFormat/>
    <w:uiPriority w:val="0"/>
    <w:pPr>
      <w:jc w:val="center"/>
      <w:textAlignment w:val="center"/>
    </w:pPr>
    <w:rPr>
      <w:rFonts w:ascii="华文细黑" w:hAnsi="华文细黑"/>
      <w:kern w:val="0"/>
      <w:szCs w:val="20"/>
    </w:rPr>
  </w:style>
  <w:style w:type="paragraph" w:customStyle="1" w:styleId="235">
    <w:name w:val="样式 样式 样式1 + 首行缩进:  2 字符 + 左侧:  0.74 厘米"/>
    <w:basedOn w:val="226"/>
    <w:qFormat/>
    <w:uiPriority w:val="0"/>
    <w:pPr>
      <w:ind w:firstLine="200"/>
    </w:pPr>
  </w:style>
  <w:style w:type="paragraph" w:customStyle="1" w:styleId="236">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237">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238">
    <w:name w:val="Char2"/>
    <w:basedOn w:val="1"/>
    <w:qFormat/>
    <w:uiPriority w:val="0"/>
    <w:rPr>
      <w:rFonts w:ascii="仿宋_GB2312" w:hAnsi="Times New Roman" w:eastAsia="仿宋_GB2312"/>
      <w:b/>
      <w:sz w:val="32"/>
      <w:szCs w:val="32"/>
    </w:rPr>
  </w:style>
  <w:style w:type="paragraph" w:customStyle="1" w:styleId="239">
    <w:name w:val="列出段落4"/>
    <w:basedOn w:val="1"/>
    <w:qFormat/>
    <w:uiPriority w:val="99"/>
    <w:pPr>
      <w:ind w:firstLine="420" w:firstLineChars="200"/>
    </w:pPr>
    <w:rPr>
      <w:rFonts w:ascii="Times New Roman" w:hAnsi="Times New Roman"/>
    </w:rPr>
  </w:style>
  <w:style w:type="character" w:customStyle="1" w:styleId="240">
    <w:name w:val="font31"/>
    <w:basedOn w:val="50"/>
    <w:qFormat/>
    <w:uiPriority w:val="0"/>
    <w:rPr>
      <w:rFonts w:hint="eastAsia" w:ascii="宋体" w:hAnsi="宋体" w:eastAsia="宋体" w:cs="宋体"/>
      <w:color w:val="000000"/>
      <w:sz w:val="20"/>
      <w:szCs w:val="20"/>
      <w:u w:val="none"/>
    </w:rPr>
  </w:style>
  <w:style w:type="character" w:customStyle="1" w:styleId="241">
    <w:name w:val="font41"/>
    <w:basedOn w:val="50"/>
    <w:qFormat/>
    <w:uiPriority w:val="0"/>
    <w:rPr>
      <w:rFonts w:ascii="宋体" w:hAnsi="宋体" w:eastAsia="宋体" w:cs="宋体"/>
      <w:color w:val="000000"/>
      <w:sz w:val="20"/>
      <w:szCs w:val="20"/>
      <w:u w:val="none"/>
    </w:rPr>
  </w:style>
  <w:style w:type="character" w:customStyle="1" w:styleId="242">
    <w:name w:val="font51"/>
    <w:basedOn w:val="50"/>
    <w:qFormat/>
    <w:uiPriority w:val="0"/>
    <w:rPr>
      <w:rFonts w:hint="default" w:ascii="Times New Roman" w:hAnsi="Times New Roman" w:cs="Times New Roman"/>
      <w:color w:val="000000"/>
      <w:sz w:val="21"/>
      <w:szCs w:val="21"/>
      <w:u w:val="none"/>
    </w:rPr>
  </w:style>
  <w:style w:type="character" w:customStyle="1" w:styleId="243">
    <w:name w:val="font71"/>
    <w:basedOn w:val="50"/>
    <w:qFormat/>
    <w:uiPriority w:val="0"/>
    <w:rPr>
      <w:rFonts w:ascii="宋体" w:hAnsi="宋体" w:eastAsia="宋体" w:cs="宋体"/>
      <w:color w:val="000000"/>
      <w:sz w:val="21"/>
      <w:szCs w:val="21"/>
      <w:u w:val="none"/>
    </w:rPr>
  </w:style>
  <w:style w:type="character" w:customStyle="1" w:styleId="244">
    <w:name w:val="font61"/>
    <w:basedOn w:val="50"/>
    <w:qFormat/>
    <w:uiPriority w:val="0"/>
    <w:rPr>
      <w:rFonts w:ascii="宋体" w:hAnsi="宋体" w:eastAsia="宋体" w:cs="宋体"/>
      <w:color w:val="000000"/>
      <w:sz w:val="20"/>
      <w:szCs w:val="20"/>
      <w:u w:val="none"/>
    </w:rPr>
  </w:style>
  <w:style w:type="character" w:customStyle="1" w:styleId="245">
    <w:name w:val="font21"/>
    <w:basedOn w:val="50"/>
    <w:qFormat/>
    <w:uiPriority w:val="0"/>
    <w:rPr>
      <w:rFonts w:hint="default" w:ascii="Times New Roman" w:hAnsi="Times New Roman" w:cs="Times New Roman"/>
      <w:color w:val="000000"/>
      <w:sz w:val="21"/>
      <w:szCs w:val="21"/>
      <w:u w:val="none"/>
    </w:rPr>
  </w:style>
  <w:style w:type="character" w:customStyle="1" w:styleId="246">
    <w:name w:val="NormalCharacter"/>
    <w:qFormat/>
    <w:uiPriority w:val="0"/>
    <w:rPr>
      <w:rFonts w:ascii="Calibri" w:hAnsi="Calibri" w:eastAsia="宋体" w:cs="Times New Roman"/>
      <w:kern w:val="2"/>
      <w:sz w:val="21"/>
      <w:szCs w:val="24"/>
      <w:lang w:val="en-US" w:eastAsia="zh-CN" w:bidi="ar-SA"/>
    </w:rPr>
  </w:style>
  <w:style w:type="paragraph" w:customStyle="1" w:styleId="247">
    <w:name w:val="Table Paragraph"/>
    <w:basedOn w:val="1"/>
    <w:qFormat/>
    <w:uiPriority w:val="1"/>
    <w:rPr>
      <w:rFonts w:ascii="Times New Roman" w:hAnsi="Times New Roman"/>
      <w:szCs w:val="21"/>
    </w:rPr>
  </w:style>
  <w:style w:type="paragraph" w:customStyle="1" w:styleId="248">
    <w:name w:val="正文-MINE"/>
    <w:basedOn w:val="1"/>
    <w:qFormat/>
    <w:uiPriority w:val="0"/>
    <w:pPr>
      <w:adjustRightInd w:val="0"/>
      <w:snapToGrid w:val="0"/>
      <w:spacing w:beforeLines="50" w:afterLines="50"/>
      <w:ind w:firstLine="482"/>
    </w:pPr>
    <w:rPr>
      <w:rFonts w:ascii="微软雅黑" w:hAnsi="微软雅黑" w:eastAsia="微软雅黑"/>
      <w:szCs w:val="21"/>
    </w:rPr>
  </w:style>
  <w:style w:type="character" w:customStyle="1" w:styleId="249">
    <w:name w:val="Page Number1"/>
    <w:qFormat/>
    <w:uiPriority w:val="99"/>
    <w:rPr>
      <w:rFonts w:ascii="仿宋_GB2312" w:cs="Times New Roman"/>
      <w:b/>
      <w:kern w:val="0"/>
      <w:sz w:val="32"/>
      <w:szCs w:val="32"/>
    </w:rPr>
  </w:style>
  <w:style w:type="paragraph" w:customStyle="1" w:styleId="250">
    <w:name w:val="Char Char Char Char Char Char Char"/>
    <w:basedOn w:val="1"/>
    <w:qFormat/>
    <w:uiPriority w:val="0"/>
    <w:rPr>
      <w:szCs w:val="20"/>
    </w:rPr>
  </w:style>
  <w:style w:type="character" w:customStyle="1" w:styleId="251">
    <w:name w:val="正文文本缩进 2 字符"/>
    <w:qFormat/>
    <w:uiPriority w:val="0"/>
    <w:rPr>
      <w:rFonts w:ascii="宋体"/>
      <w:sz w:val="24"/>
    </w:rPr>
  </w:style>
  <w:style w:type="character" w:customStyle="1" w:styleId="252">
    <w:name w:val="列表段落 字符2"/>
    <w:link w:val="253"/>
    <w:qFormat/>
    <w:uiPriority w:val="34"/>
    <w:rPr>
      <w:szCs w:val="24"/>
    </w:rPr>
  </w:style>
  <w:style w:type="paragraph" w:customStyle="1" w:styleId="253">
    <w:name w:val="_Style 240"/>
    <w:basedOn w:val="1"/>
    <w:next w:val="112"/>
    <w:link w:val="252"/>
    <w:qFormat/>
    <w:uiPriority w:val="34"/>
    <w:pPr>
      <w:ind w:firstLine="420" w:firstLineChars="200"/>
    </w:pPr>
    <w:rPr>
      <w:rFonts w:asciiTheme="minorHAnsi" w:hAnsiTheme="minorHAnsi" w:eastAsiaTheme="minorEastAsia" w:cstheme="minorBidi"/>
    </w:rPr>
  </w:style>
  <w:style w:type="paragraph" w:customStyle="1" w:styleId="254">
    <w:name w:val="缩进"/>
    <w:basedOn w:val="1"/>
    <w:next w:val="1"/>
    <w:qFormat/>
    <w:uiPriority w:val="0"/>
    <w:pPr>
      <w:autoSpaceDE w:val="0"/>
      <w:autoSpaceDN w:val="0"/>
      <w:adjustRightInd w:val="0"/>
      <w:snapToGrid w:val="0"/>
      <w:spacing w:line="360" w:lineRule="auto"/>
      <w:ind w:firstLine="200" w:firstLineChars="200"/>
      <w:jc w:val="left"/>
    </w:pPr>
    <w:rPr>
      <w:rFonts w:ascii="Calibri" w:hAnsi="Calibri"/>
      <w:snapToGrid w:val="0"/>
      <w:kern w:val="0"/>
      <w:sz w:val="24"/>
      <w:szCs w:val="21"/>
    </w:rPr>
  </w:style>
  <w:style w:type="paragraph" w:customStyle="1" w:styleId="255">
    <w:name w:val="列出段落6"/>
    <w:basedOn w:val="1"/>
    <w:unhideWhenUsed/>
    <w:qFormat/>
    <w:uiPriority w:val="99"/>
    <w:pPr>
      <w:autoSpaceDE w:val="0"/>
      <w:autoSpaceDN w:val="0"/>
      <w:adjustRightInd w:val="0"/>
      <w:snapToGrid w:val="0"/>
      <w:spacing w:line="360" w:lineRule="auto"/>
      <w:ind w:firstLine="420" w:firstLineChars="200"/>
      <w:jc w:val="left"/>
    </w:pPr>
    <w:rPr>
      <w:rFonts w:ascii="Calibri" w:hAnsi="Calibri"/>
      <w:snapToGrid w:val="0"/>
      <w:kern w:val="0"/>
      <w:sz w:val="24"/>
      <w:szCs w:val="21"/>
    </w:rPr>
  </w:style>
  <w:style w:type="paragraph" w:customStyle="1" w:styleId="256">
    <w:name w:val="Char Char11"/>
    <w:basedOn w:val="1"/>
    <w:qFormat/>
    <w:uiPriority w:val="0"/>
    <w:rPr>
      <w:rFonts w:ascii="Tahoma" w:hAnsi="Tahoma"/>
      <w:kern w:val="0"/>
      <w:sz w:val="24"/>
      <w:szCs w:val="20"/>
    </w:rPr>
  </w:style>
  <w:style w:type="paragraph" w:customStyle="1" w:styleId="257">
    <w:name w:val="纯文本2"/>
    <w:basedOn w:val="1"/>
    <w:qFormat/>
    <w:uiPriority w:val="0"/>
    <w:pPr>
      <w:adjustRightInd w:val="0"/>
      <w:spacing w:line="360" w:lineRule="atLeast"/>
      <w:jc w:val="left"/>
    </w:pPr>
    <w:rPr>
      <w:rFonts w:ascii="宋体" w:hAnsi="Courier New"/>
      <w:kern w:val="0"/>
      <w:szCs w:val="21"/>
    </w:rPr>
  </w:style>
  <w:style w:type="paragraph" w:customStyle="1" w:styleId="258">
    <w:name w:val="样式 样式 样式 标题 2 + 两端对齐 段前: 18 磅 + 首行缩进:  2 字符 + 首行缩进:  2 字符 段后: 0..."/>
    <w:basedOn w:val="1"/>
    <w:qFormat/>
    <w:uiPriority w:val="0"/>
    <w:pPr>
      <w:spacing w:afterLines="50" w:line="360" w:lineRule="auto"/>
    </w:pPr>
    <w:rPr>
      <w:rFonts w:cs="宋体"/>
      <w:b/>
      <w:bCs/>
      <w:sz w:val="24"/>
      <w:szCs w:val="20"/>
    </w:rPr>
  </w:style>
  <w:style w:type="paragraph" w:customStyle="1" w:styleId="259">
    <w:name w:val="标准正文"/>
    <w:basedOn w:val="1"/>
    <w:qFormat/>
    <w:uiPriority w:val="0"/>
    <w:pPr>
      <w:spacing w:line="360" w:lineRule="auto"/>
      <w:ind w:firstLine="200" w:firstLineChars="200"/>
    </w:pPr>
    <w:rPr>
      <w:rFonts w:ascii="宋体" w:hAnsi="Courier New"/>
      <w:kern w:val="0"/>
      <w:sz w:val="24"/>
      <w:szCs w:val="32"/>
    </w:rPr>
  </w:style>
  <w:style w:type="character" w:customStyle="1" w:styleId="260">
    <w:name w:val="font01"/>
    <w:basedOn w:val="50"/>
    <w:qFormat/>
    <w:uiPriority w:val="0"/>
    <w:rPr>
      <w:rFonts w:hint="eastAsia" w:ascii="宋体" w:hAnsi="宋体" w:eastAsia="宋体" w:cs="宋体"/>
      <w:color w:val="FF0000"/>
      <w:sz w:val="20"/>
      <w:szCs w:val="20"/>
      <w:u w:val="none"/>
    </w:rPr>
  </w:style>
  <w:style w:type="paragraph" w:customStyle="1" w:styleId="261">
    <w:name w:val="正文首行缩进 21"/>
    <w:qFormat/>
    <w:uiPriority w:val="0"/>
    <w:pPr>
      <w:ind w:firstLine="420"/>
    </w:pPr>
    <w:rPr>
      <w:rFonts w:ascii="Times New Roman" w:hAnsi="Times New Roman" w:eastAsia="Times New Roman" w:cs="Times New Roman"/>
      <w:sz w:val="21"/>
      <w:szCs w:val="22"/>
      <w:lang w:val="en-US" w:eastAsia="zh-CN" w:bidi="ar-SA"/>
    </w:rPr>
  </w:style>
  <w:style w:type="character" w:customStyle="1" w:styleId="262">
    <w:name w:val="页眉 字符1"/>
    <w:qFormat/>
    <w:uiPriority w:val="0"/>
    <w:rPr>
      <w:kern w:val="2"/>
      <w:sz w:val="18"/>
      <w:szCs w:val="18"/>
    </w:rPr>
  </w:style>
  <w:style w:type="character" w:customStyle="1" w:styleId="263">
    <w:name w:val="标题 字符1"/>
    <w:qFormat/>
    <w:uiPriority w:val="0"/>
    <w:rPr>
      <w:rFonts w:ascii="Cambria" w:hAnsi="Cambria"/>
      <w:b/>
      <w:bCs/>
      <w:kern w:val="2"/>
      <w:sz w:val="32"/>
      <w:szCs w:val="32"/>
    </w:rPr>
  </w:style>
  <w:style w:type="character" w:customStyle="1" w:styleId="264">
    <w:name w:val="标题 2 字符1"/>
    <w:link w:val="265"/>
    <w:qFormat/>
    <w:uiPriority w:val="0"/>
    <w:rPr>
      <w:rFonts w:ascii="Arial" w:hAnsi="Arial" w:eastAsia="黑体"/>
      <w:bCs/>
      <w:kern w:val="2"/>
      <w:sz w:val="36"/>
      <w:szCs w:val="36"/>
    </w:rPr>
  </w:style>
  <w:style w:type="paragraph" w:customStyle="1" w:styleId="265">
    <w:name w:val="标题 21"/>
    <w:basedOn w:val="1"/>
    <w:next w:val="1"/>
    <w:link w:val="264"/>
    <w:qFormat/>
    <w:uiPriority w:val="0"/>
    <w:pPr>
      <w:spacing w:before="240" w:after="120" w:line="360" w:lineRule="auto"/>
      <w:jc w:val="left"/>
      <w:outlineLvl w:val="1"/>
    </w:pPr>
    <w:rPr>
      <w:rFonts w:ascii="Arial" w:hAnsi="Arial" w:eastAsia="黑体" w:cstheme="minorBidi"/>
      <w:bCs/>
      <w:sz w:val="36"/>
      <w:szCs w:val="36"/>
    </w:rPr>
  </w:style>
  <w:style w:type="paragraph" w:customStyle="1" w:styleId="266">
    <w:name w:val="编号，小四"/>
    <w:basedOn w:val="267"/>
    <w:qFormat/>
    <w:uiPriority w:val="0"/>
    <w:pPr>
      <w:numPr>
        <w:ilvl w:val="0"/>
        <w:numId w:val="3"/>
      </w:numPr>
      <w:ind w:firstLine="0" w:firstLineChars="0"/>
    </w:pPr>
    <w:rPr>
      <w:sz w:val="24"/>
    </w:rPr>
  </w:style>
  <w:style w:type="paragraph" w:customStyle="1" w:styleId="267">
    <w:name w:val="正文四号"/>
    <w:basedOn w:val="1"/>
    <w:link w:val="268"/>
    <w:qFormat/>
    <w:uiPriority w:val="0"/>
    <w:pPr>
      <w:spacing w:line="360" w:lineRule="auto"/>
      <w:ind w:firstLine="200" w:firstLineChars="200"/>
    </w:pPr>
    <w:rPr>
      <w:rFonts w:ascii="Times New Roman" w:hAnsi="Times New Roman" w:cs="宋体"/>
      <w:sz w:val="28"/>
      <w:szCs w:val="20"/>
    </w:rPr>
  </w:style>
  <w:style w:type="character" w:customStyle="1" w:styleId="268">
    <w:name w:val="正文四号 Char"/>
    <w:link w:val="267"/>
    <w:qFormat/>
    <w:locked/>
    <w:uiPriority w:val="0"/>
    <w:rPr>
      <w:rFonts w:ascii="Times New Roman" w:hAnsi="Times New Roman" w:eastAsia="宋体" w:cs="宋体"/>
      <w:kern w:val="2"/>
      <w:sz w:val="28"/>
    </w:rPr>
  </w:style>
  <w:style w:type="paragraph" w:customStyle="1" w:styleId="269">
    <w:name w:val="编号，四号"/>
    <w:basedOn w:val="266"/>
    <w:qFormat/>
    <w:uiPriority w:val="0"/>
    <w:pPr>
      <w:numPr>
        <w:ilvl w:val="0"/>
        <w:numId w:val="4"/>
      </w:numPr>
    </w:pPr>
    <w:rPr>
      <w:sz w:val="28"/>
    </w:rPr>
  </w:style>
  <w:style w:type="paragraph" w:customStyle="1" w:styleId="270">
    <w:name w:val="表格表头"/>
    <w:basedOn w:val="1"/>
    <w:qFormat/>
    <w:uiPriority w:val="0"/>
    <w:pPr>
      <w:spacing w:line="360" w:lineRule="auto"/>
      <w:jc w:val="center"/>
    </w:pPr>
    <w:rPr>
      <w:rFonts w:ascii="宋体" w:hAnsi="宋体" w:eastAsia="黑体"/>
      <w:sz w:val="24"/>
      <w:szCs w:val="21"/>
    </w:rPr>
  </w:style>
  <w:style w:type="paragraph" w:customStyle="1" w:styleId="271">
    <w:name w:val="表格正文"/>
    <w:basedOn w:val="1"/>
    <w:link w:val="272"/>
    <w:qFormat/>
    <w:uiPriority w:val="0"/>
    <w:pPr>
      <w:spacing w:line="360" w:lineRule="auto"/>
      <w:ind w:firstLine="200" w:firstLineChars="200"/>
      <w:jc w:val="left"/>
    </w:pPr>
    <w:rPr>
      <w:rFonts w:ascii="Times New Roman" w:hAnsi="Times New Roman"/>
    </w:rPr>
  </w:style>
  <w:style w:type="character" w:customStyle="1" w:styleId="272">
    <w:name w:val="表格正文 Char"/>
    <w:link w:val="271"/>
    <w:qFormat/>
    <w:uiPriority w:val="0"/>
    <w:rPr>
      <w:rFonts w:ascii="Times New Roman" w:hAnsi="Times New Roman" w:eastAsia="宋体" w:cs="Times New Roman"/>
      <w:kern w:val="2"/>
      <w:sz w:val="21"/>
      <w:szCs w:val="24"/>
    </w:rPr>
  </w:style>
  <w:style w:type="paragraph" w:customStyle="1" w:styleId="273">
    <w:name w:val="表1"/>
    <w:basedOn w:val="1"/>
    <w:qFormat/>
    <w:uiPriority w:val="0"/>
    <w:pPr>
      <w:numPr>
        <w:ilvl w:val="0"/>
        <w:numId w:val="5"/>
      </w:numPr>
      <w:spacing w:line="360" w:lineRule="auto"/>
      <w:jc w:val="center"/>
    </w:pPr>
    <w:rPr>
      <w:rFonts w:ascii="Times New Roman" w:hAnsi="Times New Roman"/>
    </w:rPr>
  </w:style>
  <w:style w:type="paragraph" w:customStyle="1" w:styleId="274">
    <w:name w:val="CM51"/>
    <w:basedOn w:val="105"/>
    <w:next w:val="105"/>
    <w:qFormat/>
    <w:uiPriority w:val="0"/>
    <w:pPr>
      <w:spacing w:after="103"/>
    </w:pPr>
    <w:rPr>
      <w:rFonts w:ascii="黑体" w:hAnsi="Calibri" w:eastAsia="黑体" w:cs="Times New Roman"/>
      <w:color w:val="auto"/>
    </w:rPr>
  </w:style>
  <w:style w:type="character" w:customStyle="1" w:styleId="275">
    <w:name w:val="*正文 Char Char"/>
    <w:qFormat/>
    <w:uiPriority w:val="0"/>
    <w:rPr>
      <w:rFonts w:ascii="仿宋_GB2312" w:eastAsia="仿宋_GB2312"/>
      <w:kern w:val="2"/>
      <w:sz w:val="24"/>
      <w:szCs w:val="28"/>
    </w:rPr>
  </w:style>
  <w:style w:type="paragraph" w:customStyle="1" w:styleId="276">
    <w:name w:val="paragraph1"/>
    <w:basedOn w:val="1"/>
    <w:link w:val="277"/>
    <w:qFormat/>
    <w:uiPriority w:val="0"/>
    <w:pPr>
      <w:spacing w:afterLines="30" w:line="360" w:lineRule="auto"/>
      <w:ind w:firstLine="480" w:firstLineChars="200"/>
    </w:pPr>
    <w:rPr>
      <w:rFonts w:ascii="Verdana" w:hAnsi="Verdana"/>
      <w:sz w:val="24"/>
      <w:lang w:eastAsia="en-US"/>
    </w:rPr>
  </w:style>
  <w:style w:type="character" w:customStyle="1" w:styleId="277">
    <w:name w:val="paragraph1 Char"/>
    <w:link w:val="276"/>
    <w:qFormat/>
    <w:uiPriority w:val="0"/>
    <w:rPr>
      <w:rFonts w:ascii="Verdana" w:hAnsi="Verdana" w:eastAsia="宋体" w:cs="Times New Roman"/>
      <w:kern w:val="2"/>
      <w:sz w:val="24"/>
      <w:szCs w:val="24"/>
      <w:lang w:eastAsia="en-US"/>
    </w:rPr>
  </w:style>
  <w:style w:type="paragraph" w:customStyle="1" w:styleId="278">
    <w:name w:val="number1"/>
    <w:basedOn w:val="1"/>
    <w:link w:val="279"/>
    <w:qFormat/>
    <w:uiPriority w:val="0"/>
    <w:pPr>
      <w:tabs>
        <w:tab w:val="left" w:pos="840"/>
      </w:tabs>
      <w:spacing w:afterLines="30" w:line="360" w:lineRule="auto"/>
      <w:ind w:left="840" w:hanging="420"/>
    </w:pPr>
    <w:rPr>
      <w:rFonts w:ascii="Verdana" w:hAnsi="Verdana"/>
      <w:sz w:val="24"/>
      <w:lang w:eastAsia="en-US"/>
    </w:rPr>
  </w:style>
  <w:style w:type="character" w:customStyle="1" w:styleId="279">
    <w:name w:val="number1 Char"/>
    <w:link w:val="278"/>
    <w:qFormat/>
    <w:uiPriority w:val="0"/>
    <w:rPr>
      <w:rFonts w:ascii="Verdana" w:hAnsi="Verdana" w:eastAsia="宋体" w:cs="Times New Roman"/>
      <w:kern w:val="2"/>
      <w:sz w:val="24"/>
      <w:szCs w:val="24"/>
      <w:lang w:eastAsia="en-US"/>
    </w:rPr>
  </w:style>
  <w:style w:type="paragraph" w:customStyle="1" w:styleId="280">
    <w:name w:val="number"/>
    <w:basedOn w:val="1"/>
    <w:qFormat/>
    <w:uiPriority w:val="99"/>
    <w:pPr>
      <w:tabs>
        <w:tab w:val="left" w:pos="360"/>
      </w:tabs>
      <w:spacing w:beforeLines="20" w:afterLines="30" w:line="360" w:lineRule="auto"/>
    </w:pPr>
    <w:rPr>
      <w:rFonts w:ascii="Arial" w:hAnsi="Arial"/>
      <w:sz w:val="24"/>
    </w:rPr>
  </w:style>
  <w:style w:type="paragraph" w:customStyle="1" w:styleId="281">
    <w:name w:val="样式 number1 + (符号) 宋体"/>
    <w:basedOn w:val="278"/>
    <w:link w:val="282"/>
    <w:qFormat/>
    <w:uiPriority w:val="0"/>
    <w:pPr>
      <w:tabs>
        <w:tab w:val="left" w:pos="902"/>
        <w:tab w:val="clear" w:pos="840"/>
      </w:tabs>
      <w:spacing w:after="30"/>
      <w:ind w:left="400" w:leftChars="200" w:hanging="200" w:hangingChars="200"/>
    </w:pPr>
    <w:rPr>
      <w:rFonts w:cs="Arial"/>
    </w:rPr>
  </w:style>
  <w:style w:type="character" w:customStyle="1" w:styleId="282">
    <w:name w:val="样式 number1 + (符号) 宋体 Char"/>
    <w:link w:val="281"/>
    <w:qFormat/>
    <w:uiPriority w:val="0"/>
    <w:rPr>
      <w:rFonts w:ascii="Verdana" w:hAnsi="Verdana" w:eastAsia="宋体" w:cs="Arial"/>
      <w:kern w:val="2"/>
      <w:sz w:val="24"/>
      <w:szCs w:val="24"/>
      <w:lang w:eastAsia="en-US"/>
    </w:rPr>
  </w:style>
  <w:style w:type="paragraph" w:customStyle="1" w:styleId="283">
    <w:name w:val="正文22"/>
    <w:basedOn w:val="1"/>
    <w:link w:val="284"/>
    <w:qFormat/>
    <w:uiPriority w:val="0"/>
    <w:pPr>
      <w:spacing w:line="360" w:lineRule="auto"/>
      <w:ind w:firstLine="200" w:firstLineChars="200"/>
      <w:jc w:val="left"/>
    </w:pPr>
    <w:rPr>
      <w:rFonts w:ascii="宋体" w:hAnsi="宋体"/>
      <w:sz w:val="24"/>
    </w:rPr>
  </w:style>
  <w:style w:type="character" w:customStyle="1" w:styleId="284">
    <w:name w:val="正文22 字符"/>
    <w:link w:val="283"/>
    <w:qFormat/>
    <w:uiPriority w:val="0"/>
    <w:rPr>
      <w:rFonts w:ascii="宋体" w:hAnsi="宋体" w:eastAsia="宋体" w:cs="Times New Roman"/>
      <w:kern w:val="2"/>
      <w:sz w:val="24"/>
      <w:szCs w:val="24"/>
    </w:rPr>
  </w:style>
  <w:style w:type="paragraph" w:customStyle="1" w:styleId="285">
    <w:name w:val="正文00"/>
    <w:basedOn w:val="25"/>
    <w:link w:val="286"/>
    <w:qFormat/>
    <w:uiPriority w:val="0"/>
    <w:pPr>
      <w:tabs>
        <w:tab w:val="clear" w:pos="1440"/>
      </w:tabs>
      <w:ind w:left="0" w:leftChars="0" w:firstLine="0" w:firstLineChars="0"/>
      <w:jc w:val="left"/>
    </w:pPr>
    <w:rPr>
      <w:rFonts w:ascii="宋体" w:hAnsi="宋体"/>
      <w:smallCaps w:val="0"/>
      <w:sz w:val="24"/>
      <w:szCs w:val="32"/>
    </w:rPr>
  </w:style>
  <w:style w:type="character" w:customStyle="1" w:styleId="286">
    <w:name w:val="正文00 字符"/>
    <w:link w:val="285"/>
    <w:qFormat/>
    <w:uiPriority w:val="0"/>
    <w:rPr>
      <w:rFonts w:ascii="宋体" w:hAnsi="宋体" w:eastAsia="宋体" w:cs="Times New Roman"/>
      <w:kern w:val="2"/>
      <w:sz w:val="24"/>
      <w:szCs w:val="32"/>
      <w:lang w:val="en-US" w:eastAsia="zh-CN"/>
    </w:rPr>
  </w:style>
  <w:style w:type="character" w:customStyle="1" w:styleId="287">
    <w:name w:val="fontstyle01"/>
    <w:qFormat/>
    <w:uiPriority w:val="0"/>
    <w:rPr>
      <w:rFonts w:hint="default" w:ascii="仿宋" w:hAnsi="仿宋" w:eastAsia="宋体"/>
      <w:color w:val="000000"/>
      <w:sz w:val="24"/>
      <w:szCs w:val="24"/>
      <w:lang w:val="en-US" w:eastAsia="en-US" w:bidi="ar-SA"/>
    </w:rPr>
  </w:style>
  <w:style w:type="paragraph" w:customStyle="1" w:styleId="288">
    <w:name w:val="样式 标题9 +"/>
    <w:basedOn w:val="1"/>
    <w:qFormat/>
    <w:uiPriority w:val="0"/>
    <w:pPr>
      <w:keepNext/>
      <w:keepLines/>
      <w:tabs>
        <w:tab w:val="left" w:pos="6211"/>
      </w:tabs>
      <w:spacing w:before="240" w:after="64" w:line="320" w:lineRule="auto"/>
      <w:ind w:left="5391" w:hanging="1700"/>
      <w:outlineLvl w:val="8"/>
    </w:pPr>
    <w:rPr>
      <w:rFonts w:ascii="Cambria" w:hAnsi="Cambria" w:eastAsia="黑体"/>
      <w:szCs w:val="21"/>
      <w:lang w:eastAsia="en-US"/>
    </w:rPr>
  </w:style>
  <w:style w:type="paragraph" w:customStyle="1" w:styleId="289">
    <w:name w:val="样式 标题 7PIM 7（1）L71.1.1.1.1.1.1标题 7H7Legal Level 1.1.lette..."/>
    <w:basedOn w:val="8"/>
    <w:qFormat/>
    <w:uiPriority w:val="0"/>
    <w:pPr>
      <w:keepLines w:val="0"/>
      <w:widowControl w:val="0"/>
      <w:tabs>
        <w:tab w:val="clear" w:pos="2520"/>
      </w:tabs>
      <w:adjustRightInd w:val="0"/>
      <w:spacing w:before="0" w:after="0" w:line="360" w:lineRule="auto"/>
      <w:ind w:left="0" w:firstLine="422" w:firstLineChars="200"/>
      <w:textAlignment w:val="baseline"/>
    </w:pPr>
    <w:rPr>
      <w:rFonts w:cs="宋体"/>
      <w:snapToGrid w:val="0"/>
      <w:szCs w:val="20"/>
    </w:rPr>
  </w:style>
  <w:style w:type="paragraph" w:customStyle="1" w:styleId="290">
    <w:name w:val="正文文本 31"/>
    <w:basedOn w:val="1"/>
    <w:next w:val="18"/>
    <w:link w:val="291"/>
    <w:qFormat/>
    <w:uiPriority w:val="0"/>
    <w:pPr>
      <w:spacing w:after="120"/>
    </w:pPr>
    <w:rPr>
      <w:rFonts w:ascii="Verdana" w:hAnsi="Verdana"/>
      <w:kern w:val="0"/>
      <w:sz w:val="16"/>
      <w:szCs w:val="16"/>
      <w:lang w:eastAsia="en-US"/>
    </w:rPr>
  </w:style>
  <w:style w:type="character" w:customStyle="1" w:styleId="291">
    <w:name w:val="正文文本 3 字符"/>
    <w:link w:val="290"/>
    <w:qFormat/>
    <w:uiPriority w:val="0"/>
    <w:rPr>
      <w:rFonts w:ascii="Verdana" w:hAnsi="Verdana" w:eastAsia="宋体" w:cs="Times New Roman"/>
      <w:sz w:val="16"/>
      <w:szCs w:val="16"/>
      <w:lang w:eastAsia="en-US"/>
    </w:rPr>
  </w:style>
  <w:style w:type="paragraph" w:customStyle="1" w:styleId="292">
    <w:name w:val="日期1"/>
    <w:basedOn w:val="1"/>
    <w:next w:val="1"/>
    <w:link w:val="293"/>
    <w:qFormat/>
    <w:uiPriority w:val="0"/>
    <w:pPr>
      <w:ind w:left="2500" w:leftChars="2500"/>
    </w:pPr>
    <w:rPr>
      <w:rFonts w:ascii="Verdana" w:hAnsi="Verdana" w:eastAsia="楷体_GB2312"/>
      <w:kern w:val="0"/>
      <w:sz w:val="32"/>
      <w:szCs w:val="28"/>
      <w:lang w:eastAsia="en-US"/>
    </w:rPr>
  </w:style>
  <w:style w:type="character" w:customStyle="1" w:styleId="293">
    <w:name w:val="日期 字符"/>
    <w:link w:val="292"/>
    <w:qFormat/>
    <w:uiPriority w:val="0"/>
    <w:rPr>
      <w:rFonts w:ascii="Verdana" w:hAnsi="Verdana" w:eastAsia="楷体_GB2312" w:cs="Times New Roman"/>
      <w:sz w:val="32"/>
      <w:szCs w:val="28"/>
      <w:lang w:eastAsia="en-US"/>
    </w:rPr>
  </w:style>
  <w:style w:type="paragraph" w:customStyle="1" w:styleId="294">
    <w:name w:val="正文文本缩进 21"/>
    <w:basedOn w:val="1"/>
    <w:next w:val="29"/>
    <w:link w:val="295"/>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hAnsi="Verdana"/>
      <w:color w:val="000000"/>
      <w:kern w:val="0"/>
      <w:sz w:val="24"/>
      <w:szCs w:val="20"/>
      <w:lang w:eastAsia="en-US"/>
    </w:rPr>
  </w:style>
  <w:style w:type="character" w:customStyle="1" w:styleId="295">
    <w:name w:val="正文文本缩进 2 字符1"/>
    <w:link w:val="294"/>
    <w:qFormat/>
    <w:uiPriority w:val="0"/>
    <w:rPr>
      <w:rFonts w:ascii="宋体" w:hAnsi="Verdana" w:eastAsia="宋体" w:cs="Times New Roman"/>
      <w:color w:val="000000"/>
      <w:sz w:val="24"/>
      <w:lang w:eastAsia="en-US"/>
    </w:rPr>
  </w:style>
  <w:style w:type="paragraph" w:customStyle="1" w:styleId="296">
    <w:name w:val="TOC 标题2"/>
    <w:basedOn w:val="2"/>
    <w:next w:val="1"/>
    <w:qFormat/>
    <w:uiPriority w:val="39"/>
    <w:pPr>
      <w:widowControl/>
      <w:spacing w:before="480" w:after="0" w:line="276" w:lineRule="auto"/>
      <w:jc w:val="left"/>
      <w:outlineLvl w:val="9"/>
    </w:pPr>
    <w:rPr>
      <w:rFonts w:ascii="Cambria" w:hAnsi="Cambria"/>
      <w:b w:val="0"/>
      <w:color w:val="365F91"/>
      <w:kern w:val="0"/>
      <w:sz w:val="28"/>
      <w:szCs w:val="28"/>
    </w:rPr>
  </w:style>
  <w:style w:type="paragraph" w:customStyle="1" w:styleId="297">
    <w:name w:val="正文文本缩进 31"/>
    <w:basedOn w:val="1"/>
    <w:next w:val="39"/>
    <w:link w:val="298"/>
    <w:qFormat/>
    <w:uiPriority w:val="0"/>
    <w:pPr>
      <w:autoSpaceDE w:val="0"/>
      <w:autoSpaceDN w:val="0"/>
      <w:adjustRightInd w:val="0"/>
      <w:spacing w:line="360" w:lineRule="atLeast"/>
      <w:ind w:left="1853"/>
      <w:jc w:val="center"/>
    </w:pPr>
    <w:rPr>
      <w:rFonts w:ascii="宋体" w:hAnsi="Verdana"/>
      <w:b/>
      <w:color w:val="000000"/>
      <w:kern w:val="0"/>
      <w:sz w:val="36"/>
      <w:lang w:eastAsia="en-US"/>
    </w:rPr>
  </w:style>
  <w:style w:type="character" w:customStyle="1" w:styleId="298">
    <w:name w:val="正文文本缩进 3 字符"/>
    <w:link w:val="297"/>
    <w:qFormat/>
    <w:uiPriority w:val="0"/>
    <w:rPr>
      <w:rFonts w:ascii="宋体" w:hAnsi="Verdana" w:eastAsia="宋体" w:cs="Times New Roman"/>
      <w:b/>
      <w:color w:val="000000"/>
      <w:sz w:val="36"/>
      <w:szCs w:val="24"/>
      <w:lang w:eastAsia="en-US"/>
    </w:rPr>
  </w:style>
  <w:style w:type="paragraph" w:customStyle="1" w:styleId="299">
    <w:name w:val="正文文本 21"/>
    <w:basedOn w:val="1"/>
    <w:next w:val="41"/>
    <w:link w:val="300"/>
    <w:qFormat/>
    <w:uiPriority w:val="0"/>
    <w:pPr>
      <w:autoSpaceDE w:val="0"/>
      <w:autoSpaceDN w:val="0"/>
      <w:adjustRightInd w:val="0"/>
      <w:spacing w:line="360" w:lineRule="auto"/>
    </w:pPr>
    <w:rPr>
      <w:rFonts w:ascii="宋体" w:hAnsi="Verdana"/>
      <w:color w:val="000000"/>
      <w:kern w:val="0"/>
      <w:sz w:val="24"/>
      <w:lang w:eastAsia="en-US"/>
    </w:rPr>
  </w:style>
  <w:style w:type="character" w:customStyle="1" w:styleId="300">
    <w:name w:val="正文文本 2 字符"/>
    <w:link w:val="299"/>
    <w:qFormat/>
    <w:uiPriority w:val="0"/>
    <w:rPr>
      <w:rFonts w:ascii="宋体" w:hAnsi="Verdana" w:eastAsia="宋体" w:cs="Times New Roman"/>
      <w:color w:val="000000"/>
      <w:sz w:val="24"/>
      <w:szCs w:val="24"/>
      <w:lang w:eastAsia="en-US"/>
    </w:rPr>
  </w:style>
  <w:style w:type="character" w:customStyle="1" w:styleId="301">
    <w:name w:val="访问过的超链接1"/>
    <w:qFormat/>
    <w:uiPriority w:val="0"/>
    <w:rPr>
      <w:rFonts w:ascii="Verdana" w:hAnsi="Verdana" w:eastAsia="宋体"/>
      <w:color w:val="800080"/>
      <w:sz w:val="28"/>
      <w:szCs w:val="28"/>
      <w:u w:val="single"/>
      <w:lang w:val="en-US" w:eastAsia="en-US" w:bidi="ar-SA"/>
    </w:rPr>
  </w:style>
  <w:style w:type="character" w:customStyle="1" w:styleId="302">
    <w:name w:val="标题 2 字符"/>
    <w:qFormat/>
    <w:uiPriority w:val="0"/>
    <w:rPr>
      <w:rFonts w:ascii="Cambria" w:hAnsi="Cambria" w:eastAsia="宋体" w:cs="Times New Roman"/>
      <w:b/>
      <w:bCs/>
      <w:sz w:val="32"/>
      <w:szCs w:val="32"/>
      <w:lang w:val="en-US" w:eastAsia="en-US" w:bidi="ar-SA"/>
    </w:rPr>
  </w:style>
  <w:style w:type="character" w:customStyle="1" w:styleId="303">
    <w:name w:val="标题 4 字符"/>
    <w:qFormat/>
    <w:uiPriority w:val="0"/>
    <w:rPr>
      <w:rFonts w:ascii="Cambria" w:hAnsi="Cambria" w:eastAsia="宋体" w:cs="Times New Roman"/>
      <w:b/>
      <w:bCs/>
      <w:sz w:val="28"/>
      <w:szCs w:val="28"/>
      <w:lang w:val="en-US" w:eastAsia="en-US" w:bidi="ar-SA"/>
    </w:rPr>
  </w:style>
  <w:style w:type="character" w:customStyle="1" w:styleId="304">
    <w:name w:val="标题 5 字符"/>
    <w:qFormat/>
    <w:uiPriority w:val="0"/>
    <w:rPr>
      <w:rFonts w:ascii="Times New Roman" w:hAnsi="Times New Roman" w:eastAsia="宋体" w:cs="Times New Roman"/>
      <w:b/>
      <w:bCs/>
      <w:kern w:val="0"/>
      <w:sz w:val="28"/>
      <w:szCs w:val="28"/>
      <w:lang w:val="en-US" w:eastAsia="en-US" w:bidi="ar-SA"/>
    </w:rPr>
  </w:style>
  <w:style w:type="character" w:customStyle="1" w:styleId="305">
    <w:name w:val="标题 7 字符"/>
    <w:qFormat/>
    <w:uiPriority w:val="0"/>
    <w:rPr>
      <w:rFonts w:ascii="Times New Roman" w:hAnsi="Times New Roman" w:eastAsia="宋体" w:cs="Times New Roman"/>
      <w:b/>
      <w:bCs/>
      <w:kern w:val="0"/>
      <w:sz w:val="24"/>
      <w:szCs w:val="24"/>
      <w:lang w:val="en-US" w:eastAsia="en-US" w:bidi="ar-SA"/>
    </w:rPr>
  </w:style>
  <w:style w:type="character" w:customStyle="1" w:styleId="306">
    <w:name w:val="标题 8 字符"/>
    <w:qFormat/>
    <w:uiPriority w:val="0"/>
    <w:rPr>
      <w:rFonts w:ascii="Arial" w:hAnsi="Arial" w:eastAsia="黑体" w:cs="Times New Roman"/>
      <w:kern w:val="0"/>
      <w:sz w:val="24"/>
      <w:szCs w:val="24"/>
      <w:lang w:val="en-US" w:eastAsia="en-US" w:bidi="ar-SA"/>
    </w:rPr>
  </w:style>
  <w:style w:type="character" w:customStyle="1" w:styleId="307">
    <w:name w:val="标题 9 字符"/>
    <w:qFormat/>
    <w:uiPriority w:val="0"/>
    <w:rPr>
      <w:rFonts w:ascii="Arial" w:hAnsi="Arial" w:eastAsia="黑体" w:cs="Times New Roman"/>
      <w:kern w:val="0"/>
      <w:sz w:val="28"/>
      <w:szCs w:val="21"/>
      <w:lang w:val="en-US" w:eastAsia="en-US" w:bidi="ar-SA"/>
    </w:rPr>
  </w:style>
  <w:style w:type="character" w:customStyle="1" w:styleId="308">
    <w:name w:val="页眉 字符"/>
    <w:qFormat/>
    <w:uiPriority w:val="0"/>
    <w:rPr>
      <w:rFonts w:ascii="Verdana" w:hAnsi="Verdana" w:eastAsia="宋体"/>
      <w:sz w:val="18"/>
      <w:szCs w:val="18"/>
      <w:lang w:val="en-US" w:eastAsia="en-US" w:bidi="ar-SA"/>
    </w:rPr>
  </w:style>
  <w:style w:type="character" w:customStyle="1" w:styleId="309">
    <w:name w:val="页脚 字符"/>
    <w:qFormat/>
    <w:uiPriority w:val="99"/>
    <w:rPr>
      <w:rFonts w:ascii="Verdana" w:hAnsi="Verdana" w:eastAsia="宋体"/>
      <w:sz w:val="18"/>
      <w:szCs w:val="18"/>
      <w:lang w:val="en-US" w:eastAsia="en-US" w:bidi="ar-SA"/>
    </w:rPr>
  </w:style>
  <w:style w:type="paragraph" w:customStyle="1" w:styleId="310">
    <w:name w:val="无间隔2"/>
    <w:next w:val="193"/>
    <w:qFormat/>
    <w:uiPriority w:val="1"/>
    <w:pPr>
      <w:widowControl w:val="0"/>
      <w:autoSpaceDE w:val="0"/>
      <w:autoSpaceDN w:val="0"/>
      <w:adjustRightInd w:val="0"/>
      <w:jc w:val="both"/>
      <w:textAlignment w:val="baseline"/>
    </w:pPr>
    <w:rPr>
      <w:rFonts w:ascii="Calibri" w:hAnsi="Calibri" w:eastAsia="宋体" w:cs="Times New Roman"/>
      <w:kern w:val="2"/>
      <w:sz w:val="21"/>
      <w:szCs w:val="22"/>
      <w:lang w:val="en-US" w:eastAsia="zh-CN" w:bidi="ar-SA"/>
    </w:rPr>
  </w:style>
  <w:style w:type="character" w:customStyle="1" w:styleId="311">
    <w:name w:val="font101"/>
    <w:qFormat/>
    <w:uiPriority w:val="0"/>
    <w:rPr>
      <w:rFonts w:hint="eastAsia" w:ascii="宋体" w:hAnsi="宋体" w:eastAsia="宋体" w:cs="宋体"/>
      <w:color w:val="FF0000"/>
      <w:sz w:val="22"/>
      <w:szCs w:val="22"/>
      <w:u w:val="none"/>
      <w:lang w:val="en-US" w:eastAsia="en-US" w:bidi="ar-SA"/>
    </w:rPr>
  </w:style>
  <w:style w:type="character" w:customStyle="1" w:styleId="312">
    <w:name w:val="font111"/>
    <w:basedOn w:val="50"/>
    <w:qFormat/>
    <w:uiPriority w:val="0"/>
    <w:rPr>
      <w:rFonts w:hint="default" w:ascii="Arial" w:hAnsi="Arial" w:cs="Arial"/>
      <w:color w:val="FF0000"/>
      <w:sz w:val="18"/>
      <w:szCs w:val="18"/>
      <w:u w:val="none"/>
    </w:rPr>
  </w:style>
  <w:style w:type="character" w:customStyle="1" w:styleId="313">
    <w:name w:val="font91"/>
    <w:basedOn w:val="50"/>
    <w:qFormat/>
    <w:uiPriority w:val="0"/>
    <w:rPr>
      <w:rFonts w:hint="eastAsia" w:ascii="宋体" w:hAnsi="宋体" w:eastAsia="宋体" w:cs="宋体"/>
      <w:color w:val="FF0000"/>
      <w:sz w:val="18"/>
      <w:szCs w:val="18"/>
      <w:u w:val="none"/>
    </w:rPr>
  </w:style>
  <w:style w:type="character" w:customStyle="1" w:styleId="314">
    <w:name w:val="font141"/>
    <w:basedOn w:val="50"/>
    <w:qFormat/>
    <w:uiPriority w:val="0"/>
    <w:rPr>
      <w:rFonts w:hint="default" w:ascii="Arial" w:hAnsi="Arial" w:cs="Arial"/>
      <w:color w:val="000000"/>
      <w:sz w:val="22"/>
      <w:szCs w:val="22"/>
      <w:u w:val="none"/>
    </w:rPr>
  </w:style>
  <w:style w:type="character" w:customStyle="1" w:styleId="315">
    <w:name w:val="font122"/>
    <w:basedOn w:val="50"/>
    <w:qFormat/>
    <w:uiPriority w:val="0"/>
    <w:rPr>
      <w:rFonts w:hint="default" w:ascii="Arial" w:hAnsi="Arial" w:cs="Arial"/>
      <w:color w:val="000000"/>
      <w:sz w:val="20"/>
      <w:szCs w:val="20"/>
      <w:u w:val="none"/>
    </w:rPr>
  </w:style>
  <w:style w:type="character" w:customStyle="1" w:styleId="316">
    <w:name w:val="font131"/>
    <w:basedOn w:val="50"/>
    <w:qFormat/>
    <w:uiPriority w:val="0"/>
    <w:rPr>
      <w:rFonts w:hint="eastAsia" w:ascii="宋体" w:hAnsi="宋体" w:eastAsia="宋体" w:cs="宋体"/>
      <w:color w:val="000000"/>
      <w:sz w:val="20"/>
      <w:szCs w:val="20"/>
      <w:u w:val="none"/>
    </w:rPr>
  </w:style>
  <w:style w:type="character" w:customStyle="1" w:styleId="317">
    <w:name w:val="font81"/>
    <w:basedOn w:val="50"/>
    <w:qFormat/>
    <w:uiPriority w:val="0"/>
    <w:rPr>
      <w:rFonts w:hint="default" w:ascii="Calibri" w:hAnsi="Calibri" w:cs="Calibri"/>
      <w:color w:val="000000"/>
      <w:sz w:val="18"/>
      <w:szCs w:val="18"/>
      <w:u w:val="none"/>
    </w:rPr>
  </w:style>
  <w:style w:type="paragraph" w:customStyle="1" w:styleId="318">
    <w:name w:val="Normal Indent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character" w:customStyle="1" w:styleId="319">
    <w:name w:val="标题 Char3"/>
    <w:link w:val="44"/>
    <w:qFormat/>
    <w:uiPriority w:val="10"/>
    <w:rPr>
      <w:rFonts w:ascii="等线 Light" w:hAnsi="等线 Light" w:cs="Times New Roman"/>
      <w:b/>
      <w:bCs/>
      <w:kern w:val="2"/>
      <w:sz w:val="32"/>
      <w:szCs w:val="32"/>
    </w:rPr>
  </w:style>
  <w:style w:type="paragraph" w:customStyle="1" w:styleId="320">
    <w:name w:val="模板普通正文"/>
    <w:basedOn w:val="21"/>
    <w:qFormat/>
    <w:uiPriority w:val="0"/>
    <w:pPr>
      <w:tabs>
        <w:tab w:val="left" w:pos="720"/>
        <w:tab w:val="left" w:pos="1260"/>
        <w:tab w:val="left" w:pos="2160"/>
        <w:tab w:val="left" w:pos="2880"/>
        <w:tab w:val="left" w:pos="3600"/>
        <w:tab w:val="left" w:pos="4320"/>
        <w:tab w:val="left" w:pos="5040"/>
        <w:tab w:val="left" w:pos="5760"/>
      </w:tabs>
      <w:spacing w:beforeLines="50" w:after="10"/>
      <w:ind w:firstLine="490" w:firstLineChars="175"/>
    </w:pPr>
  </w:style>
  <w:style w:type="paragraph" w:customStyle="1" w:styleId="321">
    <w:name w:val="ZW"/>
    <w:basedOn w:val="1"/>
    <w:qFormat/>
    <w:uiPriority w:val="0"/>
    <w:pPr>
      <w:widowControl/>
      <w:topLinePunct/>
      <w:spacing w:line="360" w:lineRule="auto"/>
      <w:ind w:firstLine="425" w:firstLineChars="200"/>
    </w:pPr>
    <w:rPr>
      <w:rFonts w:eastAsia="仿宋_GB2312"/>
      <w:spacing w:val="8"/>
      <w:sz w:val="24"/>
      <w:szCs w:val="20"/>
    </w:rPr>
  </w:style>
  <w:style w:type="character" w:customStyle="1" w:styleId="322">
    <w:name w:val="标题 字符"/>
    <w:link w:val="44"/>
    <w:qFormat/>
    <w:uiPriority w:val="10"/>
    <w:rPr>
      <w:rFonts w:ascii="等线 Light" w:hAnsi="等线 Light" w:cs="Times New Roman"/>
      <w:b/>
      <w:bCs/>
      <w:kern w:val="2"/>
      <w:sz w:val="32"/>
      <w:szCs w:val="32"/>
    </w:rPr>
  </w:style>
  <w:style w:type="table" w:customStyle="1" w:styleId="323">
    <w:name w:val="Table Normal"/>
    <w:unhideWhenUsed/>
    <w:qFormat/>
    <w:uiPriority w:val="0"/>
    <w:tblPr>
      <w:tblCellMar>
        <w:top w:w="0" w:type="dxa"/>
        <w:left w:w="0" w:type="dxa"/>
        <w:bottom w:w="0" w:type="dxa"/>
        <w:right w:w="0" w:type="dxa"/>
      </w:tblCellMar>
    </w:tblPr>
  </w:style>
  <w:style w:type="paragraph" w:customStyle="1" w:styleId="324">
    <w:name w:val="部分1"/>
    <w:qFormat/>
    <w:uiPriority w:val="0"/>
    <w:pPr>
      <w:keepNext/>
      <w:pageBreakBefore/>
      <w:widowControl w:val="0"/>
      <w:tabs>
        <w:tab w:val="left" w:pos="720"/>
      </w:tabs>
      <w:spacing w:line="360" w:lineRule="auto"/>
      <w:jc w:val="center"/>
      <w:outlineLvl w:val="0"/>
    </w:pPr>
    <w:rPr>
      <w:rFonts w:ascii="Calibri" w:hAnsi="Calibri" w:eastAsia="黑体" w:cs="Times New Roman"/>
      <w:b/>
      <w:kern w:val="44"/>
      <w:sz w:val="36"/>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86</Pages>
  <Words>46687</Words>
  <Characters>50301</Characters>
  <Lines>1</Lines>
  <Paragraphs>1</Paragraphs>
  <TotalTime>24</TotalTime>
  <ScaleCrop>false</ScaleCrop>
  <LinksUpToDate>false</LinksUpToDate>
  <CharactersWithSpaces>52394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2024-04-02T21:23:00Z</dcterms:created>
  <dc:creator>戴艳燕</dc:creator>
  <cp:lastModifiedBy>王不羁</cp:lastModifiedBy>
  <cp:lastPrinted>2023-03-16T06:19:00Z</cp:lastPrinted>
  <dcterms:modified xsi:type="dcterms:W3CDTF">2024-10-11T08:23:45Z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D4F24C33D4524BC4A99933370B572005_13</vt:lpwstr>
  </property>
</Properties>
</file>