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：《</w:t>
      </w:r>
      <w:r>
        <w:rPr>
          <w:rFonts w:hint="eastAsia"/>
          <w:lang w:eastAsia="zh-CN"/>
        </w:rPr>
        <w:t>服务外包</w:t>
      </w:r>
      <w:r>
        <w:rPr>
          <w:rFonts w:hint="eastAsia"/>
        </w:rPr>
        <w:t>考核指标表》</w:t>
      </w:r>
    </w:p>
    <w:tbl>
      <w:tblPr>
        <w:tblStyle w:val="11"/>
        <w:tblW w:w="8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44"/>
        <w:gridCol w:w="4255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03" w:type="dxa"/>
            <w:shd w:val="clear" w:color="auto" w:fill="D9D9D9"/>
            <w:noWrap w:val="0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44" w:type="dxa"/>
            <w:shd w:val="clear" w:color="auto" w:fill="D9D9D9"/>
            <w:noWrap w:val="0"/>
            <w:vAlign w:val="center"/>
          </w:tcPr>
          <w:p>
            <w:pPr>
              <w:pStyle w:val="17"/>
              <w:spacing w:line="360" w:lineRule="auto"/>
              <w:ind w:firstLine="361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4255" w:type="dxa"/>
            <w:shd w:val="clear" w:color="auto" w:fill="D9D9D9"/>
            <w:noWrap w:val="0"/>
            <w:vAlign w:val="center"/>
          </w:tcPr>
          <w:p>
            <w:pPr>
              <w:pStyle w:val="17"/>
              <w:spacing w:line="360" w:lineRule="auto"/>
              <w:ind w:firstLine="361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考核标准</w:t>
            </w:r>
          </w:p>
        </w:tc>
        <w:tc>
          <w:tcPr>
            <w:tcW w:w="1974" w:type="dxa"/>
            <w:shd w:val="clear" w:color="auto" w:fill="D9D9D9"/>
            <w:noWrap w:val="0"/>
            <w:vAlign w:val="center"/>
          </w:tcPr>
          <w:p>
            <w:pPr>
              <w:pStyle w:val="17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不合格处理方式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8073" w:type="dxa"/>
            <w:gridSpan w:val="3"/>
            <w:noWrap w:val="0"/>
            <w:vAlign w:val="center"/>
          </w:tcPr>
          <w:p>
            <w:pPr>
              <w:pStyle w:val="17"/>
              <w:spacing w:line="360" w:lineRule="auto"/>
              <w:ind w:firstLine="36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服务报告考核指标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巡检报告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内容是否完整，月报季报是否按时提交。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一份报告不按时提交或内容不合格，扣罚50元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应急事件报告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内容是否完整，应急事件报告是否按时提交。</w:t>
            </w: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pStyle w:val="17"/>
              <w:spacing w:line="360" w:lineRule="auto"/>
              <w:ind w:firstLine="3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维修报告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内容是否完整，维修报告是否按时提交。</w:t>
            </w: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pStyle w:val="17"/>
              <w:spacing w:line="360" w:lineRule="auto"/>
              <w:ind w:firstLine="3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重大活动报告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内容是否完整，重大活动报告是否按时提交。</w:t>
            </w: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pStyle w:val="17"/>
              <w:spacing w:line="360" w:lineRule="auto"/>
              <w:ind w:firstLine="3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特殊时期运维报告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内容是否完整，特殊时期运维报告是否按时提交。</w:t>
            </w: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pStyle w:val="17"/>
              <w:spacing w:line="360" w:lineRule="auto"/>
              <w:ind w:firstLine="3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8073" w:type="dxa"/>
            <w:gridSpan w:val="3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日常巡检考核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设备巡检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对医院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数据中心内服务器、存储、网络、安全等设备定期巡检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按月、季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出具巡检报告。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抽查巡检不合格，扣罚1000元/次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巡检流程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是否按照标准流程操作</w:t>
            </w: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pStyle w:val="17"/>
              <w:spacing w:line="360" w:lineRule="auto"/>
              <w:ind w:firstLine="3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8073" w:type="dxa"/>
            <w:gridSpan w:val="3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响应处理时间考核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设备响应时间考核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故障驱动响应，7×24小时电话咨询，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驻场人员即时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到达现场并排除故障；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故障处理一般要求不超过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小时，每超时1小时未修复，扣罚500元（特殊情况业主单位书面同意延长排除时间的除外，但最长修复时间不超过24小时）。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8073" w:type="dxa"/>
            <w:gridSpan w:val="3"/>
            <w:noWrap w:val="0"/>
            <w:vAlign w:val="center"/>
          </w:tcPr>
          <w:p>
            <w:pPr>
              <w:pStyle w:val="17"/>
              <w:spacing w:line="360" w:lineRule="auto"/>
              <w:ind w:firstLine="36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重大活动支撑考核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现场准备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在重大活动前是否对会场设备充分检查。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一次不合格扣罚2000元。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现场响应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活动现场设备是否运行通常，对于突发性事件的应对是否及时。</w:t>
            </w: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pStyle w:val="17"/>
              <w:spacing w:line="360" w:lineRule="auto"/>
              <w:ind w:firstLine="36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8073" w:type="dxa"/>
            <w:gridSpan w:val="3"/>
            <w:noWrap w:val="0"/>
            <w:vAlign w:val="center"/>
          </w:tcPr>
          <w:p>
            <w:pPr>
              <w:pStyle w:val="17"/>
              <w:spacing w:line="360" w:lineRule="auto"/>
              <w:ind w:firstLine="36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人员考核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人员配置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配置一定工作能力、经验的专职运维人员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人，配备合理数量的其他人员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一次不合格扣罚2000元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职业道德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维护过程中不得随意调看、查阅各种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医院数据及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档案。由于技术原因需要调看、查阅时，应征得业主单位相关负责人的同意，并记录在案，不得外泄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一次不合格扣罚200元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17"/>
              <w:spacing w:line="360" w:lineRule="auto"/>
              <w:ind w:firstLine="17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工作态度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运维过程中应态度和蔼、责任心强、做到文明维护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17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一次不合格扣罚100元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：《</w:t>
      </w:r>
      <w:r>
        <w:rPr>
          <w:rFonts w:hint="eastAsia"/>
          <w:lang w:val="en-US" w:eastAsia="zh-CN"/>
        </w:rPr>
        <w:t>核心设备续保清单</w:t>
      </w:r>
      <w:r>
        <w:rPr>
          <w:rFonts w:hint="eastAsia"/>
        </w:rPr>
        <w:t>》</w:t>
      </w:r>
    </w:p>
    <w:tbl>
      <w:tblPr>
        <w:tblStyle w:val="11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703"/>
        <w:gridCol w:w="1267"/>
        <w:gridCol w:w="3126"/>
        <w:gridCol w:w="1120"/>
        <w:gridCol w:w="1060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产品名称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型号配置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续保服务要求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VPN设备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深信服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Sangfor-VPN-B440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续保三年，投标时提供原厂三年质保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明御运维审计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安恒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DAS-USM200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续保三年，投标时提供原厂三年质保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明御APT攻击预警平台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安恒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DAS-APT-1000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续保三年，投标时提供原厂三年质保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主存储（全闪）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NATAPP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NATAPP EF570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全闪存存储，双控制器，含12*800G SSD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0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含上门服务和在线服务；设备故障报修后2小时内响应；提供整机全年7*24小时维保服务；服务期内，相关设备硬件故障（含控制器、磁盘扩展柜、硬盘、接口模块、联接线等），均不限上门次数、且免费上门更换故障硬件；提供免费在线技术支持服务；每年度提供不少于4次巡检服务，配备整机健康检查服务，投标时提供设备三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存储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NATAPP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NATAPP E2824，混合存储，双控制器，含20个900G；DE212C盘柜，含12个8T；DE212C盘柜，含10个4T；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DE224C盘柜，含18个1.2T，含磁盘扩展柜等，当前设备已有8TB NL-SAS硬盘等故障，投标前需提供相应的备品备件做适配性测试；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存储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NATAPP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NATAPP FAS8200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，双活存储，DS224C盘柜1个，24个900G 10K SAS硬盘等，含磁盘扩展柜，当前设备已有FAS8200控制器损坏等故障，投标前需提供相应的备品备件做适配性测试，以及专业的存储OS升级测试；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容灾系统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美创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灾备管理系统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V3.0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含1个任意数据库容灾许可，含三年7*24小 时标准服务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投标时提供原厂三年质保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数据库服务器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 xml:space="preserve">DELL 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R940XA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Intel XEON Gold 6126 *4颗，16GB* 24条内存，600GB SAS 15K *2，单通道16Gb FC HBA *2，10Gb SFP+ 2端口，1Gb Base-T 2端口，远程管理卡，满配冗余电源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投标时提供三年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质保。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page"/>
      </w:r>
      <w:bookmarkStart w:id="0" w:name="_GoBack"/>
      <w:bookmarkEnd w:id="0"/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附件3：数据中心运维设备清单（服务内包含）</w:t>
      </w:r>
    </w:p>
    <w:tbl>
      <w:tblPr>
        <w:tblStyle w:val="11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53"/>
        <w:gridCol w:w="3647"/>
        <w:gridCol w:w="840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Infogo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盈高准入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 AC-1000-D600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天融信 TI-31114-S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 IPS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S10510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数据中心核心交换机2台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S6520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数据中心接入交换机2台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S5560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数据中心接入交换机2台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Sangfor-VPN-B440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VPN设备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网御SIS-3000-Z4201-HA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内网外双向网闸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DAS-USM200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明御运维审计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天融信 NG-81242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公卫网出口NAT防火墙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 NSG4000-TG77P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DMZ区防火墙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 NSG4000-TG32P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 NSG4000-TG32P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奇安信LAS-R56M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日志审计设备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安恒DAS-APT-1000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明御APT攻击预警平台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H3C S5130S-28P-EI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DMZ区交换机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SecPath F1070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DMZ区防火墙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美创DF300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美创数据库防火墙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虚拟化集群服务器DELL R740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10台*2*Inter(R)Xeon(R)Gold 5117   内存192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管理服务器DELL R740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3台*2*Inter(R)Xeon(R)Silver 4110  内存96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数据库服务器DELL R940XA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4台*4*Inter(R)Xeon(R)Gold 6126   内存384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Brocade 6510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2台*48口光纤交换机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NATAPP EF570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EF570全闪存储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NATAPP E2824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E2824混合存储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NATAPP FAS8200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2台*FAS8200双活存储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DELL R740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外网dmz虚拟化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R4900G3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外网短信平台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TS-H973AX-32G-CN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QNAP备份存储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中科可控R5230HA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外网dmz虚拟化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美创灾备管理系统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美创数据库运维服务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常驻人员运维人工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MSR 36-40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医保路由器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SecPath F1030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中兴zxr10-1800-2s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 PDA 隧道路由器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天融信 TG-A2614-RP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 PDA 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天融信 TG-A1106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兰江街道卫生院专线防火墙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Sangfor-AF-2000-H644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服务器区防火墙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思福迪 logbase-DT220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天融信防火墙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 防火墙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R4900G3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移动PDA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 R4900G3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移动PDA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 TL-ST1008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外网 10GB RJ45*8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331F1802"/>
    <w:rsid w:val="07E3333D"/>
    <w:rsid w:val="13FA3F75"/>
    <w:rsid w:val="1B9D2A32"/>
    <w:rsid w:val="27113775"/>
    <w:rsid w:val="2AAE39C9"/>
    <w:rsid w:val="2BB02E7E"/>
    <w:rsid w:val="30D6640F"/>
    <w:rsid w:val="331F1802"/>
    <w:rsid w:val="35160916"/>
    <w:rsid w:val="365A2582"/>
    <w:rsid w:val="44CE7E68"/>
    <w:rsid w:val="4A752C6D"/>
    <w:rsid w:val="4C7B7E59"/>
    <w:rsid w:val="4EDC34EA"/>
    <w:rsid w:val="54854A05"/>
    <w:rsid w:val="582E2FC7"/>
    <w:rsid w:val="58487A60"/>
    <w:rsid w:val="73FB79B5"/>
    <w:rsid w:val="796218A1"/>
    <w:rsid w:val="79A12C31"/>
    <w:rsid w:val="7E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cs="宋体" w:eastAsiaTheme="minorEastAsia"/>
      <w:b/>
      <w:kern w:val="44"/>
      <w:sz w:val="3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仿宋" w:cs="宋体" w:asciiTheme="minorAscii" w:hAnsiTheme="minorAscii"/>
      <w:bCs/>
      <w:kern w:val="44"/>
      <w:sz w:val="32"/>
      <w:szCs w:val="28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kern w:val="2"/>
      <w:sz w:val="28"/>
      <w:szCs w:val="24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eastAsia="仿宋" w:asciiTheme="majorAscii" w:hAnsiTheme="majorAscii" w:cstheme="majorBidi"/>
      <w:bCs/>
      <w:kern w:val="2"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Document Map"/>
    <w:basedOn w:val="1"/>
    <w:next w:val="1"/>
    <w:qFormat/>
    <w:uiPriority w:val="0"/>
    <w:pPr>
      <w:shd w:val="clear" w:color="auto" w:fill="000080"/>
    </w:pPr>
  </w:style>
  <w:style w:type="paragraph" w:styleId="8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8"/>
    <w:next w:val="1"/>
    <w:qFormat/>
    <w:uiPriority w:val="99"/>
    <w:pPr>
      <w:ind w:firstLine="420" w:firstLineChars="200"/>
    </w:pPr>
  </w:style>
  <w:style w:type="character" w:customStyle="1" w:styleId="13">
    <w:name w:val="标题 2 字符"/>
    <w:basedOn w:val="12"/>
    <w:link w:val="5"/>
    <w:qFormat/>
    <w:uiPriority w:val="0"/>
    <w:rPr>
      <w:rFonts w:ascii="Arial" w:hAnsi="Arial" w:eastAsia="宋体" w:cs="Times New Roman"/>
      <w:b/>
      <w:bCs/>
      <w:kern w:val="2"/>
      <w:sz w:val="28"/>
      <w:szCs w:val="24"/>
    </w:rPr>
  </w:style>
  <w:style w:type="character" w:customStyle="1" w:styleId="14">
    <w:name w:val="标题 4 字符"/>
    <w:basedOn w:val="12"/>
    <w:link w:val="6"/>
    <w:semiHidden/>
    <w:qFormat/>
    <w:uiPriority w:val="9"/>
    <w:rPr>
      <w:rFonts w:eastAsia="仿宋" w:asciiTheme="majorAscii" w:hAnsiTheme="majorAscii" w:cstheme="majorBidi"/>
      <w:b/>
      <w:bCs/>
      <w:kern w:val="2"/>
      <w:sz w:val="24"/>
      <w:szCs w:val="28"/>
    </w:rPr>
  </w:style>
  <w:style w:type="character" w:customStyle="1" w:styleId="15">
    <w:name w:val="标题 1 Char"/>
    <w:link w:val="4"/>
    <w:qFormat/>
    <w:uiPriority w:val="0"/>
    <w:rPr>
      <w:rFonts w:eastAsia="仿宋" w:cs="宋体" w:asciiTheme="minorAscii" w:hAnsiTheme="minorAscii"/>
      <w:b/>
      <w:bCs/>
      <w:kern w:val="44"/>
      <w:sz w:val="32"/>
      <w:szCs w:val="28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图表"/>
    <w:next w:val="1"/>
    <w:qFormat/>
    <w:uiPriority w:val="0"/>
    <w:pPr>
      <w:jc w:val="both"/>
    </w:pPr>
    <w:rPr>
      <w:rFonts w:ascii="仿宋_GB2312" w:hAnsi="Times New Roman" w:eastAsia="仿宋_GB2312" w:cs="Times New Roman"/>
      <w:kern w:val="2"/>
      <w:sz w:val="22"/>
      <w:szCs w:val="52"/>
      <w:lang w:val="en-US" w:eastAsia="zh-CN" w:bidi="ar-SA"/>
    </w:r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2388</Words>
  <Characters>2544</Characters>
  <Lines>0</Lines>
  <Paragraphs>0</Paragraphs>
  <TotalTime>957</TotalTime>
  <ScaleCrop>false</ScaleCrop>
  <LinksUpToDate>false</LinksUpToDate>
  <CharactersWithSpaces>2545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2024-10-29T02:24:00Z</dcterms:created>
  <dc:creator>豆腐脑</dc:creator>
  <cp:lastModifiedBy>Administrator</cp:lastModifiedBy>
  <dcterms:modified xsi:type="dcterms:W3CDTF">2025-01-20T08:44:12Z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B38B213B57C34E6287E1D8CA49480D72_13</vt:lpwstr>
  </property>
  <property fmtid="{D5CDD505-2E9C-101B-9397-08002B2CF9AE}" pid="4" name="KSOTemplateDocerSaveRecord">
    <vt:lpwstr>eyJoZGlkIjoiODdjMjJhYmVmZGI0Yjk5YjcyOTU3NGIzMGYxNzkyOTQiLCJ1c2VySWQiOiI0NDUyMDc2NTQifQ==</vt:lpwstr>
  </property>
</Properties>
</file>