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eastAsia="zh-CN"/>
        </w:rPr>
      </w:pPr>
      <w:r>
        <w:rPr>
          <w:rFonts w:hint="eastAsia" w:ascii="宋体" w:hAnsi="宋体"/>
          <w:b/>
          <w:color w:val="auto"/>
          <w:spacing w:val="-17"/>
          <w:sz w:val="52"/>
          <w:szCs w:val="52"/>
          <w:highlight w:val="none"/>
          <w:lang w:eastAsia="zh-CN"/>
        </w:rPr>
        <w:t>宁海县市场监督管理局后勤服务外包</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eastAsia="zh-CN"/>
        </w:rPr>
      </w:pPr>
      <w:r>
        <w:rPr>
          <w:rFonts w:hint="eastAsia" w:ascii="宋体" w:hAnsi="宋体"/>
          <w:b/>
          <w:color w:val="auto"/>
          <w:spacing w:val="-17"/>
          <w:sz w:val="52"/>
          <w:szCs w:val="52"/>
          <w:highlight w:val="none"/>
          <w:lang w:eastAsia="zh-CN"/>
        </w:rPr>
        <w:t>采购项目</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t>项目编号：</w:t>
      </w:r>
      <w:r>
        <w:rPr>
          <w:rFonts w:hint="eastAsia" w:ascii="宋体" w:hAnsi="宋体"/>
          <w:b/>
          <w:color w:val="auto"/>
          <w:sz w:val="44"/>
          <w:szCs w:val="44"/>
          <w:highlight w:val="none"/>
          <w:lang w:eastAsia="zh-CN"/>
        </w:rPr>
        <w:t>NHZFCG-Z202</w:t>
      </w:r>
      <w:r>
        <w:rPr>
          <w:rFonts w:hint="eastAsia" w:ascii="宋体" w:hAnsi="宋体"/>
          <w:b/>
          <w:color w:val="auto"/>
          <w:sz w:val="44"/>
          <w:szCs w:val="44"/>
          <w:highlight w:val="none"/>
          <w:lang w:val="en-US" w:eastAsia="zh-CN"/>
        </w:rPr>
        <w:t>5</w:t>
      </w:r>
      <w:r>
        <w:rPr>
          <w:rFonts w:hint="eastAsia" w:ascii="宋体" w:hAnsi="宋体"/>
          <w:b/>
          <w:color w:val="auto"/>
          <w:sz w:val="44"/>
          <w:szCs w:val="44"/>
          <w:highlight w:val="none"/>
          <w:lang w:eastAsia="zh-CN"/>
        </w:rPr>
        <w:t>0</w:t>
      </w:r>
      <w:r>
        <w:rPr>
          <w:rFonts w:hint="eastAsia" w:ascii="宋体" w:hAnsi="宋体"/>
          <w:b/>
          <w:color w:val="auto"/>
          <w:sz w:val="44"/>
          <w:szCs w:val="44"/>
          <w:highlight w:val="none"/>
          <w:lang w:val="en-US" w:eastAsia="zh-CN"/>
        </w:rPr>
        <w:t>02</w:t>
      </w:r>
    </w:p>
    <w:p>
      <w:pPr>
        <w:jc w:val="both"/>
        <w:rPr>
          <w:rFonts w:ascii="宋体" w:hAnsi="宋体"/>
          <w:b/>
          <w:color w:val="auto"/>
          <w:sz w:val="36"/>
          <w:szCs w:val="36"/>
          <w:highlight w:val="none"/>
        </w:rPr>
      </w:pPr>
    </w:p>
    <w:p>
      <w:pPr>
        <w:spacing w:line="240" w:lineRule="exact"/>
        <w:jc w:val="center"/>
        <w:rPr>
          <w:rFonts w:ascii="宋体" w:hAnsi="宋体"/>
          <w:b/>
          <w:color w:val="auto"/>
          <w:sz w:val="36"/>
          <w:szCs w:val="36"/>
          <w:highlight w:val="none"/>
          <w:u w:val="single"/>
        </w:rPr>
      </w:pPr>
    </w:p>
    <w:p>
      <w:pPr>
        <w:spacing w:line="240" w:lineRule="exact"/>
        <w:jc w:val="center"/>
        <w:rPr>
          <w:rFonts w:ascii="宋体" w:hAnsi="宋体"/>
          <w:b/>
          <w:color w:val="auto"/>
          <w:sz w:val="36"/>
          <w:szCs w:val="36"/>
          <w:highlight w:val="none"/>
          <w:u w:val="single"/>
        </w:rPr>
      </w:pPr>
    </w:p>
    <w:p>
      <w:pPr>
        <w:spacing w:line="240" w:lineRule="exact"/>
        <w:jc w:val="center"/>
        <w:rPr>
          <w:rFonts w:ascii="宋体" w:hAnsi="宋体"/>
          <w:b/>
          <w:color w:val="auto"/>
          <w:sz w:val="36"/>
          <w:szCs w:val="36"/>
          <w:highlight w:val="none"/>
          <w:u w:val="single"/>
        </w:rPr>
      </w:pPr>
    </w:p>
    <w:p>
      <w:pPr>
        <w:spacing w:line="240" w:lineRule="exact"/>
        <w:rPr>
          <w:rFonts w:ascii="宋体" w:hAnsi="宋体"/>
          <w:b/>
          <w:color w:val="auto"/>
          <w:sz w:val="36"/>
          <w:szCs w:val="36"/>
          <w:highlight w:val="none"/>
          <w:u w:val="single"/>
        </w:rPr>
      </w:pPr>
    </w:p>
    <w:p>
      <w:pPr>
        <w:jc w:val="center"/>
        <w:rPr>
          <w:rFonts w:ascii="宋体" w:hAnsi="宋体"/>
          <w:b/>
          <w:color w:val="auto"/>
          <w:sz w:val="84"/>
          <w:szCs w:val="84"/>
          <w:highlight w:val="none"/>
        </w:rPr>
      </w:pPr>
      <w:r>
        <w:rPr>
          <w:rFonts w:hint="eastAsia" w:ascii="宋体" w:hAnsi="宋体"/>
          <w:b/>
          <w:color w:val="auto"/>
          <w:sz w:val="84"/>
          <w:szCs w:val="84"/>
          <w:highlight w:val="none"/>
        </w:rPr>
        <w:t>招</w:t>
      </w:r>
    </w:p>
    <w:p>
      <w:pPr>
        <w:jc w:val="center"/>
        <w:rPr>
          <w:rFonts w:ascii="宋体" w:hAnsi="宋体"/>
          <w:b/>
          <w:color w:val="auto"/>
          <w:sz w:val="84"/>
          <w:szCs w:val="84"/>
          <w:highlight w:val="none"/>
        </w:rPr>
      </w:pPr>
      <w:r>
        <w:rPr>
          <w:rFonts w:hint="eastAsia" w:ascii="宋体" w:hAnsi="宋体"/>
          <w:b/>
          <w:color w:val="auto"/>
          <w:sz w:val="84"/>
          <w:szCs w:val="84"/>
          <w:highlight w:val="none"/>
        </w:rPr>
        <w:t>标</w:t>
      </w:r>
    </w:p>
    <w:p>
      <w:pPr>
        <w:jc w:val="center"/>
        <w:rPr>
          <w:rFonts w:ascii="宋体" w:hAnsi="宋体"/>
          <w:b/>
          <w:color w:val="auto"/>
          <w:sz w:val="84"/>
          <w:szCs w:val="84"/>
          <w:highlight w:val="none"/>
        </w:rPr>
      </w:pPr>
      <w:r>
        <w:rPr>
          <w:rFonts w:hint="eastAsia" w:ascii="宋体" w:hAnsi="宋体"/>
          <w:b/>
          <w:color w:val="auto"/>
          <w:sz w:val="84"/>
          <w:szCs w:val="84"/>
          <w:highlight w:val="none"/>
        </w:rPr>
        <w:t>文</w:t>
      </w:r>
    </w:p>
    <w:p>
      <w:pPr>
        <w:jc w:val="center"/>
        <w:rPr>
          <w:rFonts w:ascii="宋体" w:hAnsi="宋体"/>
          <w:b/>
          <w:color w:val="auto"/>
          <w:sz w:val="84"/>
          <w:szCs w:val="84"/>
          <w:highlight w:val="none"/>
        </w:rPr>
      </w:pPr>
      <w:r>
        <w:rPr>
          <w:rFonts w:hint="eastAsia" w:ascii="宋体" w:hAnsi="宋体"/>
          <w:b/>
          <w:color w:val="auto"/>
          <w:sz w:val="84"/>
          <w:szCs w:val="84"/>
          <w:highlight w:val="none"/>
        </w:rPr>
        <w:t>件</w:t>
      </w: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pStyle w:val="33"/>
        <w:rPr>
          <w:color w:val="auto"/>
        </w:rPr>
      </w:pPr>
    </w:p>
    <w:p>
      <w:pPr>
        <w:spacing w:line="240" w:lineRule="exact"/>
        <w:rPr>
          <w:rFonts w:ascii="宋体" w:hAnsi="宋体"/>
          <w:b/>
          <w:color w:val="auto"/>
          <w:sz w:val="36"/>
          <w:szCs w:val="36"/>
          <w:highlight w:val="none"/>
        </w:rPr>
      </w:pPr>
    </w:p>
    <w:p>
      <w:pPr>
        <w:pStyle w:val="33"/>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pacing w:val="-20"/>
          <w:sz w:val="44"/>
          <w:szCs w:val="44"/>
          <w:highlight w:val="none"/>
          <w:lang w:eastAsia="zh-CN"/>
        </w:rPr>
      </w:pPr>
      <w:r>
        <w:rPr>
          <w:rFonts w:hint="eastAsia" w:asciiTheme="majorEastAsia" w:hAnsiTheme="majorEastAsia" w:eastAsiaTheme="majorEastAsia" w:cstheme="majorEastAsia"/>
          <w:b/>
          <w:color w:val="auto"/>
          <w:spacing w:val="-20"/>
          <w:sz w:val="44"/>
          <w:szCs w:val="44"/>
          <w:highlight w:val="none"/>
          <w:lang w:eastAsia="zh-CN"/>
        </w:rPr>
        <w:t>宁海县市场监督管理局</w:t>
      </w: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二〇二</w:t>
      </w:r>
      <w:r>
        <w:rPr>
          <w:rFonts w:hint="eastAsia" w:asciiTheme="majorEastAsia" w:hAnsiTheme="majorEastAsia" w:eastAsiaTheme="majorEastAsia" w:cstheme="majorEastAsia"/>
          <w:b/>
          <w:color w:val="auto"/>
          <w:sz w:val="44"/>
          <w:szCs w:val="44"/>
          <w:highlight w:val="none"/>
          <w:lang w:val="en-US" w:eastAsia="zh-CN"/>
        </w:rPr>
        <w:t>五</w:t>
      </w:r>
      <w:r>
        <w:rPr>
          <w:rFonts w:hint="eastAsia" w:asciiTheme="majorEastAsia" w:hAnsiTheme="majorEastAsia" w:eastAsiaTheme="majorEastAsia" w:cstheme="majorEastAsia"/>
          <w:b/>
          <w:color w:val="auto"/>
          <w:sz w:val="44"/>
          <w:szCs w:val="44"/>
          <w:highlight w:val="none"/>
        </w:rPr>
        <w:t>年</w:t>
      </w:r>
    </w:p>
    <w:p>
      <w:pPr>
        <w:pStyle w:val="13"/>
        <w:keepNext w:val="0"/>
        <w:keepLines w:val="0"/>
        <w:pageBreakBefore w:val="0"/>
        <w:widowControl w:val="0"/>
        <w:kinsoku/>
        <w:wordWrap/>
        <w:overflowPunct/>
        <w:topLinePunct w:val="0"/>
        <w:autoSpaceDE/>
        <w:autoSpaceDN/>
        <w:bidi w:val="0"/>
        <w:adjustRightInd/>
        <w:snapToGrid/>
        <w:spacing w:beforeLines="0" w:afterLines="0" w:line="800" w:lineRule="exact"/>
        <w:jc w:val="center"/>
        <w:textAlignment w:val="auto"/>
        <w:rPr>
          <w:rFonts w:hint="eastAsia" w:asciiTheme="majorEastAsia" w:hAnsiTheme="majorEastAsia" w:eastAsiaTheme="majorEastAsia" w:cstheme="majorEastAsia"/>
          <w:color w:val="auto"/>
          <w:sz w:val="44"/>
          <w:szCs w:val="44"/>
          <w:highlight w:val="none"/>
        </w:rPr>
        <w:sectPr>
          <w:pgSz w:w="11906" w:h="16838"/>
          <w:pgMar w:top="1440" w:right="1800" w:bottom="1440" w:left="1800" w:header="851" w:footer="992" w:gutter="0"/>
          <w:cols w:space="425" w:num="1"/>
          <w:docGrid w:type="lines" w:linePitch="312" w:charSpace="0"/>
        </w:sect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    录</w:t>
      </w:r>
    </w:p>
    <w:p>
      <w:pPr>
        <w:rPr>
          <w:rFonts w:ascii="宋体" w:hAnsi="宋体"/>
          <w:b/>
          <w:color w:val="auto"/>
          <w:sz w:val="28"/>
          <w:szCs w:val="28"/>
          <w:highlight w:val="none"/>
        </w:rPr>
      </w:pP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第一章  招标公告</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第二章  采购需求</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第三章  投标人须知</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第四章  评标办法及评标标准</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第五章  政府采购合同主要条款</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第六章  投标文件格式</w:t>
      </w:r>
    </w:p>
    <w:p>
      <w:pPr>
        <w:spacing w:line="600" w:lineRule="exact"/>
        <w:rPr>
          <w:rFonts w:ascii="宋体" w:hAnsi="宋体"/>
          <w:color w:val="auto"/>
          <w:sz w:val="32"/>
          <w:szCs w:val="32"/>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jc w:val="center"/>
        <w:outlineLvl w:val="0"/>
        <w:rPr>
          <w:rFonts w:ascii="黑体" w:hAnsi="宋体" w:eastAsia="黑体"/>
          <w:b/>
          <w:bCs/>
          <w:color w:val="auto"/>
          <w:sz w:val="28"/>
          <w:szCs w:val="28"/>
          <w:highlight w:val="none"/>
        </w:rPr>
      </w:pPr>
      <w:bookmarkStart w:id="5" w:name="_GoBack"/>
      <w:r>
        <w:rPr>
          <w:rFonts w:hint="eastAsia" w:ascii="黑体" w:hAnsi="宋体" w:eastAsia="黑体"/>
          <w:b/>
          <w:bCs/>
          <w:color w:val="auto"/>
          <w:sz w:val="28"/>
          <w:szCs w:val="28"/>
          <w:highlight w:val="none"/>
        </w:rPr>
        <w:t>第一章  招标公告</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49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宁海县市场监督管理局后勤服务外包采购项目</w:t>
            </w:r>
            <w:r>
              <w:rPr>
                <w:rFonts w:hint="eastAsia" w:asciiTheme="minorEastAsia" w:hAnsiTheme="minorEastAsia" w:eastAsiaTheme="minorEastAsia" w:cstheme="minorEastAsia"/>
                <w:color w:val="auto"/>
                <w:sz w:val="21"/>
                <w:szCs w:val="21"/>
                <w:highlight w:val="none"/>
              </w:rPr>
              <w:t>招标项目的潜在投标人应在</w:t>
            </w:r>
            <w:r>
              <w:rPr>
                <w:rFonts w:hint="eastAsia" w:asciiTheme="minorEastAsia" w:hAnsiTheme="minorEastAsia" w:eastAsiaTheme="minorEastAsia" w:cstheme="minorEastAsia"/>
                <w:color w:val="auto"/>
                <w:sz w:val="21"/>
                <w:szCs w:val="21"/>
                <w:highlight w:val="none"/>
                <w:u w:val="single"/>
              </w:rPr>
              <w:t> 政府采购云平台（www.zcygov.cn） </w:t>
            </w:r>
            <w:r>
              <w:rPr>
                <w:rFonts w:hint="eastAsia" w:asciiTheme="minorEastAsia" w:hAnsiTheme="minorEastAsia" w:eastAsiaTheme="minorEastAsia" w:cstheme="minorEastAsia"/>
                <w:color w:val="auto"/>
                <w:sz w:val="21"/>
                <w:szCs w:val="21"/>
                <w:highlight w:val="none"/>
              </w:rPr>
              <w:t>获取（下载）招标文件，并于</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 </w:t>
            </w:r>
            <w:r>
              <w:rPr>
                <w:rFonts w:hint="eastAsia" w:asciiTheme="minorEastAsia" w:hAnsiTheme="minorEastAsia" w:eastAsiaTheme="minorEastAsia" w:cstheme="minorEastAsia"/>
                <w:color w:val="auto"/>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NHZFCG-Z20250</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：宁海县市场监督管理局后勤服务外包采购项目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预算金额（元）：3210000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最高限价（元）：</w:t>
      </w:r>
      <w:r>
        <w:rPr>
          <w:rFonts w:hint="eastAsia" w:asciiTheme="minorEastAsia" w:hAnsiTheme="minorEastAsia" w:eastAsiaTheme="minorEastAsia" w:cstheme="minorEastAsia"/>
          <w:color w:val="auto"/>
          <w:sz w:val="21"/>
          <w:szCs w:val="21"/>
          <w:highlight w:val="none"/>
          <w:lang w:val="en-US" w:eastAsia="zh-CN"/>
        </w:rPr>
        <w:t>3210000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标项名称：</w:t>
      </w:r>
      <w:r>
        <w:rPr>
          <w:rFonts w:hint="eastAsia" w:asciiTheme="minorEastAsia" w:hAnsiTheme="minorEastAsia" w:eastAsiaTheme="minorEastAsia" w:cstheme="minorEastAsia"/>
          <w:color w:val="auto"/>
          <w:sz w:val="21"/>
          <w:szCs w:val="21"/>
          <w:highlight w:val="none"/>
          <w:lang w:val="en-US" w:eastAsia="zh-CN"/>
        </w:rPr>
        <w:t>宁海县市场监督管理局后勤服务外包采购项目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数量：3年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预算金额（元）：</w:t>
      </w:r>
      <w:r>
        <w:rPr>
          <w:rFonts w:hint="eastAsia" w:asciiTheme="minorEastAsia" w:hAnsiTheme="minorEastAsia" w:eastAsiaTheme="minorEastAsia" w:cstheme="minorEastAsia"/>
          <w:color w:val="auto"/>
          <w:sz w:val="21"/>
          <w:szCs w:val="21"/>
          <w:highlight w:val="none"/>
          <w:lang w:val="en-US" w:eastAsia="zh-CN"/>
        </w:rPr>
        <w:t>3210000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简要规格描述或项目基本概况介绍、用途：</w:t>
      </w:r>
      <w:r>
        <w:rPr>
          <w:rFonts w:hint="eastAsia" w:asciiTheme="minorEastAsia" w:hAnsiTheme="minorEastAsia" w:eastAsiaTheme="minorEastAsia" w:cstheme="minorEastAsia"/>
          <w:color w:val="auto"/>
          <w:sz w:val="21"/>
          <w:szCs w:val="21"/>
          <w:highlight w:val="none"/>
          <w:lang w:val="en-US" w:eastAsia="zh-CN"/>
        </w:rPr>
        <w:t>宁海县市场监督管理局后勤服务外包</w:t>
      </w:r>
      <w:r>
        <w:rPr>
          <w:rFonts w:hint="eastAsia" w:asciiTheme="minorEastAsia" w:hAnsiTheme="minorEastAsia" w:eastAsiaTheme="minorEastAsia" w:cstheme="minorEastAsia"/>
          <w:color w:val="auto"/>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合同履约期限：三年(具体时间以合同</w:t>
      </w:r>
      <w:r>
        <w:rPr>
          <w:rFonts w:hint="eastAsia" w:ascii="宋体" w:hAnsi="宋体" w:cs="宋体"/>
          <w:color w:val="auto"/>
          <w:sz w:val="21"/>
          <w:szCs w:val="21"/>
          <w:highlight w:val="none"/>
          <w:lang w:val="en-US" w:eastAsia="zh-CN"/>
        </w:rPr>
        <w:t>签订</w:t>
      </w:r>
      <w:r>
        <w:rPr>
          <w:rFonts w:hint="eastAsia" w:ascii="宋体" w:hAnsi="宋体" w:eastAsia="宋体" w:cs="宋体"/>
          <w:color w:val="auto"/>
          <w:sz w:val="21"/>
          <w:szCs w:val="21"/>
          <w:highlight w:val="none"/>
        </w:rPr>
        <w:t>为准)合同一年一签，经采购人考核同意后，方可续签下一年度合同。</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本项目（否）接受联合体投标。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1.满足《中华人民共和国政府采购法》第二十二条规定；未被“信用中国”（</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\t "_blank"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2.落实政府采购政策需满足的资格要求：本项目专门面向中小企业（监狱企业和残疾人福利性单位视同小微企业），投标人应满足《政府采购促进中小企业发展管理办法》（财库〔2020〕46号）的要求</w:t>
      </w:r>
      <w:r>
        <w:rPr>
          <w:rFonts w:hint="eastAsia" w:asciiTheme="minorEastAsia" w:hAnsiTheme="minorEastAsia" w:eastAsiaTheme="minorEastAsia" w:cstheme="minorEastAsia"/>
          <w:color w:val="auto"/>
          <w:sz w:val="21"/>
          <w:szCs w:val="21"/>
          <w:highlight w:val="none"/>
          <w:lang w:val="en-US" w:eastAsia="zh-CN"/>
        </w:rPr>
        <w:t>并提供中小企业声明函（格式见附件）</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日</w:t>
      </w:r>
      <w:r>
        <w:rPr>
          <w:rFonts w:hint="eastAsia" w:asciiTheme="minorEastAsia" w:hAnsiTheme="minorEastAsia" w:eastAsiaTheme="minorEastAsia" w:cstheme="minorEastAsia"/>
          <w:color w:val="auto"/>
          <w:sz w:val="21"/>
          <w:szCs w:val="21"/>
          <w:highlight w:val="none"/>
        </w:rPr>
        <w:t>，每天上午</w:t>
      </w:r>
      <w:r>
        <w:rPr>
          <w:rFonts w:hint="eastAsia" w:asciiTheme="minorEastAsia" w:hAnsiTheme="minorEastAsia" w:eastAsiaTheme="minorEastAsia" w:cstheme="minorEastAsia"/>
          <w:color w:val="auto"/>
          <w:sz w:val="21"/>
          <w:szCs w:val="21"/>
          <w:highlight w:val="none"/>
          <w:u w:val="single"/>
        </w:rPr>
        <w:t>00:00至12:00</w:t>
      </w:r>
      <w:r>
        <w:rPr>
          <w:rFonts w:hint="eastAsia" w:asciiTheme="minorEastAsia" w:hAnsiTheme="minorEastAsia" w:eastAsiaTheme="minorEastAsia" w:cstheme="minorEastAsia"/>
          <w:color w:val="auto"/>
          <w:sz w:val="21"/>
          <w:szCs w:val="21"/>
          <w:highlight w:val="none"/>
        </w:rPr>
        <w:t>，下午</w:t>
      </w:r>
      <w:r>
        <w:rPr>
          <w:rFonts w:hint="eastAsia" w:asciiTheme="minorEastAsia" w:hAnsiTheme="minorEastAsia" w:eastAsiaTheme="minorEastAsia" w:cstheme="minorEastAsia"/>
          <w:color w:val="auto"/>
          <w:sz w:val="21"/>
          <w:szCs w:val="21"/>
          <w:highlight w:val="none"/>
          <w:u w:val="single"/>
        </w:rPr>
        <w:t>12:00至23:59 </w:t>
      </w:r>
      <w:r>
        <w:rPr>
          <w:rFonts w:hint="eastAsia" w:asciiTheme="minorEastAsia" w:hAnsiTheme="minorEastAsia" w:eastAsiaTheme="minorEastAsia" w:cstheme="minorEastAsia"/>
          <w:color w:val="auto"/>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售价（元）：0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提交投标文件截止时间：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w:t>
      </w:r>
      <w:r>
        <w:rPr>
          <w:rFonts w:hint="eastAsia" w:asciiTheme="minorEastAsia" w:hAnsiTheme="minorEastAsia" w:eastAsiaTheme="minorEastAsia" w:cstheme="minorEastAsia"/>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 《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其他事项：</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（1）供应商需按照《浙江省政府采购供应商注册及诚信管理暂行办法》的规定在“浙江政府采购网(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（3）供应商如提供电子备份投标文件的，应于</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cstheme="minorEastAsia"/>
          <w:color w:val="auto"/>
          <w:sz w:val="21"/>
          <w:szCs w:val="21"/>
          <w:highlight w:val="none"/>
          <w:lang w:eastAsia="zh-CN"/>
        </w:rPr>
        <w:t>宁海县政务服务中心</w:t>
      </w:r>
      <w:r>
        <w:rPr>
          <w:rFonts w:hint="eastAsia" w:asciiTheme="minorEastAsia" w:hAnsiTheme="minorEastAsia" w:eastAsiaTheme="minorEastAsia" w:cstheme="minorEastAsia"/>
          <w:color w:val="auto"/>
          <w:sz w:val="21"/>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cstheme="minorEastAsia"/>
          <w:color w:val="auto"/>
          <w:sz w:val="21"/>
          <w:szCs w:val="21"/>
          <w:highlight w:val="none"/>
          <w:lang w:val="en-US" w:eastAsia="zh-CN"/>
        </w:rPr>
        <w:t>戴莹莹</w:t>
      </w:r>
      <w:r>
        <w:rPr>
          <w:rFonts w:hint="eastAsia" w:asciiTheme="minorEastAsia" w:hAnsiTheme="minorEastAsia" w:eastAsiaTheme="minorEastAsia" w:cstheme="minorEastAsia"/>
          <w:color w:val="auto"/>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（4）采购代理机构在招标文件规定的时间通过政府采购云平台组织开标、开启投标文件，所有供应商均应准时在线参加。开标时间后30分钟内（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9点30分前）供应商可以登录政府采购云平台，用“项目采购-开标评标”功能解密投标文件。若供应商在规定时间内（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9点30分前）无法解密或解密失败，可使用电子备份投标文件进行评标，若供应商电子投标文件和电子备份投标文件均无法解密或解密失败，视为供应商放弃投标。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宁海县市场监督管理局</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lang w:eastAsia="zh-CN"/>
        </w:rPr>
        <w:t>宁波市宁海县跃龙街道环城西路36号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eastAsia="zh-CN"/>
        </w:rPr>
        <w:t>王平超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18989335091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eastAsia="zh-CN"/>
        </w:rPr>
        <w:t>陈振华</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15058270355</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0574-65131831</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val="en-US" w:eastAsia="zh-CN"/>
        </w:rPr>
        <w:t>戴莹莹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0574-65131832</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val="en-US" w:eastAsia="zh-CN"/>
        </w:rPr>
        <w:t>应晓燕</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宁海县跃龙街道桃源中路218号</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w:t>
      </w:r>
      <w:r>
        <w:rPr>
          <w:rFonts w:hint="eastAsia" w:asciiTheme="minorEastAsia" w:hAnsiTheme="minorEastAsia" w:eastAsiaTheme="minorEastAsia" w:cstheme="minorEastAsia"/>
          <w:color w:val="auto"/>
          <w:sz w:val="21"/>
          <w:szCs w:val="21"/>
          <w:highlight w:val="none"/>
          <w:u w:val="single"/>
        </w:rPr>
        <w:t>0574-65265668</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CA问题联系电话（人工）：汇信CA 400-888-4636；天谷CA 400-087-8198。</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bookmarkEnd w:id="5"/>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第二章  采购需求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eastAsia="宋体" w:cs="宋体"/>
          <w:b/>
          <w:bCs/>
          <w:i w:val="0"/>
          <w:caps w:val="0"/>
          <w:color w:val="auto"/>
          <w:spacing w:val="0"/>
          <w:sz w:val="21"/>
          <w:szCs w:val="21"/>
          <w:highlight w:val="none"/>
          <w:shd w:val="clear" w:fill="FFFFFF"/>
          <w:lang w:val="en-US" w:eastAsia="zh-CN"/>
        </w:rPr>
        <w:t>一、项目概况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宁海县市场监督管理局位于跃龙街道环城西路 36 号，要求投标人充分理解本项目的特点，以采购人的满意度为服务标准，要求制定服务外包方案，并按投标响应和承诺进行实施运作。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本项目将由一家单位独立承包，实行统一管理，综合服务，不得分包经营。项目实行总负责制。要求投标人承诺派出的核心服务团队成员到岗率达100%，并接受采购人的考核。要求服务人员配置合理，统筹使用。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highlight w:val="none"/>
          <w:lang w:val="en-US" w:eastAsia="zh-CN"/>
        </w:rPr>
      </w:pPr>
      <w:r>
        <w:rPr>
          <w:rFonts w:hint="eastAsia" w:ascii="宋体" w:hAnsi="宋体" w:cs="宋体"/>
          <w:b/>
          <w:bCs/>
          <w:i w:val="0"/>
          <w:caps w:val="0"/>
          <w:color w:val="auto"/>
          <w:spacing w:val="0"/>
          <w:sz w:val="21"/>
          <w:szCs w:val="21"/>
          <w:highlight w:val="none"/>
          <w:shd w:val="clear" w:fill="FFFFFF"/>
          <w:lang w:val="en-US" w:eastAsia="zh-CN"/>
        </w:rPr>
        <w:t>二</w:t>
      </w:r>
      <w:r>
        <w:rPr>
          <w:rFonts w:hint="eastAsia" w:ascii="宋体" w:hAnsi="宋体" w:eastAsia="宋体" w:cs="宋体"/>
          <w:b/>
          <w:bCs/>
          <w:i w:val="0"/>
          <w:caps w:val="0"/>
          <w:color w:val="auto"/>
          <w:spacing w:val="0"/>
          <w:sz w:val="21"/>
          <w:szCs w:val="21"/>
          <w:highlight w:val="none"/>
          <w:shd w:val="clear" w:fill="FFFFFF"/>
          <w:lang w:val="en-US" w:eastAsia="zh-CN"/>
        </w:rPr>
        <w:t>、服务要求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人员配置及要求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p>
    <w:tbl>
      <w:tblPr>
        <w:tblStyle w:val="24"/>
        <w:tblW w:w="7824" w:type="dxa"/>
        <w:jc w:val="center"/>
        <w:tblInd w:w="-39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11"/>
        <w:gridCol w:w="1860"/>
        <w:gridCol w:w="2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noWrap w:val="0"/>
            <w:vAlign w:val="center"/>
          </w:tcPr>
          <w:p>
            <w:pPr>
              <w:pStyle w:val="2"/>
              <w:ind w:left="0" w:leftChars="0" w:firstLine="0" w:firstLineChars="0"/>
              <w:rPr>
                <w:rFonts w:hint="eastAsia"/>
              </w:rPr>
            </w:pPr>
            <w:r>
              <w:rPr>
                <w:rFonts w:hint="eastAsia"/>
              </w:rPr>
              <w:t>序号</w:t>
            </w:r>
          </w:p>
        </w:tc>
        <w:tc>
          <w:tcPr>
            <w:tcW w:w="1811" w:type="dxa"/>
            <w:noWrap w:val="0"/>
            <w:vAlign w:val="center"/>
          </w:tcPr>
          <w:p>
            <w:pPr>
              <w:pStyle w:val="2"/>
              <w:ind w:left="0" w:leftChars="0" w:firstLine="0" w:firstLineChars="0"/>
              <w:rPr>
                <w:rFonts w:hint="eastAsia"/>
                <w:lang w:val="en-US" w:eastAsia="zh-CN"/>
              </w:rPr>
            </w:pPr>
            <w:r>
              <w:rPr>
                <w:rFonts w:hint="eastAsia"/>
                <w:lang w:val="en-US" w:eastAsia="zh-CN"/>
              </w:rPr>
              <w:t>部门</w:t>
            </w: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岗位</w:t>
            </w:r>
          </w:p>
        </w:tc>
        <w:tc>
          <w:tcPr>
            <w:tcW w:w="2918" w:type="dxa"/>
            <w:noWrap w:val="0"/>
            <w:vAlign w:val="center"/>
          </w:tcPr>
          <w:p>
            <w:pPr>
              <w:pStyle w:val="2"/>
              <w:ind w:left="0" w:leftChars="0" w:firstLine="0" w:firstLineChars="0"/>
              <w:jc w:val="center"/>
              <w:rPr>
                <w:rFonts w:hint="eastAsia"/>
                <w:lang w:eastAsia="zh-CN"/>
              </w:rPr>
            </w:pPr>
            <w:r>
              <w:rPr>
                <w:rFonts w:hint="eastAsia"/>
              </w:rPr>
              <w:t>数量</w:t>
            </w:r>
            <w:r>
              <w:rPr>
                <w:rFonts w:hint="eastAsia"/>
                <w:lang w:eastAsia="zh-CN"/>
              </w:rPr>
              <w:t>（</w:t>
            </w:r>
            <w:r>
              <w:rPr>
                <w:rFonts w:hint="eastAsia"/>
                <w:lang w:val="en-US" w:eastAsia="zh-CN"/>
              </w:rPr>
              <w:t>人</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lang w:val="en-US" w:eastAsia="zh-CN"/>
              </w:rPr>
            </w:pPr>
            <w:r>
              <w:rPr>
                <w:rFonts w:hint="eastAsia"/>
                <w:lang w:val="en-US" w:eastAsia="zh-CN"/>
              </w:rPr>
              <w:t>1</w:t>
            </w:r>
          </w:p>
        </w:tc>
        <w:tc>
          <w:tcPr>
            <w:tcW w:w="1811" w:type="dxa"/>
            <w:vMerge w:val="restart"/>
            <w:noWrap w:val="0"/>
            <w:vAlign w:val="center"/>
          </w:tcPr>
          <w:p>
            <w:pPr>
              <w:pStyle w:val="2"/>
              <w:ind w:left="0" w:leftChars="0" w:firstLine="0" w:firstLineChars="0"/>
              <w:rPr>
                <w:rFonts w:hint="eastAsia"/>
                <w:lang w:val="en-US" w:eastAsia="zh-CN"/>
              </w:rPr>
            </w:pPr>
            <w:r>
              <w:rPr>
                <w:rFonts w:hint="eastAsia"/>
                <w:lang w:val="en-US" w:eastAsia="zh-CN"/>
              </w:rPr>
              <w:t>局机关</w:t>
            </w:r>
          </w:p>
        </w:tc>
        <w:tc>
          <w:tcPr>
            <w:tcW w:w="1860" w:type="dxa"/>
            <w:noWrap w:val="0"/>
            <w:vAlign w:val="center"/>
          </w:tcPr>
          <w:p>
            <w:pPr>
              <w:pStyle w:val="2"/>
              <w:ind w:left="0" w:leftChars="0" w:firstLine="0" w:firstLineChars="0"/>
              <w:rPr>
                <w:rFonts w:hint="eastAsia"/>
              </w:rPr>
            </w:pPr>
            <w:r>
              <w:rPr>
                <w:rFonts w:hint="eastAsia"/>
                <w:lang w:val="en-US" w:eastAsia="zh-CN"/>
              </w:rPr>
              <w:t>门卫</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highlight w:val="none"/>
                <w:lang w:val="en-US" w:eastAsia="zh-CN"/>
              </w:rPr>
            </w:pPr>
          </w:p>
        </w:tc>
        <w:tc>
          <w:tcPr>
            <w:tcW w:w="1811" w:type="dxa"/>
            <w:vMerge w:val="continue"/>
            <w:noWrap w:val="0"/>
            <w:vAlign w:val="center"/>
          </w:tcPr>
          <w:p>
            <w:pPr>
              <w:pStyle w:val="2"/>
              <w:ind w:left="0" w:leftChars="0" w:firstLine="0" w:firstLineChars="0"/>
              <w:rPr>
                <w:rFonts w:hint="eastAsia"/>
                <w:highlight w:val="none"/>
              </w:rPr>
            </w:pP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保洁</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电工</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辅助管理</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lang w:val="en-US" w:eastAsia="zh-CN"/>
              </w:rPr>
            </w:pPr>
            <w:r>
              <w:rPr>
                <w:rFonts w:hint="eastAsia"/>
                <w:lang w:val="en-US" w:eastAsia="zh-CN"/>
              </w:rPr>
              <w:t>2</w:t>
            </w:r>
          </w:p>
        </w:tc>
        <w:tc>
          <w:tcPr>
            <w:tcW w:w="1811" w:type="dxa"/>
            <w:vMerge w:val="restart"/>
            <w:noWrap w:val="0"/>
            <w:vAlign w:val="center"/>
          </w:tcPr>
          <w:p>
            <w:pPr>
              <w:pStyle w:val="2"/>
              <w:ind w:left="0" w:leftChars="0" w:firstLine="0" w:firstLineChars="0"/>
              <w:rPr>
                <w:rFonts w:hint="eastAsia"/>
                <w:lang w:val="en-US" w:eastAsia="zh-CN"/>
              </w:rPr>
            </w:pPr>
            <w:r>
              <w:rPr>
                <w:rFonts w:hint="eastAsia"/>
                <w:lang w:val="en-US" w:eastAsia="zh-CN"/>
              </w:rPr>
              <w:t>跃龙所</w:t>
            </w: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门卫</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highlight w:val="none"/>
                <w:lang w:val="en-US" w:eastAsia="zh-CN"/>
              </w:rPr>
            </w:pPr>
          </w:p>
        </w:tc>
        <w:tc>
          <w:tcPr>
            <w:tcW w:w="1811" w:type="dxa"/>
            <w:vMerge w:val="continue"/>
            <w:noWrap w:val="0"/>
            <w:vAlign w:val="center"/>
          </w:tcPr>
          <w:p>
            <w:pPr>
              <w:pStyle w:val="2"/>
              <w:ind w:left="0" w:leftChars="0" w:firstLine="0" w:firstLineChars="0"/>
              <w:rPr>
                <w:rFonts w:hint="eastAsia"/>
                <w:highlight w:val="none"/>
              </w:rPr>
            </w:pP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帮厨+保洁</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highlight w:val="none"/>
                <w:lang w:val="en-US" w:eastAsia="zh-CN"/>
              </w:rPr>
            </w:pPr>
          </w:p>
        </w:tc>
        <w:tc>
          <w:tcPr>
            <w:tcW w:w="1811" w:type="dxa"/>
            <w:vMerge w:val="continue"/>
            <w:noWrap w:val="0"/>
            <w:vAlign w:val="center"/>
          </w:tcPr>
          <w:p>
            <w:pPr>
              <w:pStyle w:val="2"/>
              <w:ind w:left="0" w:leftChars="0" w:firstLine="0" w:firstLineChars="0"/>
              <w:rPr>
                <w:rFonts w:hint="eastAsia"/>
                <w:highlight w:val="none"/>
              </w:rPr>
            </w:pP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235" w:type="dxa"/>
            <w:vMerge w:val="restart"/>
            <w:noWrap w:val="0"/>
            <w:vAlign w:val="center"/>
          </w:tcPr>
          <w:p>
            <w:pPr>
              <w:pStyle w:val="2"/>
              <w:ind w:left="0" w:leftChars="0" w:firstLine="0" w:firstLineChars="0"/>
              <w:jc w:val="center"/>
              <w:rPr>
                <w:rFonts w:hint="eastAsia"/>
                <w:lang w:val="en-US" w:eastAsia="zh-CN"/>
              </w:rPr>
            </w:pPr>
            <w:r>
              <w:rPr>
                <w:rFonts w:hint="eastAsia"/>
                <w:lang w:val="en-US" w:eastAsia="zh-CN"/>
              </w:rPr>
              <w:t>3</w:t>
            </w:r>
          </w:p>
        </w:tc>
        <w:tc>
          <w:tcPr>
            <w:tcW w:w="1811" w:type="dxa"/>
            <w:vMerge w:val="restart"/>
            <w:noWrap w:val="0"/>
            <w:vAlign w:val="center"/>
          </w:tcPr>
          <w:p>
            <w:pPr>
              <w:pStyle w:val="2"/>
              <w:ind w:left="0" w:leftChars="0" w:firstLine="0" w:firstLineChars="0"/>
              <w:rPr>
                <w:rFonts w:hint="eastAsia"/>
              </w:rPr>
            </w:pPr>
            <w:r>
              <w:rPr>
                <w:rFonts w:hint="eastAsia"/>
              </w:rPr>
              <w:t>直属二所</w:t>
            </w: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门卫</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highlight w:val="none"/>
                <w:lang w:val="en-US" w:eastAsia="zh-CN"/>
              </w:rPr>
            </w:pPr>
          </w:p>
        </w:tc>
        <w:tc>
          <w:tcPr>
            <w:tcW w:w="1811" w:type="dxa"/>
            <w:vMerge w:val="continue"/>
            <w:noWrap w:val="0"/>
            <w:vAlign w:val="center"/>
          </w:tcPr>
          <w:p>
            <w:pPr>
              <w:pStyle w:val="2"/>
              <w:ind w:left="0" w:leftChars="0" w:firstLine="0" w:firstLineChars="0"/>
              <w:rPr>
                <w:rFonts w:hint="eastAsia"/>
                <w:highlight w:val="none"/>
              </w:rPr>
            </w:pP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1235" w:type="dxa"/>
            <w:vMerge w:val="continue"/>
            <w:noWrap w:val="0"/>
            <w:vAlign w:val="center"/>
          </w:tcPr>
          <w:p>
            <w:pPr>
              <w:pStyle w:val="2"/>
              <w:ind w:left="0" w:leftChars="0" w:firstLine="0" w:firstLineChars="0"/>
              <w:jc w:val="center"/>
              <w:rPr>
                <w:rFonts w:hint="eastAsia"/>
                <w:highlight w:val="none"/>
                <w:lang w:val="en-US" w:eastAsia="zh-CN"/>
              </w:rPr>
            </w:pPr>
          </w:p>
        </w:tc>
        <w:tc>
          <w:tcPr>
            <w:tcW w:w="1811" w:type="dxa"/>
            <w:vMerge w:val="restart"/>
            <w:noWrap w:val="0"/>
            <w:vAlign w:val="center"/>
          </w:tcPr>
          <w:p>
            <w:pPr>
              <w:pStyle w:val="2"/>
              <w:ind w:left="0" w:leftChars="0" w:firstLine="0" w:firstLineChars="0"/>
              <w:rPr>
                <w:rFonts w:hint="eastAsia"/>
                <w:highlight w:val="none"/>
              </w:rPr>
            </w:pPr>
            <w:r>
              <w:rPr>
                <w:rFonts w:hint="eastAsia"/>
                <w:highlight w:val="none"/>
              </w:rPr>
              <w:t>梅林所</w:t>
            </w: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highlight w:val="none"/>
                <w:lang w:val="en-US"/>
              </w:rPr>
            </w:pPr>
          </w:p>
        </w:tc>
        <w:tc>
          <w:tcPr>
            <w:tcW w:w="1811" w:type="dxa"/>
            <w:vMerge w:val="continue"/>
            <w:noWrap w:val="0"/>
            <w:vAlign w:val="center"/>
          </w:tcPr>
          <w:p>
            <w:pPr>
              <w:pStyle w:val="2"/>
              <w:ind w:left="0" w:leftChars="0" w:firstLine="0" w:firstLineChars="0"/>
              <w:rPr>
                <w:rFonts w:hint="eastAsia"/>
                <w:highlight w:val="none"/>
              </w:rPr>
            </w:pPr>
          </w:p>
        </w:tc>
        <w:tc>
          <w:tcPr>
            <w:tcW w:w="1860" w:type="dxa"/>
            <w:noWrap w:val="0"/>
            <w:vAlign w:val="center"/>
          </w:tcPr>
          <w:p>
            <w:pPr>
              <w:pStyle w:val="2"/>
              <w:ind w:left="0" w:leftChars="0" w:firstLine="0" w:firstLineChars="0"/>
              <w:rPr>
                <w:rFonts w:hint="eastAsia"/>
                <w:highlight w:val="none"/>
              </w:rPr>
            </w:pPr>
            <w:r>
              <w:rPr>
                <w:rFonts w:hint="eastAsia"/>
                <w:highlight w:val="none"/>
                <w:lang w:val="en-US" w:eastAsia="zh-CN"/>
              </w:rPr>
              <w:t>门卫+保洁</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4</w:t>
            </w:r>
          </w:p>
        </w:tc>
        <w:tc>
          <w:tcPr>
            <w:tcW w:w="1811" w:type="dxa"/>
            <w:vMerge w:val="restart"/>
            <w:noWrap w:val="0"/>
            <w:vAlign w:val="center"/>
          </w:tcPr>
          <w:p>
            <w:pPr>
              <w:pStyle w:val="2"/>
              <w:ind w:left="0" w:leftChars="0" w:firstLine="0" w:firstLineChars="0"/>
              <w:rPr>
                <w:rFonts w:hint="eastAsia"/>
                <w:highlight w:val="none"/>
              </w:rPr>
            </w:pPr>
            <w:r>
              <w:rPr>
                <w:rFonts w:hint="eastAsia"/>
                <w:highlight w:val="none"/>
              </w:rPr>
              <w:t>桥头胡所</w:t>
            </w:r>
          </w:p>
        </w:tc>
        <w:tc>
          <w:tcPr>
            <w:tcW w:w="1860" w:type="dxa"/>
            <w:noWrap w:val="0"/>
            <w:vAlign w:val="center"/>
          </w:tcPr>
          <w:p>
            <w:pPr>
              <w:pStyle w:val="2"/>
              <w:ind w:left="0" w:leftChars="0" w:firstLine="0" w:firstLineChars="0"/>
              <w:rPr>
                <w:rFonts w:hint="eastAsia"/>
                <w:highlight w:val="none"/>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门卫+保洁</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5</w:t>
            </w:r>
          </w:p>
        </w:tc>
        <w:tc>
          <w:tcPr>
            <w:tcW w:w="1811" w:type="dxa"/>
            <w:vMerge w:val="restart"/>
            <w:noWrap w:val="0"/>
            <w:vAlign w:val="center"/>
          </w:tcPr>
          <w:p>
            <w:pPr>
              <w:pStyle w:val="2"/>
              <w:ind w:left="0" w:leftChars="0" w:firstLine="0" w:firstLineChars="0"/>
              <w:rPr>
                <w:rFonts w:hint="eastAsia"/>
                <w:highlight w:val="none"/>
              </w:rPr>
            </w:pPr>
            <w:r>
              <w:rPr>
                <w:rFonts w:hint="eastAsia"/>
                <w:highlight w:val="none"/>
              </w:rPr>
              <w:t>力洋所</w:t>
            </w: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门卫</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noWrap w:val="0"/>
            <w:vAlign w:val="center"/>
          </w:tcPr>
          <w:p>
            <w:pPr>
              <w:pStyle w:val="2"/>
              <w:ind w:left="0" w:leftChars="0" w:firstLine="0" w:firstLineChars="0"/>
              <w:jc w:val="center"/>
              <w:rPr>
                <w:rFonts w:hint="eastAsia"/>
                <w:lang w:val="en-US" w:eastAsia="zh-CN"/>
              </w:rPr>
            </w:pPr>
            <w:r>
              <w:rPr>
                <w:rFonts w:hint="eastAsia"/>
                <w:lang w:val="en-US" w:eastAsia="zh-CN"/>
              </w:rPr>
              <w:t>6</w:t>
            </w:r>
          </w:p>
        </w:tc>
        <w:tc>
          <w:tcPr>
            <w:tcW w:w="1811" w:type="dxa"/>
            <w:noWrap w:val="0"/>
            <w:vAlign w:val="center"/>
          </w:tcPr>
          <w:p>
            <w:pPr>
              <w:pStyle w:val="2"/>
              <w:ind w:left="0" w:leftChars="0" w:firstLine="0" w:firstLineChars="0"/>
              <w:rPr>
                <w:rFonts w:hint="eastAsia"/>
                <w:lang w:val="en-US" w:eastAsia="zh-CN"/>
              </w:rPr>
            </w:pPr>
            <w:r>
              <w:rPr>
                <w:rFonts w:hint="eastAsia"/>
                <w:lang w:val="en-US" w:eastAsia="zh-CN"/>
              </w:rPr>
              <w:t>长街所</w:t>
            </w:r>
          </w:p>
        </w:tc>
        <w:tc>
          <w:tcPr>
            <w:tcW w:w="1860" w:type="dxa"/>
            <w:noWrap w:val="0"/>
            <w:vAlign w:val="center"/>
          </w:tcPr>
          <w:p>
            <w:pPr>
              <w:pStyle w:val="2"/>
              <w:ind w:left="0" w:leftChars="0" w:firstLine="0" w:firstLineChars="0"/>
              <w:rPr>
                <w:rFonts w:hint="eastAsia"/>
              </w:rPr>
            </w:pPr>
            <w:r>
              <w:rPr>
                <w:rFonts w:hint="eastAsia"/>
              </w:rPr>
              <w:t>食堂保洁</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7</w:t>
            </w:r>
          </w:p>
        </w:tc>
        <w:tc>
          <w:tcPr>
            <w:tcW w:w="1811" w:type="dxa"/>
            <w:noWrap w:val="0"/>
            <w:vAlign w:val="center"/>
          </w:tcPr>
          <w:p>
            <w:pPr>
              <w:pStyle w:val="2"/>
              <w:ind w:left="0" w:leftChars="0" w:firstLine="0" w:firstLineChars="0"/>
              <w:rPr>
                <w:rFonts w:hint="eastAsia"/>
                <w:highlight w:val="none"/>
              </w:rPr>
            </w:pPr>
            <w:r>
              <w:rPr>
                <w:rFonts w:hint="eastAsia"/>
                <w:highlight w:val="none"/>
              </w:rPr>
              <w:t>深甽所</w:t>
            </w: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8</w:t>
            </w:r>
          </w:p>
        </w:tc>
        <w:tc>
          <w:tcPr>
            <w:tcW w:w="1811" w:type="dxa"/>
            <w:vMerge w:val="restart"/>
            <w:noWrap w:val="0"/>
            <w:vAlign w:val="center"/>
          </w:tcPr>
          <w:p>
            <w:pPr>
              <w:pStyle w:val="2"/>
              <w:ind w:left="0" w:leftChars="0" w:firstLine="0" w:firstLineChars="0"/>
              <w:rPr>
                <w:rFonts w:hint="eastAsia"/>
                <w:highlight w:val="none"/>
              </w:rPr>
            </w:pPr>
            <w:r>
              <w:rPr>
                <w:rFonts w:hint="eastAsia"/>
                <w:highlight w:val="none"/>
              </w:rPr>
              <w:t>岔路所</w:t>
            </w: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门卫</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9</w:t>
            </w:r>
          </w:p>
        </w:tc>
        <w:tc>
          <w:tcPr>
            <w:tcW w:w="1811" w:type="dxa"/>
            <w:noWrap w:val="0"/>
            <w:vAlign w:val="center"/>
          </w:tcPr>
          <w:p>
            <w:pPr>
              <w:pStyle w:val="2"/>
              <w:ind w:left="0" w:leftChars="0" w:firstLine="0" w:firstLineChars="0"/>
              <w:rPr>
                <w:rFonts w:hint="eastAsia"/>
                <w:highlight w:val="none"/>
              </w:rPr>
            </w:pPr>
            <w:r>
              <w:rPr>
                <w:rFonts w:hint="eastAsia"/>
                <w:highlight w:val="none"/>
              </w:rPr>
              <w:t>一市所</w:t>
            </w: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10</w:t>
            </w:r>
          </w:p>
        </w:tc>
        <w:tc>
          <w:tcPr>
            <w:tcW w:w="1811" w:type="dxa"/>
            <w:vMerge w:val="restart"/>
            <w:noWrap w:val="0"/>
            <w:vAlign w:val="center"/>
          </w:tcPr>
          <w:p>
            <w:pPr>
              <w:pStyle w:val="2"/>
              <w:ind w:left="0" w:leftChars="0" w:firstLine="0" w:firstLineChars="0"/>
              <w:rPr>
                <w:rFonts w:hint="eastAsia"/>
                <w:highlight w:val="none"/>
              </w:rPr>
            </w:pPr>
            <w:r>
              <w:rPr>
                <w:rFonts w:hint="eastAsia"/>
                <w:highlight w:val="none"/>
              </w:rPr>
              <w:t>西店分局</w:t>
            </w: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门卫</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11</w:t>
            </w:r>
          </w:p>
        </w:tc>
        <w:tc>
          <w:tcPr>
            <w:tcW w:w="1811" w:type="dxa"/>
            <w:vMerge w:val="restart"/>
            <w:noWrap w:val="0"/>
            <w:vAlign w:val="center"/>
          </w:tcPr>
          <w:p>
            <w:pPr>
              <w:pStyle w:val="2"/>
              <w:ind w:left="0" w:leftChars="0" w:firstLine="0" w:firstLineChars="0"/>
              <w:rPr>
                <w:rFonts w:hint="eastAsia"/>
                <w:highlight w:val="none"/>
              </w:rPr>
            </w:pPr>
            <w:r>
              <w:rPr>
                <w:rFonts w:hint="eastAsia"/>
                <w:highlight w:val="none"/>
              </w:rPr>
              <w:t>食检中心</w:t>
            </w: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保安</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保洁</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jc w:val="center"/>
              <w:rPr>
                <w:rFonts w:hint="eastAsia"/>
                <w:highlight w:val="none"/>
              </w:rPr>
            </w:pPr>
          </w:p>
        </w:tc>
        <w:tc>
          <w:tcPr>
            <w:tcW w:w="1811" w:type="dxa"/>
            <w:vMerge w:val="continue"/>
            <w:noWrap w:val="0"/>
            <w:vAlign w:val="center"/>
          </w:tcPr>
          <w:p>
            <w:pPr>
              <w:pStyle w:val="2"/>
              <w:ind w:left="0" w:leftChars="0" w:firstLine="0" w:firstLineChars="0"/>
              <w:rPr>
                <w:rFonts w:hint="eastAsia"/>
                <w:highlight w:val="none"/>
              </w:rPr>
            </w:pPr>
          </w:p>
        </w:tc>
        <w:tc>
          <w:tcPr>
            <w:tcW w:w="1860" w:type="dxa"/>
            <w:noWrap w:val="0"/>
            <w:vAlign w:val="center"/>
          </w:tcPr>
          <w:p>
            <w:pPr>
              <w:pStyle w:val="2"/>
              <w:ind w:left="0" w:leftChars="0" w:firstLine="0" w:firstLineChars="0"/>
              <w:rPr>
                <w:rFonts w:hint="eastAsia"/>
                <w:highlight w:val="none"/>
                <w:lang w:val="en-US" w:eastAsia="zh-CN"/>
              </w:rPr>
            </w:pPr>
            <w:r>
              <w:rPr>
                <w:rFonts w:hint="eastAsia"/>
                <w:highlight w:val="none"/>
                <w:lang w:val="en-US" w:eastAsia="zh-CN"/>
              </w:rPr>
              <w:t>帮厨</w:t>
            </w:r>
          </w:p>
        </w:tc>
        <w:tc>
          <w:tcPr>
            <w:tcW w:w="2918" w:type="dxa"/>
            <w:noWrap w:val="0"/>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restart"/>
            <w:noWrap w:val="0"/>
            <w:vAlign w:val="center"/>
          </w:tcPr>
          <w:p>
            <w:pPr>
              <w:pStyle w:val="2"/>
              <w:ind w:left="0" w:leftChars="0" w:firstLine="0" w:firstLineChars="0"/>
              <w:jc w:val="center"/>
              <w:rPr>
                <w:rFonts w:hint="eastAsia"/>
                <w:lang w:val="en-US" w:eastAsia="zh-CN"/>
              </w:rPr>
            </w:pPr>
            <w:r>
              <w:rPr>
                <w:rFonts w:hint="eastAsia"/>
                <w:lang w:val="en-US" w:eastAsia="zh-CN"/>
              </w:rPr>
              <w:t>12</w:t>
            </w:r>
          </w:p>
        </w:tc>
        <w:tc>
          <w:tcPr>
            <w:tcW w:w="1811" w:type="dxa"/>
            <w:vMerge w:val="restart"/>
            <w:noWrap w:val="0"/>
            <w:vAlign w:val="center"/>
          </w:tcPr>
          <w:p>
            <w:pPr>
              <w:pStyle w:val="2"/>
              <w:ind w:left="0" w:leftChars="0" w:firstLine="0" w:firstLineChars="0"/>
              <w:rPr>
                <w:rFonts w:hint="eastAsia"/>
              </w:rPr>
            </w:pPr>
            <w:r>
              <w:rPr>
                <w:rFonts w:hint="eastAsia"/>
              </w:rPr>
              <w:t>计量所</w:t>
            </w: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保安</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保洁</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1235" w:type="dxa"/>
            <w:vMerge w:val="continue"/>
            <w:noWrap w:val="0"/>
            <w:vAlign w:val="center"/>
          </w:tcPr>
          <w:p>
            <w:pPr>
              <w:pStyle w:val="2"/>
              <w:ind w:left="0" w:leftChars="0" w:firstLine="0" w:firstLineChars="0"/>
              <w:rPr>
                <w:rFonts w:hint="eastAsia"/>
              </w:rPr>
            </w:pPr>
          </w:p>
        </w:tc>
        <w:tc>
          <w:tcPr>
            <w:tcW w:w="1811" w:type="dxa"/>
            <w:vMerge w:val="continue"/>
            <w:noWrap w:val="0"/>
            <w:vAlign w:val="center"/>
          </w:tcPr>
          <w:p>
            <w:pPr>
              <w:pStyle w:val="2"/>
              <w:ind w:left="0" w:leftChars="0" w:firstLine="0" w:firstLineChars="0"/>
              <w:rPr>
                <w:rFonts w:hint="eastAsia"/>
              </w:rPr>
            </w:pPr>
          </w:p>
        </w:tc>
        <w:tc>
          <w:tcPr>
            <w:tcW w:w="1860" w:type="dxa"/>
            <w:noWrap w:val="0"/>
            <w:vAlign w:val="center"/>
          </w:tcPr>
          <w:p>
            <w:pPr>
              <w:pStyle w:val="2"/>
              <w:ind w:left="0" w:leftChars="0" w:firstLine="0" w:firstLineChars="0"/>
              <w:rPr>
                <w:rFonts w:hint="eastAsia"/>
                <w:lang w:val="en-US" w:eastAsia="zh-CN"/>
              </w:rPr>
            </w:pPr>
            <w:r>
              <w:rPr>
                <w:rFonts w:hint="eastAsia"/>
                <w:lang w:val="en-US" w:eastAsia="zh-CN"/>
              </w:rPr>
              <w:t>帮厨</w:t>
            </w:r>
          </w:p>
        </w:tc>
        <w:tc>
          <w:tcPr>
            <w:tcW w:w="2918" w:type="dxa"/>
            <w:noWrap w:val="0"/>
            <w:vAlign w:val="center"/>
          </w:tcPr>
          <w:p>
            <w:pPr>
              <w:pStyle w:val="2"/>
              <w:ind w:left="0" w:leftChars="0" w:firstLine="0" w:firstLineChars="0"/>
              <w:jc w:val="center"/>
              <w:rPr>
                <w:rFonts w:hint="eastAsia"/>
                <w:lang w:val="en-US" w:eastAsia="zh-CN"/>
              </w:rPr>
            </w:pPr>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7824" w:type="dxa"/>
            <w:gridSpan w:val="4"/>
            <w:noWrap w:val="0"/>
            <w:vAlign w:val="center"/>
          </w:tcPr>
          <w:p>
            <w:pPr>
              <w:pStyle w:val="2"/>
              <w:ind w:left="0" w:leftChars="0" w:firstLine="0" w:firstLineChars="0"/>
              <w:jc w:val="left"/>
              <w:rPr>
                <w:rFonts w:hint="default"/>
                <w:lang w:val="en-US" w:eastAsia="zh-CN"/>
              </w:rPr>
            </w:pPr>
            <w:r>
              <w:rPr>
                <w:rFonts w:hint="eastAsia"/>
                <w:lang w:val="en-US" w:eastAsia="zh-CN"/>
              </w:rPr>
              <w:t>合计：32人</w:t>
            </w:r>
          </w:p>
        </w:tc>
      </w:tr>
    </w:tbl>
    <w:p>
      <w:pPr>
        <w:pStyle w:val="2"/>
        <w:ind w:left="0" w:leftChars="0" w:firstLine="0" w:firstLineChars="0"/>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sz w:val="21"/>
          <w:szCs w:val="21"/>
        </w:rPr>
      </w:pPr>
      <w:r>
        <w:rPr>
          <w:rFonts w:hint="eastAsia" w:ascii="宋体" w:hAnsi="宋体" w:eastAsia="宋体" w:cs="宋体"/>
          <w:color w:val="auto"/>
          <w:sz w:val="21"/>
          <w:szCs w:val="21"/>
        </w:rPr>
        <w:t>人员要求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基本要求：有相关工作经验并具有良好的服务意识，男女不限</w:t>
      </w:r>
      <w:r>
        <w:rPr>
          <w:rFonts w:hint="eastAsia" w:ascii="宋体" w:hAnsi="宋体" w:eastAsia="宋体" w:cs="宋体"/>
          <w:color w:val="auto"/>
          <w:sz w:val="21"/>
          <w:szCs w:val="21"/>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★投标人必须按不少于人员配置表的数量进行配置，总人员配置为32人，如低于32人，将作无效标处理；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所配备人员的年龄原则上不得超过60周岁，如遇特殊情况经采购人同意，可适当放宽年龄</w:t>
      </w:r>
      <w:r>
        <w:rPr>
          <w:rFonts w:hint="eastAsia" w:ascii="宋体" w:hAnsi="宋体" w:eastAsia="宋体" w:cs="宋体"/>
          <w:color w:val="auto"/>
          <w:sz w:val="21"/>
          <w:szCs w:val="21"/>
          <w:highlight w:val="none"/>
        </w:rPr>
        <w:t>；</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rPr>
          <w:rFonts w:hint="default" w:eastAsia="宋体"/>
          <w:lang w:val="en-US" w:eastAsia="zh-CN"/>
        </w:rPr>
      </w:pPr>
      <w:r>
        <w:rPr>
          <w:rFonts w:hint="eastAsia" w:ascii="宋体" w:hAnsi="宋体" w:cs="宋体"/>
          <w:color w:val="auto"/>
          <w:sz w:val="21"/>
          <w:szCs w:val="21"/>
          <w:highlight w:val="none"/>
          <w:lang w:val="en-US" w:eastAsia="zh-CN"/>
        </w:rPr>
        <w:t>采购人有权根据实际需要对人员配置进行岗位调整。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rPr>
      </w:pPr>
      <w:r>
        <w:rPr>
          <w:rFonts w:hint="eastAsia" w:ascii="宋体" w:hAnsi="宋体" w:cs="宋体"/>
          <w:b/>
          <w:bCs/>
          <w:i w:val="0"/>
          <w:caps w:val="0"/>
          <w:color w:val="auto"/>
          <w:spacing w:val="0"/>
          <w:sz w:val="21"/>
          <w:szCs w:val="21"/>
          <w:highlight w:val="none"/>
          <w:shd w:val="clear" w:fill="FFFFFF"/>
          <w:lang w:val="en-US" w:eastAsia="zh-CN"/>
        </w:rPr>
        <w:t>三</w:t>
      </w:r>
      <w:r>
        <w:rPr>
          <w:rFonts w:hint="eastAsia" w:ascii="宋体" w:hAnsi="宋体" w:eastAsia="宋体" w:cs="宋体"/>
          <w:b/>
          <w:bCs/>
          <w:i w:val="0"/>
          <w:caps w:val="0"/>
          <w:color w:val="auto"/>
          <w:spacing w:val="0"/>
          <w:sz w:val="21"/>
          <w:szCs w:val="21"/>
          <w:highlight w:val="none"/>
          <w:shd w:val="clear" w:fill="FFFFFF"/>
        </w:rPr>
        <w:t>、</w:t>
      </w:r>
      <w:r>
        <w:rPr>
          <w:rFonts w:hint="eastAsia" w:ascii="宋体" w:hAnsi="宋体" w:eastAsia="宋体" w:cs="宋体"/>
          <w:b/>
          <w:bCs/>
          <w:i w:val="0"/>
          <w:caps w:val="0"/>
          <w:color w:val="auto"/>
          <w:spacing w:val="0"/>
          <w:sz w:val="21"/>
          <w:szCs w:val="21"/>
          <w:highlight w:val="none"/>
          <w:shd w:val="clear" w:fill="FFFFFF"/>
          <w:lang w:val="en-US" w:eastAsia="zh-CN"/>
        </w:rPr>
        <w:t>服务</w:t>
      </w:r>
      <w:r>
        <w:rPr>
          <w:rFonts w:hint="eastAsia" w:ascii="宋体" w:hAnsi="宋体" w:eastAsia="宋体" w:cs="宋体"/>
          <w:b/>
          <w:bCs/>
          <w:i w:val="0"/>
          <w:caps w:val="0"/>
          <w:color w:val="auto"/>
          <w:spacing w:val="0"/>
          <w:sz w:val="21"/>
          <w:szCs w:val="21"/>
          <w:highlight w:val="none"/>
          <w:shd w:val="clear" w:fill="FFFFFF"/>
        </w:rPr>
        <w:t>费用</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rPr>
      </w:pPr>
      <w:r>
        <w:rPr>
          <w:rFonts w:hint="eastAsia"/>
          <w:highlight w:val="none"/>
          <w:lang w:eastAsia="zh-CN"/>
        </w:rPr>
        <w:t>★</w:t>
      </w:r>
      <w:r>
        <w:rPr>
          <w:rFonts w:hint="eastAsia" w:ascii="宋体" w:hAnsi="宋体" w:eastAsia="宋体" w:cs="宋体"/>
          <w:i w:val="0"/>
          <w:caps w:val="0"/>
          <w:color w:val="auto"/>
          <w:spacing w:val="0"/>
          <w:sz w:val="21"/>
          <w:szCs w:val="21"/>
          <w:highlight w:val="none"/>
          <w:shd w:val="clear" w:fill="FFFFFF"/>
          <w:lang w:val="en-US" w:eastAsia="zh-CN"/>
        </w:rPr>
        <w:t>投标人</w:t>
      </w:r>
      <w:r>
        <w:rPr>
          <w:rFonts w:hint="eastAsia" w:ascii="宋体" w:hAnsi="宋体" w:eastAsia="宋体" w:cs="宋体"/>
          <w:i w:val="0"/>
          <w:caps w:val="0"/>
          <w:color w:val="auto"/>
          <w:spacing w:val="0"/>
          <w:sz w:val="21"/>
          <w:szCs w:val="21"/>
          <w:highlight w:val="none"/>
          <w:shd w:val="clear" w:fill="FFFFFF"/>
        </w:rPr>
        <w:t>的报价应包含</w:t>
      </w:r>
      <w:r>
        <w:rPr>
          <w:rFonts w:hint="eastAsia" w:ascii="宋体" w:hAnsi="宋体" w:eastAsia="宋体" w:cs="宋体"/>
          <w:i w:val="0"/>
          <w:caps w:val="0"/>
          <w:color w:val="auto"/>
          <w:spacing w:val="0"/>
          <w:sz w:val="21"/>
          <w:szCs w:val="21"/>
          <w:highlight w:val="none"/>
          <w:shd w:val="clear" w:fill="FFFFFF"/>
          <w:lang w:val="en-US" w:eastAsia="zh-CN"/>
        </w:rPr>
        <w:t>服务项目</w:t>
      </w:r>
      <w:r>
        <w:rPr>
          <w:rFonts w:hint="eastAsia" w:ascii="宋体" w:hAnsi="宋体" w:eastAsia="宋体" w:cs="宋体"/>
          <w:i w:val="0"/>
          <w:caps w:val="0"/>
          <w:color w:val="auto"/>
          <w:spacing w:val="0"/>
          <w:sz w:val="21"/>
          <w:szCs w:val="21"/>
          <w:highlight w:val="none"/>
          <w:shd w:val="clear" w:fill="FFFFFF"/>
        </w:rPr>
        <w:t>所产生的所有费用，并附有明细。包括但不限于以下内容：</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所有人员费用（工资、基本养老保险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i w:val="0"/>
          <w:caps w:val="0"/>
          <w:color w:val="auto"/>
          <w:spacing w:val="0"/>
          <w:sz w:val="21"/>
          <w:szCs w:val="21"/>
          <w:highlight w:val="none"/>
          <w:shd w:val="clear" w:fill="FFFFFF"/>
        </w:rPr>
        <w:t>福利和津贴、</w:t>
      </w:r>
      <w:r>
        <w:rPr>
          <w:rFonts w:hint="eastAsia" w:ascii="宋体" w:hAnsi="宋体" w:eastAsia="宋体" w:cs="宋体"/>
          <w:i w:val="0"/>
          <w:caps w:val="0"/>
          <w:color w:val="auto"/>
          <w:spacing w:val="0"/>
          <w:sz w:val="21"/>
          <w:szCs w:val="21"/>
          <w:highlight w:val="none"/>
          <w:shd w:val="clear" w:fill="FFFFFF"/>
          <w:lang w:val="en-US" w:eastAsia="zh-CN"/>
        </w:rPr>
        <w:t>法定节假日</w:t>
      </w:r>
      <w:r>
        <w:rPr>
          <w:rFonts w:hint="eastAsia" w:ascii="宋体" w:hAnsi="宋体" w:eastAsia="宋体" w:cs="宋体"/>
          <w:i w:val="0"/>
          <w:caps w:val="0"/>
          <w:color w:val="auto"/>
          <w:spacing w:val="0"/>
          <w:sz w:val="21"/>
          <w:szCs w:val="21"/>
          <w:highlight w:val="none"/>
          <w:shd w:val="clear" w:fill="FFFFFF"/>
        </w:rPr>
        <w:t>加班费用）</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对所有符合参加人身意外伤害保险条件的人员统一进行参保（社会保险参保人员除外）</w:t>
      </w:r>
      <w:r>
        <w:rPr>
          <w:rFonts w:hint="eastAsia" w:ascii="宋体" w:hAnsi="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人员综合费用（行政办公费用、服装费、</w:t>
      </w:r>
      <w:r>
        <w:rPr>
          <w:rFonts w:hint="eastAsia" w:ascii="宋体" w:hAnsi="宋体" w:eastAsia="宋体" w:cs="宋体"/>
          <w:i w:val="0"/>
          <w:caps w:val="0"/>
          <w:color w:val="auto"/>
          <w:spacing w:val="0"/>
          <w:sz w:val="21"/>
          <w:szCs w:val="21"/>
          <w:highlight w:val="none"/>
          <w:shd w:val="clear" w:fill="FFFFFF"/>
          <w:lang w:val="en-US" w:eastAsia="zh-CN"/>
        </w:rPr>
        <w:t>培训费</w:t>
      </w:r>
      <w:r>
        <w:rPr>
          <w:rFonts w:hint="eastAsia" w:ascii="宋体" w:hAnsi="宋体" w:cs="宋体"/>
          <w:i w:val="0"/>
          <w:caps w:val="0"/>
          <w:color w:val="auto"/>
          <w:spacing w:val="0"/>
          <w:sz w:val="21"/>
          <w:szCs w:val="21"/>
          <w:highlight w:val="none"/>
          <w:shd w:val="clear" w:fill="FFFFFF"/>
          <w:lang w:val="en-US" w:eastAsia="zh-CN"/>
        </w:rPr>
        <w:t>、</w:t>
      </w:r>
      <w:r>
        <w:rPr>
          <w:rFonts w:hint="eastAsia" w:ascii="宋体" w:hAnsi="宋体" w:eastAsia="宋体" w:cs="宋体"/>
          <w:i w:val="0"/>
          <w:caps w:val="0"/>
          <w:color w:val="auto"/>
          <w:spacing w:val="0"/>
          <w:sz w:val="21"/>
          <w:szCs w:val="21"/>
          <w:highlight w:val="none"/>
          <w:shd w:val="clear" w:fill="FFFFFF"/>
        </w:rPr>
        <w:t>工具和装备费等）</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上述部分的管理费</w:t>
      </w:r>
      <w:r>
        <w:rPr>
          <w:rFonts w:hint="eastAsia" w:ascii="宋体" w:hAnsi="宋体" w:cs="宋体"/>
          <w:i w:val="0"/>
          <w:caps w:val="0"/>
          <w:color w:val="auto"/>
          <w:spacing w:val="0"/>
          <w:sz w:val="21"/>
          <w:szCs w:val="21"/>
          <w:highlight w:val="none"/>
          <w:shd w:val="clear" w:fill="FFFFFF"/>
          <w:lang w:val="en-US" w:eastAsia="zh-CN"/>
        </w:rPr>
        <w:t>以及</w:t>
      </w:r>
      <w:r>
        <w:rPr>
          <w:rFonts w:hint="eastAsia" w:ascii="宋体" w:hAnsi="宋体" w:eastAsia="宋体" w:cs="宋体"/>
          <w:color w:val="000000"/>
          <w:sz w:val="21"/>
          <w:szCs w:val="21"/>
          <w:highlight w:val="none"/>
          <w:lang w:val="en-US" w:eastAsia="zh-CN"/>
        </w:rPr>
        <w:t>企业的其它运行费用</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i w:val="0"/>
          <w:caps w:val="0"/>
          <w:color w:val="auto"/>
          <w:spacing w:val="0"/>
          <w:sz w:val="21"/>
          <w:szCs w:val="21"/>
          <w:highlight w:val="none"/>
          <w:shd w:val="clear" w:fill="FFFFFF"/>
        </w:rPr>
        <w:t>上述部分的税金</w:t>
      </w:r>
      <w:r>
        <w:rPr>
          <w:rFonts w:hint="eastAsia" w:ascii="宋体" w:hAnsi="宋体" w:eastAsia="宋体" w:cs="宋体"/>
          <w:i w:val="0"/>
          <w:caps w:val="0"/>
          <w:color w:val="auto"/>
          <w:spacing w:val="0"/>
          <w:sz w:val="21"/>
          <w:szCs w:val="21"/>
          <w:highlight w:val="none"/>
          <w:shd w:val="clear" w:fill="FFFFFF"/>
          <w:lang w:eastAsia="zh-CN"/>
        </w:rPr>
        <w:t>。</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本次招标采用按中标价格一次性包干的方式。但在合同执行期间，投标人在进行投标报价时要充分考虑未来三年价格因素的变化，合同中的人员工资部分必须符合当地劳动部门有关规定，遇到社保缴费基数、比例及最低工资标准上调，则按实际情况予以调整，确保用工合法，由此增加的费用，由投标人负责，合同价格不作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default"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cs="宋体"/>
          <w:b/>
          <w:bCs/>
          <w:i w:val="0"/>
          <w:caps w:val="0"/>
          <w:color w:val="auto"/>
          <w:spacing w:val="0"/>
          <w:sz w:val="21"/>
          <w:szCs w:val="21"/>
          <w:highlight w:val="none"/>
          <w:shd w:val="clear" w:fill="FFFFFF"/>
          <w:lang w:val="en-US" w:eastAsia="zh-CN"/>
        </w:rPr>
        <w:t>四</w:t>
      </w:r>
      <w:r>
        <w:rPr>
          <w:rFonts w:hint="eastAsia" w:ascii="宋体" w:hAnsi="宋体" w:eastAsia="宋体" w:cs="宋体"/>
          <w:b/>
          <w:bCs/>
          <w:i w:val="0"/>
          <w:caps w:val="0"/>
          <w:color w:val="auto"/>
          <w:spacing w:val="0"/>
          <w:sz w:val="21"/>
          <w:szCs w:val="21"/>
          <w:highlight w:val="none"/>
          <w:shd w:val="clear" w:fill="FFFFFF"/>
          <w:lang w:val="en-US" w:eastAsia="zh-CN"/>
        </w:rPr>
        <w:t>、</w:t>
      </w:r>
      <w:r>
        <w:rPr>
          <w:rFonts w:hint="eastAsia" w:ascii="宋体" w:hAnsi="宋体" w:cs="宋体"/>
          <w:b/>
          <w:bCs/>
          <w:i w:val="0"/>
          <w:caps w:val="0"/>
          <w:color w:val="auto"/>
          <w:spacing w:val="0"/>
          <w:sz w:val="21"/>
          <w:szCs w:val="21"/>
          <w:highlight w:val="none"/>
          <w:shd w:val="clear" w:fill="FFFFFF"/>
          <w:lang w:val="en-US" w:eastAsia="zh-CN"/>
        </w:rPr>
        <w:t>其他要求及说明</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采购人有权根据采购需求对中标人所提供的服务人员进行筛选，筛选后</w:t>
      </w:r>
      <w:r>
        <w:rPr>
          <w:rFonts w:hint="eastAsia" w:ascii="宋体" w:hAnsi="宋体" w:cs="宋体"/>
          <w:i w:val="0"/>
          <w:caps w:val="0"/>
          <w:color w:val="auto"/>
          <w:spacing w:val="0"/>
          <w:sz w:val="21"/>
          <w:szCs w:val="21"/>
          <w:highlight w:val="none"/>
          <w:shd w:val="clear" w:fill="FFFFFF"/>
          <w:lang w:val="en-US" w:eastAsia="zh-CN"/>
        </w:rPr>
        <w:t>中标人与服务人员签订劳动合同建立劳动关系，派遣到采购人指定地点工作。</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采购人有权决定服务人员</w:t>
      </w:r>
      <w:r>
        <w:rPr>
          <w:rFonts w:hint="eastAsia" w:ascii="宋体" w:hAnsi="宋体" w:cs="宋体"/>
          <w:i w:val="0"/>
          <w:caps w:val="0"/>
          <w:color w:val="auto"/>
          <w:spacing w:val="0"/>
          <w:sz w:val="21"/>
          <w:szCs w:val="21"/>
          <w:highlight w:val="none"/>
          <w:shd w:val="clear" w:fill="FFFFFF"/>
          <w:lang w:val="en-US" w:eastAsia="zh-CN"/>
        </w:rPr>
        <w:t>的使用期限（合同期限）和法定试用期。</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采购人在出现以下情况时，有权要求更换服务人员</w:t>
      </w:r>
      <w:r>
        <w:rPr>
          <w:rFonts w:hint="eastAsia" w:ascii="宋体" w:hAnsi="宋体" w:cs="宋体"/>
          <w:i w:val="0"/>
          <w:caps w:val="0"/>
          <w:color w:val="auto"/>
          <w:spacing w:val="0"/>
          <w:sz w:val="21"/>
          <w:szCs w:val="21"/>
          <w:highlight w:val="none"/>
          <w:shd w:val="clear" w:fill="FFFFFF"/>
          <w:lang w:val="en-US" w:eastAsia="zh-CN"/>
        </w:rPr>
        <w:t>，但需提前30天以上通知中标人，并以书面形式告知中标人更换</w:t>
      </w:r>
      <w:r>
        <w:rPr>
          <w:rFonts w:hint="eastAsia" w:ascii="宋体" w:hAnsi="宋体" w:cs="宋体"/>
          <w:i w:val="0"/>
          <w:caps w:val="0"/>
          <w:color w:val="auto"/>
          <w:spacing w:val="0"/>
          <w:sz w:val="21"/>
          <w:szCs w:val="21"/>
          <w:highlight w:val="none"/>
          <w:shd w:val="clear" w:fill="FFFFFF"/>
          <w:lang w:val="en-US" w:eastAsia="zh-CN"/>
        </w:rPr>
        <w:t>原因，以便中标人能够按照相关法律法规提前通知服务人员</w:t>
      </w:r>
      <w:r>
        <w:rPr>
          <w:rFonts w:hint="eastAsia" w:ascii="宋体" w:hAnsi="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在试用期内，</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不符合使用条件的情况；</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依据《中华人民共和国劳动合同法》及相关法律、法规，</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严重违反了采购人劳动纪律和规章制度，并达到被解聘程度的情况；</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依据《中华人民共和国民法典》及相关法律、法规，</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严重失职、营私舞弊或泄漏采购人商业秘密，对采购人利益造成重大损害的情况；</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被依法追究刑事责任、被劳动教养、被拘留的情况；</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同时与其他用人单位存在劳动关系，对完成采购人的工作任务造成严重影响，或者经采购人提出，拒不改正的情况；</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因病或非因工负伤医疗期（具体时间参照国家有关规定）满后，不能从事原工作的情况</w:t>
      </w:r>
      <w:r>
        <w:rPr>
          <w:rFonts w:hint="eastAsia" w:ascii="宋体" w:hAnsi="宋体" w:cs="宋体"/>
          <w:i w:val="0"/>
          <w:caps w:val="0"/>
          <w:color w:val="auto"/>
          <w:spacing w:val="0"/>
          <w:sz w:val="21"/>
          <w:szCs w:val="21"/>
          <w:highlight w:val="none"/>
          <w:shd w:val="clear" w:fill="FFFFFF"/>
          <w:lang w:val="en-US" w:eastAsia="zh-CN"/>
        </w:rPr>
        <w:t>；（</w:t>
      </w:r>
      <w:r>
        <w:rPr>
          <w:rFonts w:hint="eastAsia" w:ascii="宋体" w:hAnsi="宋体" w:eastAsia="宋体" w:cs="宋体"/>
          <w:i w:val="0"/>
          <w:caps w:val="0"/>
          <w:color w:val="auto"/>
          <w:spacing w:val="0"/>
          <w:sz w:val="21"/>
          <w:szCs w:val="21"/>
          <w:highlight w:val="none"/>
          <w:shd w:val="clear" w:fill="FFFFFF"/>
          <w:lang w:val="en-US" w:eastAsia="zh-CN"/>
        </w:rPr>
        <w:t>中标人应按</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cs="宋体"/>
          <w:i w:val="0"/>
          <w:caps w:val="0"/>
          <w:color w:val="auto"/>
          <w:spacing w:val="0"/>
          <w:sz w:val="21"/>
          <w:szCs w:val="21"/>
          <w:highlight w:val="none"/>
          <w:shd w:val="clear" w:fill="FFFFFF"/>
          <w:lang w:val="en-US" w:eastAsia="zh-CN"/>
        </w:rPr>
        <w:t>为</w:t>
      </w:r>
      <w:r>
        <w:rPr>
          <w:rFonts w:hint="eastAsia" w:ascii="宋体" w:hAnsi="宋体" w:eastAsia="宋体" w:cs="宋体"/>
          <w:i w:val="0"/>
          <w:caps w:val="0"/>
          <w:color w:val="auto"/>
          <w:spacing w:val="0"/>
          <w:sz w:val="21"/>
          <w:szCs w:val="21"/>
          <w:highlight w:val="none"/>
          <w:shd w:val="clear" w:fill="FFFFFF"/>
          <w:lang w:val="en-US" w:eastAsia="zh-CN"/>
        </w:rPr>
        <w:t>采购人工作的年数支付</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本人依法应取得的经济补偿金和医疗补助费</w:t>
      </w:r>
      <w:r>
        <w:rPr>
          <w:rFonts w:hint="eastAsia" w:ascii="宋体" w:hAnsi="宋体" w:cs="宋体"/>
          <w:i w:val="0"/>
          <w:caps w:val="0"/>
          <w:color w:val="auto"/>
          <w:spacing w:val="0"/>
          <w:sz w:val="21"/>
          <w:szCs w:val="21"/>
          <w:highlight w:val="none"/>
          <w:shd w:val="clear" w:fill="FFFFFF"/>
          <w:lang w:val="en-US" w:eastAsia="zh-CN"/>
        </w:rPr>
        <w:t>，为采购人工作年数</w:t>
      </w:r>
      <w:r>
        <w:rPr>
          <w:rFonts w:hint="eastAsia" w:ascii="宋体" w:hAnsi="宋体" w:eastAsia="宋体" w:cs="宋体"/>
          <w:i w:val="0"/>
          <w:caps w:val="0"/>
          <w:color w:val="auto"/>
          <w:spacing w:val="0"/>
          <w:sz w:val="21"/>
          <w:szCs w:val="21"/>
          <w:highlight w:val="none"/>
          <w:shd w:val="clear" w:fill="FFFFFF"/>
          <w:lang w:val="en-US" w:eastAsia="zh-CN"/>
        </w:rPr>
        <w:t>不满半年按半个月，超过半年按一个月计算</w:t>
      </w:r>
      <w:r>
        <w:rPr>
          <w:rFonts w:hint="eastAsia" w:ascii="宋体" w:hAnsi="宋体" w:cs="宋体"/>
          <w:i w:val="0"/>
          <w:caps w:val="0"/>
          <w:color w:val="auto"/>
          <w:spacing w:val="0"/>
          <w:sz w:val="21"/>
          <w:szCs w:val="21"/>
          <w:highlight w:val="none"/>
          <w:shd w:val="clear" w:fill="FFFFFF"/>
          <w:lang w:val="en-US" w:eastAsia="zh-CN"/>
        </w:rPr>
        <w:t>，</w:t>
      </w:r>
      <w:r>
        <w:rPr>
          <w:rFonts w:hint="eastAsia" w:ascii="宋体" w:hAnsi="宋体" w:eastAsia="宋体" w:cs="宋体"/>
          <w:i w:val="0"/>
          <w:caps w:val="0"/>
          <w:color w:val="auto"/>
          <w:spacing w:val="0"/>
          <w:sz w:val="21"/>
          <w:szCs w:val="21"/>
          <w:highlight w:val="none"/>
          <w:shd w:val="clear" w:fill="FFFFFF"/>
          <w:lang w:val="en-US" w:eastAsia="zh-CN"/>
        </w:rPr>
        <w:t>医疗补助费具体支付数额参照国家有关规定计算</w:t>
      </w:r>
      <w:r>
        <w:rPr>
          <w:rFonts w:hint="eastAsia" w:ascii="宋体" w:hAnsi="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在客观情况下发生重大变化（如：采购人分立、合并、撤消、</w:t>
      </w:r>
      <w:r>
        <w:rPr>
          <w:rFonts w:hint="eastAsia" w:ascii="宋体" w:hAnsi="宋体" w:cs="宋体"/>
          <w:i w:val="0"/>
          <w:caps w:val="0"/>
          <w:color w:val="auto"/>
          <w:spacing w:val="0"/>
          <w:sz w:val="21"/>
          <w:szCs w:val="21"/>
          <w:highlight w:val="none"/>
          <w:shd w:val="clear" w:fill="FFFFFF"/>
          <w:lang w:val="en-US" w:eastAsia="zh-CN"/>
        </w:rPr>
        <w:t>合同终止</w:t>
      </w:r>
      <w:r>
        <w:rPr>
          <w:rFonts w:hint="eastAsia" w:ascii="宋体" w:hAnsi="宋体" w:eastAsia="宋体" w:cs="宋体"/>
          <w:i w:val="0"/>
          <w:caps w:val="0"/>
          <w:color w:val="auto"/>
          <w:spacing w:val="0"/>
          <w:sz w:val="21"/>
          <w:szCs w:val="21"/>
          <w:highlight w:val="none"/>
          <w:shd w:val="clear" w:fill="FFFFFF"/>
          <w:lang w:val="en-US" w:eastAsia="zh-CN"/>
        </w:rPr>
        <w:t>等）致使</w:t>
      </w:r>
      <w:r>
        <w:rPr>
          <w:rFonts w:hint="eastAsia" w:ascii="宋体" w:hAnsi="宋体" w:cs="宋体"/>
          <w:i w:val="0"/>
          <w:caps w:val="0"/>
          <w:color w:val="auto"/>
          <w:spacing w:val="0"/>
          <w:sz w:val="21"/>
          <w:szCs w:val="21"/>
          <w:highlight w:val="none"/>
          <w:shd w:val="clear" w:fill="FFFFFF"/>
          <w:lang w:val="en-US" w:eastAsia="zh-CN"/>
        </w:rPr>
        <w:t>本项目</w:t>
      </w:r>
      <w:r>
        <w:rPr>
          <w:rFonts w:hint="eastAsia" w:ascii="宋体" w:hAnsi="宋体" w:eastAsia="宋体" w:cs="宋体"/>
          <w:i w:val="0"/>
          <w:caps w:val="0"/>
          <w:color w:val="auto"/>
          <w:spacing w:val="0"/>
          <w:sz w:val="21"/>
          <w:szCs w:val="21"/>
          <w:highlight w:val="none"/>
          <w:shd w:val="clear" w:fill="FFFFFF"/>
          <w:lang w:val="en-US" w:eastAsia="zh-CN"/>
        </w:rPr>
        <w:t>无法履行，且不能协商变更的情况</w:t>
      </w:r>
      <w:r>
        <w:rPr>
          <w:rFonts w:hint="eastAsia" w:ascii="宋体" w:hAnsi="宋体" w:cs="宋体"/>
          <w:i w:val="0"/>
          <w:caps w:val="0"/>
          <w:color w:val="auto"/>
          <w:spacing w:val="0"/>
          <w:sz w:val="21"/>
          <w:szCs w:val="21"/>
          <w:highlight w:val="none"/>
          <w:shd w:val="clear" w:fill="FFFFFF"/>
          <w:lang w:val="en-US" w:eastAsia="zh-CN"/>
        </w:rPr>
        <w:t>；（</w:t>
      </w:r>
      <w:r>
        <w:rPr>
          <w:rFonts w:hint="eastAsia" w:ascii="宋体" w:hAnsi="宋体" w:eastAsia="宋体" w:cs="宋体"/>
          <w:i w:val="0"/>
          <w:caps w:val="0"/>
          <w:color w:val="auto"/>
          <w:spacing w:val="0"/>
          <w:sz w:val="21"/>
          <w:szCs w:val="21"/>
          <w:highlight w:val="none"/>
          <w:shd w:val="clear" w:fill="FFFFFF"/>
          <w:lang w:val="en-US" w:eastAsia="zh-CN"/>
        </w:rPr>
        <w:t>中标人</w:t>
      </w:r>
      <w:r>
        <w:rPr>
          <w:rFonts w:hint="eastAsia" w:ascii="宋体" w:hAnsi="宋体" w:cs="宋体"/>
          <w:i w:val="0"/>
          <w:caps w:val="0"/>
          <w:color w:val="auto"/>
          <w:spacing w:val="0"/>
          <w:sz w:val="21"/>
          <w:szCs w:val="21"/>
          <w:highlight w:val="none"/>
          <w:shd w:val="clear" w:fill="FFFFFF"/>
          <w:lang w:val="en-US" w:eastAsia="zh-CN"/>
        </w:rPr>
        <w:t>应</w:t>
      </w:r>
      <w:r>
        <w:rPr>
          <w:rFonts w:hint="eastAsia" w:ascii="宋体" w:hAnsi="宋体" w:eastAsia="宋体" w:cs="宋体"/>
          <w:i w:val="0"/>
          <w:caps w:val="0"/>
          <w:color w:val="auto"/>
          <w:spacing w:val="0"/>
          <w:sz w:val="21"/>
          <w:szCs w:val="21"/>
          <w:highlight w:val="none"/>
          <w:shd w:val="clear" w:fill="FFFFFF"/>
          <w:lang w:val="en-US" w:eastAsia="zh-CN"/>
        </w:rPr>
        <w:t>按</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cs="宋体"/>
          <w:i w:val="0"/>
          <w:caps w:val="0"/>
          <w:color w:val="auto"/>
          <w:spacing w:val="0"/>
          <w:sz w:val="21"/>
          <w:szCs w:val="21"/>
          <w:highlight w:val="none"/>
          <w:shd w:val="clear" w:fill="FFFFFF"/>
          <w:lang w:val="en-US" w:eastAsia="zh-CN"/>
        </w:rPr>
        <w:t>为</w:t>
      </w:r>
      <w:r>
        <w:rPr>
          <w:rFonts w:hint="eastAsia" w:ascii="宋体" w:hAnsi="宋体" w:eastAsia="宋体" w:cs="宋体"/>
          <w:i w:val="0"/>
          <w:caps w:val="0"/>
          <w:color w:val="auto"/>
          <w:spacing w:val="0"/>
          <w:sz w:val="21"/>
          <w:szCs w:val="21"/>
          <w:highlight w:val="none"/>
          <w:shd w:val="clear" w:fill="FFFFFF"/>
          <w:lang w:val="en-US" w:eastAsia="zh-CN"/>
        </w:rPr>
        <w:t>采购人工作的年数并根据《中华人民共和国劳动合同法》及相关法律法规支付</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本人依法应取得的经济补偿金</w:t>
      </w:r>
      <w:r>
        <w:rPr>
          <w:rFonts w:hint="eastAsia" w:ascii="宋体" w:hAnsi="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采购人有权对</w:t>
      </w:r>
      <w:r>
        <w:rPr>
          <w:rFonts w:hint="eastAsia" w:ascii="宋体" w:hAnsi="宋体" w:cs="宋体"/>
          <w:i w:val="0"/>
          <w:caps w:val="0"/>
          <w:color w:val="auto"/>
          <w:spacing w:val="0"/>
          <w:sz w:val="21"/>
          <w:szCs w:val="21"/>
          <w:highlight w:val="none"/>
          <w:shd w:val="clear" w:fill="FFFFFF"/>
          <w:lang w:val="en-US" w:eastAsia="zh-CN"/>
        </w:rPr>
        <w:t>服务人员</w:t>
      </w:r>
      <w:r>
        <w:rPr>
          <w:rFonts w:hint="eastAsia" w:ascii="宋体" w:hAnsi="宋体" w:eastAsia="宋体" w:cs="宋体"/>
          <w:i w:val="0"/>
          <w:caps w:val="0"/>
          <w:color w:val="auto"/>
          <w:spacing w:val="0"/>
          <w:sz w:val="21"/>
          <w:szCs w:val="21"/>
          <w:highlight w:val="none"/>
          <w:shd w:val="clear" w:fill="FFFFFF"/>
          <w:lang w:val="en-US" w:eastAsia="zh-CN"/>
        </w:rPr>
        <w:t>进行岗位调配、业务指导、绩效考核等，依据绩效考核结果提出退回、解聘的情况。</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采购人有权要求中标人按采购人提供的内容与服务人员</w:t>
      </w:r>
      <w:r>
        <w:rPr>
          <w:rFonts w:hint="eastAsia" w:ascii="宋体" w:hAnsi="宋体" w:cs="宋体"/>
          <w:i w:val="0"/>
          <w:caps w:val="0"/>
          <w:color w:val="auto"/>
          <w:spacing w:val="0"/>
          <w:sz w:val="21"/>
          <w:szCs w:val="21"/>
          <w:highlight w:val="none"/>
          <w:shd w:val="clear" w:fill="FFFFFF"/>
          <w:lang w:val="en-US" w:eastAsia="zh-CN"/>
        </w:rPr>
        <w:t>签订劳动合同及其附件，可根据实际需要与服务人员</w:t>
      </w:r>
      <w:r>
        <w:rPr>
          <w:rFonts w:hint="eastAsia" w:ascii="宋体" w:hAnsi="宋体" w:cs="宋体"/>
          <w:i w:val="0"/>
          <w:caps w:val="0"/>
          <w:color w:val="auto"/>
          <w:spacing w:val="0"/>
          <w:sz w:val="21"/>
          <w:szCs w:val="21"/>
          <w:highlight w:val="none"/>
          <w:shd w:val="clear" w:fill="FFFFFF"/>
          <w:lang w:val="en-US" w:eastAsia="zh-CN"/>
        </w:rPr>
        <w:t>签订上岗协议，但上岗协议不能与劳动合同抵触，否则以劳动合同的内容为准。</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人员费用标准和聘用人数由采购人确认。</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中标人负责处理监督管理局各分所及局机关服务人员的劳务关系及相关事务，具体相关岗位由采购人设置；</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中标人应对服务人员进行职业道德、相关劳动政策及法律法规、安全服务的培训等，使服务人员能够顺利上岗；</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中标人应确保及时、准确、妥善的处理服务人员（含新老员工）的档案管理、薪酬管理、社保办理及个税代扣代缴工作，代办员工有关证件，提供有关法律法规咨询等，确保和谐、稳妥的处理服务人员的劳动纠纷、劳动诉讼及人事仲裁事件，避免妨碍采购人的正常工作或给采购人带来不利社会影响；</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中标人应提供劳动法律咨询和企业人力资源管理咨询服务；</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中标人应依据采购人合理要求和相关法律法规负责办理解除、终止服务人员劳动关系，且采购人不承担任何费用；</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采购人确定服务人员的数量、名单后，中标人应</w:t>
      </w:r>
      <w:r>
        <w:rPr>
          <w:rFonts w:hint="eastAsia" w:ascii="宋体" w:hAnsi="宋体" w:cs="宋体"/>
          <w:i w:val="0"/>
          <w:caps w:val="0"/>
          <w:strike w:val="0"/>
          <w:dstrike w:val="0"/>
          <w:color w:val="auto"/>
          <w:spacing w:val="0"/>
          <w:sz w:val="21"/>
          <w:szCs w:val="21"/>
          <w:highlight w:val="none"/>
          <w:shd w:val="clear" w:fill="FFFFFF"/>
          <w:lang w:val="en-US" w:eastAsia="zh-CN"/>
        </w:rPr>
        <w:t>按《中华人民共和国劳动合同法》</w:t>
      </w:r>
      <w:r>
        <w:rPr>
          <w:rFonts w:hint="eastAsia" w:ascii="宋体" w:hAnsi="宋体" w:cs="宋体"/>
          <w:i w:val="0"/>
          <w:caps w:val="0"/>
          <w:color w:val="auto"/>
          <w:spacing w:val="0"/>
          <w:sz w:val="21"/>
          <w:szCs w:val="21"/>
          <w:highlight w:val="none"/>
          <w:shd w:val="clear" w:fill="FFFFFF"/>
          <w:lang w:val="en-US" w:eastAsia="zh-CN"/>
        </w:rPr>
        <w:t>确保 5 个工作日内办理完毕劳动合同签订手续、服务外包手续，及时向采购人提供服务。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highlight w:val="none"/>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highlight w:val="none"/>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top"/>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商务条款</w:t>
      </w:r>
    </w:p>
    <w:tbl>
      <w:tblPr>
        <w:tblStyle w:val="24"/>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5"/>
              <w:rPr>
                <w:highlight w:val="none"/>
                <w:lang w:val="en-US"/>
              </w:rPr>
            </w:pPr>
            <w:r>
              <w:rPr>
                <w:highlight w:val="none"/>
                <w:lang w:val="en-US"/>
              </w:rPr>
              <w:t>1</w:t>
            </w:r>
          </w:p>
        </w:tc>
        <w:tc>
          <w:tcPr>
            <w:tcW w:w="796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highlight w:val="none"/>
              </w:rPr>
            </w:pPr>
            <w:r>
              <w:rPr>
                <w:rFonts w:hint="eastAsia" w:hAnsi="宋体" w:cs="宋体"/>
                <w:highlight w:val="none"/>
                <w:lang w:bidi="ar"/>
              </w:rPr>
              <w:t>★</w:t>
            </w:r>
            <w:r>
              <w:rPr>
                <w:rFonts w:hint="eastAsia" w:ascii="宋体" w:hAnsi="宋体" w:cs="宋体"/>
                <w:szCs w:val="21"/>
                <w:highlight w:val="none"/>
              </w:rPr>
              <w:t>服务期限</w:t>
            </w:r>
            <w:r>
              <w:rPr>
                <w:rFonts w:hint="eastAsia" w:hAnsi="宋体" w:cs="宋体"/>
                <w:highlight w:val="none"/>
                <w:lang w:bidi="ar"/>
              </w:rPr>
              <w:t>：</w:t>
            </w:r>
            <w:r>
              <w:rPr>
                <w:rFonts w:hint="eastAsia" w:ascii="宋体" w:hAnsi="宋体" w:cs="宋体"/>
                <w:szCs w:val="21"/>
                <w:highlight w:val="none"/>
              </w:rPr>
              <w:t>三年(具体时间以合同</w:t>
            </w:r>
            <w:r>
              <w:rPr>
                <w:rFonts w:hint="eastAsia" w:ascii="宋体" w:hAnsi="宋体" w:cs="宋体"/>
                <w:color w:val="auto"/>
                <w:sz w:val="21"/>
                <w:szCs w:val="21"/>
                <w:highlight w:val="none"/>
                <w:lang w:val="en-US" w:eastAsia="zh-CN"/>
              </w:rPr>
              <w:t>签订</w:t>
            </w:r>
            <w:r>
              <w:rPr>
                <w:rFonts w:hint="eastAsia" w:ascii="宋体" w:hAnsi="宋体" w:cs="宋体"/>
                <w:szCs w:val="21"/>
                <w:highlight w:val="none"/>
              </w:rPr>
              <w:t>为准)合同一年一签，经采购人考核同意后，方可续签下一年度合同。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5"/>
              <w:rPr>
                <w:rFonts w:hint="eastAsia" w:eastAsia="宋体"/>
                <w:highlight w:val="none"/>
                <w:lang w:val="en-US" w:eastAsia="zh-CN"/>
              </w:rPr>
            </w:pPr>
            <w:r>
              <w:rPr>
                <w:rFonts w:hint="eastAsia"/>
                <w:highlight w:val="none"/>
                <w:lang w:val="en-US" w:eastAsia="zh-CN"/>
              </w:rPr>
              <w:t>2</w:t>
            </w:r>
          </w:p>
        </w:tc>
        <w:tc>
          <w:tcPr>
            <w:tcW w:w="7964" w:type="dxa"/>
            <w:tcBorders>
              <w:top w:val="single" w:color="auto" w:sz="4" w:space="0"/>
              <w:left w:val="single" w:color="auto" w:sz="4" w:space="0"/>
              <w:bottom w:val="single" w:color="auto" w:sz="4" w:space="0"/>
              <w:right w:val="single" w:color="auto" w:sz="4" w:space="0"/>
            </w:tcBorders>
          </w:tcPr>
          <w:p>
            <w:pPr>
              <w:pStyle w:val="33"/>
              <w:numPr>
                <w:ilvl w:val="255"/>
                <w:numId w:val="0"/>
              </w:numPr>
              <w:spacing w:line="360" w:lineRule="auto"/>
              <w:rPr>
                <w:rFonts w:hAnsi="宋体" w:cs="宋体"/>
                <w:highlight w:val="none"/>
                <w:lang w:val="zh-CN" w:bidi="ar"/>
              </w:rPr>
            </w:pPr>
            <w:r>
              <w:rPr>
                <w:rFonts w:hint="eastAsia" w:hAnsi="宋体" w:cs="宋体"/>
                <w:highlight w:val="none"/>
                <w:lang w:val="zh-CN" w:bidi="ar"/>
              </w:rPr>
              <w:t>★付款</w:t>
            </w:r>
            <w:r>
              <w:rPr>
                <w:rFonts w:hint="eastAsia" w:hAnsi="宋体" w:cs="宋体"/>
                <w:highlight w:val="none"/>
                <w:lang w:val="en-US" w:eastAsia="zh-CN" w:bidi="ar"/>
              </w:rPr>
              <w:t>方式</w:t>
            </w:r>
            <w:r>
              <w:rPr>
                <w:rFonts w:hint="eastAsia" w:hAnsi="宋体" w:cs="宋体"/>
                <w:highlight w:val="none"/>
                <w:lang w:val="zh-CN" w:bidi="ar"/>
              </w:rPr>
              <w:t>：</w:t>
            </w:r>
          </w:p>
          <w:p>
            <w:pPr>
              <w:pStyle w:val="33"/>
              <w:spacing w:line="360" w:lineRule="auto"/>
              <w:ind w:firstLine="0" w:firstLineChars="0"/>
              <w:rPr>
                <w:rFonts w:hint="eastAsia" w:ascii="宋体" w:hAnsi="宋体"/>
                <w:bCs/>
                <w:szCs w:val="21"/>
                <w:highlight w:val="none"/>
                <w:lang w:val="zh-CN"/>
              </w:rPr>
            </w:pPr>
            <w:r>
              <w:rPr>
                <w:rFonts w:hint="eastAsia" w:ascii="宋体" w:hAnsi="宋体"/>
                <w:bCs/>
                <w:szCs w:val="21"/>
                <w:highlight w:val="none"/>
                <w:lang w:val="zh-CN"/>
              </w:rPr>
              <w:t>服务费实行按月支付，采购人在收到</w:t>
            </w:r>
            <w:r>
              <w:rPr>
                <w:rFonts w:hint="eastAsia" w:ascii="宋体" w:hAnsi="宋体"/>
                <w:bCs/>
                <w:szCs w:val="21"/>
                <w:highlight w:val="none"/>
                <w:lang w:val="en-US" w:eastAsia="zh-CN"/>
              </w:rPr>
              <w:t>中标人</w:t>
            </w:r>
            <w:r>
              <w:rPr>
                <w:rFonts w:hint="eastAsia" w:ascii="宋体" w:hAnsi="宋体"/>
                <w:bCs/>
                <w:szCs w:val="21"/>
                <w:highlight w:val="none"/>
                <w:lang w:val="zh-CN"/>
              </w:rPr>
              <w:t>发票后15日内汇入</w:t>
            </w:r>
            <w:r>
              <w:rPr>
                <w:rFonts w:hint="eastAsia" w:ascii="宋体" w:hAnsi="宋体"/>
                <w:bCs/>
                <w:szCs w:val="21"/>
                <w:highlight w:val="none"/>
                <w:lang w:val="en-US" w:eastAsia="zh-CN"/>
              </w:rPr>
              <w:t>中标人</w:t>
            </w:r>
            <w:r>
              <w:rPr>
                <w:rFonts w:hint="eastAsia" w:ascii="宋体" w:hAnsi="宋体"/>
                <w:bCs/>
                <w:szCs w:val="21"/>
                <w:highlight w:val="none"/>
                <w:lang w:val="zh-CN"/>
              </w:rPr>
              <w:t>账户（月服务经费=年度合同金额/12）。</w:t>
            </w:r>
          </w:p>
          <w:p>
            <w:pPr>
              <w:pStyle w:val="33"/>
              <w:spacing w:line="360" w:lineRule="auto"/>
              <w:ind w:firstLine="0" w:firstLineChars="0"/>
              <w:rPr>
                <w:rFonts w:hint="eastAsia" w:ascii="宋体" w:hAnsi="宋体"/>
                <w:bCs/>
                <w:szCs w:val="21"/>
                <w:highlight w:val="none"/>
                <w:lang w:val="zh-CN"/>
              </w:rPr>
            </w:pPr>
            <w:r>
              <w:rPr>
                <w:rFonts w:hint="eastAsia" w:ascii="宋体" w:hAnsi="宋体"/>
                <w:bCs/>
                <w:szCs w:val="21"/>
                <w:highlight w:val="none"/>
                <w:lang w:val="zh-CN"/>
              </w:rPr>
              <w:t>注：每次付款前，中标人须按照金额提供正规合法的发票，否则采购人有权不予支付款项。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5"/>
              <w:rPr>
                <w:rFonts w:hint="default"/>
                <w:highlight w:val="none"/>
                <w:lang w:val="en-US" w:eastAsia="zh-CN"/>
              </w:rPr>
            </w:pPr>
            <w:r>
              <w:rPr>
                <w:rFonts w:hint="eastAsia"/>
                <w:highlight w:val="none"/>
                <w:lang w:val="en-US" w:eastAsia="zh-CN"/>
              </w:rPr>
              <w:t>3</w:t>
            </w:r>
          </w:p>
        </w:tc>
        <w:tc>
          <w:tcPr>
            <w:tcW w:w="7964" w:type="dxa"/>
            <w:tcBorders>
              <w:top w:val="single" w:color="auto" w:sz="4" w:space="0"/>
              <w:left w:val="single" w:color="auto" w:sz="4" w:space="0"/>
              <w:bottom w:val="single" w:color="auto" w:sz="4" w:space="0"/>
              <w:right w:val="single" w:color="auto" w:sz="4" w:space="0"/>
            </w:tcBorders>
          </w:tcPr>
          <w:p>
            <w:pPr>
              <w:pStyle w:val="33"/>
              <w:spacing w:line="360" w:lineRule="auto"/>
              <w:ind w:firstLine="0" w:firstLineChars="0"/>
              <w:rPr>
                <w:rFonts w:hint="eastAsia" w:ascii="宋体" w:hAnsi="宋体" w:eastAsia="宋体"/>
                <w:bCs/>
                <w:szCs w:val="21"/>
                <w:highlight w:val="none"/>
                <w:lang w:eastAsia="zh-CN"/>
              </w:rPr>
            </w:pPr>
            <w:r>
              <w:rPr>
                <w:rFonts w:hint="eastAsia" w:ascii="宋体" w:hAnsi="宋体" w:cs="宋体"/>
                <w:szCs w:val="21"/>
                <w:highlight w:val="none"/>
              </w:rPr>
              <w:t>合同终止</w:t>
            </w:r>
            <w:r>
              <w:rPr>
                <w:rFonts w:hint="eastAsia" w:ascii="宋体" w:hAnsi="宋体" w:cs="宋体"/>
                <w:szCs w:val="21"/>
                <w:highlight w:val="none"/>
                <w:lang w:eastAsia="zh-CN"/>
              </w:rPr>
              <w:t>：</w:t>
            </w:r>
            <w:r>
              <w:rPr>
                <w:rFonts w:hint="eastAsia" w:ascii="宋体" w:hAnsi="宋体" w:cs="宋体"/>
                <w:szCs w:val="21"/>
                <w:highlight w:val="none"/>
              </w:rPr>
              <w:t>中标人在合同有效期内，不得以任何理由终止合同，确有特殊情况的，须提前两个月向采购人提出书面申请，经采购人同意后，方可终止合同。因中标人发生重大差错事故的，采购人有权终止合同并重新组织招标，中标人承担全部责任。涉及到采购人上级部门出台新政策或新的相关要求，采购人提前</w:t>
            </w:r>
            <w:r>
              <w:rPr>
                <w:rFonts w:hint="eastAsia" w:ascii="宋体" w:hAnsi="宋体" w:cs="宋体"/>
                <w:szCs w:val="21"/>
                <w:highlight w:val="none"/>
                <w:lang w:val="en-US" w:eastAsia="zh-CN"/>
              </w:rPr>
              <w:t>两</w:t>
            </w:r>
            <w:r>
              <w:rPr>
                <w:rFonts w:hint="eastAsia" w:ascii="宋体" w:hAnsi="宋体" w:cs="宋体"/>
                <w:szCs w:val="21"/>
                <w:highlight w:val="none"/>
              </w:rPr>
              <w:t>个月通知中标人，可以终止合同。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5"/>
              <w:rPr>
                <w:rFonts w:hint="default"/>
                <w:lang w:val="en-US" w:eastAsia="zh-CN"/>
              </w:rPr>
            </w:pPr>
            <w:r>
              <w:rPr>
                <w:rFonts w:hint="eastAsia"/>
                <w:highlight w:val="none"/>
                <w:lang w:val="en-US" w:eastAsia="zh-CN"/>
              </w:rPr>
              <w:t>4</w:t>
            </w:r>
          </w:p>
        </w:tc>
        <w:tc>
          <w:tcPr>
            <w:tcW w:w="79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hAnsi="宋体" w:cs="宋体"/>
                <w:lang w:bidi="ar"/>
              </w:rPr>
            </w:pPr>
            <w:r>
              <w:rPr>
                <w:rFonts w:hint="eastAsia" w:hAnsi="宋体" w:cs="宋体"/>
                <w:lang w:bidi="ar"/>
              </w:rPr>
              <w:t>履约保证金金额：合同金额的1%；</w:t>
            </w:r>
          </w:p>
          <w:p>
            <w:pPr>
              <w:spacing w:line="360" w:lineRule="auto"/>
              <w:jc w:val="left"/>
              <w:rPr>
                <w:rFonts w:hint="eastAsia" w:hAnsi="宋体" w:cs="宋体"/>
                <w:lang w:bidi="ar"/>
              </w:rPr>
            </w:pPr>
            <w:r>
              <w:rPr>
                <w:rFonts w:hint="eastAsia" w:hAnsi="宋体" w:cs="宋体"/>
                <w:lang w:bidi="ar"/>
              </w:rPr>
              <w:t>履约保证金形式：支票、汇票、银行无条件履约保函或保险保单形式。中标人收到中标通知书后7天内向采购人支付。履约保证金在中标人完成合同履约后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5"/>
              <w:rPr>
                <w:rFonts w:hint="eastAsia" w:eastAsia="宋体"/>
                <w:lang w:val="en-US" w:eastAsia="zh-CN"/>
              </w:rPr>
            </w:pPr>
            <w:r>
              <w:rPr>
                <w:rFonts w:hint="eastAsia"/>
                <w:highlight w:val="none"/>
                <w:lang w:val="en-US" w:eastAsia="zh-CN"/>
              </w:rPr>
              <w:t>5</w:t>
            </w:r>
          </w:p>
        </w:tc>
        <w:tc>
          <w:tcPr>
            <w:tcW w:w="79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cs="宋体"/>
                <w:lang w:bidi="ar"/>
              </w:rPr>
              <w:t>★同意采购方对投标文件内容的真实性和有效性进行监督审查、验证。</w:t>
            </w:r>
          </w:p>
        </w:tc>
      </w:tr>
    </w:tbl>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lang w:eastAsia="zh-CN"/>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第三章  投标人须知</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ascii="黑体" w:hAnsi="宋体" w:eastAsia="黑体"/>
          <w:b/>
          <w:bCs/>
          <w:color w:val="auto"/>
          <w:sz w:val="28"/>
          <w:szCs w:val="28"/>
          <w:highlight w:val="none"/>
        </w:rPr>
        <w:t>前附表</w:t>
      </w:r>
    </w:p>
    <w:p>
      <w:pPr>
        <w:pStyle w:val="13"/>
        <w:snapToGrid w:val="0"/>
        <w:spacing w:beforeLines="0" w:afterLines="0"/>
        <w:jc w:val="center"/>
        <w:outlineLvl w:val="0"/>
        <w:rPr>
          <w:rFonts w:ascii="黑体" w:hAnsi="宋体" w:eastAsia="黑体"/>
          <w:b/>
          <w:bCs/>
          <w:color w:val="auto"/>
          <w:sz w:val="28"/>
          <w:szCs w:val="28"/>
          <w:highlight w:val="none"/>
        </w:rPr>
      </w:pPr>
    </w:p>
    <w:tbl>
      <w:tblPr>
        <w:tblStyle w:val="24"/>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专门面向中小微企业招标：</w:t>
            </w:r>
            <w:r>
              <w:rPr>
                <w:rFonts w:hint="eastAsia" w:asciiTheme="minorEastAsia" w:hAnsiTheme="minorEastAsia" w:eastAsiaTheme="minorEastAsia"/>
                <w:color w:val="auto"/>
                <w:szCs w:val="21"/>
                <w:highlight w:val="none"/>
                <w:bdr w:val="single" w:color="auto" w:sz="4" w:space="0"/>
              </w:rPr>
              <w:t>√</w:t>
            </w:r>
            <w:r>
              <w:rPr>
                <w:rFonts w:hint="eastAsia" w:asciiTheme="minorEastAsia" w:hAnsiTheme="minorEastAsia" w:eastAsiaTheme="minorEastAsia"/>
                <w:color w:val="auto"/>
                <w:szCs w:val="21"/>
                <w:highlight w:val="none"/>
              </w:rPr>
              <w:t>是；</w:t>
            </w:r>
            <w:r>
              <w:rPr>
                <w:rFonts w:hint="eastAsia" w:asciiTheme="minorEastAsia" w:hAnsiTheme="minorEastAsia" w:eastAsiaTheme="minorEastAsia"/>
                <w:color w:val="auto"/>
                <w:szCs w:val="21"/>
                <w:highlight w:val="none"/>
                <w:bdr w:val="single" w:color="auto" w:sz="4" w:space="0"/>
              </w:rPr>
              <w:t xml:space="preserve">  </w:t>
            </w:r>
            <w:r>
              <w:rPr>
                <w:rFonts w:hint="eastAsia" w:asciiTheme="minorEastAsia" w:hAnsiTheme="minorEastAsia" w:eastAsiaTheme="minorEastAsia"/>
                <w:color w:val="auto"/>
                <w:szCs w:val="21"/>
                <w:highlight w:val="none"/>
              </w:rPr>
              <w:t>否。</w:t>
            </w:r>
            <w:r>
              <w:rPr>
                <w:rFonts w:hint="eastAsia" w:asciiTheme="minorEastAsia" w:hAnsiTheme="minorEastAsia" w:eastAsiaTheme="minorEastAsia" w:cstheme="minorEastAsia"/>
                <w:color w:val="auto"/>
                <w:sz w:val="21"/>
                <w:szCs w:val="21"/>
                <w:highlight w:val="none"/>
                <w:lang w:val="en-US" w:eastAsia="zh-CN"/>
              </w:rPr>
              <w:t>是</w:t>
            </w:r>
            <w:r>
              <w:rPr>
                <w:rFonts w:hint="eastAsia" w:asciiTheme="minorEastAsia" w:hAnsiTheme="minorEastAsia" w:eastAsiaTheme="minorEastAsia" w:cstheme="minorEastAsia"/>
                <w:color w:val="auto"/>
                <w:sz w:val="21"/>
                <w:szCs w:val="21"/>
                <w:highlight w:val="none"/>
              </w:rPr>
              <w:t>专门面向中小微企业招标项目。</w:t>
            </w:r>
          </w:p>
          <w:p>
            <w:pPr>
              <w:pStyle w:val="33"/>
              <w:ind w:left="0" w:leftChars="0" w:firstLine="0"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bidi="ar-SA"/>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本次招标有关信息公告在</w:t>
            </w:r>
          </w:p>
          <w:p>
            <w:pPr>
              <w:spacing w:line="40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宁波市公共资源交易电子服务系统V2.0（https://jyxt.zwb.ningbo.gov.cn:4011/website/home)</w:t>
            </w:r>
          </w:p>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宁波政府采购网（http://www.nbzfcg.cn）</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color w:val="auto"/>
          <w:szCs w:val="21"/>
          <w:highlight w:val="none"/>
        </w:rPr>
      </w:pPr>
      <w:r>
        <w:rPr>
          <w:rFonts w:hint="eastAsia"/>
          <w:color w:val="auto"/>
          <w:highlight w:val="none"/>
        </w:rPr>
        <w:br w:type="page"/>
      </w:r>
      <w:r>
        <w:rPr>
          <w:rFonts w:hint="eastAsia" w:asciiTheme="minorEastAsia" w:hAnsiTheme="minorEastAsia" w:eastAsiaTheme="minorEastAsia"/>
          <w:b/>
          <w:bCs/>
          <w:color w:val="auto"/>
          <w:szCs w:val="21"/>
          <w:highlight w:val="none"/>
        </w:rPr>
        <w:t>一、总  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适用范围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（二）定义</w:t>
      </w:r>
    </w:p>
    <w:p>
      <w:pPr>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是指依法进行政府</w:t>
      </w:r>
      <w:r>
        <w:rPr>
          <w:rFonts w:hint="eastAsia" w:asciiTheme="minorEastAsia" w:hAnsiTheme="minorEastAsia" w:eastAsiaTheme="minorEastAsia"/>
          <w:color w:val="auto"/>
          <w:szCs w:val="21"/>
          <w:highlight w:val="none"/>
        </w:rPr>
        <w:t>采购的国家机关、事业单位、团体组织。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2.“采购代理机构”是指</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”是指实质性要求条款。</w:t>
      </w:r>
    </w:p>
    <w:p>
      <w:pPr>
        <w:spacing w:line="400" w:lineRule="exact"/>
        <w:ind w:firstLine="420" w:firstLineChars="200"/>
        <w:rPr>
          <w:rFonts w:asciiTheme="minorEastAsia" w:hAnsiTheme="minorEastAsia" w:eastAsiaTheme="minorEastAsia"/>
          <w:color w:val="auto"/>
          <w:szCs w:val="21"/>
          <w:highlight w:val="none"/>
        </w:rPr>
      </w:pPr>
      <w:bookmarkStart w:id="0" w:name="_Toc304292180"/>
      <w:bookmarkStart w:id="1" w:name="_Toc317685562"/>
      <w:r>
        <w:rPr>
          <w:rFonts w:hint="eastAsia" w:asciiTheme="minorEastAsia" w:hAnsiTheme="minorEastAsia" w:eastAsiaTheme="minorEastAsia"/>
          <w:color w:val="auto"/>
          <w:szCs w:val="21"/>
          <w:highlight w:val="none"/>
        </w:rPr>
        <w:t>（三）投标委</w:t>
      </w:r>
      <w:bookmarkEnd w:id="0"/>
      <w:bookmarkEnd w:id="1"/>
      <w:r>
        <w:rPr>
          <w:rFonts w:hint="eastAsia" w:asciiTheme="minorEastAsia" w:hAnsiTheme="minorEastAsia" w:eastAsiaTheme="minorEastAsia"/>
          <w:color w:val="auto"/>
          <w:szCs w:val="21"/>
          <w:highlight w:val="none"/>
        </w:rPr>
        <w:t>托</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代表须</w:t>
      </w:r>
      <w:r>
        <w:rPr>
          <w:rFonts w:hint="eastAsia" w:asciiTheme="minorEastAsia" w:hAnsiTheme="minorEastAsia" w:eastAsiaTheme="minorEastAsia"/>
          <w:color w:val="auto"/>
          <w:szCs w:val="21"/>
          <w:highlight w:val="none"/>
        </w:rPr>
        <w:t>提</w:t>
      </w:r>
      <w:r>
        <w:rPr>
          <w:rFonts w:asciiTheme="minorEastAsia" w:hAnsiTheme="minorEastAsia" w:eastAsiaTheme="minorEastAsia"/>
          <w:color w:val="auto"/>
          <w:szCs w:val="21"/>
          <w:highlight w:val="none"/>
        </w:rPr>
        <w:t>供</w:t>
      </w:r>
      <w:r>
        <w:rPr>
          <w:rFonts w:hint="eastAsia" w:asciiTheme="minorEastAsia" w:hAnsiTheme="minorEastAsia" w:eastAsiaTheme="minorEastAsia"/>
          <w:color w:val="auto"/>
          <w:szCs w:val="21"/>
          <w:highlight w:val="none"/>
        </w:rPr>
        <w:t>有效</w:t>
      </w:r>
      <w:r>
        <w:rPr>
          <w:rFonts w:asciiTheme="minorEastAsia" w:hAnsiTheme="minorEastAsia" w:eastAsiaTheme="minorEastAsia"/>
          <w:color w:val="auto"/>
          <w:szCs w:val="21"/>
          <w:highlight w:val="none"/>
        </w:rPr>
        <w:t>身份证</w:t>
      </w:r>
      <w:r>
        <w:rPr>
          <w:rFonts w:hint="eastAsia" w:asciiTheme="minorEastAsia" w:hAnsiTheme="minorEastAsia" w:eastAsiaTheme="minorEastAsia"/>
          <w:color w:val="auto"/>
          <w:szCs w:val="21"/>
          <w:highlight w:val="none"/>
        </w:rPr>
        <w:t>件</w:t>
      </w:r>
      <w:r>
        <w:rPr>
          <w:rFonts w:asciiTheme="minorEastAsia" w:hAnsiTheme="minorEastAsia" w:eastAsiaTheme="minorEastAsia"/>
          <w:color w:val="auto"/>
          <w:szCs w:val="21"/>
          <w:highlight w:val="none"/>
        </w:rPr>
        <w:t>。如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代表不是法定代表人／负责人，须有法定代表人／负责人出具的授权委托书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格式见</w:t>
      </w: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bookmarkStart w:id="2" w:name="_Toc304292181"/>
      <w:bookmarkStart w:id="3" w:name="_Toc317685563"/>
      <w:r>
        <w:rPr>
          <w:rFonts w:hint="eastAsia" w:asciiTheme="minorEastAsia" w:hAnsiTheme="minorEastAsia" w:eastAsiaTheme="minorEastAsia"/>
          <w:color w:val="auto"/>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2"/>
      <w:bookmarkEnd w:id="3"/>
      <w:r>
        <w:rPr>
          <w:rFonts w:hint="eastAsia" w:asciiTheme="minorEastAsia" w:hAnsiTheme="minorEastAsia" w:eastAsiaTheme="minorEastAsia"/>
          <w:color w:val="auto"/>
          <w:szCs w:val="21"/>
          <w:highlight w:val="none"/>
        </w:rPr>
        <w:t>投标费用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（五）转包与分包</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本项目不得转包</w:t>
      </w:r>
      <w:r>
        <w:rPr>
          <w:rFonts w:hint="eastAsia" w:asciiTheme="minorEastAsia" w:hAnsiTheme="minorEastAsia" w:eastAsiaTheme="minorEastAsia"/>
          <w:color w:val="auto"/>
          <w:szCs w:val="21"/>
          <w:highlight w:val="none"/>
        </w:rPr>
        <w:t>，未经采购人同意不得分包。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（六）特别说明</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银行、保险、石油石化、电力、电信、移动、联通等行业实行许可证管理的本地分支机构可直接参与投标，法人代表授权书可以为分公司负责人授权。</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招标文件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公告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投标人须知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w:t>
      </w:r>
      <w:r>
        <w:rPr>
          <w:rFonts w:hint="eastAsia" w:asciiTheme="minorEastAsia" w:hAnsiTheme="minorEastAsia" w:eastAsiaTheme="minorEastAsia"/>
          <w:color w:val="auto"/>
          <w:szCs w:val="21"/>
          <w:highlight w:val="none"/>
        </w:rPr>
        <w:t>评标</w:t>
      </w:r>
      <w:r>
        <w:rPr>
          <w:rFonts w:asciiTheme="minorEastAsia" w:hAnsiTheme="minorEastAsia" w:eastAsiaTheme="minorEastAsia"/>
          <w:color w:val="auto"/>
          <w:szCs w:val="21"/>
          <w:highlight w:val="none"/>
        </w:rPr>
        <w:t>标准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.政府采购</w:t>
      </w:r>
      <w:r>
        <w:rPr>
          <w:rFonts w:asciiTheme="minorEastAsia" w:hAnsiTheme="minorEastAsia" w:eastAsiaTheme="minorEastAsia"/>
          <w:color w:val="auto"/>
          <w:szCs w:val="21"/>
          <w:highlight w:val="none"/>
        </w:rPr>
        <w:t>合同主要条款</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（二）招标文件的澄清与修改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澄清或者修改的内容为招标文件的组成部分</w:t>
      </w:r>
      <w:r>
        <w:rPr>
          <w:rFonts w:hint="eastAsia" w:asciiTheme="minorEastAsia" w:hAnsi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3.所有投标人均有义务登陆</w:t>
      </w:r>
      <w:r>
        <w:rPr>
          <w:rFonts w:hint="eastAsia" w:asciiTheme="minorEastAsia" w:hAnsiTheme="minorEastAsia" w:eastAsiaTheme="minorEastAsia"/>
          <w:color w:val="auto"/>
          <w:szCs w:val="21"/>
          <w:highlight w:val="none"/>
          <w:lang w:eastAsia="zh-CN"/>
        </w:rPr>
        <w:t>宁波市公共资源交易电子服务系统V2.0（https://jyxt.zwb.ningbo.gov.cn:4011/website/home)</w:t>
      </w:r>
      <w:r>
        <w:rPr>
          <w:rFonts w:hint="eastAsia" w:asciiTheme="minorEastAsia" w:hAnsiTheme="minorEastAsia" w:eastAsiaTheme="minorEastAsia"/>
          <w:color w:val="auto"/>
          <w:szCs w:val="21"/>
          <w:highlight w:val="none"/>
        </w:rPr>
        <w:t>、宁波政府采购网（</w:t>
      </w:r>
      <w:r>
        <w:rPr>
          <w:rFonts w:asciiTheme="minorEastAsia" w:hAnsiTheme="minorEastAsia" w:eastAsiaTheme="minorEastAsia"/>
          <w:color w:val="auto"/>
          <w:szCs w:val="21"/>
          <w:highlight w:val="none"/>
        </w:rPr>
        <w:t>http://www.nbzfcg.cn</w:t>
      </w:r>
      <w:r>
        <w:rPr>
          <w:rFonts w:hint="eastAsia" w:asciiTheme="minorEastAsia" w:hAnsiTheme="minorEastAsia" w:eastAsiaTheme="minorEastAsia"/>
          <w:color w:val="auto"/>
          <w:szCs w:val="21"/>
          <w:highlight w:val="none"/>
        </w:rPr>
        <w:t>）和浙江政府采购网（</w:t>
      </w:r>
      <w:r>
        <w:rPr>
          <w:rFonts w:hint="eastAsia" w:asciiTheme="minorEastAsia" w:hAnsiTheme="minorEastAsia" w:eastAsiaTheme="minorEastAsia"/>
          <w:color w:val="auto"/>
          <w:szCs w:val="21"/>
          <w:highlight w:val="none"/>
          <w:lang w:eastAsia="zh-CN"/>
        </w:rPr>
        <w:t>https://zfcg.czt.zj.gov.cn</w:t>
      </w:r>
      <w:r>
        <w:rPr>
          <w:rFonts w:hint="eastAsia" w:asciiTheme="minorEastAsia" w:hAnsiTheme="minorEastAsia" w:eastAsiaTheme="minorEastAsia"/>
          <w:color w:val="auto"/>
          <w:szCs w:val="21"/>
          <w:highlight w:val="none"/>
        </w:rPr>
        <w:t>）网站获取相关信息，</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（一）投标文件的组成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投标文件由技术商务文件及报价文件两部分组成。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1.技术商务文件的内容组成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（1）资格条件自查表（格式见附件）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（3）评分索引表（格式详见技术商务文件格式中的评分索引表）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（4）对照技术商务评分表的要求提供以下资料：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cs="宋体" w:asciiTheme="minorEastAsia" w:hAnsiTheme="minorEastAsia" w:eastAsiaTheme="minorEastAsia"/>
          <w:color w:val="auto"/>
          <w:szCs w:val="21"/>
          <w:highlight w:val="none"/>
        </w:rPr>
        <w:t>对本项目的了解情况</w:t>
      </w:r>
      <w:r>
        <w:rPr>
          <w:rFonts w:hint="eastAsia"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②</w:t>
      </w:r>
      <w:r>
        <w:rPr>
          <w:rFonts w:hint="eastAsia" w:ascii="Cambria Math" w:hAnsi="Cambria Math" w:eastAsiaTheme="minorEastAsia"/>
          <w:color w:val="auto"/>
          <w:szCs w:val="21"/>
          <w:highlight w:val="none"/>
        </w:rPr>
        <w:t>人员投入方案；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③</w:t>
      </w:r>
      <w:r>
        <w:rPr>
          <w:rFonts w:hint="eastAsia" w:ascii="Cambria Math" w:hAnsi="Cambria Math" w:eastAsiaTheme="minorEastAsia"/>
          <w:color w:val="auto"/>
          <w:szCs w:val="21"/>
          <w:highlight w:val="none"/>
        </w:rPr>
        <w:t>人员培训方案和稳定性保障方案；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④</w:t>
      </w:r>
      <w:r>
        <w:rPr>
          <w:rFonts w:hint="eastAsia" w:ascii="Cambria Math" w:hAnsi="Cambria Math" w:eastAsiaTheme="minorEastAsia"/>
          <w:color w:val="auto"/>
          <w:szCs w:val="21"/>
          <w:highlight w:val="none"/>
        </w:rPr>
        <w:t>项目管理制度；</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⑤</w:t>
      </w:r>
      <w:r>
        <w:rPr>
          <w:rFonts w:hint="eastAsia" w:ascii="Cambria Math" w:hAnsi="Cambria Math" w:eastAsiaTheme="minorEastAsia"/>
          <w:color w:val="auto"/>
          <w:szCs w:val="21"/>
          <w:highlight w:val="none"/>
        </w:rPr>
        <w:t>服务承诺；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⑥</w:t>
      </w:r>
      <w:r>
        <w:rPr>
          <w:rFonts w:hint="eastAsia" w:ascii="Cambria Math" w:hAnsi="Cambria Math" w:eastAsiaTheme="minorEastAsia"/>
          <w:color w:val="auto"/>
          <w:szCs w:val="21"/>
          <w:highlight w:val="none"/>
        </w:rPr>
        <w:t>重难点分析及解决措施；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⑦</w:t>
      </w:r>
      <w:r>
        <w:rPr>
          <w:rFonts w:hint="eastAsia" w:ascii="Cambria Math" w:hAnsi="Cambria Math" w:eastAsiaTheme="minorEastAsia"/>
          <w:color w:val="auto"/>
          <w:szCs w:val="21"/>
          <w:highlight w:val="none"/>
        </w:rPr>
        <w:t>人员到岗方案；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⑧</w:t>
      </w:r>
      <w:r>
        <w:rPr>
          <w:rFonts w:hint="eastAsia" w:ascii="Cambria Math" w:hAnsi="Cambria Math" w:eastAsiaTheme="minorEastAsia"/>
          <w:color w:val="auto"/>
          <w:szCs w:val="21"/>
          <w:highlight w:val="none"/>
        </w:rPr>
        <w:t>服务质量保障措施；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⑨</w:t>
      </w:r>
      <w:r>
        <w:rPr>
          <w:rFonts w:hint="eastAsia" w:ascii="Cambria Math" w:hAnsi="Cambria Math" w:eastAsiaTheme="minorEastAsia"/>
          <w:color w:val="auto"/>
          <w:szCs w:val="21"/>
          <w:highlight w:val="none"/>
        </w:rPr>
        <w:t>综合实力；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Cambria Math" w:hAnsi="Cambria Math" w:eastAsiaTheme="minorEastAsia"/>
          <w:color w:val="auto"/>
          <w:szCs w:val="21"/>
          <w:highlight w:val="none"/>
          <w:lang w:eastAsia="zh-CN"/>
        </w:rPr>
      </w:pPr>
      <w:r>
        <w:rPr>
          <w:rFonts w:ascii="Cambria Math" w:hAnsi="Cambria Math" w:eastAsiaTheme="minorEastAsia"/>
          <w:color w:val="auto"/>
          <w:szCs w:val="21"/>
          <w:highlight w:val="none"/>
        </w:rPr>
        <w:t>⑩</w:t>
      </w:r>
      <w:r>
        <w:rPr>
          <w:rFonts w:hint="eastAsia" w:ascii="Cambria Math" w:hAnsi="Cambria Math" w:eastAsiaTheme="minorEastAsia"/>
          <w:color w:val="auto"/>
          <w:szCs w:val="21"/>
          <w:highlight w:val="none"/>
        </w:rPr>
        <w:t>目标方案</w:t>
      </w:r>
      <w:r>
        <w:rPr>
          <w:rFonts w:hint="eastAsia" w:ascii="Cambria Math" w:hAnsi="Cambria Math" w:eastAsiaTheme="minor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Cambria Math" w:hAnsi="Cambria Math" w:eastAsiaTheme="minorEastAsia"/>
          <w:color w:val="auto"/>
          <w:szCs w:val="21"/>
          <w:highlight w:val="none"/>
          <w:lang w:eastAsia="zh-CN"/>
        </w:rPr>
      </w:pPr>
      <w:r>
        <w:rPr>
          <w:rFonts w:ascii="Cambria Math" w:hAnsi="Cambria Math" w:eastAsiaTheme="minorEastAsia"/>
          <w:color w:val="auto"/>
          <w:szCs w:val="21"/>
          <w:highlight w:val="none"/>
        </w:rPr>
        <w:t>⑪</w:t>
      </w:r>
      <w:r>
        <w:rPr>
          <w:rFonts w:hint="eastAsia" w:ascii="Cambria Math" w:hAnsi="Cambria Math" w:eastAsiaTheme="minorEastAsia"/>
          <w:color w:val="auto"/>
          <w:szCs w:val="21"/>
          <w:highlight w:val="none"/>
        </w:rPr>
        <w:t>应急保障方案</w:t>
      </w:r>
      <w:r>
        <w:rPr>
          <w:rFonts w:hint="eastAsia" w:ascii="Cambria Math" w:hAnsi="Cambria Math" w:eastAsiaTheme="minor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Cambria Math" w:hAnsi="Cambria Math" w:eastAsiaTheme="minorEastAsia"/>
          <w:color w:val="auto"/>
          <w:szCs w:val="21"/>
          <w:highlight w:val="none"/>
          <w:lang w:eastAsia="zh-CN"/>
        </w:rPr>
      </w:pPr>
      <w:r>
        <w:rPr>
          <w:rFonts w:hint="default" w:ascii="Cambria Math" w:hAnsi="Cambria Math" w:cs="Cambria Math" w:eastAsiaTheme="minorEastAsia"/>
          <w:color w:val="auto"/>
          <w:szCs w:val="21"/>
          <w:highlight w:val="none"/>
        </w:rPr>
        <w:t>⑫</w:t>
      </w:r>
      <w:r>
        <w:rPr>
          <w:rFonts w:hint="eastAsia" w:ascii="Cambria Math" w:hAnsi="Cambria Math" w:eastAsiaTheme="minorEastAsia"/>
          <w:color w:val="auto"/>
          <w:szCs w:val="21"/>
          <w:highlight w:val="none"/>
        </w:rPr>
        <w:t>人员福利保障的计划措施</w:t>
      </w:r>
      <w:r>
        <w:rPr>
          <w:rFonts w:hint="eastAsia" w:ascii="Cambria Math" w:hAnsi="Cambria Math" w:eastAsiaTheme="minor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Cambria Math" w:hAnsi="Cambria Math" w:eastAsiaTheme="minorEastAsia"/>
          <w:color w:val="auto"/>
          <w:szCs w:val="21"/>
          <w:highlight w:val="none"/>
          <w:lang w:eastAsia="zh-CN"/>
        </w:rPr>
      </w:pPr>
      <w:r>
        <w:rPr>
          <w:rFonts w:hint="default" w:ascii="Cambria Math" w:hAnsi="Cambria Math" w:cs="Cambria Math" w:eastAsiaTheme="minorEastAsia"/>
          <w:color w:val="auto"/>
          <w:szCs w:val="21"/>
          <w:highlight w:val="none"/>
        </w:rPr>
        <w:t>⑬</w:t>
      </w:r>
      <w:r>
        <w:rPr>
          <w:rFonts w:hint="eastAsia" w:ascii="Cambria Math" w:hAnsi="Cambria Math" w:eastAsiaTheme="minorEastAsia"/>
          <w:color w:val="auto"/>
          <w:szCs w:val="21"/>
          <w:highlight w:val="none"/>
        </w:rPr>
        <w:t>业绩</w:t>
      </w:r>
      <w:r>
        <w:rPr>
          <w:rFonts w:hint="eastAsia" w:ascii="Cambria Math" w:hAnsi="Cambria Math" w:eastAsiaTheme="minor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Cambria Math" w:hAnsi="Cambria Math" w:eastAsiaTheme="minorEastAsia"/>
          <w:color w:val="auto"/>
          <w:szCs w:val="21"/>
          <w:highlight w:val="none"/>
          <w:lang w:eastAsia="zh-CN"/>
        </w:rPr>
      </w:pPr>
      <w:r>
        <w:rPr>
          <w:rFonts w:hint="default" w:ascii="Cambria Math" w:hAnsi="Cambria Math" w:cs="Cambria Math" w:eastAsiaTheme="minorEastAsia"/>
          <w:color w:val="auto"/>
          <w:szCs w:val="21"/>
          <w:highlight w:val="none"/>
        </w:rPr>
        <w:t>⑭</w:t>
      </w:r>
      <w:r>
        <w:rPr>
          <w:rFonts w:hint="eastAsia" w:ascii="Cambria Math" w:hAnsi="Cambria Math" w:eastAsiaTheme="minorEastAsia"/>
          <w:color w:val="auto"/>
          <w:szCs w:val="21"/>
          <w:highlight w:val="none"/>
        </w:rPr>
        <w:t>政府采购政策加分</w:t>
      </w:r>
      <w:r>
        <w:rPr>
          <w:rFonts w:hint="eastAsia" w:ascii="Cambria Math" w:hAnsi="Cambria Math" w:eastAsiaTheme="minor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hint="default" w:ascii="Cambria Math" w:hAnsi="Cambria Math" w:cs="Cambria Math" w:eastAsiaTheme="minorEastAsia"/>
          <w:color w:val="auto"/>
          <w:szCs w:val="21"/>
          <w:highlight w:val="none"/>
        </w:rPr>
        <w:t>⑮</w:t>
      </w:r>
      <w:r>
        <w:rPr>
          <w:rFonts w:hint="eastAsia" w:ascii="Cambria Math" w:hAnsi="Cambria Math" w:eastAsiaTheme="minorEastAsia"/>
          <w:color w:val="auto"/>
          <w:szCs w:val="21"/>
          <w:highlight w:val="none"/>
        </w:rPr>
        <w:t>服务指标偏离表（格式见附件）；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hint="default" w:ascii="Cambria Math" w:hAnsi="Cambria Math" w:cs="Cambria Math" w:eastAsiaTheme="minorEastAsia"/>
          <w:color w:val="auto"/>
          <w:szCs w:val="21"/>
          <w:highlight w:val="none"/>
        </w:rPr>
        <w:t>⑯</w:t>
      </w:r>
      <w:r>
        <w:rPr>
          <w:rFonts w:hint="eastAsia" w:ascii="Cambria Math" w:hAnsi="Cambria Math" w:eastAsiaTheme="minorEastAsia"/>
          <w:color w:val="auto"/>
          <w:szCs w:val="21"/>
          <w:highlight w:val="none"/>
        </w:rPr>
        <w:t>商务条款偏离表（格式见附件）；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（5）上述几项中未列</w:t>
      </w:r>
      <w:r>
        <w:rPr>
          <w:rFonts w:hint="eastAsia" w:asciiTheme="minorEastAsia" w:hAnsiTheme="minorEastAsia" w:eastAsiaTheme="minorEastAsia"/>
          <w:color w:val="auto"/>
          <w:szCs w:val="21"/>
          <w:highlight w:val="none"/>
        </w:rPr>
        <w:t>明而招标文件要求提供的其他资料；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（6）投标人认为需提供的其他资料。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报价文件</w:t>
      </w:r>
      <w:r>
        <w:rPr>
          <w:rFonts w:hint="eastAsia" w:asciiTheme="minorEastAsia" w:hAnsiTheme="minorEastAsia" w:eastAsiaTheme="minorEastAsia"/>
          <w:color w:val="auto"/>
          <w:szCs w:val="21"/>
          <w:highlight w:val="none"/>
        </w:rPr>
        <w:t>的内容组成</w:t>
      </w:r>
      <w:r>
        <w:rPr>
          <w:rFonts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（2）投标分项报价表（格式见附件）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）投标人针对报价需要说明的其他文件和资料（格式自拟）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（二）投标文件的语言及计量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.投标人提交的</w:t>
      </w:r>
      <w:r>
        <w:rPr>
          <w:rFonts w:asciiTheme="minorEastAsia" w:hAnsiTheme="minorEastAsia" w:eastAsiaTheme="minorEastAsia"/>
          <w:color w:val="auto"/>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（四）投标文件的有效期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.投标有效期从提交投标文件的截止之日起90天</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在特殊情况下，</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（五）投标文件的编制和份数</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.投标文件的编制：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（1）投标人应当按照招标文件的要求编制投标文件。投标文件应当对招标文件提出的要求和条件作出明确响应，</w:t>
      </w:r>
      <w:r>
        <w:rPr>
          <w:rFonts w:asciiTheme="minorEastAsia" w:hAnsiTheme="minorEastAsia" w:eastAsiaTheme="minorEastAsia"/>
          <w:color w:val="auto"/>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投标文件内容不完整、编排混乱导致投标文件被误读、漏读或者查找不到相关内容的，</w:t>
      </w:r>
      <w:r>
        <w:rPr>
          <w:rFonts w:hint="eastAsia" w:asciiTheme="minorEastAsia" w:hAnsiTheme="minorEastAsia" w:eastAsiaTheme="minorEastAsia"/>
          <w:color w:val="auto"/>
          <w:szCs w:val="21"/>
          <w:highlight w:val="none"/>
        </w:rPr>
        <w:t>由投标人自负。</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投标文件须由投标人在规定位置盖章并由法定代表人／负责人或授权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签署，投标人应写全称。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投标文件不得涂改，若有修改错漏处，须加盖单位公章或者</w:t>
      </w:r>
      <w:r>
        <w:rPr>
          <w:rFonts w:hint="eastAsia" w:asciiTheme="minorEastAsia" w:hAnsiTheme="minorEastAsia" w:eastAsiaTheme="minorEastAsia"/>
          <w:color w:val="auto"/>
          <w:szCs w:val="21"/>
          <w:highlight w:val="none"/>
        </w:rPr>
        <w:t>法定代表人／负责人或授权代表签字</w:t>
      </w:r>
      <w:r>
        <w:rPr>
          <w:rFonts w:asciiTheme="minorEastAsia" w:hAnsiTheme="minorEastAsia" w:eastAsiaTheme="minorEastAsia"/>
          <w:color w:val="auto"/>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2.投标文件的份数：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本项目实行网上投标，供应商应准备以下投标文件：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以介质存储的数据电文形式的电子备份投标文件用封袋密封</w:t>
      </w:r>
      <w:r>
        <w:rPr>
          <w:rFonts w:hint="eastAsia" w:cs="宋体" w:asciiTheme="minorEastAsia" w:hAnsiTheme="minorEastAsia" w:eastAsiaTheme="minorEastAsia"/>
          <w:bCs/>
          <w:color w:val="auto"/>
          <w:szCs w:val="21"/>
          <w:highlight w:val="none"/>
        </w:rPr>
        <w:t>包装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包封</w:t>
      </w:r>
      <w:r>
        <w:rPr>
          <w:rFonts w:hint="eastAsia" w:asciiTheme="minorEastAsia" w:hAnsiTheme="minorEastAsia" w:eastAsiaTheme="minorEastAsia"/>
          <w:color w:val="auto"/>
          <w:szCs w:val="21"/>
          <w:highlight w:val="none"/>
        </w:rPr>
        <w:t>应密封完好，正确标明</w:t>
      </w:r>
      <w:r>
        <w:rPr>
          <w:rFonts w:hint="eastAsia" w:cs="宋体" w:asciiTheme="minorEastAsia" w:hAnsiTheme="minorEastAsia" w:eastAsiaTheme="minorEastAsia"/>
          <w:color w:val="auto"/>
          <w:kern w:val="0"/>
          <w:szCs w:val="21"/>
          <w:highlight w:val="none"/>
        </w:rPr>
        <w:t>电子备份</w:t>
      </w:r>
      <w:r>
        <w:rPr>
          <w:rFonts w:hint="eastAsia" w:asciiTheme="minorEastAsia" w:hAnsiTheme="minorEastAsia" w:eastAsiaTheme="minorEastAsia"/>
          <w:color w:val="auto"/>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3.投标人在投标截止时间之前，可以对所递交的</w:t>
      </w:r>
      <w:r>
        <w:rPr>
          <w:rFonts w:hint="eastAsia" w:cs="宋体" w:asciiTheme="minorEastAsia" w:hAnsiTheme="minorEastAsia" w:eastAsiaTheme="minorEastAsia"/>
          <w:color w:val="auto"/>
          <w:kern w:val="0"/>
          <w:sz w:val="21"/>
          <w:szCs w:val="21"/>
          <w:highlight w:val="none"/>
        </w:rPr>
        <w:t>电子备份投标文件</w:t>
      </w:r>
      <w:r>
        <w:rPr>
          <w:rFonts w:hint="eastAsia" w:cs="宋体" w:asciiTheme="minorEastAsia" w:hAnsiTheme="minorEastAsia" w:eastAsiaTheme="minorEastAsia"/>
          <w:color w:val="auto"/>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投标文件未按时解密，供应商提供了电子备份投标文件的，以电子备份投标文件作为依据，否则视为投标文件撤回。投标文件已按时解密的，电子备份投标文件自动失效。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5.投标人应当在</w:t>
      </w:r>
      <w:r>
        <w:rPr>
          <w:rFonts w:hint="eastAsia" w:cs="宋体" w:asciiTheme="minorEastAsia" w:hAnsiTheme="minorEastAsia" w:eastAsiaTheme="minorEastAsia"/>
          <w:color w:val="auto"/>
          <w:szCs w:val="21"/>
          <w:highlight w:val="none"/>
        </w:rPr>
        <w:t>投标截止时间</w:t>
      </w:r>
      <w:r>
        <w:rPr>
          <w:rFonts w:hint="eastAsia" w:asciiTheme="minorEastAsia" w:hAnsiTheme="minorEastAsia" w:eastAsiaTheme="minorEastAsia"/>
          <w:color w:val="auto"/>
          <w:szCs w:val="21"/>
          <w:highlight w:val="none"/>
        </w:rPr>
        <w:t>前将电子备份投标文件送达投标地点，逾期送达或未按照招标文件要求密封的电子备份投标文件将予以拒收。</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四、开标和评标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（一）开标准备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采购代理机构将在招标文件规定的时间和地点进行开标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投标人的法定代表人／负责人或其授权代表</w:t>
      </w:r>
      <w:r>
        <w:rPr>
          <w:rFonts w:hint="eastAsia" w:asciiTheme="minorEastAsia" w:hAnsiTheme="minorEastAsia" w:eastAsiaTheme="minorEastAsia"/>
          <w:color w:val="auto"/>
          <w:szCs w:val="21"/>
          <w:highlight w:val="none"/>
        </w:rPr>
        <w:t>可</w:t>
      </w:r>
      <w:r>
        <w:rPr>
          <w:rFonts w:asciiTheme="minorEastAsia" w:hAnsiTheme="minorEastAsia" w:eastAsiaTheme="minorEastAsia"/>
          <w:color w:val="auto"/>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宋体" w:hAnsi="宋体" w:eastAsia="Calibri"/>
          <w:color w:val="auto"/>
          <w:szCs w:val="21"/>
          <w:highlight w:val="none"/>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eastAsia="Calibri"/>
          <w:color w:val="auto"/>
          <w:szCs w:val="21"/>
          <w:highlight w:val="none"/>
        </w:rPr>
        <w:t>在政府采购云平台开启已解密供应商的技术商务文件，</w:t>
      </w:r>
      <w:r>
        <w:rPr>
          <w:rFonts w:hint="eastAsia" w:ascii="宋体" w:hAnsi="宋体" w:eastAsiaTheme="minorEastAsia"/>
          <w:color w:val="auto"/>
          <w:szCs w:val="21"/>
          <w:highlight w:val="none"/>
        </w:rPr>
        <w:t>然后进入技术商务评审。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技术商务评审结束后</w:t>
      </w:r>
      <w:r>
        <w:rPr>
          <w:rFonts w:hint="eastAsia" w:asciiTheme="minorEastAsia" w:hAnsiTheme="minorEastAsia" w:eastAsiaTheme="minorEastAsia"/>
          <w:color w:val="auto"/>
          <w:szCs w:val="21"/>
          <w:highlight w:val="none"/>
        </w:rPr>
        <w:t>，</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开启报价文件，并做开标记录。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4.进入报价</w:t>
      </w:r>
      <w:r>
        <w:rPr>
          <w:rFonts w:asciiTheme="minorEastAsia" w:hAnsiTheme="minorEastAsia" w:eastAsiaTheme="minorEastAsia"/>
          <w:color w:val="auto"/>
          <w:szCs w:val="21"/>
          <w:highlight w:val="none"/>
        </w:rPr>
        <w:t>评审</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Theme="minorEastAsia" w:hAnsiTheme="minorEastAsia" w:eastAsiaTheme="minorEastAsia"/>
          <w:color w:val="auto"/>
          <w:szCs w:val="21"/>
          <w:highlight w:val="none"/>
        </w:rPr>
        <w:t>宣布最终评审结果，</w:t>
      </w:r>
      <w:r>
        <w:rPr>
          <w:rFonts w:asciiTheme="minorEastAsia" w:hAnsiTheme="minorEastAsia" w:eastAsiaTheme="minorEastAsia"/>
          <w:color w:val="auto"/>
          <w:szCs w:val="21"/>
          <w:highlight w:val="none"/>
        </w:rPr>
        <w:t>开标会议结束。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特别说明：</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olor w:val="auto"/>
          <w:szCs w:val="21"/>
          <w:highlight w:val="none"/>
        </w:rPr>
        <w:t>，但有以下情形之一的，按以下情况处理：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）若有供应商在规定时间内无法解密或解密失败，采购代理机构将开启该供应商递交的</w:t>
      </w:r>
      <w:r>
        <w:rPr>
          <w:rFonts w:hint="eastAsia" w:ascii="宋体" w:hAnsi="宋体" w:cs="宋体"/>
          <w:color w:val="auto"/>
          <w:kern w:val="0"/>
          <w:szCs w:val="21"/>
          <w:highlight w:val="none"/>
        </w:rPr>
        <w:t>电子备份投标文件</w:t>
      </w:r>
      <w:r>
        <w:rPr>
          <w:rFonts w:hint="eastAsia" w:ascii="宋体" w:hAnsi="宋体"/>
          <w:color w:val="auto"/>
          <w:szCs w:val="21"/>
          <w:highlight w:val="none"/>
        </w:rPr>
        <w:t>，上传至政采云平台项目采购模块完成开标，电子投标文件自动失效。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①</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②</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③</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④</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⑤</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依法组建评标委员会。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2.评标委员会的组成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color w:val="auto"/>
          <w:szCs w:val="21"/>
          <w:highlight w:val="none"/>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评标委员会成员名单在评标结果公告前应当保密</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4.评标委员会的职责</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5.评标办法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本次采购项目的评标方法为：综合评分法。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评标程序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（7）采购代理机构工作人员宣布会议结束。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7.评审程序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（1）资格审查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7"/>
                <w:rFonts w:cs="宋体" w:asciiTheme="minorEastAsia" w:hAnsiTheme="minorEastAsia" w:eastAsiaTheme="minorEastAsia"/>
                <w:b w:val="0"/>
                <w:color w:val="auto"/>
                <w:szCs w:val="21"/>
                <w:highlight w:val="none"/>
              </w:rPr>
            </w:pPr>
            <w:r>
              <w:rPr>
                <w:rStyle w:val="27"/>
                <w:rFonts w:hint="eastAsia" w:cs="宋体" w:asciiTheme="minorEastAsia" w:hAnsiTheme="minorEastAsia" w:eastAsiaTheme="minorEastAsia"/>
                <w:b w:val="0"/>
                <w:color w:val="auto"/>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（2）符合性审查</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评标委员会应当对符合资格的</w:t>
      </w:r>
      <w:r>
        <w:rPr>
          <w:rFonts w:hint="eastAsia"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kern w:val="0"/>
          <w:szCs w:val="21"/>
          <w:highlight w:val="none"/>
        </w:rPr>
        <w:t>的投标文件进行符合性审查</w:t>
      </w:r>
      <w:r>
        <w:rPr>
          <w:rFonts w:hint="eastAsia" w:cs="宋体" w:asciiTheme="minorEastAsia" w:hAnsiTheme="minorEastAsia"/>
          <w:color w:val="auto"/>
          <w:kern w:val="0"/>
          <w:szCs w:val="21"/>
          <w:highlight w:val="none"/>
        </w:rPr>
        <w:t>，</w:t>
      </w:r>
      <w:r>
        <w:rPr>
          <w:rFonts w:hint="eastAsia" w:cs="宋体" w:asciiTheme="minorEastAsia" w:hAnsiTheme="minorEastAsia" w:eastAsiaTheme="minorEastAsia"/>
          <w:color w:val="auto"/>
          <w:kern w:val="0"/>
          <w:szCs w:val="21"/>
          <w:highlight w:val="none"/>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审查类别</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授权代表无《</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付款方式：</w:t>
            </w:r>
            <w:r>
              <w:rPr>
                <w:rFonts w:hint="eastAsia" w:asciiTheme="minorEastAsia" w:hAnsiTheme="minorEastAsia" w:eastAsiaTheme="minorEastAsia" w:cstheme="minorEastAsia"/>
                <w:i w:val="0"/>
                <w:caps w:val="0"/>
                <w:color w:val="auto"/>
                <w:spacing w:val="0"/>
                <w:sz w:val="21"/>
                <w:szCs w:val="21"/>
                <w:shd w:val="clear" w:fill="FFFFFF"/>
              </w:rPr>
              <w:t>服务费实行按月支付，采购人在收到中标人发票后15日内汇入中标人账户（月服务经费=年度合同金额/12）。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注：每次付款前，中标人须按照金额提供正规合法的发票，否则采购人有权不予支付款项。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服务期限：三年(具体时间以合同为准)合同一年一签，经采购人考核同意后，方可续签下一年度合同。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（3）投标人澄清、说明或者补正</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cs="Times New Roman" w:asciiTheme="minorEastAsia" w:hAnsiTheme="minorEastAsia" w:eastAsiaTheme="minorEastAsia"/>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asciiTheme="minorEastAsia" w:hAnsiTheme="minorEastAsia" w:eastAsiaTheme="minorEastAsia"/>
          <w:color w:val="auto"/>
          <w:szCs w:val="21"/>
          <w:highlight w:val="none"/>
        </w:rPr>
        <w:t>投标人的</w:t>
      </w:r>
      <w:r>
        <w:rPr>
          <w:rFonts w:asciiTheme="minorEastAsia" w:hAnsiTheme="minorEastAsia" w:eastAsiaTheme="minorEastAsia"/>
          <w:color w:val="auto"/>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比较与评价</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评标</w:t>
      </w:r>
      <w:r>
        <w:rPr>
          <w:rFonts w:cs="Times New Roman" w:asciiTheme="minorEastAsia" w:hAnsiTheme="minorEastAsia" w:eastAsiaTheme="minorEastAsia"/>
          <w:color w:val="auto"/>
          <w:sz w:val="21"/>
          <w:szCs w:val="21"/>
          <w:highlight w:val="none"/>
        </w:rPr>
        <w:t>委员会应当按照招标文件中规定的评标方法和标准，对符合性审查合格的投标文件进行商务和技术评估，综合比较与评价。</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报价审核。对经商务和技术评审符合采购需求的投标人的报价的合理性、准确性等进行审查核实。</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投标报价的修正原则。投标文件报价出现前后不一致的，按照下列规定修正：</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A.投标文件中开标一览表(报价表)内容与投标文件中相应内容不一致的，以开标一览表(报价表)为准</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B.大写金额和小写金额不一致的，以大写金额为准</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C.单价金额小数点或者百分比有明显错位的，以开标一览表的总价为准，并修改单价</w:t>
      </w:r>
      <w:r>
        <w:rPr>
          <w:rFonts w:hint="eastAsia" w:cs="Times New Roman" w:asciiTheme="minorEastAsia" w:hAnsiTheme="minorEastAsia"/>
          <w:color w:val="auto"/>
          <w:sz w:val="21"/>
          <w:szCs w:val="21"/>
          <w:highlight w:val="none"/>
        </w:rPr>
        <w:t>；</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D.总价金额与按单价汇总金额不一致的，以单价金额计算结果为准。</w:t>
      </w:r>
    </w:p>
    <w:p>
      <w:pPr>
        <w:pStyle w:val="59"/>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59"/>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default"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政采云平台系统填写的开标一览表数据与</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文件填写的开标一览表数据不一致时，以</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文件中开标一览表的数据为准。</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cs="Times New Roman" w:asciiTheme="minorEastAsia" w:hAnsiTheme="minorEastAsia" w:eastAsiaTheme="minorEastAsia"/>
          <w:color w:val="auto"/>
          <w:sz w:val="21"/>
          <w:szCs w:val="21"/>
          <w:highlight w:val="none"/>
        </w:rPr>
        <w:t>汇总</w:t>
      </w:r>
      <w:r>
        <w:rPr>
          <w:rFonts w:hint="eastAsia" w:cs="Times New Roman" w:asciiTheme="minorEastAsia" w:hAnsiTheme="minorEastAsia" w:eastAsiaTheme="minorEastAsia"/>
          <w:color w:val="auto"/>
          <w:sz w:val="21"/>
          <w:szCs w:val="21"/>
          <w:highlight w:val="none"/>
        </w:rPr>
        <w:t>得分。</w:t>
      </w:r>
      <w:r>
        <w:rPr>
          <w:rFonts w:cs="Times New Roman" w:asciiTheme="minorEastAsia" w:hAnsiTheme="minorEastAsia" w:eastAsiaTheme="minorEastAsia"/>
          <w:color w:val="auto"/>
          <w:sz w:val="21"/>
          <w:szCs w:val="21"/>
          <w:highlight w:val="none"/>
        </w:rPr>
        <w:t>评标委员会各成员应当独立对每个投标人的投标文件进行评价，并汇总每个投标人的得分。</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cs="Times New Roman" w:asciiTheme="minorEastAsia" w:hAnsiTheme="minorEastAsia" w:eastAsiaTheme="minorEastAsia"/>
          <w:color w:val="auto"/>
          <w:sz w:val="21"/>
          <w:szCs w:val="21"/>
          <w:highlight w:val="none"/>
        </w:rPr>
        <w:t>顺序排列</w:t>
      </w:r>
      <w:r>
        <w:rPr>
          <w:rFonts w:hint="eastAsia" w:cs="Times New Roman" w:asciiTheme="minorEastAsia" w:hAnsiTheme="minorEastAsia" w:eastAsiaTheme="minorEastAsia"/>
          <w:color w:val="auto"/>
          <w:sz w:val="21"/>
          <w:szCs w:val="21"/>
          <w:highlight w:val="none"/>
        </w:rPr>
        <w:t>与中标候选人推荐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cs="Times New Roman" w:asciiTheme="minorEastAsia" w:hAnsiTheme="minorEastAsia" w:eastAsiaTheme="minorEastAsia"/>
          <w:color w:val="auto"/>
          <w:sz w:val="21"/>
          <w:szCs w:val="21"/>
          <w:highlight w:val="none"/>
        </w:rPr>
        <w:t>串通投标认定</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有下列情形之一的，视为投标人串通投标，其投标无效：</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不同投标人的投标文件由同一单位或者个人编制；</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不同投标人委托同一单位或者个人办理投标事宜；</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不同投标人的投标文件载明的项目管理成员或者联系人员为同一人；</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④</w:t>
      </w:r>
      <w:r>
        <w:rPr>
          <w:rFonts w:hint="eastAsia" w:cs="Times New Roman" w:asciiTheme="minorEastAsia" w:hAnsiTheme="minorEastAsia" w:eastAsiaTheme="minorEastAsia"/>
          <w:color w:val="auto"/>
          <w:sz w:val="21"/>
          <w:szCs w:val="21"/>
          <w:highlight w:val="none"/>
        </w:rPr>
        <w:t>不同投标人的投标文件异常一致或者投标报价呈规律性差异；</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⑤</w:t>
      </w:r>
      <w:r>
        <w:rPr>
          <w:rFonts w:hint="eastAsia" w:cs="Times New Roman" w:asciiTheme="minorEastAsia" w:hAnsiTheme="minorEastAsia" w:eastAsiaTheme="minorEastAsia"/>
          <w:color w:val="auto"/>
          <w:sz w:val="21"/>
          <w:szCs w:val="21"/>
          <w:highlight w:val="none"/>
        </w:rPr>
        <w:t>不同投标人的投标文件相互混装。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（9）投标无效的情形</w:t>
      </w:r>
    </w:p>
    <w:p>
      <w:pPr>
        <w:pStyle w:val="59"/>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asciiTheme="minorEastAsia" w:hAnsiTheme="minorEastAsia" w:eastAsiaTheme="minorEastAsia"/>
          <w:color w:val="auto"/>
          <w:szCs w:val="21"/>
          <w:highlight w:val="none"/>
        </w:rPr>
        <w:t>投标函未提交或不符合招标文件要求的；</w:t>
      </w:r>
    </w:p>
    <w:p>
      <w:pPr>
        <w:pStyle w:val="9"/>
        <w:spacing w:after="0" w:line="400" w:lineRule="exact"/>
        <w:ind w:firstLine="407" w:firstLineChars="194"/>
        <w:rPr>
          <w:color w:val="auto"/>
          <w:szCs w:val="21"/>
          <w:highlight w:val="none"/>
        </w:rPr>
      </w:pPr>
      <w:r>
        <w:rPr>
          <w:rFonts w:ascii="Cambria Math" w:hAnsi="Cambria Math" w:eastAsiaTheme="minorEastAsia"/>
          <w:color w:val="auto"/>
          <w:szCs w:val="21"/>
          <w:highlight w:val="none"/>
        </w:rPr>
        <w:t>②《</w:t>
      </w:r>
      <w:r>
        <w:rPr>
          <w:rFonts w:hint="eastAsia" w:ascii="宋体" w:hAnsi="宋体" w:cs="宋体"/>
          <w:color w:val="auto"/>
          <w:szCs w:val="21"/>
          <w:highlight w:val="none"/>
          <w:shd w:val="clear" w:color="auto" w:fill="FFFFFF"/>
        </w:rPr>
        <w:t>法定代表人／负责人身份证明书</w:t>
      </w:r>
      <w:r>
        <w:rPr>
          <w:rFonts w:hint="eastAsia" w:asciiTheme="minorEastAsia" w:hAnsiTheme="minorEastAsia" w:eastAsiaTheme="minorEastAsia"/>
          <w:color w:val="auto"/>
          <w:szCs w:val="21"/>
          <w:highlight w:val="none"/>
        </w:rPr>
        <w:t>》未提交的；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asciiTheme="minorEastAsia" w:hAnsiTheme="minorEastAsia" w:eastAsiaTheme="minorEastAsia"/>
          <w:color w:val="auto"/>
          <w:szCs w:val="21"/>
          <w:highlight w:val="none"/>
        </w:rPr>
        <w:t>投标文件未按招标文件要求签署、盖章的；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宋体" w:eastAsiaTheme="minorEastAsia"/>
          <w:color w:val="auto"/>
          <w:szCs w:val="21"/>
          <w:highlight w:val="none"/>
          <w:shd w:val="clear" w:color="auto" w:fill="FFFFFF"/>
        </w:rPr>
        <w:t>④</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投标有效期不足的；</w:t>
      </w:r>
    </w:p>
    <w:p>
      <w:pPr>
        <w:spacing w:line="400" w:lineRule="exact"/>
        <w:ind w:firstLine="420" w:firstLineChars="200"/>
        <w:rPr>
          <w:rFonts w:cs="宋体" w:asciiTheme="minorEastAsia" w:hAnsiTheme="minorEastAsia" w:eastAsiaTheme="minorEastAsia"/>
          <w:color w:val="auto"/>
          <w:szCs w:val="21"/>
          <w:highlight w:val="none"/>
          <w:shd w:val="clear" w:color="auto" w:fill="FFFFFF"/>
        </w:rPr>
      </w:pPr>
      <w:r>
        <w:rPr>
          <w:rFonts w:ascii="Cambria Math" w:hAnsi="Cambria Math" w:eastAsiaTheme="minorEastAsia"/>
          <w:color w:val="auto"/>
          <w:szCs w:val="21"/>
          <w:highlight w:val="none"/>
        </w:rPr>
        <w:t>⑥</w:t>
      </w:r>
      <w:r>
        <w:rPr>
          <w:rFonts w:cs="宋体" w:asciiTheme="minorEastAsia" w:hAnsiTheme="minorEastAsia" w:eastAsiaTheme="minorEastAsia"/>
          <w:color w:val="auto"/>
          <w:szCs w:val="21"/>
          <w:highlight w:val="none"/>
          <w:shd w:val="clear" w:color="auto" w:fill="FFFFFF"/>
        </w:rPr>
        <w:t>授权代表无《</w:t>
      </w:r>
      <w:r>
        <w:rPr>
          <w:rFonts w:hint="eastAsia" w:ascii="宋体" w:hAnsi="宋体" w:cs="宋体"/>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asciiTheme="minorEastAsia" w:hAnsiTheme="minorEastAsia" w:eastAsiaTheme="minorEastAsia"/>
          <w:color w:val="auto"/>
          <w:szCs w:val="21"/>
          <w:highlight w:val="none"/>
        </w:rPr>
        <w:t>提供虚假材料投标的；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color w:val="auto"/>
          <w:szCs w:val="21"/>
          <w:highlight w:val="none"/>
        </w:rPr>
        <w:t>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w:t>
      </w:r>
      <w:r>
        <w:rPr>
          <w:rFonts w:asciiTheme="minorEastAsia" w:hAnsiTheme="minorEastAsia" w:eastAsiaTheme="minorEastAsia"/>
          <w:color w:val="auto"/>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⑪</w:t>
      </w:r>
      <w:r>
        <w:rPr>
          <w:rFonts w:asciiTheme="minorEastAsia" w:hAnsiTheme="minorEastAsia" w:eastAsiaTheme="minorEastAsia"/>
          <w:color w:val="auto"/>
          <w:szCs w:val="21"/>
          <w:highlight w:val="none"/>
        </w:rPr>
        <w:t>未采用人民币报价或者未按照招标文件标明的币种报价的；</w:t>
      </w:r>
    </w:p>
    <w:p>
      <w:pPr>
        <w:spacing w:line="400" w:lineRule="exact"/>
        <w:ind w:firstLine="420" w:firstLineChars="200"/>
        <w:rPr>
          <w:rFonts w:hint="eastAsia"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⑫</w:t>
      </w:r>
      <w:r>
        <w:rPr>
          <w:rFonts w:hint="eastAsia" w:asciiTheme="minorEastAsia" w:hAnsiTheme="minorEastAsia" w:eastAsiaTheme="minorEastAsia"/>
          <w:color w:val="auto"/>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⑬</w:t>
      </w:r>
      <w:r>
        <w:rPr>
          <w:rFonts w:hint="eastAsia" w:asciiTheme="minorEastAsia" w:hAnsiTheme="minorEastAsia" w:eastAsiaTheme="minorEastAsia"/>
          <w:color w:val="auto"/>
          <w:szCs w:val="21"/>
          <w:highlight w:val="none"/>
        </w:rPr>
        <w:t>投标报价具有选择性；</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⑭</w:t>
      </w:r>
      <w:r>
        <w:rPr>
          <w:rFonts w:hint="eastAsia" w:asciiTheme="minorEastAsia" w:hAnsiTheme="minorEastAsia" w:eastAsiaTheme="minorEastAsia"/>
          <w:color w:val="auto"/>
          <w:szCs w:val="21"/>
          <w:highlight w:val="none"/>
        </w:rPr>
        <w:t>技术商务文件中出现投标报价内容的；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⑮</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color w:val="auto"/>
          <w:szCs w:val="21"/>
          <w:highlight w:val="none"/>
        </w:rPr>
        <w:t>时提交相关证明材料；投标人不能证明其报价合理性的；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⑯</w:t>
      </w:r>
      <w:r>
        <w:rPr>
          <w:rFonts w:hint="eastAsia" w:ascii="Cambria Math" w:hAnsi="Cambria Math" w:cs="Cambria Math" w:eastAsiaTheme="minorEastAsia"/>
          <w:color w:val="auto"/>
          <w:szCs w:val="21"/>
          <w:highlight w:val="none"/>
        </w:rPr>
        <w:t>投标人对根据修正原则修正后的报价不确认的；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⑰</w:t>
      </w:r>
      <w:r>
        <w:rPr>
          <w:rFonts w:hint="eastAsia" w:ascii="Cambria Math" w:hAnsi="Cambria Math" w:cs="Cambria Math" w:eastAsiaTheme="minorEastAsia"/>
          <w:color w:val="auto"/>
          <w:szCs w:val="21"/>
          <w:highlight w:val="none"/>
        </w:rPr>
        <w:t>投</w:t>
      </w:r>
      <w:r>
        <w:rPr>
          <w:rFonts w:hint="eastAsia" w:asciiTheme="minorEastAsia" w:hAnsiTheme="minorEastAsia" w:eastAsiaTheme="minorEastAsia"/>
          <w:color w:val="auto"/>
          <w:szCs w:val="21"/>
          <w:highlight w:val="none"/>
        </w:rPr>
        <w:t>标人被视为串通投标的；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⑱</w:t>
      </w:r>
      <w:r>
        <w:rPr>
          <w:rFonts w:hint="eastAsia" w:asciiTheme="minorEastAsia" w:hAnsiTheme="minorEastAsia" w:eastAsiaTheme="minorEastAsia"/>
          <w:color w:val="auto"/>
          <w:szCs w:val="21"/>
          <w:highlight w:val="none"/>
        </w:rPr>
        <w:t>仅提交电子备份投标文件的；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微软雅黑" w:cs="Cambria Math"/>
          <w:color w:val="auto"/>
          <w:szCs w:val="21"/>
          <w:highlight w:val="none"/>
          <w:shd w:val="clear" w:color="auto" w:fill="FFFFFF"/>
        </w:rPr>
        <w:t>⑲</w:t>
      </w:r>
      <w:r>
        <w:rPr>
          <w:rFonts w:hint="eastAsia" w:asciiTheme="minorEastAsia" w:hAnsiTheme="minorEastAsia" w:eastAsiaTheme="minorEastAsia"/>
          <w:color w:val="auto"/>
          <w:szCs w:val="21"/>
          <w:highlight w:val="none"/>
        </w:rPr>
        <w:t>法律、法规和招标文件规定的其他无效情形。</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五、采购方式变更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六、定标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采购代理机构应当自中标人确定之日起2个工作日内，在财政部门指定的媒体上公告中标结果</w:t>
      </w:r>
      <w:r>
        <w:rPr>
          <w:rFonts w:hint="eastAsia" w:asciiTheme="minorEastAsia" w:hAnsiTheme="minorEastAsia" w:eastAsiaTheme="minorEastAsia"/>
          <w:color w:val="auto"/>
          <w:szCs w:val="21"/>
          <w:highlight w:val="none"/>
        </w:rPr>
        <w:t>，中标公告期限为1个工作日。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七、评标过程的监控与保密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本项目评标过程实行全程录音、录像监控，投标人在评标过程中所进行的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评审活动在严格保密的情况下进行。评审过程中凡是与</w:t>
      </w: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八、合同授予和验收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（一）合同授予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采购人应当组织对供应商履约的验收。履约验收按照宁</w:t>
      </w:r>
      <w:r>
        <w:rPr>
          <w:rFonts w:hint="eastAsia" w:asciiTheme="minorEastAsia" w:hAnsiTheme="minorEastAsia" w:eastAsiaTheme="minorEastAsia"/>
          <w:color w:val="auto"/>
          <w:szCs w:val="21"/>
          <w:highlight w:val="none"/>
          <w:lang w:val="en-US" w:eastAsia="zh-CN"/>
        </w:rPr>
        <w:t>财政发</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lang w:val="en-US" w:eastAsia="zh-CN"/>
        </w:rPr>
        <w:t>22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72</w:t>
      </w:r>
      <w:r>
        <w:rPr>
          <w:rFonts w:hint="eastAsia" w:asciiTheme="minorEastAsia" w:hAnsiTheme="minorEastAsia" w:eastAsiaTheme="minorEastAsia"/>
          <w:color w:val="auto"/>
          <w:szCs w:val="21"/>
          <w:highlight w:val="none"/>
        </w:rPr>
        <w:t>号文件执行。</w:t>
      </w:r>
    </w:p>
    <w:p>
      <w:pPr>
        <w:snapToGrid w:val="0"/>
        <w:spacing w:line="400" w:lineRule="exact"/>
        <w:jc w:val="center"/>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九、质疑与投诉</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（一）供应商询问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（二）供应商质疑</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（1）对招标文件提出质疑的，质疑期限自供应商获得招标文件之日或者招标公告期限届满之日起计算，且应当在采购响应截止时间之前提出。</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（2）对采购过程提出质疑的，质疑期限自各采购程序环节结束之日起计算。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（3）对采购结果提出质疑的，质疑期限自采购结果公告期限届满之日起计算。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（4）供应商应在法定质疑期内一次性提出针对同一采购程序环节的质疑。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（1）供应商的姓名或者名称、地址、邮编、联系人及联系电话；</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（2）质疑项目的名称、编号；</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（3）具体、明确的质疑事项和与质疑事项相关的请求；</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（4）事实依据；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（5）必要的法律依据；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（6）提出质疑的日期。</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6.质疑人因故不能自行办理质疑事项的，可以委托代理人办理质疑事宜，但应当向被质疑人提交授权委托书，并载明委托代理的具体权限和事项。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7.质疑人提供的相关材料中有外文资料的，应当将与质疑相关的外文资料完整、客观、真实地翻译为中文，并注明翻译人员姓名、工作单位、联系方式等信息。</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（三）供应商投诉</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kern w:val="2"/>
          <w:sz w:val="21"/>
          <w:szCs w:val="21"/>
          <w:highlight w:val="none"/>
        </w:rPr>
        <w:t>供应商投诉的事项不得超出已质疑事项的范围，但基于质疑答复内容提出的投诉事项除外。</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3.供应商投诉应当有明确的请求和必要的证明材料。</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color w:val="auto"/>
          <w:kern w:val="2"/>
          <w:sz w:val="21"/>
          <w:szCs w:val="21"/>
          <w:highlight w:val="none"/>
        </w:rPr>
      </w:pP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第四章  评标办法及评标标准</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一、总则</w:t>
      </w:r>
    </w:p>
    <w:p>
      <w:pPr>
        <w:pStyle w:val="13"/>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技术商务分按照评标委员会成员的独立评分结果汇总后的算术平均分计算，计算公式为：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投标人评标综合得分=报价分+技术商务分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三、评</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内容和标准，见下表：</w:t>
      </w:r>
    </w:p>
    <w:tbl>
      <w:tblPr>
        <w:tblStyle w:val="24"/>
        <w:tblW w:w="10342" w:type="dxa"/>
        <w:jc w:val="center"/>
        <w:tblInd w:w="-55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558"/>
        <w:gridCol w:w="76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jc w:val="center"/>
        </w:trPr>
        <w:tc>
          <w:tcPr>
            <w:tcW w:w="11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考核项目</w:t>
            </w:r>
          </w:p>
        </w:tc>
        <w:tc>
          <w:tcPr>
            <w:tcW w:w="92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5" w:hRule="atLeast"/>
          <w:jc w:val="center"/>
        </w:trPr>
        <w:tc>
          <w:tcPr>
            <w:tcW w:w="11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报价分</w:t>
            </w:r>
          </w:p>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38</w:t>
            </w:r>
            <w:r>
              <w:rPr>
                <w:rFonts w:hint="eastAsia" w:asciiTheme="minorEastAsia" w:hAnsiTheme="minorEastAsia" w:eastAsiaTheme="minorEastAsia" w:cstheme="minorEastAsia"/>
                <w:color w:val="000000"/>
                <w:sz w:val="21"/>
                <w:szCs w:val="21"/>
              </w:rPr>
              <w:t>分）</w:t>
            </w:r>
          </w:p>
        </w:tc>
        <w:tc>
          <w:tcPr>
            <w:tcW w:w="92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报价分采用低价优先法计算，报价得分=(评标基准价/投标报价)×价格权重×100（价格权重：</w:t>
            </w:r>
            <w:r>
              <w:rPr>
                <w:rFonts w:hint="eastAsia" w:asciiTheme="minorEastAsia" w:hAnsiTheme="minorEastAsia" w:eastAsiaTheme="minorEastAsia" w:cstheme="minorEastAsia"/>
                <w:color w:val="000000"/>
                <w:sz w:val="21"/>
                <w:szCs w:val="21"/>
                <w:highlight w:val="none"/>
                <w:lang w:val="en-US" w:eastAsia="zh-CN"/>
              </w:rPr>
              <w:t>38</w:t>
            </w:r>
            <w:r>
              <w:rPr>
                <w:rFonts w:hint="eastAsia" w:asciiTheme="minorEastAsia" w:hAnsiTheme="minorEastAsia" w:eastAsiaTheme="minorEastAsia" w:cstheme="minorEastAsia"/>
                <w:color w:val="00000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rPr>
              <w:t>评标基准价=满足招标文件要求且最低的投标报价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10" w:hRule="atLeast"/>
          <w:jc w:val="center"/>
        </w:trPr>
        <w:tc>
          <w:tcPr>
            <w:tcW w:w="113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商务技术分（</w:t>
            </w:r>
            <w:r>
              <w:rPr>
                <w:rFonts w:hint="eastAsia" w:asciiTheme="minorEastAsia" w:hAnsiTheme="minorEastAsia" w:eastAsiaTheme="minorEastAsia" w:cstheme="minorEastAsia"/>
                <w:color w:val="000000"/>
                <w:sz w:val="21"/>
                <w:szCs w:val="21"/>
                <w:lang w:val="en-US" w:eastAsia="zh-CN"/>
              </w:rPr>
              <w:t>62</w:t>
            </w:r>
            <w:r>
              <w:rPr>
                <w:rFonts w:hint="eastAsia" w:asciiTheme="minorEastAsia" w:hAnsiTheme="minorEastAsia" w:eastAsiaTheme="minorEastAsia" w:cstheme="minorEastAsia"/>
                <w:color w:val="000000"/>
                <w:sz w:val="21"/>
                <w:szCs w:val="21"/>
              </w:rPr>
              <w:t>分）</w:t>
            </w: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lang w:eastAsia="zh-CN"/>
              </w:rPr>
              <w:t>对本项目的了解情况（5分）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w:t>
            </w:r>
            <w:r>
              <w:rPr>
                <w:rFonts w:hint="eastAsia" w:asciiTheme="minorEastAsia" w:hAnsiTheme="minorEastAsia" w:eastAsiaTheme="minorEastAsia" w:cstheme="minorEastAsia"/>
                <w:color w:val="000000"/>
                <w:sz w:val="21"/>
                <w:szCs w:val="21"/>
                <w:highlight w:val="none"/>
                <w:lang w:val="en-US" w:eastAsia="zh-CN"/>
              </w:rPr>
              <w:t>投标人</w:t>
            </w:r>
            <w:r>
              <w:rPr>
                <w:rFonts w:hint="eastAsia" w:asciiTheme="minorEastAsia" w:hAnsiTheme="minorEastAsia" w:eastAsiaTheme="minorEastAsia" w:cstheme="minorEastAsia"/>
                <w:color w:val="000000"/>
                <w:sz w:val="21"/>
                <w:szCs w:val="21"/>
                <w:highlight w:val="none"/>
              </w:rPr>
              <w:t>针对本项目实施范围的实际情况是否熟悉了解、理解程度是否具有深度、现状调查是否透彻、问题剖析是否全面进行</w:t>
            </w:r>
            <w:r>
              <w:rPr>
                <w:rFonts w:hint="eastAsia" w:asciiTheme="minorEastAsia" w:hAnsiTheme="minorEastAsia" w:eastAsiaTheme="minorEastAsia" w:cstheme="minorEastAsia"/>
                <w:color w:val="000000"/>
                <w:sz w:val="21"/>
                <w:szCs w:val="21"/>
                <w:highlight w:val="none"/>
                <w:lang w:val="en-US" w:eastAsia="zh-CN"/>
              </w:rPr>
              <w:t>综合</w:t>
            </w:r>
            <w:r>
              <w:rPr>
                <w:rFonts w:hint="eastAsia" w:asciiTheme="minorEastAsia" w:hAnsiTheme="minorEastAsia" w:eastAsiaTheme="minorEastAsia" w:cstheme="minorEastAsia"/>
                <w:color w:val="000000"/>
                <w:sz w:val="21"/>
                <w:szCs w:val="21"/>
                <w:highlight w:val="none"/>
              </w:rPr>
              <w:t>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对</w:t>
            </w:r>
            <w:r>
              <w:rPr>
                <w:rFonts w:hint="eastAsia" w:asciiTheme="minorEastAsia" w:hAnsiTheme="minorEastAsia" w:eastAsiaTheme="minorEastAsia" w:cstheme="minorEastAsia"/>
                <w:color w:val="000000"/>
                <w:sz w:val="21"/>
                <w:szCs w:val="21"/>
                <w:highlight w:val="none"/>
              </w:rPr>
              <w:t>实施范围的实际情况了解深入、现状调查透彻、问题剖析全面精准，得5分；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对</w:t>
            </w:r>
            <w:r>
              <w:rPr>
                <w:rFonts w:hint="eastAsia" w:asciiTheme="minorEastAsia" w:hAnsiTheme="minorEastAsia" w:eastAsiaTheme="minorEastAsia" w:cstheme="minorEastAsia"/>
                <w:color w:val="000000"/>
                <w:sz w:val="21"/>
                <w:szCs w:val="21"/>
                <w:highlight w:val="none"/>
              </w:rPr>
              <w:t>实施范围的实际情况了解较深入、现状调查较透彻、问题剖析较</w:t>
            </w:r>
            <w:r>
              <w:rPr>
                <w:rFonts w:hint="eastAsia" w:asciiTheme="minorEastAsia" w:hAnsiTheme="minorEastAsia" w:eastAsiaTheme="minorEastAsia" w:cstheme="minorEastAsia"/>
                <w:color w:val="000000"/>
                <w:sz w:val="21"/>
                <w:szCs w:val="21"/>
                <w:highlight w:val="none"/>
                <w:lang w:val="en-US" w:eastAsia="zh-CN"/>
              </w:rPr>
              <w:t>完整</w:t>
            </w:r>
            <w:r>
              <w:rPr>
                <w:rFonts w:hint="eastAsia" w:asciiTheme="minorEastAsia" w:hAnsiTheme="minorEastAsia" w:eastAsiaTheme="minorEastAsia" w:cstheme="minorEastAsia"/>
                <w:color w:val="000000"/>
                <w:sz w:val="21"/>
                <w:szCs w:val="21"/>
                <w:highlight w:val="none"/>
              </w:rPr>
              <w:t>，得4分；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对</w:t>
            </w:r>
            <w:r>
              <w:rPr>
                <w:rFonts w:hint="eastAsia" w:asciiTheme="minorEastAsia" w:hAnsiTheme="minorEastAsia" w:eastAsiaTheme="minorEastAsia" w:cstheme="minorEastAsia"/>
                <w:color w:val="000000"/>
                <w:sz w:val="21"/>
                <w:szCs w:val="21"/>
                <w:highlight w:val="none"/>
              </w:rPr>
              <w:t>实施范围的实际情况</w:t>
            </w:r>
            <w:r>
              <w:rPr>
                <w:rFonts w:hint="eastAsia" w:asciiTheme="minorEastAsia" w:hAnsiTheme="minorEastAsia" w:eastAsiaTheme="minorEastAsia" w:cstheme="minorEastAsia"/>
                <w:color w:val="000000"/>
                <w:sz w:val="21"/>
                <w:szCs w:val="21"/>
                <w:highlight w:val="none"/>
                <w:lang w:val="en-US" w:eastAsia="zh-CN"/>
              </w:rPr>
              <w:t>基本了解</w:t>
            </w:r>
            <w:r>
              <w:rPr>
                <w:rFonts w:hint="eastAsia" w:asciiTheme="minorEastAsia" w:hAnsiTheme="minorEastAsia" w:eastAsiaTheme="minorEastAsia" w:cstheme="minorEastAsia"/>
                <w:color w:val="000000"/>
                <w:sz w:val="21"/>
                <w:szCs w:val="21"/>
                <w:highlight w:val="none"/>
              </w:rPr>
              <w:t>、现状调查</w:t>
            </w:r>
            <w:r>
              <w:rPr>
                <w:rFonts w:hint="eastAsia" w:asciiTheme="minorEastAsia" w:hAnsiTheme="minorEastAsia" w:eastAsiaTheme="minorEastAsia" w:cstheme="minorEastAsia"/>
                <w:color w:val="000000"/>
                <w:sz w:val="21"/>
                <w:szCs w:val="21"/>
                <w:highlight w:val="none"/>
                <w:lang w:val="en-US" w:eastAsia="zh-CN"/>
              </w:rPr>
              <w:t>基本合理</w:t>
            </w:r>
            <w:r>
              <w:rPr>
                <w:rFonts w:hint="eastAsia" w:asciiTheme="minorEastAsia" w:hAnsiTheme="minorEastAsia" w:eastAsiaTheme="minorEastAsia" w:cstheme="minorEastAsia"/>
                <w:color w:val="000000"/>
                <w:sz w:val="21"/>
                <w:szCs w:val="21"/>
                <w:highlight w:val="none"/>
              </w:rPr>
              <w:t>、问题剖析程度一般，得3分；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对</w:t>
            </w:r>
            <w:r>
              <w:rPr>
                <w:rFonts w:hint="eastAsia" w:asciiTheme="minorEastAsia" w:hAnsiTheme="minorEastAsia" w:eastAsiaTheme="minorEastAsia" w:cstheme="minorEastAsia"/>
                <w:color w:val="000000"/>
                <w:sz w:val="21"/>
                <w:szCs w:val="21"/>
                <w:highlight w:val="none"/>
              </w:rPr>
              <w:t>实施范围的实际情况了解</w:t>
            </w:r>
            <w:r>
              <w:rPr>
                <w:rFonts w:hint="eastAsia" w:asciiTheme="minorEastAsia" w:hAnsiTheme="minorEastAsia" w:eastAsiaTheme="minorEastAsia" w:cstheme="minorEastAsia"/>
                <w:color w:val="000000"/>
                <w:sz w:val="21"/>
                <w:szCs w:val="21"/>
                <w:highlight w:val="none"/>
                <w:lang w:val="en-US" w:eastAsia="zh-CN"/>
              </w:rPr>
              <w:t>一般</w:t>
            </w:r>
            <w:r>
              <w:rPr>
                <w:rFonts w:hint="eastAsia" w:asciiTheme="minorEastAsia" w:hAnsiTheme="minorEastAsia" w:eastAsiaTheme="minorEastAsia" w:cstheme="minorEastAsia"/>
                <w:color w:val="000000"/>
                <w:sz w:val="21"/>
                <w:szCs w:val="21"/>
                <w:highlight w:val="none"/>
              </w:rPr>
              <w:t>、现状调查</w:t>
            </w:r>
            <w:r>
              <w:rPr>
                <w:rFonts w:hint="eastAsia" w:asciiTheme="minorEastAsia" w:hAnsiTheme="minorEastAsia" w:eastAsiaTheme="minorEastAsia" w:cstheme="minorEastAsia"/>
                <w:color w:val="000000"/>
                <w:sz w:val="21"/>
                <w:szCs w:val="21"/>
                <w:highlight w:val="none"/>
                <w:lang w:val="en-US" w:eastAsia="zh-CN"/>
              </w:rPr>
              <w:t>一般</w:t>
            </w:r>
            <w:r>
              <w:rPr>
                <w:rFonts w:hint="eastAsia" w:asciiTheme="minorEastAsia" w:hAnsiTheme="minorEastAsia" w:eastAsiaTheme="minorEastAsia" w:cstheme="minorEastAsia"/>
                <w:color w:val="000000"/>
                <w:sz w:val="21"/>
                <w:szCs w:val="21"/>
                <w:highlight w:val="none"/>
              </w:rPr>
              <w:t>、问题剖析</w:t>
            </w:r>
            <w:r>
              <w:rPr>
                <w:rFonts w:hint="eastAsia" w:asciiTheme="minorEastAsia" w:hAnsiTheme="minorEastAsia" w:eastAsiaTheme="minorEastAsia" w:cstheme="minorEastAsia"/>
                <w:color w:val="000000"/>
                <w:sz w:val="21"/>
                <w:szCs w:val="21"/>
                <w:highlight w:val="none"/>
                <w:lang w:val="en-US" w:eastAsia="zh-CN"/>
              </w:rPr>
              <w:t>存在瑕疵</w:t>
            </w:r>
            <w:r>
              <w:rPr>
                <w:rFonts w:hint="eastAsia" w:asciiTheme="minorEastAsia" w:hAnsiTheme="minorEastAsia" w:eastAsiaTheme="minorEastAsia" w:cstheme="minorEastAsia"/>
                <w:color w:val="000000"/>
                <w:sz w:val="21"/>
                <w:szCs w:val="21"/>
                <w:highlight w:val="none"/>
              </w:rPr>
              <w:t>，得2分；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对</w:t>
            </w:r>
            <w:r>
              <w:rPr>
                <w:rFonts w:hint="eastAsia" w:asciiTheme="minorEastAsia" w:hAnsiTheme="minorEastAsia" w:eastAsiaTheme="minorEastAsia" w:cstheme="minorEastAsia"/>
                <w:color w:val="000000"/>
                <w:sz w:val="21"/>
                <w:szCs w:val="21"/>
                <w:highlight w:val="none"/>
              </w:rPr>
              <w:t>实施范围的实际情况</w:t>
            </w:r>
            <w:r>
              <w:rPr>
                <w:rFonts w:hint="eastAsia" w:asciiTheme="minorEastAsia" w:hAnsiTheme="minorEastAsia" w:eastAsiaTheme="minorEastAsia" w:cstheme="minorEastAsia"/>
                <w:color w:val="000000"/>
                <w:sz w:val="21"/>
                <w:szCs w:val="21"/>
                <w:highlight w:val="none"/>
                <w:lang w:val="en-US" w:eastAsia="zh-CN"/>
              </w:rPr>
              <w:t>不够</w:t>
            </w:r>
            <w:r>
              <w:rPr>
                <w:rFonts w:hint="eastAsia" w:asciiTheme="minorEastAsia" w:hAnsiTheme="minorEastAsia" w:eastAsiaTheme="minorEastAsia" w:cstheme="minorEastAsia"/>
                <w:color w:val="000000"/>
                <w:sz w:val="21"/>
                <w:szCs w:val="21"/>
                <w:highlight w:val="none"/>
              </w:rPr>
              <w:t>了解、现状调查</w:t>
            </w:r>
            <w:r>
              <w:rPr>
                <w:rFonts w:hint="eastAsia" w:asciiTheme="minorEastAsia" w:hAnsiTheme="minorEastAsia" w:eastAsiaTheme="minorEastAsia" w:cstheme="minorEastAsia"/>
                <w:color w:val="000000"/>
                <w:sz w:val="21"/>
                <w:szCs w:val="21"/>
                <w:highlight w:val="none"/>
                <w:lang w:val="en-US" w:eastAsia="zh-CN"/>
              </w:rPr>
              <w:t>有出入</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缺少</w:t>
            </w:r>
            <w:r>
              <w:rPr>
                <w:rFonts w:hint="eastAsia" w:asciiTheme="minorEastAsia" w:hAnsiTheme="minorEastAsia" w:eastAsiaTheme="minorEastAsia" w:cstheme="minorEastAsia"/>
                <w:color w:val="000000"/>
                <w:sz w:val="21"/>
                <w:szCs w:val="21"/>
                <w:highlight w:val="none"/>
              </w:rPr>
              <w:t>问题剖析，得1分；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9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kern w:val="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lang w:eastAsia="zh-CN"/>
              </w:rPr>
              <w:t>人员投入方案（5分）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根据投标人</w:t>
            </w:r>
            <w:r>
              <w:rPr>
                <w:rFonts w:hint="eastAsia" w:asciiTheme="minorEastAsia" w:hAnsiTheme="minorEastAsia" w:eastAsiaTheme="minorEastAsia" w:cstheme="minorEastAsia"/>
                <w:color w:val="000000"/>
                <w:sz w:val="21"/>
                <w:szCs w:val="21"/>
                <w:highlight w:val="none"/>
              </w:rPr>
              <w:t>针对本项目拟配备项目组人员方案的岗位设置是否合理、人员数量配备是否充足进行</w:t>
            </w:r>
            <w:r>
              <w:rPr>
                <w:rFonts w:hint="eastAsia" w:asciiTheme="minorEastAsia" w:hAnsiTheme="minorEastAsia" w:eastAsiaTheme="minorEastAsia" w:cstheme="minorEastAsia"/>
                <w:color w:val="000000"/>
                <w:sz w:val="21"/>
                <w:szCs w:val="21"/>
                <w:highlight w:val="none"/>
                <w:lang w:val="en-US" w:eastAsia="zh-CN"/>
              </w:rPr>
              <w:t>综合</w:t>
            </w:r>
            <w:r>
              <w:rPr>
                <w:rFonts w:hint="eastAsia" w:asciiTheme="minorEastAsia" w:hAnsiTheme="minorEastAsia" w:eastAsiaTheme="minorEastAsia" w:cstheme="minorEastAsia"/>
                <w:color w:val="000000"/>
                <w:sz w:val="21"/>
                <w:szCs w:val="21"/>
                <w:highlight w:val="none"/>
              </w:rPr>
              <w:t>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岗位配置</w:t>
            </w:r>
            <w:r>
              <w:rPr>
                <w:rFonts w:hint="eastAsia" w:asciiTheme="minorEastAsia" w:hAnsiTheme="minorEastAsia" w:eastAsiaTheme="minorEastAsia" w:cstheme="minorEastAsia"/>
                <w:color w:val="000000"/>
                <w:sz w:val="21"/>
                <w:szCs w:val="21"/>
                <w:highlight w:val="none"/>
                <w:lang w:val="en-US" w:eastAsia="zh-CN"/>
              </w:rPr>
              <w:t>非常</w:t>
            </w:r>
            <w:r>
              <w:rPr>
                <w:rFonts w:hint="eastAsia" w:asciiTheme="minorEastAsia" w:hAnsiTheme="minorEastAsia" w:eastAsiaTheme="minorEastAsia" w:cstheme="minorEastAsia"/>
                <w:color w:val="000000"/>
                <w:sz w:val="21"/>
                <w:szCs w:val="21"/>
                <w:highlight w:val="none"/>
              </w:rPr>
              <w:t>合理、数量配备充足，得5分；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岗位配置较合理、数量配备较充足，得4分；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岗位配置</w:t>
            </w:r>
            <w:r>
              <w:rPr>
                <w:rFonts w:hint="eastAsia" w:asciiTheme="minorEastAsia" w:hAnsiTheme="minorEastAsia" w:eastAsiaTheme="minorEastAsia" w:cstheme="minorEastAsia"/>
                <w:color w:val="000000"/>
                <w:sz w:val="21"/>
                <w:szCs w:val="21"/>
                <w:highlight w:val="none"/>
                <w:lang w:val="en-US" w:eastAsia="zh-CN"/>
              </w:rPr>
              <w:t>基本合理</w:t>
            </w:r>
            <w:r>
              <w:rPr>
                <w:rFonts w:hint="eastAsia" w:asciiTheme="minorEastAsia" w:hAnsiTheme="minorEastAsia" w:eastAsiaTheme="minorEastAsia" w:cstheme="minorEastAsia"/>
                <w:color w:val="000000"/>
                <w:sz w:val="21"/>
                <w:szCs w:val="21"/>
                <w:highlight w:val="none"/>
              </w:rPr>
              <w:t>、数量配备基本满足项目要求，得3分；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岗位配置</w:t>
            </w:r>
            <w:r>
              <w:rPr>
                <w:rFonts w:hint="eastAsia" w:asciiTheme="minorEastAsia" w:hAnsiTheme="minorEastAsia" w:eastAsiaTheme="minorEastAsia" w:cstheme="minorEastAsia"/>
                <w:color w:val="000000"/>
                <w:sz w:val="21"/>
                <w:szCs w:val="21"/>
                <w:highlight w:val="none"/>
                <w:lang w:val="en-US" w:eastAsia="zh-CN"/>
              </w:rPr>
              <w:t>不够</w:t>
            </w:r>
            <w:r>
              <w:rPr>
                <w:rFonts w:hint="eastAsia" w:asciiTheme="minorEastAsia" w:hAnsiTheme="minorEastAsia" w:eastAsiaTheme="minorEastAsia" w:cstheme="minorEastAsia"/>
                <w:color w:val="000000"/>
                <w:sz w:val="21"/>
                <w:szCs w:val="21"/>
                <w:highlight w:val="none"/>
              </w:rPr>
              <w:t>合理、数量配备</w:t>
            </w:r>
            <w:r>
              <w:rPr>
                <w:rFonts w:hint="eastAsia" w:asciiTheme="minorEastAsia" w:hAnsiTheme="minorEastAsia" w:eastAsiaTheme="minorEastAsia" w:cstheme="minorEastAsia"/>
                <w:color w:val="000000"/>
                <w:sz w:val="21"/>
                <w:szCs w:val="21"/>
                <w:highlight w:val="none"/>
                <w:lang w:val="en-US" w:eastAsia="zh-CN"/>
              </w:rPr>
              <w:t>无法有效满足项目要求</w:t>
            </w:r>
            <w:r>
              <w:rPr>
                <w:rFonts w:hint="eastAsia" w:asciiTheme="minorEastAsia" w:hAnsiTheme="minorEastAsia" w:eastAsiaTheme="minorEastAsia" w:cstheme="minorEastAsia"/>
                <w:color w:val="000000"/>
                <w:sz w:val="21"/>
                <w:szCs w:val="21"/>
                <w:highlight w:val="none"/>
              </w:rPr>
              <w:t>，得2分；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岗位配置</w:t>
            </w:r>
            <w:r>
              <w:rPr>
                <w:rFonts w:hint="eastAsia" w:asciiTheme="minorEastAsia" w:hAnsiTheme="minorEastAsia" w:eastAsiaTheme="minorEastAsia" w:cstheme="minorEastAsia"/>
                <w:color w:val="000000"/>
                <w:sz w:val="21"/>
                <w:szCs w:val="21"/>
                <w:highlight w:val="none"/>
                <w:lang w:val="en-US" w:eastAsia="zh-CN"/>
              </w:rPr>
              <w:t>有关键性缺失</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数量配备欠缺，</w:t>
            </w:r>
            <w:r>
              <w:rPr>
                <w:rFonts w:hint="eastAsia" w:asciiTheme="minorEastAsia" w:hAnsiTheme="minorEastAsia" w:eastAsiaTheme="minorEastAsia" w:cstheme="minorEastAsia"/>
                <w:color w:val="000000"/>
                <w:sz w:val="21"/>
                <w:szCs w:val="21"/>
                <w:highlight w:val="none"/>
              </w:rPr>
              <w:t>得1分；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5"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人员培训</w:t>
            </w:r>
            <w:r>
              <w:rPr>
                <w:rFonts w:hint="eastAsia" w:asciiTheme="minorEastAsia" w:hAnsiTheme="minorEastAsia" w:eastAsiaTheme="minorEastAsia" w:cstheme="minorEastAsia"/>
                <w:bCs/>
                <w:color w:val="000000"/>
                <w:sz w:val="21"/>
                <w:szCs w:val="21"/>
                <w:lang w:val="en-US" w:eastAsia="zh-CN"/>
              </w:rPr>
              <w:t>方案和</w:t>
            </w:r>
            <w:r>
              <w:rPr>
                <w:rFonts w:hint="eastAsia" w:asciiTheme="minorEastAsia" w:hAnsiTheme="minorEastAsia" w:eastAsiaTheme="minorEastAsia" w:cstheme="minorEastAsia"/>
                <w:bCs/>
                <w:color w:val="000000"/>
                <w:sz w:val="21"/>
                <w:szCs w:val="21"/>
                <w:lang w:eastAsia="zh-CN"/>
              </w:rPr>
              <w:t>稳定性保障方案（5分）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根据投标人针对本项目制定的人员培训方案和稳定性保障方案是否合理进行综合评议</w:t>
            </w:r>
            <w:r>
              <w:rPr>
                <w:rFonts w:hint="eastAsia" w:asciiTheme="minorEastAsia" w:hAnsiTheme="minorEastAsia" w:eastAsiaTheme="minorEastAsia" w:cstheme="minorEastAsia"/>
                <w:bCs/>
                <w:color w:val="000000"/>
                <w:sz w:val="21"/>
                <w:szCs w:val="21"/>
                <w:lang w:eastAsia="zh-CN"/>
              </w:rPr>
              <w:t>（5分）</w:t>
            </w:r>
            <w:r>
              <w:rPr>
                <w:rFonts w:hint="eastAsia" w:asciiTheme="minorEastAsia" w:hAnsiTheme="minorEastAsia" w:eastAsiaTheme="minorEastAsia" w:cstheme="minorEastAsia"/>
                <w:bCs/>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人员培训方案全面、稳定性保障方案全面，能完全符合采购人需求的得5分；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人员培训方案合理、稳定性保障方案合理，较为符合采购人需求的得4分；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人员培训方案和稳定性保障方案都基本合理，基本符合采购人需求的得3分；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人员培训方案不够明确、稳定性保障方案不够合理的，得2分；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人员培训方案存在瑕疵，稳定性保障方案可操作性不强的，得1分；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9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项目管理制度（5分）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根据投标人提供的项目管理制度的完整性、合理性、针对性、专业性方面进行综合评议</w:t>
            </w:r>
            <w:r>
              <w:rPr>
                <w:rFonts w:hint="eastAsia" w:asciiTheme="minorEastAsia" w:hAnsiTheme="minorEastAsia" w:eastAsiaTheme="minorEastAsia" w:cstheme="minorEastAsia"/>
                <w:bCs/>
                <w:color w:val="000000"/>
                <w:sz w:val="21"/>
                <w:szCs w:val="21"/>
                <w:lang w:eastAsia="zh-CN"/>
              </w:rPr>
              <w:t>（5分）</w:t>
            </w:r>
            <w:r>
              <w:rPr>
                <w:rFonts w:hint="eastAsia" w:asciiTheme="minorEastAsia" w:hAnsiTheme="minorEastAsia" w:eastAsiaTheme="minorEastAsia" w:cstheme="minorEastAsia"/>
                <w:bCs/>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项目管理制度条款非常完整、非常合理、针对性极强、专业性极强的得5分；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项目管理制度条款基本完整、基本合理、针对性较强、专业性较强的得4分；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项目管理制度条款不够完整、不够合理、针对性一般、专业性一般的得3分；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项目管理制度条款存在瑕疵、合理性较差、针对性一般、无专业性的得2分；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项目管理制度条款存在明显问题、合理性较差、无针对性、无专业性的得1分；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65"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服务承诺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根据投标人针对本项目的服务承诺响应的内容是否全面，条款是否可行进行综合评议</w:t>
            </w:r>
            <w:r>
              <w:rPr>
                <w:rFonts w:hint="eastAsia" w:asciiTheme="minorEastAsia" w:hAnsiTheme="minorEastAsia" w:eastAsiaTheme="minorEastAsia" w:cstheme="minorEastAsia"/>
                <w:color w:val="000000"/>
                <w:kern w:val="0"/>
                <w:sz w:val="21"/>
                <w:szCs w:val="21"/>
              </w:rPr>
              <w:t>（5分）</w:t>
            </w:r>
            <w:r>
              <w:rPr>
                <w:rFonts w:hint="eastAsia" w:asciiTheme="minorEastAsia" w:hAnsiTheme="minorEastAsia" w:eastAsiaTheme="minorEastAsia" w:cstheme="minorEastAsia"/>
                <w:bCs/>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服务承诺响应内容非常全面，条款完全可行，完全符合采购人需求得5分；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服务承诺响应内容较为全面，条款基本可行，较为符合采购人需求得4分；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服务承诺响应内容基本合理，条款基本可行，基本符合采购人需求得3分；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服务承诺响应内容欠缺，条款存在一定可行性，无法有效满足采购人需求得2分；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服务承诺响应内容存在瑕疵，条款操作难度高，得1分；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65"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重难点分析及解决措施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根据投标人针对本项目的重点难点分析和相关解决措施是否全面、是否合理可行进行综合评议（5分）：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分析、措施内容详实明确，逻辑清晰，完全符合采购人需求，切实可行的得5分；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分析、措施内容较为合理，逻辑较为清晰，较为切实可行的得4分；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分析、措施内容基本完整，基本符合项目实际情况，可行性一般的得3分；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分析内容不够完整，解决措施存在不足，有一定可行性的得2分；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分析内容存在瑕疵，解决措施与项目实际情况存在出入的得1分；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1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人员到岗方案（5分）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根据投标人针对本项目提供的人员按时到岗的保障措施进行综合评议（5分）：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保障措施非常完备，人员完全可确保按时到岗的得5分；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保障措施较为完备，人员基本可确保按时到岗的得4分；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保障措施基本完整，人员到岗与项目实际情况有出入的得3分；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保障措施不够完整，人员按时到岗有一定可行性的得2分；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保障措施存在明显问题，无法有效满足人员按时到岗的得1分；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服务质量</w:t>
            </w:r>
            <w:r>
              <w:rPr>
                <w:rFonts w:hint="eastAsia" w:asciiTheme="minorEastAsia" w:hAnsiTheme="minorEastAsia" w:eastAsiaTheme="minorEastAsia" w:cstheme="minorEastAsia"/>
                <w:color w:val="000000"/>
                <w:kern w:val="0"/>
                <w:sz w:val="21"/>
                <w:szCs w:val="21"/>
                <w:lang w:val="en-US" w:eastAsia="zh-CN"/>
              </w:rPr>
              <w:t>保障</w:t>
            </w:r>
            <w:r>
              <w:rPr>
                <w:rFonts w:hint="eastAsia" w:asciiTheme="minorEastAsia" w:hAnsiTheme="minorEastAsia" w:eastAsiaTheme="minorEastAsia" w:cstheme="minorEastAsia"/>
                <w:color w:val="000000"/>
                <w:kern w:val="0"/>
                <w:sz w:val="21"/>
                <w:szCs w:val="21"/>
              </w:rPr>
              <w:t>措施（5分）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numPr>
                <w:ilvl w:val="0"/>
                <w:numId w:val="0"/>
              </w:numPr>
              <w:kinsoku/>
              <w:wordWrap/>
              <w:overflowPunct/>
              <w:topLinePunct w:val="0"/>
              <w:autoSpaceDE/>
              <w:autoSpaceDN/>
              <w:bidi w:val="0"/>
              <w:snapToGrid/>
              <w:spacing w:before="0" w:after="0" w:line="320" w:lineRule="exact"/>
              <w:ind w:leftChars="0"/>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w:t>
            </w:r>
            <w:r>
              <w:rPr>
                <w:rFonts w:hint="eastAsia" w:asciiTheme="minorEastAsia" w:hAnsiTheme="minorEastAsia" w:eastAsiaTheme="minorEastAsia" w:cstheme="minorEastAsia"/>
                <w:bCs/>
                <w:color w:val="000000"/>
                <w:sz w:val="21"/>
                <w:szCs w:val="21"/>
                <w:highlight w:val="none"/>
                <w:lang w:val="en-US" w:eastAsia="zh-CN"/>
              </w:rPr>
              <w:t>投标人</w:t>
            </w:r>
            <w:r>
              <w:rPr>
                <w:rFonts w:hint="eastAsia" w:asciiTheme="minorEastAsia" w:hAnsiTheme="minorEastAsia" w:eastAsiaTheme="minorEastAsia" w:cstheme="minorEastAsia"/>
                <w:bCs/>
                <w:color w:val="000000"/>
                <w:sz w:val="21"/>
                <w:szCs w:val="21"/>
                <w:highlight w:val="none"/>
              </w:rPr>
              <w:t>提供的</w:t>
            </w:r>
            <w:r>
              <w:rPr>
                <w:rFonts w:hint="eastAsia" w:asciiTheme="minorEastAsia" w:hAnsiTheme="minorEastAsia" w:eastAsiaTheme="minorEastAsia" w:cstheme="minorEastAsia"/>
                <w:color w:val="000000"/>
                <w:kern w:val="0"/>
                <w:sz w:val="21"/>
                <w:szCs w:val="21"/>
              </w:rPr>
              <w:t>服务质量</w:t>
            </w:r>
            <w:r>
              <w:rPr>
                <w:rFonts w:hint="eastAsia" w:asciiTheme="minorEastAsia" w:hAnsiTheme="minorEastAsia" w:eastAsiaTheme="minorEastAsia" w:cstheme="minorEastAsia"/>
                <w:color w:val="000000"/>
                <w:kern w:val="0"/>
                <w:sz w:val="21"/>
                <w:szCs w:val="21"/>
                <w:lang w:val="en-US" w:eastAsia="zh-CN"/>
              </w:rPr>
              <w:t>保障</w:t>
            </w:r>
            <w:r>
              <w:rPr>
                <w:rFonts w:hint="eastAsia" w:asciiTheme="minorEastAsia" w:hAnsiTheme="minorEastAsia" w:eastAsiaTheme="minorEastAsia" w:cstheme="minorEastAsia"/>
                <w:color w:val="000000"/>
                <w:kern w:val="0"/>
                <w:sz w:val="21"/>
                <w:szCs w:val="21"/>
              </w:rPr>
              <w:t>措施</w:t>
            </w:r>
            <w:r>
              <w:rPr>
                <w:rFonts w:hint="eastAsia" w:asciiTheme="minorEastAsia" w:hAnsiTheme="minorEastAsia" w:eastAsiaTheme="minorEastAsia" w:cstheme="minorEastAsia"/>
                <w:bCs/>
                <w:color w:val="000000"/>
                <w:sz w:val="21"/>
                <w:szCs w:val="21"/>
                <w:highlight w:val="none"/>
                <w:lang w:val="en-US" w:eastAsia="zh-CN"/>
              </w:rPr>
              <w:t>的可行性是否满足需求等</w:t>
            </w:r>
            <w:r>
              <w:rPr>
                <w:rFonts w:hint="eastAsia" w:asciiTheme="minorEastAsia" w:hAnsiTheme="minorEastAsia" w:eastAsiaTheme="minorEastAsia" w:cstheme="minorEastAsia"/>
                <w:bCs/>
                <w:color w:val="000000"/>
                <w:sz w:val="21"/>
                <w:szCs w:val="21"/>
                <w:highlight w:val="none"/>
              </w:rPr>
              <w:t>进行</w:t>
            </w:r>
            <w:r>
              <w:rPr>
                <w:rFonts w:hint="eastAsia" w:asciiTheme="minorEastAsia" w:hAnsiTheme="minorEastAsia" w:eastAsiaTheme="minorEastAsia" w:cstheme="minorEastAsia"/>
                <w:bCs/>
                <w:color w:val="000000"/>
                <w:sz w:val="21"/>
                <w:szCs w:val="21"/>
                <w:highlight w:val="none"/>
                <w:lang w:val="en-US" w:eastAsia="zh-CN"/>
              </w:rPr>
              <w:t>综合评议（4分）：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服务质量承诺非常完善，保障措施可行性极高，完全符合采购人需求的得4分；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服务质量承诺较为完善，保障措施可行性较高，较为符合采购人需求的得3分；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服务质量承诺基本完整，保障措施有一定可行性，基本符合采购人需求的得2分；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服务质量承诺不够完整，保障措施无可行性，无法有效满足采购人需求的得1分； </w:t>
            </w:r>
          </w:p>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sz w:val="21"/>
                <w:szCs w:val="21"/>
                <w:highlight w:val="none"/>
                <w:lang w:val="zh-CN"/>
              </w:rPr>
            </w:pPr>
            <w:r>
              <w:rPr>
                <w:rFonts w:hint="eastAsia" w:asciiTheme="minorEastAsia" w:hAnsiTheme="minorEastAsia" w:eastAsiaTheme="minorEastAsia" w:cstheme="minorEastAsia"/>
                <w:b w:val="0"/>
                <w:bCs/>
                <w:color w:val="000000"/>
                <w:sz w:val="21"/>
                <w:szCs w:val="21"/>
                <w:highlight w:val="none"/>
                <w:lang w:val="zh-CN"/>
              </w:rPr>
              <w:t>综合实力</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bCs/>
                <w:color w:val="000000"/>
                <w:sz w:val="21"/>
                <w:szCs w:val="21"/>
                <w:highlight w:val="none"/>
                <w:lang w:val="zh-CN"/>
              </w:rPr>
              <w:t>（3分）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投标人具有有效期内的环境管理体系认证，职业健康安全管理体系认证，质量管理体系认证的，每提供一个证书得1分，最高得3分。</w:t>
            </w:r>
          </w:p>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rPr>
              <w:t>（投标文件中提供有效的证书复印件加盖公章，未提供不得分。）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7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目标方案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根据投标人针对本项目所做的近期目标和远期规划思路清晰、明确可行等进行综合评议</w:t>
            </w:r>
            <w:r>
              <w:rPr>
                <w:rFonts w:hint="eastAsia" w:asciiTheme="minorEastAsia" w:hAnsiTheme="minorEastAsia" w:eastAsiaTheme="minorEastAsia" w:cstheme="minorEastAsia"/>
                <w:color w:val="000000"/>
                <w:kern w:val="0"/>
                <w:sz w:val="21"/>
                <w:szCs w:val="21"/>
              </w:rPr>
              <w:t>（5分）</w:t>
            </w:r>
            <w:r>
              <w:rPr>
                <w:rFonts w:hint="eastAsia" w:asciiTheme="minorEastAsia" w:hAnsiTheme="minorEastAsia" w:eastAsiaTheme="minorEastAsia" w:cstheme="minorEastAsia"/>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近期目标和远期规划思路非常清晰，明确可行，完全符合采购人需求的，得5分；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近期目标和远期规划思路较为清晰，较为可行，较为符合采购人需求的，得4分；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近期目标和远期规划思路基本清晰，可行，基本符合采购人需求的，得3分；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近期目标和远期规划思路不够清晰，有一定可行性，与采购人需求有出入的得2分；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近期目标和远期规划思路不够清晰，可行性很低，无法有效满足采购人需求的，得1分；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2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lang w:eastAsia="zh-CN"/>
              </w:rPr>
              <w:t>应急保障方案（5分）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根据投标人提供的应急保障方案（包括临时性人员调集、突发情况处置等）是否全面、是否合理可行进行综合评议</w:t>
            </w:r>
            <w:r>
              <w:rPr>
                <w:rFonts w:hint="eastAsia" w:asciiTheme="minorEastAsia" w:hAnsiTheme="minorEastAsia" w:eastAsiaTheme="minorEastAsia" w:cstheme="minorEastAsia"/>
                <w:color w:val="000000"/>
                <w:kern w:val="0"/>
                <w:sz w:val="21"/>
                <w:szCs w:val="21"/>
              </w:rPr>
              <w:t>（5分）</w:t>
            </w:r>
            <w:r>
              <w:rPr>
                <w:rFonts w:hint="eastAsia" w:asciiTheme="minorEastAsia" w:hAnsiTheme="minorEastAsia" w:eastAsiaTheme="minorEastAsia" w:cstheme="minorEastAsia"/>
                <w:bCs/>
                <w:color w:val="000000"/>
                <w:sz w:val="21"/>
                <w:szCs w:val="21"/>
                <w:highlight w:val="none"/>
                <w:lang w:val="en-US" w:eastAsia="zh-CN"/>
              </w:rPr>
              <w:t>：</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方案内容编制十分全面，能完全契合项目实际情况，完全符合采购人需求的得5分；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方案内容编制较为合理，较为符合项目实际情况，能充分满足采购人需求的得4分；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方案内容基本完整，基本符合项目实际情况，能基本满足采购人需求的得3分；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 xml:space="preserve">方案内容编制存在瑕疵，与项目实际情况存在一定出入，不能有效满足采购人需求的得2分；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方案内容存在关键性缺失，与项目实际情况存在较大出入，不能有效满足采购人需求的得1分；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5"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人员福利保障的计划措施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根据投标人提供的人员福利保障计划措施进行综合评议</w:t>
            </w:r>
            <w:r>
              <w:rPr>
                <w:rFonts w:hint="eastAsia" w:asciiTheme="minorEastAsia" w:hAnsiTheme="minorEastAsia" w:eastAsiaTheme="minorEastAsia" w:cstheme="minorEastAsia"/>
                <w:color w:val="000000"/>
                <w:kern w:val="0"/>
                <w:sz w:val="21"/>
                <w:szCs w:val="21"/>
              </w:rPr>
              <w:t>（5分）</w:t>
            </w:r>
            <w:r>
              <w:rPr>
                <w:rFonts w:hint="eastAsia" w:asciiTheme="minorEastAsia" w:hAnsiTheme="minorEastAsia" w:eastAsiaTheme="minorEastAsia" w:cstheme="minorEastAsia"/>
                <w:bCs/>
                <w:color w:val="000000"/>
                <w:sz w:val="21"/>
                <w:szCs w:val="21"/>
                <w:highlight w:val="none"/>
                <w:lang w:val="en-US" w:eastAsia="zh-CN"/>
              </w:rPr>
              <w:t>：</w:t>
            </w:r>
          </w:p>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内容编制十分全面，能完全契合项目实际情况，完全符合采购人需求的得5分；</w:t>
            </w:r>
          </w:p>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内容编制较为合理，较为符合项目实际情况，能充分满足采购人需求的得4分；</w:t>
            </w:r>
          </w:p>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内容基本完整，基本符合项目实际情况，能基本满足采购人需求的得3分；</w:t>
            </w:r>
          </w:p>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 xml:space="preserve">内容编制存在瑕疵，与项目实际情况存在一定出入，不能有效满足采购人需求的得2分； </w:t>
            </w:r>
          </w:p>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内容存在关键性缺失，与项目实际情况存在较大出入，不能有效满足采购人需求的得1分；</w:t>
            </w:r>
          </w:p>
          <w:p>
            <w:pPr>
              <w:pStyle w:val="7"/>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60"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业绩（3分）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投标人自2022年1月1日（以合同签订时间为准）以来具有同类服务项目业绩，每提供一个得1分，最高3分（提供合同及中标通知书复印件加盖公章）。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5" w:hRule="atLeast"/>
          <w:jc w:val="center"/>
        </w:trPr>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highlight w:val="none"/>
              </w:rPr>
              <w:t>政府采购政策加分（1分）</w:t>
            </w:r>
          </w:p>
        </w:tc>
        <w:tc>
          <w:tcPr>
            <w:tcW w:w="76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投标人是国家认定的少数民族地区企业的加1分。</w:t>
            </w:r>
          </w:p>
        </w:tc>
      </w:tr>
    </w:tbl>
    <w:p>
      <w:pPr>
        <w:pStyle w:val="9"/>
        <w:spacing w:after="0" w:line="400" w:lineRule="exact"/>
        <w:rPr>
          <w:rFonts w:asciiTheme="minorEastAsia" w:hAnsiTheme="minorEastAsia" w:eastAsiaTheme="minorEastAsia"/>
          <w:color w:val="auto"/>
          <w:szCs w:val="21"/>
          <w:highlight w:val="none"/>
        </w:rPr>
      </w:pPr>
    </w:p>
    <w:p>
      <w:pPr>
        <w:pStyle w:val="9"/>
        <w:spacing w:after="0" w:line="400" w:lineRule="exact"/>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0"/>
        <w:rPr>
          <w:rFonts w:asciiTheme="minorEastAsia" w:hAnsiTheme="minorEastAsia" w:eastAsiaTheme="minorEastAsia"/>
          <w:color w:val="auto"/>
          <w:szCs w:val="21"/>
          <w:highlight w:val="none"/>
        </w:rPr>
      </w:pPr>
    </w:p>
    <w:p>
      <w:pPr>
        <w:pStyle w:val="13"/>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3"/>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3"/>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pStyle w:val="13"/>
        <w:keepNext w:val="0"/>
        <w:keepLines w:val="0"/>
        <w:pageBreakBefore w:val="0"/>
        <w:kinsoku/>
        <w:wordWrap/>
        <w:overflowPunct/>
        <w:topLinePunct w:val="0"/>
        <w:autoSpaceDE/>
        <w:autoSpaceDN/>
        <w:bidi w:val="0"/>
        <w:adjustRightInd/>
        <w:snapToGrid w:val="0"/>
        <w:spacing w:beforeLines="0" w:afterLines="0"/>
        <w:textAlignment w:val="auto"/>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spacing w:line="400" w:lineRule="exact"/>
        <w:jc w:val="center"/>
        <w:rPr>
          <w:color w:val="auto"/>
          <w:highlight w:val="none"/>
        </w:rPr>
      </w:pPr>
      <w:r>
        <w:rPr>
          <w:rFonts w:hint="eastAsia" w:ascii="黑体" w:hAnsi="宋体" w:eastAsia="黑体"/>
          <w:b/>
          <w:bCs/>
          <w:color w:val="auto"/>
          <w:sz w:val="28"/>
          <w:szCs w:val="28"/>
          <w:highlight w:val="none"/>
        </w:rPr>
        <w:t>第六章  投标文件格式</w:t>
      </w:r>
    </w:p>
    <w:p>
      <w:pPr>
        <w:snapToGrid w:val="0"/>
        <w:spacing w:line="400" w:lineRule="exact"/>
        <w:ind w:left="645"/>
        <w:rPr>
          <w:rFonts w:ascii="宋体" w:hAnsi="宋体"/>
          <w:bCs/>
          <w:color w:val="auto"/>
          <w:szCs w:val="21"/>
          <w:highlight w:val="none"/>
        </w:rPr>
      </w:pPr>
    </w:p>
    <w:p>
      <w:pPr>
        <w:snapToGrid w:val="0"/>
        <w:spacing w:line="400" w:lineRule="exact"/>
        <w:ind w:firstLine="420" w:firstLineChars="200"/>
        <w:jc w:val="center"/>
        <w:outlineLvl w:val="1"/>
        <w:rPr>
          <w:rFonts w:ascii="宋体" w:hAnsi="宋体"/>
          <w:bCs/>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技术商务文件格式</w:t>
      </w: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1.技术商务文件封面格式：</w:t>
      </w:r>
    </w:p>
    <w:p>
      <w:pPr>
        <w:snapToGrid w:val="0"/>
        <w:spacing w:line="400" w:lineRule="exact"/>
        <w:ind w:firstLine="5985" w:firstLineChars="285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bCs/>
          <w:color w:val="auto"/>
          <w:szCs w:val="21"/>
          <w:highlight w:val="none"/>
        </w:rPr>
        <w:t>技术商务文件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snapToGrid w:val="0"/>
        <w:spacing w:line="40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2.评分索引表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考核项目</w:t>
            </w:r>
          </w:p>
        </w:tc>
        <w:tc>
          <w:tcPr>
            <w:tcW w:w="57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评标标准</w:t>
            </w:r>
          </w:p>
        </w:tc>
        <w:tc>
          <w:tcPr>
            <w:tcW w:w="131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bl>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3.技术商务文件的内容组成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附件一</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pacing w:line="400" w:lineRule="exact"/>
        <w:rPr>
          <w:rFonts w:ascii="宋体" w:hAnsi="宋体"/>
          <w:b/>
          <w:color w:val="auto"/>
          <w:szCs w:val="21"/>
          <w:highlight w:val="none"/>
        </w:rPr>
      </w:pPr>
      <w:r>
        <w:rPr>
          <w:rFonts w:hint="eastAsia" w:ascii="宋体" w:hAnsi="宋体"/>
          <w:b/>
          <w:color w:val="auto"/>
          <w:szCs w:val="21"/>
          <w:highlight w:val="none"/>
        </w:rPr>
        <w:t>备注：资格条件自查表将作为</w:t>
      </w:r>
      <w:r>
        <w:rPr>
          <w:rFonts w:hint="eastAsia" w:ascii="宋体" w:hAnsi="宋体"/>
          <w:b/>
          <w:bCs/>
          <w:color w:val="auto"/>
          <w:szCs w:val="21"/>
          <w:highlight w:val="none"/>
        </w:rPr>
        <w:t>投标人</w:t>
      </w:r>
      <w:r>
        <w:rPr>
          <w:rFonts w:hint="eastAsia" w:ascii="宋体" w:hAnsi="宋体"/>
          <w:b/>
          <w:color w:val="auto"/>
          <w:szCs w:val="21"/>
          <w:highlight w:val="none"/>
        </w:rPr>
        <w:t>有效性审查的重要内容之一，</w:t>
      </w:r>
      <w:r>
        <w:rPr>
          <w:rFonts w:hint="eastAsia" w:ascii="宋体" w:hAnsi="宋体"/>
          <w:b/>
          <w:bCs/>
          <w:color w:val="auto"/>
          <w:szCs w:val="21"/>
          <w:highlight w:val="none"/>
        </w:rPr>
        <w:t>投标人</w:t>
      </w:r>
      <w:r>
        <w:rPr>
          <w:rFonts w:hint="eastAsia" w:ascii="宋体" w:hAnsi="宋体"/>
          <w:b/>
          <w:color w:val="auto"/>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spacing w:line="400" w:lineRule="exact"/>
        <w:jc w:val="center"/>
        <w:rPr>
          <w:rFonts w:ascii="宋体" w:hAnsi="宋体"/>
          <w:b/>
          <w:color w:val="auto"/>
          <w:sz w:val="24"/>
          <w:highlight w:val="none"/>
        </w:rPr>
      </w:pPr>
      <w:r>
        <w:rPr>
          <w:rFonts w:hint="eastAsia" w:ascii="宋体" w:hAnsi="宋体"/>
          <w:b/>
          <w:color w:val="auto"/>
          <w:sz w:val="24"/>
          <w:highlight w:val="none"/>
        </w:rPr>
        <w:t>满足《中华人民共和国政府采购法》第二十二条规定的投标人承诺书</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我公司/单位满足《中华人民共和国政府采购法》第二十二条规定的投标人资格条件：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 xml:space="preserve">投标人（盖章）：        </w:t>
      </w:r>
    </w:p>
    <w:p>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rPr>
        <w:t xml:space="preserve">投标人的法定代表人／负责人或其授权代表(签字或盖章)：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pPr>
        <w:spacing w:line="400" w:lineRule="exact"/>
        <w:ind w:firstLine="420" w:firstLineChars="200"/>
        <w:rPr>
          <w:rFonts w:ascii="宋体" w:hAnsi="宋体"/>
          <w:color w:val="auto"/>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r>
        <w:rPr>
          <w:rFonts w:hint="eastAsia" w:ascii="宋体" w:hAnsi="宋体"/>
          <w:b/>
          <w:color w:val="auto"/>
          <w:sz w:val="24"/>
          <w:highlight w:val="none"/>
        </w:rPr>
        <w:t>承 诺 函</w:t>
      </w:r>
    </w:p>
    <w:p>
      <w:pPr>
        <w:widowControl/>
        <w:spacing w:line="600" w:lineRule="exact"/>
        <w:ind w:right="159"/>
        <w:jc w:val="center"/>
        <w:rPr>
          <w:rFonts w:ascii="宋体" w:hAnsi="宋体"/>
          <w:b/>
          <w:color w:val="auto"/>
          <w:sz w:val="24"/>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eastAsia="zh-CN"/>
        </w:rPr>
        <w:t>宁海县政务服务中心</w:t>
      </w:r>
      <w:r>
        <w:rPr>
          <w:rFonts w:hint="eastAsia" w:ascii="宋体" w:hAnsi="宋体"/>
          <w:color w:val="auto"/>
          <w:szCs w:val="21"/>
          <w:highlight w:val="none"/>
        </w:rPr>
        <w:br w:type="textWrapping"/>
      </w:r>
      <w:r>
        <w:rPr>
          <w:rFonts w:hint="eastAsia" w:ascii="宋体" w:hAnsi="宋体"/>
          <w:color w:val="auto"/>
          <w:szCs w:val="21"/>
          <w:highlight w:val="none"/>
        </w:rPr>
        <w:t xml:space="preserve">    我公司/单位承诺未被“信用中国”（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宋体" w:hAnsi="宋体"/>
          <w:color w:val="auto"/>
          <w:highlight w:val="none"/>
        </w:rPr>
        <w:t>www.creditchina.gov.cn)、中国政府采购网（www.ccgp.gov.cn）列入失信被执行人、重大税收违法案件当事人名单、政府采购严重违法失信行为记录名单</w:t>
      </w:r>
      <w:r>
        <w:rPr>
          <w:rFonts w:hint="eastAsia" w:ascii="宋体" w:hAnsi="宋体"/>
          <w:color w:val="auto"/>
          <w:highlight w:val="none"/>
        </w:rPr>
        <w:fldChar w:fldCharType="end"/>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br w:type="textWrapping"/>
      </w:r>
      <w:r>
        <w:rPr>
          <w:rFonts w:hint="eastAsia" w:ascii="宋体" w:hAnsi="宋体"/>
          <w:color w:val="auto"/>
          <w:szCs w:val="21"/>
          <w:highlight w:val="none"/>
        </w:rPr>
        <w:t xml:space="preserve">    针对上述承诺，我司保证严格遵守！如有违反，愿无条件放弃中标，并接受处理，承担相应的责任。 </w:t>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t>投标人（盖章）：</w:t>
      </w:r>
      <w:r>
        <w:rPr>
          <w:rFonts w:hint="eastAsia" w:ascii="宋体" w:hAnsi="宋体"/>
          <w:color w:val="auto"/>
          <w:szCs w:val="21"/>
          <w:highlight w:val="none"/>
        </w:rPr>
        <w:br w:type="textWrapping"/>
      </w:r>
      <w:r>
        <w:rPr>
          <w:rFonts w:hint="eastAsia" w:ascii="宋体" w:hAnsi="宋体"/>
          <w:color w:val="auto"/>
          <w:szCs w:val="21"/>
          <w:highlight w:val="none"/>
        </w:rPr>
        <w:t>法定代表人／负责人或授权代表（签字或盖章）：</w:t>
      </w:r>
      <w:r>
        <w:rPr>
          <w:rFonts w:hint="eastAsia" w:ascii="宋体" w:hAnsi="宋体"/>
          <w:color w:val="auto"/>
          <w:szCs w:val="21"/>
          <w:highlight w:val="none"/>
        </w:rPr>
        <w:br w:type="textWrapping"/>
      </w:r>
      <w:r>
        <w:rPr>
          <w:rFonts w:hint="eastAsia" w:ascii="宋体" w:hAnsi="宋体"/>
          <w:color w:val="auto"/>
          <w:szCs w:val="21"/>
          <w:highlight w:val="none"/>
        </w:rPr>
        <w:t>日期：</w:t>
      </w:r>
    </w:p>
    <w:p>
      <w:pPr>
        <w:snapToGrid w:val="0"/>
        <w:spacing w:line="600" w:lineRule="exact"/>
        <w:ind w:firstLine="420" w:firstLineChars="200"/>
        <w:jc w:val="left"/>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500" w:lineRule="exact"/>
        <w:jc w:val="center"/>
        <w:rPr>
          <w:rFonts w:asciiTheme="minorEastAsia" w:hAnsiTheme="minorEastAsia"/>
          <w:color w:val="auto"/>
          <w:szCs w:val="21"/>
          <w:highlight w:val="none"/>
        </w:rPr>
      </w:pPr>
    </w:p>
    <w:p>
      <w:pPr>
        <w:spacing w:line="500" w:lineRule="exact"/>
        <w:jc w:val="center"/>
        <w:rPr>
          <w:rFonts w:asciiTheme="minorEastAsia" w:hAnsiTheme="minorEastAsia"/>
          <w:color w:val="auto"/>
          <w:szCs w:val="21"/>
          <w:highlight w:val="none"/>
        </w:rPr>
      </w:pPr>
      <w:r>
        <w:rPr>
          <w:rFonts w:asciiTheme="minorEastAsia" w:hAnsiTheme="minorEastAsia"/>
          <w:color w:val="auto"/>
          <w:szCs w:val="21"/>
          <w:highlight w:val="none"/>
        </w:rPr>
        <w:t>中小企业声明函（服务）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日 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3.项目专门面向中小企业采购的，投标人必须按要求提供本表，且投标货物或服务必须全部由中小企业制造或者承接。如有虚假，将对投标人按虚假材料谋取中标论处。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napToGrid w:val="0"/>
        <w:spacing w:line="600" w:lineRule="exact"/>
        <w:jc w:val="center"/>
        <w:rPr>
          <w:rFonts w:ascii="宋体" w:hAnsi="宋体"/>
          <w:color w:val="auto"/>
          <w:szCs w:val="21"/>
          <w:highlight w:val="none"/>
        </w:rPr>
      </w:pPr>
      <w:r>
        <w:rPr>
          <w:rFonts w:hint="eastAsia" w:ascii="宋体" w:hAnsi="宋体"/>
          <w:color w:val="auto"/>
          <w:szCs w:val="21"/>
          <w:highlight w:val="none"/>
        </w:rPr>
        <w:t>残疾人福利性单位声明函</w:t>
      </w:r>
    </w:p>
    <w:p>
      <w:pPr>
        <w:snapToGrid w:val="0"/>
        <w:spacing w:line="600" w:lineRule="exact"/>
        <w:ind w:firstLine="420" w:firstLineChars="200"/>
        <w:jc w:val="left"/>
        <w:rPr>
          <w:rFonts w:ascii="宋体" w:hAnsi="宋体"/>
          <w:color w:val="auto"/>
          <w:szCs w:val="21"/>
          <w:highlight w:val="none"/>
        </w:rPr>
      </w:pPr>
    </w:p>
    <w:p>
      <w:pPr>
        <w:snapToGrid w:val="0"/>
        <w:spacing w:line="600" w:lineRule="exact"/>
        <w:ind w:firstLine="420" w:firstLineChars="200"/>
        <w:jc w:val="left"/>
        <w:rPr>
          <w:rFonts w:ascii="宋体" w:hAnsi="宋体"/>
          <w:color w:val="auto"/>
          <w:szCs w:val="21"/>
          <w:highlight w:val="none"/>
        </w:rPr>
      </w:pP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int="eastAsia" w:hAnsi="宋体"/>
          <w:color w:val="auto"/>
          <w:szCs w:val="21"/>
          <w:highlight w:val="none"/>
        </w:rPr>
      </w:pPr>
    </w:p>
    <w:p>
      <w:pPr>
        <w:pStyle w:val="3"/>
        <w:spacing w:after="0" w:line="600" w:lineRule="exact"/>
        <w:ind w:leftChars="0" w:firstLine="3570" w:firstLineChars="1700"/>
        <w:rPr>
          <w:rFonts w:hAnsi="宋体"/>
          <w:color w:val="auto"/>
          <w:szCs w:val="21"/>
          <w:highlight w:val="none"/>
        </w:rPr>
      </w:pPr>
      <w:r>
        <w:rPr>
          <w:rFonts w:hint="eastAsia" w:hAnsi="宋体"/>
          <w:color w:val="auto"/>
          <w:szCs w:val="21"/>
          <w:highlight w:val="none"/>
        </w:rPr>
        <w:t>单位名称（盖章）：</w:t>
      </w:r>
    </w:p>
    <w:p>
      <w:pPr>
        <w:pStyle w:val="3"/>
        <w:spacing w:after="0" w:line="600" w:lineRule="exact"/>
        <w:ind w:leftChars="0" w:firstLine="3570" w:firstLineChars="1700"/>
        <w:rPr>
          <w:rFonts w:hAnsi="宋体"/>
          <w:color w:val="auto"/>
          <w:szCs w:val="21"/>
          <w:highlight w:val="none"/>
        </w:rPr>
      </w:pPr>
      <w:r>
        <w:rPr>
          <w:rFonts w:hint="eastAsia" w:hAnsi="宋体"/>
          <w:color w:val="auto"/>
          <w:szCs w:val="21"/>
          <w:highlight w:val="none"/>
        </w:rPr>
        <w:t>日期：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600" w:lineRule="exact"/>
        <w:jc w:val="left"/>
        <w:rPr>
          <w:rFonts w:hint="eastAsia" w:ascii="宋体" w:hAnsi="宋体"/>
          <w:color w:val="auto"/>
          <w:szCs w:val="21"/>
          <w:highlight w:val="none"/>
        </w:rPr>
      </w:pPr>
    </w:p>
    <w:p>
      <w:pPr>
        <w:snapToGrid w:val="0"/>
        <w:spacing w:line="600" w:lineRule="exact"/>
        <w:jc w:val="left"/>
        <w:rPr>
          <w:rFonts w:ascii="宋体" w:hAnsi="宋体"/>
          <w:color w:val="auto"/>
          <w:szCs w:val="21"/>
          <w:highlight w:val="none"/>
        </w:rPr>
      </w:pPr>
      <w:r>
        <w:rPr>
          <w:rFonts w:hint="eastAsia" w:ascii="宋体" w:hAnsi="宋体"/>
          <w:color w:val="auto"/>
          <w:szCs w:val="21"/>
          <w:highlight w:val="none"/>
        </w:rPr>
        <w:t>省级以上监狱管理局、戒毒管理局（含新疆生产建设兵团）出具的属于监狱企业的证明文件。</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4"/>
        <w:rPr>
          <w:rFonts w:ascii="宋体" w:hAnsi="宋体"/>
          <w:color w:val="auto"/>
          <w:szCs w:val="21"/>
          <w:highlight w:val="none"/>
        </w:rPr>
      </w:pPr>
    </w:p>
    <w:p>
      <w:pPr>
        <w:rPr>
          <w:rFonts w:ascii="宋体" w:hAnsi="宋体"/>
          <w:color w:val="auto"/>
          <w:szCs w:val="21"/>
          <w:highlight w:val="none"/>
        </w:rPr>
      </w:pPr>
    </w:p>
    <w:p>
      <w:pPr>
        <w:pStyle w:val="4"/>
        <w:rPr>
          <w:rFonts w:ascii="宋体" w:hAnsi="宋体"/>
          <w:color w:val="auto"/>
          <w:szCs w:val="21"/>
          <w:highlight w:val="none"/>
        </w:rPr>
      </w:pPr>
    </w:p>
    <w:p>
      <w:pPr>
        <w:rPr>
          <w:rFonts w:ascii="宋体" w:hAnsi="宋体"/>
          <w:color w:val="auto"/>
          <w:szCs w:val="21"/>
          <w:highlight w:val="none"/>
        </w:rPr>
      </w:pPr>
    </w:p>
    <w:p>
      <w:pPr>
        <w:pStyle w:val="4"/>
        <w:rPr>
          <w:color w:val="auto"/>
          <w:highlight w:val="none"/>
        </w:rPr>
      </w:pPr>
    </w:p>
    <w:p>
      <w:pPr>
        <w:spacing w:line="400" w:lineRule="exact"/>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附件二</w:t>
      </w:r>
    </w:p>
    <w:p>
      <w:pPr>
        <w:spacing w:line="400" w:lineRule="exact"/>
        <w:jc w:val="center"/>
        <w:rPr>
          <w:rFonts w:ascii="宋体" w:hAnsi="宋体"/>
          <w:color w:val="auto"/>
          <w:szCs w:val="21"/>
          <w:highlight w:val="none"/>
        </w:rPr>
      </w:pPr>
      <w:r>
        <w:rPr>
          <w:rFonts w:hint="eastAsia" w:ascii="宋体" w:hAnsi="宋体"/>
          <w:color w:val="auto"/>
          <w:szCs w:val="21"/>
          <w:highlight w:val="none"/>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招标文件要求</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1.投标函已提交并符合招标文件要求的；（格式见附件）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法定代表人／负责人身份证明书</w:t>
            </w:r>
            <w:r>
              <w:rPr>
                <w:rFonts w:cs="宋体"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已提交的；（格式见附件）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具备招标文件中规定的资格要求的</w:t>
            </w:r>
            <w:r>
              <w:rPr>
                <w:rFonts w:hint="eastAsia" w:asciiTheme="minorEastAsia" w:hAnsiTheme="minorEastAsia" w:eastAsiaTheme="minorEastAsia"/>
                <w:color w:val="auto"/>
                <w:szCs w:val="21"/>
                <w:highlight w:val="none"/>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cs="宋体" w:asciiTheme="minorEastAsia" w:hAnsiTheme="minorEastAsia" w:eastAsiaTheme="minorEastAsia"/>
                <w:color w:val="auto"/>
                <w:szCs w:val="21"/>
                <w:highlight w:val="none"/>
                <w:shd w:val="clear" w:color="auto" w:fill="FFFFFF"/>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5.不存在投标有效期不足的；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w:t>
            </w:r>
            <w:r>
              <w:rPr>
                <w:rFonts w:hint="eastAsia" w:cs="宋体" w:asciiTheme="minorEastAsia" w:hAnsiTheme="minorEastAsia" w:eastAsiaTheme="minorEastAsia"/>
                <w:color w:val="auto"/>
                <w:szCs w:val="21"/>
                <w:highlight w:val="none"/>
                <w:shd w:val="clear" w:color="auto" w:fill="FFFFFF"/>
              </w:rPr>
              <w:t>有</w:t>
            </w:r>
            <w:r>
              <w:rPr>
                <w:rFonts w:cs="宋体" w:asciiTheme="minorEastAsia" w:hAnsiTheme="minorEastAsia" w:eastAsiaTheme="minorEastAsia"/>
                <w:color w:val="auto"/>
                <w:szCs w:val="21"/>
                <w:highlight w:val="none"/>
                <w:shd w:val="clear" w:color="auto" w:fill="FFFFFF"/>
              </w:rPr>
              <w:t>《</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cs="宋体" w:asciiTheme="minorEastAsia" w:hAnsiTheme="minorEastAsia" w:eastAsiaTheme="minorEastAsia"/>
                <w:color w:val="auto"/>
                <w:szCs w:val="21"/>
                <w:highlight w:val="none"/>
                <w:shd w:val="clear" w:color="auto" w:fill="FFFFFF"/>
              </w:rPr>
              <w:t>（格式见附件）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方案明确，不存在一个或一个以上备选（替代）投标方案的；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.技术商务文件中未出现投标报价内容的；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315" w:firstLineChars="150"/>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.不存在</w:t>
            </w:r>
            <w:r>
              <w:rPr>
                <w:rFonts w:cs="Cambria Math" w:asciiTheme="minorEastAsia" w:hAnsiTheme="minorEastAsia" w:eastAsiaTheme="minorEastAsia"/>
                <w:color w:val="auto"/>
                <w:szCs w:val="21"/>
                <w:highlight w:val="none"/>
              </w:rPr>
              <w:t>仅提交电子备份投标文件的；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付款方式：</w:t>
            </w:r>
            <w:r>
              <w:rPr>
                <w:rFonts w:hint="eastAsia" w:asciiTheme="minorEastAsia" w:hAnsiTheme="minorEastAsia" w:eastAsiaTheme="minorEastAsia" w:cstheme="minorEastAsia"/>
                <w:i w:val="0"/>
                <w:caps w:val="0"/>
                <w:color w:val="auto"/>
                <w:spacing w:val="0"/>
                <w:sz w:val="21"/>
                <w:szCs w:val="21"/>
                <w:shd w:val="clear" w:fill="FFFFFF"/>
              </w:rPr>
              <w:t>服务费实行按月支付，采购人在收到中标人发票后15日内汇入中标人账户（月服务经费=年度合同金额/12）。注：每次付款前，中标人须按照金额提供正规合法的发票，否则采购人有权不予支付款项。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服务期限：三年(具体时间以合</w:t>
            </w:r>
            <w:r>
              <w:rPr>
                <w:rFonts w:hint="eastAsia" w:asciiTheme="minorEastAsia" w:hAnsiTheme="minorEastAsia" w:eastAsiaTheme="minorEastAsia" w:cstheme="minorEastAsia"/>
                <w:color w:val="auto"/>
                <w:sz w:val="21"/>
                <w:szCs w:val="21"/>
                <w:highlight w:val="none"/>
              </w:rPr>
              <w:t>同</w:t>
            </w:r>
            <w:r>
              <w:rPr>
                <w:rFonts w:hint="eastAsia" w:ascii="宋体" w:hAnsi="宋体" w:cs="宋体"/>
                <w:color w:val="auto"/>
                <w:sz w:val="21"/>
                <w:szCs w:val="21"/>
                <w:highlight w:val="none"/>
                <w:lang w:val="en-US" w:eastAsia="zh-CN"/>
              </w:rPr>
              <w:t>签订</w:t>
            </w:r>
            <w:r>
              <w:rPr>
                <w:rFonts w:hint="eastAsia" w:asciiTheme="minorEastAsia" w:hAnsiTheme="minorEastAsia" w:eastAsiaTheme="minorEastAsia" w:cstheme="minorEastAsia"/>
                <w:color w:val="auto"/>
                <w:sz w:val="21"/>
                <w:szCs w:val="21"/>
              </w:rPr>
              <w:t>为准)合同一年一签，经采购人考核同意后，方可续签下一年度合同。</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采用人民币报价或者按照招标文件标明的币种报价的；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6.报价不超过招标文件中规定的预算金额或者最高限价的；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7.投标报价不具有选择性；</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9.投标人对根据修正原则修正后的报价确认的；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napToGrid w:val="0"/>
        <w:spacing w:line="400" w:lineRule="exact"/>
        <w:outlineLvl w:val="1"/>
        <w:rPr>
          <w:rFonts w:ascii="宋体" w:hAnsi="宋体"/>
          <w:color w:val="auto"/>
          <w:szCs w:val="21"/>
          <w:highlight w:val="none"/>
        </w:rPr>
      </w:pPr>
      <w:r>
        <w:rPr>
          <w:rFonts w:hint="eastAsia" w:ascii="宋体" w:hAnsi="宋体"/>
          <w:b/>
          <w:color w:val="auto"/>
          <w:szCs w:val="21"/>
          <w:highlight w:val="none"/>
        </w:rPr>
        <w:t>备注：符合性自查表将作为投标人有效性审查的重要内容之一，投标人必须严格按照其内容及序列要求在投标文件中对应如实提供，对</w:t>
      </w:r>
      <w:r>
        <w:rPr>
          <w:rFonts w:hint="eastAsia" w:ascii="宋体" w:hAnsi="宋体"/>
          <w:b/>
          <w:color w:val="auto"/>
          <w:szCs w:val="21"/>
          <w:highlight w:val="none"/>
          <w:lang w:val="en-US" w:eastAsia="zh-CN"/>
        </w:rPr>
        <w:t>符合</w:t>
      </w:r>
      <w:r>
        <w:rPr>
          <w:rFonts w:hint="eastAsia" w:ascii="宋体" w:hAnsi="宋体"/>
          <w:b/>
          <w:color w:val="auto"/>
          <w:szCs w:val="21"/>
          <w:highlight w:val="none"/>
        </w:rPr>
        <w:t>性证明文件的任何缺漏和不符合项将会直接导致投标无效！</w:t>
      </w:r>
      <w:bookmarkStart w:id="4" w:name="_Toc372547187"/>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ascii="宋体" w:hAnsi="宋体"/>
          <w:color w:val="auto"/>
          <w:szCs w:val="21"/>
          <w:highlight w:val="none"/>
        </w:rPr>
      </w:pPr>
      <w:r>
        <w:rPr>
          <w:rFonts w:hint="eastAsia" w:ascii="宋体" w:hAnsi="宋体"/>
          <w:color w:val="auto"/>
          <w:szCs w:val="21"/>
          <w:highlight w:val="none"/>
        </w:rPr>
        <w:t>（1）投标函格式</w:t>
      </w:r>
    </w:p>
    <w:p>
      <w:pPr>
        <w:pStyle w:val="48"/>
        <w:snapToGrid w:val="0"/>
        <w:spacing w:line="400" w:lineRule="exact"/>
        <w:ind w:left="720" w:firstLine="0" w:firstLineChars="0"/>
        <w:jc w:val="left"/>
        <w:rPr>
          <w:rFonts w:ascii="宋体" w:hAnsi="宋体"/>
          <w:b/>
          <w:color w:val="auto"/>
          <w:sz w:val="24"/>
          <w:highlight w:val="none"/>
        </w:rPr>
      </w:pPr>
    </w:p>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400" w:lineRule="exact"/>
        <w:jc w:val="center"/>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（供应商名称）提交投标文件。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个日历天。</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.如中标，本投标文件至本项目合同履行完毕止均保持有效，本供应商将按“招标文件”及政府采购法律、法规的规定履行合同责任和义务。</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.供应商同意按照贵方要求提供与投标有关的一切数据或资料。</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7.与本投标有关的一切正式往来信函请寄：</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地址：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邮编：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投标单位</w:t>
      </w:r>
      <w:r>
        <w:rPr>
          <w:rFonts w:ascii="宋体" w:hAnsi="宋体"/>
          <w:color w:val="auto"/>
          <w:szCs w:val="21"/>
          <w:highlight w:val="none"/>
        </w:rPr>
        <w:t>名称（盖章）:</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法定代表人／负责人或授权代表（签字或盖章）</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beforeLines="50" w:after="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Lines="50" w:after="50" w:line="400" w:lineRule="exact"/>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p>
    <w:p>
      <w:pPr>
        <w:snapToGrid w:val="0"/>
        <w:spacing w:beforeLines="50" w:after="50"/>
        <w:jc w:val="left"/>
        <w:rPr>
          <w:rFonts w:ascii="宋体" w:hAnsi="宋体"/>
          <w:color w:val="auto"/>
          <w:spacing w:val="-4"/>
          <w:szCs w:val="21"/>
          <w:highlight w:val="none"/>
        </w:rPr>
      </w:pPr>
      <w:r>
        <w:rPr>
          <w:rFonts w:ascii="宋体" w:hAnsi="宋体"/>
          <w:color w:val="auto"/>
          <w:spacing w:val="-4"/>
          <w:szCs w:val="21"/>
          <w:highlight w:val="none"/>
        </w:rPr>
        <w:t>（</w:t>
      </w:r>
      <w:r>
        <w:rPr>
          <w:rFonts w:hint="eastAsia" w:ascii="宋体" w:hAnsi="宋体"/>
          <w:color w:val="auto"/>
          <w:spacing w:val="-4"/>
          <w:szCs w:val="21"/>
          <w:highlight w:val="none"/>
        </w:rPr>
        <w:t>2</w:t>
      </w:r>
      <w:r>
        <w:rPr>
          <w:rFonts w:ascii="宋体" w:hAnsi="宋体"/>
          <w:color w:val="auto"/>
          <w:spacing w:val="-4"/>
          <w:szCs w:val="21"/>
          <w:highlight w:val="none"/>
        </w:rPr>
        <w:t>）法定代表人</w:t>
      </w:r>
      <w:r>
        <w:rPr>
          <w:rFonts w:hint="eastAsia" w:ascii="宋体" w:hAnsi="宋体"/>
          <w:color w:val="auto"/>
          <w:spacing w:val="-4"/>
          <w:szCs w:val="21"/>
          <w:highlight w:val="none"/>
        </w:rPr>
        <w:t>/负责人身份证明书格式</w:t>
      </w:r>
    </w:p>
    <w:p>
      <w:pPr>
        <w:snapToGrid w:val="0"/>
        <w:spacing w:beforeLines="50" w:after="50"/>
        <w:jc w:val="left"/>
        <w:rPr>
          <w:rFonts w:ascii="宋体" w:hAnsi="宋体"/>
          <w:b/>
          <w:color w:val="auto"/>
          <w:spacing w:val="-4"/>
          <w:sz w:val="18"/>
          <w:szCs w:val="20"/>
          <w:highlight w:val="none"/>
        </w:rPr>
      </w:pPr>
    </w:p>
    <w:p>
      <w:pPr>
        <w:pStyle w:val="3"/>
        <w:spacing w:line="400" w:lineRule="exact"/>
        <w:jc w:val="center"/>
        <w:rPr>
          <w:rFonts w:hAnsi="宋体"/>
          <w:b/>
          <w:color w:val="auto"/>
          <w:sz w:val="24"/>
          <w:highlight w:val="none"/>
          <w:lang w:val="zh-CN"/>
        </w:rPr>
      </w:pPr>
      <w:r>
        <w:rPr>
          <w:rFonts w:hint="eastAsia" w:ascii="宋体" w:hAnsi="宋体"/>
          <w:b/>
          <w:color w:val="auto"/>
          <w:sz w:val="24"/>
          <w:highlight w:val="none"/>
          <w:lang w:val="zh-CN"/>
        </w:rPr>
        <w:t>法定代表人／负责</w:t>
      </w:r>
      <w:r>
        <w:rPr>
          <w:rFonts w:hint="eastAsia" w:hAnsi="宋体"/>
          <w:b/>
          <w:color w:val="auto"/>
          <w:sz w:val="24"/>
          <w:highlight w:val="none"/>
          <w:lang w:val="zh-CN"/>
        </w:rPr>
        <w:t>人身份证明书</w:t>
      </w:r>
    </w:p>
    <w:p>
      <w:pPr>
        <w:spacing w:line="400" w:lineRule="exact"/>
        <w:jc w:val="cente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系 </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的法定代表人／负责人。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ind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(盖章)      </w:t>
      </w:r>
    </w:p>
    <w:p>
      <w:pPr>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jc w:val="left"/>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hAnsi="宋体"/>
          <w:b/>
          <w:color w:val="auto"/>
          <w:szCs w:val="21"/>
          <w:highlight w:val="none"/>
          <w:lang w:val="zh-CN"/>
        </w:rPr>
        <w:t>法定代表人／负责人身份证复印件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hAnsi="宋体" w:cs="宋体"/>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pStyle w:val="9"/>
        <w:rPr>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hAnsi="宋体"/>
          <w:color w:val="auto"/>
          <w:szCs w:val="21"/>
          <w:highlight w:val="none"/>
        </w:rPr>
        <w:t>法定代表人／负责人授权委托书格式</w:t>
      </w:r>
    </w:p>
    <w:p>
      <w:pPr>
        <w:snapToGrid w:val="0"/>
        <w:spacing w:beforeLines="50" w:after="50"/>
        <w:jc w:val="left"/>
        <w:rPr>
          <w:rFonts w:ascii="宋体" w:hAnsi="宋体"/>
          <w:b/>
          <w:color w:val="auto"/>
          <w:spacing w:val="-4"/>
          <w:sz w:val="18"/>
          <w:highlight w:val="none"/>
        </w:rPr>
      </w:pPr>
    </w:p>
    <w:p>
      <w:pPr>
        <w:pStyle w:val="3"/>
        <w:spacing w:line="400" w:lineRule="exact"/>
        <w:jc w:val="center"/>
        <w:rPr>
          <w:rFonts w:ascii="宋体" w:hAnsi="宋体"/>
          <w:b/>
          <w:color w:val="auto"/>
          <w:sz w:val="24"/>
          <w:highlight w:val="none"/>
        </w:rPr>
      </w:pPr>
      <w:r>
        <w:rPr>
          <w:rFonts w:hint="eastAsia" w:ascii="宋体" w:hAnsi="宋体"/>
          <w:b/>
          <w:color w:val="auto"/>
          <w:sz w:val="24"/>
          <w:highlight w:val="none"/>
        </w:rPr>
        <w:t>法定代表人／负责人授权委托书</w:t>
      </w:r>
    </w:p>
    <w:p>
      <w:pPr>
        <w:snapToGrid w:val="0"/>
        <w:spacing w:line="400" w:lineRule="exact"/>
        <w:jc w:val="center"/>
        <w:rPr>
          <w:rFonts w:ascii="宋体" w:hAnsi="宋体"/>
          <w:color w:val="auto"/>
          <w:spacing w:val="-4"/>
          <w:szCs w:val="21"/>
          <w:highlight w:val="none"/>
        </w:rPr>
      </w:pPr>
    </w:p>
    <w:p>
      <w:pPr>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我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（投标人名称）的法定代表人／负责人，现授权委托本单位在职职工</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我方对授权代表的签名事项负全部责任。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授权代表无转委托权，特此委托。</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授权代表（签字或盖章）：</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法定代表人／负责人（签字或盖章）：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410" w:firstLineChars="21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ascii="宋体" w:hAnsi="宋体"/>
          <w:b/>
          <w:color w:val="auto"/>
          <w:szCs w:val="21"/>
          <w:highlight w:val="none"/>
        </w:rPr>
        <w:t>授权代表身份证</w:t>
      </w:r>
      <w:r>
        <w:rPr>
          <w:rFonts w:hint="eastAsia" w:hAnsi="宋体"/>
          <w:b/>
          <w:color w:val="auto"/>
          <w:szCs w:val="21"/>
          <w:highlight w:val="none"/>
          <w:lang w:val="zh-CN"/>
        </w:rPr>
        <w:t>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ascii="宋体" w:hAnsi="宋体"/>
          <w:color w:val="auto"/>
          <w:szCs w:val="21"/>
          <w:highlight w:val="none"/>
        </w:rPr>
      </w:pPr>
    </w:p>
    <w:p>
      <w:pPr>
        <w:pStyle w:val="13"/>
        <w:snapToGrid w:val="0"/>
        <w:spacing w:beforeLines="0" w:afterLines="0"/>
        <w:jc w:val="left"/>
        <w:rPr>
          <w:color w:val="auto"/>
          <w:sz w:val="21"/>
          <w:szCs w:val="21"/>
          <w:highlight w:val="none"/>
        </w:rPr>
      </w:pPr>
    </w:p>
    <w:p>
      <w:pPr>
        <w:pStyle w:val="13"/>
        <w:snapToGrid w:val="0"/>
        <w:spacing w:beforeLines="0" w:afterLines="0"/>
        <w:jc w:val="left"/>
        <w:rPr>
          <w:rFonts w:hint="eastAsia"/>
          <w:color w:val="auto"/>
          <w:sz w:val="21"/>
          <w:szCs w:val="21"/>
          <w:highlight w:val="none"/>
        </w:rPr>
      </w:pPr>
    </w:p>
    <w:p>
      <w:pPr>
        <w:pStyle w:val="13"/>
        <w:snapToGrid w:val="0"/>
        <w:spacing w:beforeLines="0" w:afterLines="0"/>
        <w:jc w:val="left"/>
        <w:rPr>
          <w:rFonts w:hAnsi="宋体"/>
          <w:color w:val="auto"/>
          <w:sz w:val="21"/>
          <w:szCs w:val="21"/>
          <w:highlight w:val="none"/>
        </w:rPr>
      </w:pPr>
      <w:r>
        <w:rPr>
          <w:rFonts w:hint="eastAsia"/>
          <w:color w:val="auto"/>
          <w:sz w:val="21"/>
          <w:szCs w:val="21"/>
          <w:highlight w:val="none"/>
        </w:rPr>
        <w:t>附件三</w:t>
      </w:r>
    </w:p>
    <w:p>
      <w:pPr>
        <w:spacing w:line="400" w:lineRule="exact"/>
        <w:jc w:val="center"/>
        <w:rPr>
          <w:rFonts w:ascii="宋体" w:hAnsi="宋体"/>
          <w:color w:val="auto"/>
          <w:szCs w:val="21"/>
          <w:highlight w:val="none"/>
        </w:rPr>
      </w:pPr>
      <w:r>
        <w:rPr>
          <w:rFonts w:hint="eastAsia" w:ascii="宋体"/>
          <w:color w:val="auto"/>
          <w:szCs w:val="21"/>
          <w:highlight w:val="none"/>
        </w:rPr>
        <w:t>服务指标</w:t>
      </w:r>
      <w:r>
        <w:rPr>
          <w:rFonts w:hint="eastAsia" w:ascii="宋体" w:hAnsi="宋体"/>
          <w:color w:val="auto"/>
          <w:szCs w:val="21"/>
          <w:highlight w:val="none"/>
        </w:rPr>
        <w:t>偏离表</w:t>
      </w:r>
    </w:p>
    <w:p>
      <w:pPr>
        <w:spacing w:line="400" w:lineRule="exact"/>
        <w:rPr>
          <w:rFonts w:ascii="宋体" w:hAnsi="宋体"/>
          <w:color w:val="auto"/>
          <w:szCs w:val="21"/>
          <w:highlight w:val="none"/>
        </w:rPr>
      </w:pPr>
    </w:p>
    <w:tbl>
      <w:tblPr>
        <w:tblStyle w:val="24"/>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264"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w:t>
            </w:r>
          </w:p>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服务指标要求</w:t>
            </w:r>
          </w:p>
        </w:tc>
        <w:tc>
          <w:tcPr>
            <w:tcW w:w="282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响应情况</w:t>
            </w:r>
          </w:p>
        </w:tc>
        <w:tc>
          <w:tcPr>
            <w:tcW w:w="153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3"/>
        <w:spacing w:after="0" w:line="400" w:lineRule="exact"/>
        <w:rPr>
          <w:rFonts w:hAnsi="宋体"/>
          <w:color w:val="auto"/>
          <w:szCs w:val="21"/>
          <w:highlight w:val="none"/>
        </w:rPr>
      </w:pPr>
      <w:r>
        <w:rPr>
          <w:rFonts w:hint="eastAsia" w:hAnsi="宋体"/>
          <w:color w:val="auto"/>
          <w:szCs w:val="21"/>
          <w:highlight w:val="none"/>
        </w:rPr>
        <w:t>投标人（盖章）：</w:t>
      </w:r>
    </w:p>
    <w:p>
      <w:pPr>
        <w:pStyle w:val="3"/>
        <w:spacing w:after="0"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3"/>
        <w:spacing w:after="0" w:line="400" w:lineRule="exact"/>
        <w:rPr>
          <w:rFonts w:hAnsi="宋体"/>
          <w:color w:val="auto"/>
          <w:szCs w:val="21"/>
          <w:highlight w:val="none"/>
        </w:rPr>
      </w:pPr>
      <w:r>
        <w:rPr>
          <w:rFonts w:hint="eastAsia" w:hAnsi="宋体"/>
          <w:color w:val="auto"/>
          <w:szCs w:val="21"/>
          <w:highlight w:val="none"/>
        </w:rPr>
        <w:t>日期：</w:t>
      </w:r>
      <w:bookmarkEnd w:id="4"/>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附件四 </w:t>
      </w:r>
    </w:p>
    <w:p>
      <w:pPr>
        <w:spacing w:line="400" w:lineRule="exact"/>
        <w:ind w:left="3696"/>
        <w:rPr>
          <w:rFonts w:ascii="宋体" w:hAnsi="宋体"/>
          <w:color w:val="auto"/>
          <w:szCs w:val="21"/>
          <w:highlight w:val="none"/>
        </w:rPr>
      </w:pPr>
      <w:r>
        <w:rPr>
          <w:rFonts w:hint="eastAsia" w:ascii="宋体" w:hAnsi="宋体"/>
          <w:color w:val="auto"/>
          <w:szCs w:val="21"/>
          <w:highlight w:val="none"/>
        </w:rPr>
        <w:t>商务条款偏离表</w:t>
      </w:r>
    </w:p>
    <w:p>
      <w:pPr>
        <w:spacing w:line="400" w:lineRule="exact"/>
        <w:rPr>
          <w:rFonts w:ascii="宋体" w:hAnsi="宋体"/>
          <w:color w:val="auto"/>
          <w:szCs w:val="21"/>
          <w:highlight w:val="none"/>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招标文件的商务条款</w:t>
            </w:r>
          </w:p>
        </w:tc>
        <w:tc>
          <w:tcPr>
            <w:tcW w:w="269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投标文件的响应情况</w:t>
            </w:r>
          </w:p>
        </w:tc>
        <w:tc>
          <w:tcPr>
            <w:tcW w:w="15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bl>
    <w:p>
      <w:pPr>
        <w:spacing w:line="400" w:lineRule="exact"/>
        <w:ind w:firstLine="420" w:firstLineChars="200"/>
        <w:rPr>
          <w:rFonts w:ascii="宋体" w:hAnsi="宋体"/>
          <w:color w:val="auto"/>
          <w:szCs w:val="21"/>
          <w:highlight w:val="none"/>
        </w:rPr>
      </w:pPr>
      <w:r>
        <w:rPr>
          <w:rFonts w:ascii="宋体" w:hAnsi="宋体"/>
          <w:color w:val="auto"/>
          <w:szCs w:val="21"/>
          <w:highlight w:val="none"/>
        </w:rPr>
        <w:t>按第二章《采购需求》“商务条款”逐项填写，供应商可自行补充。</w:t>
      </w:r>
    </w:p>
    <w:p>
      <w:pPr>
        <w:pStyle w:val="3"/>
        <w:spacing w:after="0" w:line="400" w:lineRule="exact"/>
        <w:ind w:firstLine="420" w:firstLineChars="200"/>
        <w:rPr>
          <w:rFonts w:hAnsi="宋体"/>
          <w:color w:val="auto"/>
          <w:szCs w:val="21"/>
          <w:highlight w:val="none"/>
        </w:rPr>
      </w:pPr>
    </w:p>
    <w:p>
      <w:pPr>
        <w:pStyle w:val="3"/>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3"/>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3"/>
        <w:spacing w:after="0" w:line="400" w:lineRule="exact"/>
        <w:ind w:firstLine="420" w:firstLineChars="200"/>
        <w:rPr>
          <w:rFonts w:hint="eastAsia" w:hAnsi="宋体"/>
          <w:color w:val="auto"/>
          <w:szCs w:val="21"/>
          <w:highlight w:val="none"/>
        </w:rPr>
      </w:pPr>
      <w:r>
        <w:rPr>
          <w:rFonts w:hint="eastAsia" w:hAnsi="宋体"/>
          <w:color w:val="auto"/>
          <w:szCs w:val="21"/>
          <w:highlight w:val="none"/>
        </w:rPr>
        <w:t>日期：</w:t>
      </w:r>
    </w:p>
    <w:p>
      <w:pPr>
        <w:pStyle w:val="3"/>
        <w:spacing w:after="0" w:line="400" w:lineRule="exact"/>
        <w:ind w:left="0" w:leftChars="0" w:firstLine="0" w:firstLineChars="0"/>
        <w:rPr>
          <w:rFonts w:hint="eastAsia"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二、报价</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7"/>
        <w:snapToGrid w:val="0"/>
        <w:spacing w:line="400" w:lineRule="exact"/>
        <w:ind w:firstLine="0"/>
        <w:rPr>
          <w:rFonts w:ascii="宋体" w:hAnsi="宋体"/>
          <w:bCs/>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1.报价文件封面格式：</w:t>
      </w:r>
    </w:p>
    <w:p>
      <w:pPr>
        <w:snapToGrid w:val="0"/>
        <w:spacing w:line="400" w:lineRule="exact"/>
        <w:ind w:firstLine="6090" w:firstLineChars="29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报价</w:t>
      </w:r>
      <w:r>
        <w:rPr>
          <w:rFonts w:hint="eastAsia" w:ascii="宋体" w:hAnsi="宋体"/>
          <w:bCs/>
          <w:color w:val="auto"/>
          <w:szCs w:val="21"/>
          <w:highlight w:val="none"/>
        </w:rPr>
        <w:t>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7"/>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pStyle w:val="3"/>
        <w:spacing w:line="400" w:lineRule="exact"/>
        <w:ind w:firstLine="420" w:firstLineChars="200"/>
        <w:rPr>
          <w:rFonts w:hAnsi="宋体"/>
          <w:color w:val="auto"/>
          <w:szCs w:val="21"/>
          <w:highlight w:val="none"/>
        </w:rPr>
      </w:pPr>
    </w:p>
    <w:p>
      <w:pPr>
        <w:pStyle w:val="3"/>
        <w:spacing w:line="400" w:lineRule="exact"/>
        <w:ind w:firstLine="420" w:firstLineChars="200"/>
        <w:rPr>
          <w:rFonts w:hAnsi="宋体"/>
          <w:color w:val="auto"/>
          <w:szCs w:val="21"/>
          <w:highlight w:val="none"/>
        </w:rPr>
      </w:pPr>
    </w:p>
    <w:p>
      <w:pPr>
        <w:spacing w:line="400" w:lineRule="exact"/>
        <w:ind w:firstLine="420" w:firstLineChars="200"/>
        <w:rPr>
          <w:rFonts w:ascii="宋体" w:hAnsi="宋体"/>
          <w:color w:val="auto"/>
          <w:szCs w:val="21"/>
          <w:highlight w:val="none"/>
        </w:rPr>
      </w:pPr>
    </w:p>
    <w:p>
      <w:pPr>
        <w:pStyle w:val="7"/>
        <w:snapToGrid w:val="0"/>
        <w:spacing w:line="400" w:lineRule="exact"/>
        <w:ind w:firstLineChars="200"/>
        <w:rPr>
          <w:rFonts w:ascii="宋体" w:hAnsi="宋体"/>
          <w:color w:val="auto"/>
          <w:szCs w:val="21"/>
          <w:highlight w:val="none"/>
        </w:rPr>
      </w:pPr>
    </w:p>
    <w:p>
      <w:pPr>
        <w:pStyle w:val="7"/>
        <w:snapToGrid w:val="0"/>
        <w:spacing w:line="400" w:lineRule="exact"/>
        <w:ind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附件1</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开标一览表</w:t>
      </w:r>
    </w:p>
    <w:p>
      <w:pPr>
        <w:tabs>
          <w:tab w:val="left" w:pos="1418"/>
        </w:tabs>
        <w:snapToGrid w:val="0"/>
        <w:spacing w:line="400" w:lineRule="exact"/>
        <w:jc w:val="center"/>
        <w:rPr>
          <w:rFonts w:ascii="宋体" w:hAnsi="宋体"/>
          <w:color w:val="auto"/>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5985" w:firstLineChars="2850"/>
        <w:rPr>
          <w:color w:val="auto"/>
          <w:highlight w:val="none"/>
        </w:rPr>
      </w:pPr>
      <w:r>
        <w:rPr>
          <w:rFonts w:hint="eastAsia"/>
          <w:color w:val="auto"/>
          <w:highlight w:val="none"/>
        </w:rPr>
        <w:t>单位：人民币元</w:t>
      </w:r>
    </w:p>
    <w:tbl>
      <w:tblPr>
        <w:tblStyle w:val="24"/>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850"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993"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w:t>
            </w:r>
          </w:p>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总价</w:t>
            </w:r>
          </w:p>
        </w:tc>
        <w:tc>
          <w:tcPr>
            <w:tcW w:w="137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宋体" w:hAnsi="宋体"/>
                <w:color w:val="auto"/>
                <w:szCs w:val="21"/>
              </w:rPr>
              <w:t>宁海县市场监督管理局后勤服务外包</w:t>
            </w:r>
          </w:p>
        </w:tc>
        <w:tc>
          <w:tcPr>
            <w:tcW w:w="85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993" w:type="dxa"/>
            <w:vAlign w:val="center"/>
          </w:tcPr>
          <w:p>
            <w:pPr>
              <w:spacing w:line="400" w:lineRule="exact"/>
              <w:jc w:val="center"/>
              <w:rPr>
                <w:rFonts w:asciiTheme="minorEastAsia" w:hAnsiTheme="minorEastAsia" w:eastAsiaTheme="minorEastAsia"/>
                <w:color w:val="auto"/>
                <w:szCs w:val="21"/>
                <w:highlight w:val="none"/>
              </w:rPr>
            </w:pPr>
          </w:p>
        </w:tc>
        <w:tc>
          <w:tcPr>
            <w:tcW w:w="1417" w:type="dxa"/>
            <w:vAlign w:val="center"/>
          </w:tcPr>
          <w:p>
            <w:pPr>
              <w:spacing w:line="400" w:lineRule="exact"/>
              <w:jc w:val="center"/>
              <w:rPr>
                <w:rFonts w:asciiTheme="minorEastAsia" w:hAnsiTheme="minorEastAsia" w:eastAsiaTheme="minorEastAsia"/>
                <w:color w:val="auto"/>
                <w:szCs w:val="21"/>
                <w:highlight w:val="none"/>
              </w:rPr>
            </w:pPr>
          </w:p>
        </w:tc>
        <w:tc>
          <w:tcPr>
            <w:tcW w:w="1370"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color w:val="auto"/>
                <w:szCs w:val="21"/>
                <w:highlight w:val="none"/>
              </w:rPr>
            </w:pPr>
          </w:p>
          <w:p>
            <w:pPr>
              <w:widowControl/>
              <w:spacing w:line="400" w:lineRule="exact"/>
              <w:jc w:val="left"/>
              <w:rPr>
                <w:rFonts w:asciiTheme="minorEastAsia" w:hAnsiTheme="minorEastAsia" w:eastAsiaTheme="minorEastAsia"/>
                <w:color w:val="auto"/>
                <w:szCs w:val="21"/>
                <w:highlight w:val="none"/>
              </w:rPr>
            </w:pPr>
          </w:p>
          <w:p>
            <w:pPr>
              <w:spacing w:line="400" w:lineRule="exact"/>
              <w:jc w:val="center"/>
              <w:rPr>
                <w:rFonts w:asciiTheme="minorEastAsia" w:hAnsiTheme="minorEastAsia" w:eastAsiaTheme="minorEastAsia"/>
                <w:color w:val="auto"/>
                <w:szCs w:val="21"/>
                <w:highlight w:val="none"/>
              </w:rPr>
            </w:pPr>
          </w:p>
        </w:tc>
      </w:tr>
    </w:tbl>
    <w:p>
      <w:pPr>
        <w:pStyle w:val="3"/>
        <w:spacing w:after="0"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w:t>
      </w:r>
    </w:p>
    <w:p>
      <w:pPr>
        <w:pStyle w:val="3"/>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有关本项目实施所涉及的一切费用均计入报价。</w:t>
      </w:r>
    </w:p>
    <w:p>
      <w:pPr>
        <w:pStyle w:val="3"/>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2.“三年投标总价”应与“投标分项报价表”中“三年投标总价”一致。</w:t>
      </w:r>
    </w:p>
    <w:p>
      <w:pPr>
        <w:pStyle w:val="3"/>
        <w:spacing w:line="400" w:lineRule="exact"/>
        <w:rPr>
          <w:rFonts w:hAnsi="宋体"/>
          <w:color w:val="auto"/>
          <w:szCs w:val="21"/>
          <w:highlight w:val="none"/>
        </w:rPr>
      </w:pPr>
    </w:p>
    <w:p>
      <w:pPr>
        <w:pStyle w:val="3"/>
        <w:spacing w:line="400" w:lineRule="exact"/>
        <w:rPr>
          <w:rFonts w:hAnsi="宋体"/>
          <w:color w:val="auto"/>
          <w:szCs w:val="21"/>
          <w:highlight w:val="none"/>
        </w:rPr>
      </w:pPr>
      <w:r>
        <w:rPr>
          <w:rFonts w:hint="eastAsia" w:hAnsi="宋体"/>
          <w:color w:val="auto"/>
          <w:szCs w:val="21"/>
          <w:highlight w:val="none"/>
        </w:rPr>
        <w:t>投标人（盖章）：</w:t>
      </w:r>
    </w:p>
    <w:p>
      <w:pPr>
        <w:pStyle w:val="3"/>
        <w:spacing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pPr>
        <w:snapToGrid w:val="0"/>
        <w:spacing w:line="400" w:lineRule="exact"/>
        <w:jc w:val="left"/>
        <w:rPr>
          <w:rFonts w:ascii="宋体" w:hAnsi="宋体"/>
          <w:color w:val="auto"/>
          <w:szCs w:val="21"/>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附件2</w:t>
      </w:r>
    </w:p>
    <w:p>
      <w:pPr>
        <w:pStyle w:val="13"/>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3"/>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4"/>
        <w:tblW w:w="8590" w:type="dxa"/>
        <w:jc w:val="center"/>
        <w:tblInd w:w="0" w:type="dxa"/>
        <w:tblLayout w:type="fixed"/>
        <w:tblCellMar>
          <w:top w:w="15" w:type="dxa"/>
          <w:left w:w="15" w:type="dxa"/>
          <w:bottom w:w="15" w:type="dxa"/>
          <w:right w:w="15" w:type="dxa"/>
        </w:tblCellMar>
      </w:tblPr>
      <w:tblGrid>
        <w:gridCol w:w="692"/>
        <w:gridCol w:w="2981"/>
        <w:gridCol w:w="1860"/>
        <w:gridCol w:w="1490"/>
        <w:gridCol w:w="1567"/>
      </w:tblGrid>
      <w:tr>
        <w:tblPrEx>
          <w:tblLayout w:type="fixed"/>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98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186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所有人员费用（工资、基本养老保险、基本医保、生育险、失业保险、工伤保险、残保金、福利和津贴、法定节假日加班费用）</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对所有符合参加人身意外伤害保险条件的人员统一进行参保（社会保险参保人员除外）</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人员综合费用（行政办公费用、服装费、培训费、工具和装备费等）</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上述部分的管理费以及企业的其它运行费用</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上述部分的税金</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306"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38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375"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3"/>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3"/>
        <w:spacing w:after="0" w:line="400" w:lineRule="exact"/>
        <w:ind w:firstLine="420" w:firstLineChars="200"/>
        <w:rPr>
          <w:rFonts w:asciiTheme="minorEastAsia" w:hAnsiTheme="minorEastAsia" w:eastAsiaTheme="minorEastAsia"/>
          <w:color w:val="auto"/>
          <w:szCs w:val="21"/>
          <w:highlight w:val="none"/>
        </w:rPr>
      </w:pPr>
    </w:p>
    <w:p>
      <w:pPr>
        <w:pStyle w:val="3"/>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投标人（盖章）：</w:t>
      </w:r>
    </w:p>
    <w:p>
      <w:pPr>
        <w:pStyle w:val="3"/>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法定代表人／负责人或授权代表（签字</w:t>
      </w:r>
      <w:r>
        <w:rPr>
          <w:rFonts w:hint="eastAsia" w:ascii="宋体" w:hAnsi="宋体"/>
          <w:color w:val="auto"/>
          <w:szCs w:val="21"/>
          <w:highlight w:val="none"/>
        </w:rPr>
        <w:t>或盖章</w:t>
      </w:r>
      <w:r>
        <w:rPr>
          <w:rFonts w:hint="eastAsia" w:asciiTheme="minorEastAsia" w:hAnsiTheme="minorEastAsia" w:eastAsiaTheme="minorEastAsia"/>
          <w:color w:val="auto"/>
          <w:szCs w:val="21"/>
          <w:highlight w:val="none"/>
        </w:rPr>
        <w:t>）：</w:t>
      </w:r>
    </w:p>
    <w:p>
      <w:pPr>
        <w:spacing w:line="400" w:lineRule="exact"/>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p>
      <w:pPr>
        <w:pStyle w:val="9"/>
        <w:rPr>
          <w:color w:val="auto"/>
          <w:highlight w:val="none"/>
        </w:rPr>
      </w:pPr>
    </w:p>
    <w:p>
      <w:pPr>
        <w:pStyle w:val="9"/>
        <w:rPr>
          <w:color w:val="auto"/>
          <w:highlight w:val="none"/>
        </w:rPr>
      </w:pPr>
    </w:p>
    <w:p>
      <w:pPr>
        <w:pStyle w:val="10"/>
        <w:rPr>
          <w:color w:val="auto"/>
          <w:highlight w:val="none"/>
        </w:rPr>
      </w:pPr>
    </w:p>
    <w:p>
      <w:pPr>
        <w:pStyle w:val="10"/>
        <w:rPr>
          <w:color w:val="auto"/>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三、电子备份投标</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pStyle w:val="7"/>
        <w:snapToGrid w:val="0"/>
        <w:spacing w:line="400" w:lineRule="exact"/>
        <w:ind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文件的外包装封面格式：</w:t>
      </w: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w:t>
      </w:r>
    </w:p>
    <w:p>
      <w:pPr>
        <w:snapToGrid w:val="0"/>
        <w:spacing w:line="400" w:lineRule="exact"/>
        <w:ind w:firstLine="420" w:firstLineChars="200"/>
        <w:jc w:val="center"/>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7"/>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360" w:lineRule="auto"/>
        <w:ind w:firstLine="420" w:firstLineChars="200"/>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rFonts w:ascii="宋体" w:hAnsi="宋体"/>
          <w:color w:val="auto"/>
          <w:szCs w:val="21"/>
          <w:highlight w:val="none"/>
        </w:rPr>
      </w:pPr>
    </w:p>
    <w:p>
      <w:pPr>
        <w:pStyle w:val="9"/>
        <w:rPr>
          <w:color w:val="auto"/>
          <w:highlight w:val="none"/>
        </w:rPr>
      </w:pPr>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5X5J0AAAAAMBAAAP&#10;AAAAAAAAAAEAIAAAACIAAABkcnMvZG93bnJldi54bWxQSwECFAAUAAAACACHTuJAoe5bA+cBAADF&#10;AwAADgAAAAAAAAABACAAAAAfAQAAZHJzL2Uyb0RvYy54bWxQSwUGAAAAAAYABgBZAQAAeAUAAAAA&#10;">
              <v:fill on="f" focussize="0,0"/>
              <v:stroke on="f"/>
              <v:imagedata o:title=""/>
              <o:lock v:ext="edit" aspectratio="f"/>
              <v:textbox inset="0mm,0mm,0mm,0mm" style="mso-fit-shape-to-text:t;">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K8q97oAQAA&#10;xAMAAA4AAAAAAAAAAQAgAAAAHwEAAGRycy9lMm9Eb2MueG1sUEsFBgAAAAAGAAYAWQEAAHkFAAAA&#10;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99D0E"/>
    <w:multiLevelType w:val="singleLevel"/>
    <w:tmpl w:val="85E99D0E"/>
    <w:lvl w:ilvl="0" w:tentative="0">
      <w:start w:val="1"/>
      <w:numFmt w:val="decimal"/>
      <w:lvlText w:val="%1."/>
      <w:lvlJc w:val="left"/>
      <w:pPr>
        <w:ind w:left="425" w:hanging="425"/>
      </w:pPr>
      <w:rPr>
        <w:rFonts w:hint="default"/>
      </w:rPr>
    </w:lvl>
  </w:abstractNum>
  <w:abstractNum w:abstractNumId="1">
    <w:nsid w:val="B6AA4DAD"/>
    <w:multiLevelType w:val="singleLevel"/>
    <w:tmpl w:val="B6AA4DAD"/>
    <w:lvl w:ilvl="0" w:tentative="0">
      <w:start w:val="1"/>
      <w:numFmt w:val="chineseCounting"/>
      <w:suff w:val="nothing"/>
      <w:lvlText w:val="（%1）"/>
      <w:lvlJc w:val="left"/>
      <w:pPr>
        <w:ind w:left="0" w:firstLine="420"/>
      </w:pPr>
      <w:rPr>
        <w:rFonts w:hint="eastAsia"/>
      </w:rPr>
    </w:lvl>
  </w:abstractNum>
  <w:abstractNum w:abstractNumId="2">
    <w:nsid w:val="D2C626D3"/>
    <w:multiLevelType w:val="singleLevel"/>
    <w:tmpl w:val="D2C626D3"/>
    <w:lvl w:ilvl="0" w:tentative="0">
      <w:start w:val="1"/>
      <w:numFmt w:val="chineseCounting"/>
      <w:suff w:val="nothing"/>
      <w:lvlText w:val="（%1）"/>
      <w:lvlJc w:val="left"/>
      <w:pPr>
        <w:ind w:left="0" w:firstLine="420"/>
      </w:pPr>
      <w:rPr>
        <w:rFonts w:hint="eastAsia"/>
      </w:rPr>
    </w:lvl>
  </w:abstractNum>
  <w:abstractNum w:abstractNumId="3">
    <w:nsid w:val="F8B65188"/>
    <w:multiLevelType w:val="singleLevel"/>
    <w:tmpl w:val="F8B65188"/>
    <w:lvl w:ilvl="0" w:tentative="0">
      <w:start w:val="1"/>
      <w:numFmt w:val="decimal"/>
      <w:lvlText w:val="%1."/>
      <w:lvlJc w:val="left"/>
      <w:pPr>
        <w:ind w:left="425" w:hanging="425"/>
      </w:pPr>
      <w:rPr>
        <w:rFonts w:hint="default"/>
      </w:rPr>
    </w:lvl>
  </w:abstractNum>
  <w:abstractNum w:abstractNumId="4">
    <w:nsid w:val="0FA8B1F3"/>
    <w:multiLevelType w:val="singleLevel"/>
    <w:tmpl w:val="0FA8B1F3"/>
    <w:lvl w:ilvl="0" w:tentative="0">
      <w:start w:val="1"/>
      <w:numFmt w:val="chineseCounting"/>
      <w:suff w:val="nothing"/>
      <w:lvlText w:val="（%1）"/>
      <w:lvlJc w:val="left"/>
      <w:pPr>
        <w:ind w:left="0" w:firstLine="420"/>
      </w:pPr>
      <w:rPr>
        <w:rFonts w:hint="eastAsia"/>
      </w:rPr>
    </w:lvl>
  </w:abstractNum>
  <w:abstractNum w:abstractNumId="5">
    <w:nsid w:val="18875458"/>
    <w:multiLevelType w:val="singleLevel"/>
    <w:tmpl w:val="18875458"/>
    <w:lvl w:ilvl="0" w:tentative="0">
      <w:start w:val="1"/>
      <w:numFmt w:val="decimal"/>
      <w:lvlText w:val="%1."/>
      <w:lvlJc w:val="left"/>
      <w:pPr>
        <w:ind w:left="425" w:hanging="425"/>
      </w:pPr>
      <w:rPr>
        <w:rFonts w:hint="default"/>
      </w:rPr>
    </w:lvl>
  </w:abstractNum>
  <w:abstractNum w:abstractNumId="6">
    <w:nsid w:val="4FB7FECB"/>
    <w:multiLevelType w:val="singleLevel"/>
    <w:tmpl w:val="4FB7FECB"/>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TlkNzk4YmVkNTM5YTdlZWIxNjQ3MGQ0ZmNmMzYifQ=="/>
  </w:docVars>
  <w:rsids>
    <w:rsidRoot w:val="00172A27"/>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739"/>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92"/>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425"/>
    <w:rsid w:val="00452A8F"/>
    <w:rsid w:val="00452C7B"/>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6"/>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5DB6"/>
    <w:rsid w:val="00AA6AFC"/>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1D14"/>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3D21"/>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548E7"/>
    <w:rsid w:val="011B2F48"/>
    <w:rsid w:val="0132473D"/>
    <w:rsid w:val="013C7DE3"/>
    <w:rsid w:val="014A5E2B"/>
    <w:rsid w:val="01555F71"/>
    <w:rsid w:val="016A6360"/>
    <w:rsid w:val="016B0CA7"/>
    <w:rsid w:val="017E0197"/>
    <w:rsid w:val="019B4B84"/>
    <w:rsid w:val="01C32C79"/>
    <w:rsid w:val="01DA25C2"/>
    <w:rsid w:val="020F6CE6"/>
    <w:rsid w:val="023A7385"/>
    <w:rsid w:val="024C1A38"/>
    <w:rsid w:val="026466E8"/>
    <w:rsid w:val="0289555D"/>
    <w:rsid w:val="02C15698"/>
    <w:rsid w:val="02E071C6"/>
    <w:rsid w:val="02EB0130"/>
    <w:rsid w:val="02F52A77"/>
    <w:rsid w:val="03051441"/>
    <w:rsid w:val="0308543F"/>
    <w:rsid w:val="03142DFF"/>
    <w:rsid w:val="032128ED"/>
    <w:rsid w:val="03235854"/>
    <w:rsid w:val="03276536"/>
    <w:rsid w:val="032C149E"/>
    <w:rsid w:val="03382D5E"/>
    <w:rsid w:val="03601DDD"/>
    <w:rsid w:val="037733E8"/>
    <w:rsid w:val="03847CD4"/>
    <w:rsid w:val="03C02BF1"/>
    <w:rsid w:val="042C75C9"/>
    <w:rsid w:val="04624632"/>
    <w:rsid w:val="046A3988"/>
    <w:rsid w:val="04877AE2"/>
    <w:rsid w:val="0498052C"/>
    <w:rsid w:val="04A967B2"/>
    <w:rsid w:val="05064C8F"/>
    <w:rsid w:val="05163E45"/>
    <w:rsid w:val="05367809"/>
    <w:rsid w:val="054322E7"/>
    <w:rsid w:val="056501EA"/>
    <w:rsid w:val="056D3386"/>
    <w:rsid w:val="05712B5F"/>
    <w:rsid w:val="05775EA5"/>
    <w:rsid w:val="058B5DD3"/>
    <w:rsid w:val="059915A8"/>
    <w:rsid w:val="059953A6"/>
    <w:rsid w:val="05C1021C"/>
    <w:rsid w:val="05CC0A76"/>
    <w:rsid w:val="05E4320E"/>
    <w:rsid w:val="05F23C16"/>
    <w:rsid w:val="05F2778F"/>
    <w:rsid w:val="05F60EC7"/>
    <w:rsid w:val="06073EC7"/>
    <w:rsid w:val="06111547"/>
    <w:rsid w:val="0611359C"/>
    <w:rsid w:val="06202231"/>
    <w:rsid w:val="063D3AC6"/>
    <w:rsid w:val="068B030C"/>
    <w:rsid w:val="068E4E62"/>
    <w:rsid w:val="06984953"/>
    <w:rsid w:val="06AC5F82"/>
    <w:rsid w:val="06B30D89"/>
    <w:rsid w:val="06C10448"/>
    <w:rsid w:val="06C46FE2"/>
    <w:rsid w:val="06D445F2"/>
    <w:rsid w:val="06EC4F1C"/>
    <w:rsid w:val="07251A70"/>
    <w:rsid w:val="072520FE"/>
    <w:rsid w:val="07361E17"/>
    <w:rsid w:val="074F12A8"/>
    <w:rsid w:val="076A75F1"/>
    <w:rsid w:val="07705CC0"/>
    <w:rsid w:val="07786950"/>
    <w:rsid w:val="07B51593"/>
    <w:rsid w:val="07CA2ED7"/>
    <w:rsid w:val="07CD0C9A"/>
    <w:rsid w:val="07DD4AA8"/>
    <w:rsid w:val="07E865DE"/>
    <w:rsid w:val="07EC690F"/>
    <w:rsid w:val="083C30F8"/>
    <w:rsid w:val="086014A7"/>
    <w:rsid w:val="088B3E7D"/>
    <w:rsid w:val="08977FB7"/>
    <w:rsid w:val="08AC34C9"/>
    <w:rsid w:val="08CF2201"/>
    <w:rsid w:val="08DA18C0"/>
    <w:rsid w:val="08EF56CF"/>
    <w:rsid w:val="09112EF5"/>
    <w:rsid w:val="09263E1B"/>
    <w:rsid w:val="0969023C"/>
    <w:rsid w:val="096D0C98"/>
    <w:rsid w:val="09735491"/>
    <w:rsid w:val="09B74913"/>
    <w:rsid w:val="0A166AF3"/>
    <w:rsid w:val="0A2F408A"/>
    <w:rsid w:val="0A3C3B3A"/>
    <w:rsid w:val="0A664CA1"/>
    <w:rsid w:val="0A96210D"/>
    <w:rsid w:val="0AB737A6"/>
    <w:rsid w:val="0AC82CA4"/>
    <w:rsid w:val="0B0C1D2F"/>
    <w:rsid w:val="0B1011F5"/>
    <w:rsid w:val="0B166646"/>
    <w:rsid w:val="0B197F9D"/>
    <w:rsid w:val="0B2E3E77"/>
    <w:rsid w:val="0B482C05"/>
    <w:rsid w:val="0B5843AD"/>
    <w:rsid w:val="0B664C64"/>
    <w:rsid w:val="0B7536CE"/>
    <w:rsid w:val="0BE23D67"/>
    <w:rsid w:val="0C0B4721"/>
    <w:rsid w:val="0C155CCC"/>
    <w:rsid w:val="0C1F4078"/>
    <w:rsid w:val="0C2D14E2"/>
    <w:rsid w:val="0C5C5D16"/>
    <w:rsid w:val="0C795920"/>
    <w:rsid w:val="0C92509C"/>
    <w:rsid w:val="0CB61912"/>
    <w:rsid w:val="0CE44B2C"/>
    <w:rsid w:val="0CE8783F"/>
    <w:rsid w:val="0CFF215F"/>
    <w:rsid w:val="0D130CF3"/>
    <w:rsid w:val="0D5C4AFC"/>
    <w:rsid w:val="0D5D4119"/>
    <w:rsid w:val="0D5D595B"/>
    <w:rsid w:val="0D7B432E"/>
    <w:rsid w:val="0D8D504D"/>
    <w:rsid w:val="0DB03869"/>
    <w:rsid w:val="0E037AA8"/>
    <w:rsid w:val="0E10535F"/>
    <w:rsid w:val="0E204CC0"/>
    <w:rsid w:val="0E234932"/>
    <w:rsid w:val="0E3361E9"/>
    <w:rsid w:val="0E873CF8"/>
    <w:rsid w:val="0E8954E9"/>
    <w:rsid w:val="0E946D26"/>
    <w:rsid w:val="0E985F9A"/>
    <w:rsid w:val="0EBC51AD"/>
    <w:rsid w:val="0EEC359C"/>
    <w:rsid w:val="0F080FE5"/>
    <w:rsid w:val="0F144965"/>
    <w:rsid w:val="0F454036"/>
    <w:rsid w:val="0F491D4B"/>
    <w:rsid w:val="0F650C9A"/>
    <w:rsid w:val="0F671654"/>
    <w:rsid w:val="0F6E5A6E"/>
    <w:rsid w:val="0F7B2D94"/>
    <w:rsid w:val="0F8F5336"/>
    <w:rsid w:val="0FB01169"/>
    <w:rsid w:val="0FB55A32"/>
    <w:rsid w:val="0FC3637E"/>
    <w:rsid w:val="0FC62F12"/>
    <w:rsid w:val="0FE9679C"/>
    <w:rsid w:val="0FE968B1"/>
    <w:rsid w:val="10067ED8"/>
    <w:rsid w:val="1014046D"/>
    <w:rsid w:val="101C6709"/>
    <w:rsid w:val="101F6E5F"/>
    <w:rsid w:val="105411CD"/>
    <w:rsid w:val="10662AD3"/>
    <w:rsid w:val="10AC3D11"/>
    <w:rsid w:val="10AC3EE9"/>
    <w:rsid w:val="10B21753"/>
    <w:rsid w:val="10C72EDC"/>
    <w:rsid w:val="10CF01F1"/>
    <w:rsid w:val="10E152D6"/>
    <w:rsid w:val="10F46325"/>
    <w:rsid w:val="10FB4DE0"/>
    <w:rsid w:val="110D6D85"/>
    <w:rsid w:val="11483D68"/>
    <w:rsid w:val="11831993"/>
    <w:rsid w:val="118D1B11"/>
    <w:rsid w:val="11A879A5"/>
    <w:rsid w:val="11B768E9"/>
    <w:rsid w:val="121E6363"/>
    <w:rsid w:val="124C406A"/>
    <w:rsid w:val="12CB089D"/>
    <w:rsid w:val="12DB7CC1"/>
    <w:rsid w:val="12E544E8"/>
    <w:rsid w:val="12FC674E"/>
    <w:rsid w:val="130F3CB5"/>
    <w:rsid w:val="131348FC"/>
    <w:rsid w:val="131D6F95"/>
    <w:rsid w:val="132F6187"/>
    <w:rsid w:val="1330168A"/>
    <w:rsid w:val="133C62D2"/>
    <w:rsid w:val="136E7AA6"/>
    <w:rsid w:val="13717C62"/>
    <w:rsid w:val="13C66D4B"/>
    <w:rsid w:val="13C8392B"/>
    <w:rsid w:val="13DD54DC"/>
    <w:rsid w:val="13E573B2"/>
    <w:rsid w:val="13F14BB2"/>
    <w:rsid w:val="13F42C2C"/>
    <w:rsid w:val="13FA095B"/>
    <w:rsid w:val="14150A03"/>
    <w:rsid w:val="14193B86"/>
    <w:rsid w:val="141D5E0F"/>
    <w:rsid w:val="14326E99"/>
    <w:rsid w:val="14412639"/>
    <w:rsid w:val="1491254B"/>
    <w:rsid w:val="149C635D"/>
    <w:rsid w:val="14B64E13"/>
    <w:rsid w:val="14C776A7"/>
    <w:rsid w:val="14FD5B82"/>
    <w:rsid w:val="151F4826"/>
    <w:rsid w:val="15204A01"/>
    <w:rsid w:val="154F23C7"/>
    <w:rsid w:val="15975D56"/>
    <w:rsid w:val="15B73B7F"/>
    <w:rsid w:val="15CE1F52"/>
    <w:rsid w:val="15E70978"/>
    <w:rsid w:val="1635647F"/>
    <w:rsid w:val="16876DE7"/>
    <w:rsid w:val="16B75579"/>
    <w:rsid w:val="16C911D0"/>
    <w:rsid w:val="16E16232"/>
    <w:rsid w:val="172B3D02"/>
    <w:rsid w:val="17731485"/>
    <w:rsid w:val="17816085"/>
    <w:rsid w:val="178A0EBF"/>
    <w:rsid w:val="17BE0623"/>
    <w:rsid w:val="17DA31D5"/>
    <w:rsid w:val="18052E77"/>
    <w:rsid w:val="183F63D6"/>
    <w:rsid w:val="1858623C"/>
    <w:rsid w:val="18767CB3"/>
    <w:rsid w:val="18897AEF"/>
    <w:rsid w:val="18D925EB"/>
    <w:rsid w:val="18DA1F55"/>
    <w:rsid w:val="19011E15"/>
    <w:rsid w:val="19314B62"/>
    <w:rsid w:val="1941226E"/>
    <w:rsid w:val="19566481"/>
    <w:rsid w:val="19567321"/>
    <w:rsid w:val="19E96663"/>
    <w:rsid w:val="1A0A69F8"/>
    <w:rsid w:val="1A281629"/>
    <w:rsid w:val="1A322D7A"/>
    <w:rsid w:val="1A3B73DE"/>
    <w:rsid w:val="1A460949"/>
    <w:rsid w:val="1A6159BF"/>
    <w:rsid w:val="1A8E623B"/>
    <w:rsid w:val="1A940301"/>
    <w:rsid w:val="1AED6A14"/>
    <w:rsid w:val="1B19339B"/>
    <w:rsid w:val="1B235B63"/>
    <w:rsid w:val="1B2D36A3"/>
    <w:rsid w:val="1B2E2686"/>
    <w:rsid w:val="1B322F1D"/>
    <w:rsid w:val="1B5416AC"/>
    <w:rsid w:val="1B5F7CE2"/>
    <w:rsid w:val="1B926781"/>
    <w:rsid w:val="1B9C0707"/>
    <w:rsid w:val="1BAC50AB"/>
    <w:rsid w:val="1BE2639E"/>
    <w:rsid w:val="1C0E75F5"/>
    <w:rsid w:val="1C232937"/>
    <w:rsid w:val="1C3C749B"/>
    <w:rsid w:val="1C5A2B21"/>
    <w:rsid w:val="1C850F94"/>
    <w:rsid w:val="1CC267D0"/>
    <w:rsid w:val="1CEA30CD"/>
    <w:rsid w:val="1D022E50"/>
    <w:rsid w:val="1D043B14"/>
    <w:rsid w:val="1D0B1D55"/>
    <w:rsid w:val="1D263E54"/>
    <w:rsid w:val="1D644C50"/>
    <w:rsid w:val="1D947BB1"/>
    <w:rsid w:val="1DAE3742"/>
    <w:rsid w:val="1DBA647C"/>
    <w:rsid w:val="1DC2630C"/>
    <w:rsid w:val="1DF425E1"/>
    <w:rsid w:val="1E233042"/>
    <w:rsid w:val="1E2B053A"/>
    <w:rsid w:val="1E501C47"/>
    <w:rsid w:val="1E574D9E"/>
    <w:rsid w:val="1E753B0D"/>
    <w:rsid w:val="1E9B1054"/>
    <w:rsid w:val="1E9E6358"/>
    <w:rsid w:val="1EAF5CA8"/>
    <w:rsid w:val="1ECE292C"/>
    <w:rsid w:val="1ED056AE"/>
    <w:rsid w:val="1EE00167"/>
    <w:rsid w:val="1EE976B7"/>
    <w:rsid w:val="1EF458E1"/>
    <w:rsid w:val="1F160235"/>
    <w:rsid w:val="1F1E1F67"/>
    <w:rsid w:val="1F2205F8"/>
    <w:rsid w:val="1F387EDB"/>
    <w:rsid w:val="1F5C3CF8"/>
    <w:rsid w:val="1F7A0173"/>
    <w:rsid w:val="1F907D26"/>
    <w:rsid w:val="1FB50614"/>
    <w:rsid w:val="1FEE4F17"/>
    <w:rsid w:val="1FFF545F"/>
    <w:rsid w:val="202171B0"/>
    <w:rsid w:val="202D1408"/>
    <w:rsid w:val="20304E7B"/>
    <w:rsid w:val="203301E6"/>
    <w:rsid w:val="20397F58"/>
    <w:rsid w:val="203E4AFA"/>
    <w:rsid w:val="20633BF6"/>
    <w:rsid w:val="207451CF"/>
    <w:rsid w:val="20A12F09"/>
    <w:rsid w:val="20AA2072"/>
    <w:rsid w:val="20D74591"/>
    <w:rsid w:val="20FD4CF0"/>
    <w:rsid w:val="21032BA5"/>
    <w:rsid w:val="213F3AD7"/>
    <w:rsid w:val="216962D3"/>
    <w:rsid w:val="216B1A34"/>
    <w:rsid w:val="21AA5CBA"/>
    <w:rsid w:val="21BA5753"/>
    <w:rsid w:val="21F6437F"/>
    <w:rsid w:val="22616BF8"/>
    <w:rsid w:val="22796138"/>
    <w:rsid w:val="22F225D1"/>
    <w:rsid w:val="23342746"/>
    <w:rsid w:val="23444735"/>
    <w:rsid w:val="23975CF1"/>
    <w:rsid w:val="23AA0427"/>
    <w:rsid w:val="23AA6F10"/>
    <w:rsid w:val="23BB589A"/>
    <w:rsid w:val="241635B9"/>
    <w:rsid w:val="24394B4B"/>
    <w:rsid w:val="24424AA4"/>
    <w:rsid w:val="24554E2A"/>
    <w:rsid w:val="245E3C68"/>
    <w:rsid w:val="24770489"/>
    <w:rsid w:val="249835C2"/>
    <w:rsid w:val="24B23DB5"/>
    <w:rsid w:val="24D30737"/>
    <w:rsid w:val="24D334FA"/>
    <w:rsid w:val="24DC4817"/>
    <w:rsid w:val="25145278"/>
    <w:rsid w:val="253D2D16"/>
    <w:rsid w:val="254D7B4C"/>
    <w:rsid w:val="255067CB"/>
    <w:rsid w:val="255A11A7"/>
    <w:rsid w:val="25732701"/>
    <w:rsid w:val="25846724"/>
    <w:rsid w:val="258A19A4"/>
    <w:rsid w:val="25910B92"/>
    <w:rsid w:val="25F068A6"/>
    <w:rsid w:val="26035DEB"/>
    <w:rsid w:val="2606757C"/>
    <w:rsid w:val="268A7935"/>
    <w:rsid w:val="2697098A"/>
    <w:rsid w:val="2697665E"/>
    <w:rsid w:val="2699463F"/>
    <w:rsid w:val="26A53771"/>
    <w:rsid w:val="26B959DC"/>
    <w:rsid w:val="26C54199"/>
    <w:rsid w:val="26CB60AC"/>
    <w:rsid w:val="26D45556"/>
    <w:rsid w:val="27277162"/>
    <w:rsid w:val="272F4EEF"/>
    <w:rsid w:val="274B6DFA"/>
    <w:rsid w:val="27693877"/>
    <w:rsid w:val="276F3F10"/>
    <w:rsid w:val="278F7368"/>
    <w:rsid w:val="27AA3DA8"/>
    <w:rsid w:val="27AC11E5"/>
    <w:rsid w:val="27AE6158"/>
    <w:rsid w:val="27B04BAD"/>
    <w:rsid w:val="27C877A6"/>
    <w:rsid w:val="27D200A4"/>
    <w:rsid w:val="27E4381A"/>
    <w:rsid w:val="27E94ECF"/>
    <w:rsid w:val="27F71058"/>
    <w:rsid w:val="282A473C"/>
    <w:rsid w:val="282A50D7"/>
    <w:rsid w:val="28604DA6"/>
    <w:rsid w:val="286956B4"/>
    <w:rsid w:val="28842606"/>
    <w:rsid w:val="288549AC"/>
    <w:rsid w:val="288A4F7E"/>
    <w:rsid w:val="28A500F5"/>
    <w:rsid w:val="28D83D0F"/>
    <w:rsid w:val="28DA3395"/>
    <w:rsid w:val="29016751"/>
    <w:rsid w:val="290B1CED"/>
    <w:rsid w:val="291A246E"/>
    <w:rsid w:val="293541AB"/>
    <w:rsid w:val="29464AE4"/>
    <w:rsid w:val="294E5343"/>
    <w:rsid w:val="29911087"/>
    <w:rsid w:val="29992CBC"/>
    <w:rsid w:val="29AD5CB6"/>
    <w:rsid w:val="29AF308B"/>
    <w:rsid w:val="29C53DA5"/>
    <w:rsid w:val="29FB0EEE"/>
    <w:rsid w:val="2A0917CA"/>
    <w:rsid w:val="2A260CB8"/>
    <w:rsid w:val="2A280AB9"/>
    <w:rsid w:val="2A2E3C29"/>
    <w:rsid w:val="2A3E085C"/>
    <w:rsid w:val="2A472250"/>
    <w:rsid w:val="2A557025"/>
    <w:rsid w:val="2A7B06BD"/>
    <w:rsid w:val="2A7F08DD"/>
    <w:rsid w:val="2A8A159C"/>
    <w:rsid w:val="2AA4630E"/>
    <w:rsid w:val="2AB803F1"/>
    <w:rsid w:val="2AB869CE"/>
    <w:rsid w:val="2AC97400"/>
    <w:rsid w:val="2ACB48D4"/>
    <w:rsid w:val="2AD875D8"/>
    <w:rsid w:val="2AE46B6C"/>
    <w:rsid w:val="2B0011EE"/>
    <w:rsid w:val="2B043FAB"/>
    <w:rsid w:val="2B060E26"/>
    <w:rsid w:val="2B394179"/>
    <w:rsid w:val="2B3B54FB"/>
    <w:rsid w:val="2B5A6874"/>
    <w:rsid w:val="2B5B639F"/>
    <w:rsid w:val="2B6D4E6A"/>
    <w:rsid w:val="2B7608AE"/>
    <w:rsid w:val="2B8E0E5D"/>
    <w:rsid w:val="2B967FCB"/>
    <w:rsid w:val="2BA769AB"/>
    <w:rsid w:val="2BB04507"/>
    <w:rsid w:val="2BD30EA7"/>
    <w:rsid w:val="2BFA427E"/>
    <w:rsid w:val="2C01033F"/>
    <w:rsid w:val="2C0A1586"/>
    <w:rsid w:val="2C33146F"/>
    <w:rsid w:val="2C570D4D"/>
    <w:rsid w:val="2C592CD0"/>
    <w:rsid w:val="2C7248B0"/>
    <w:rsid w:val="2C995EE9"/>
    <w:rsid w:val="2CD65A95"/>
    <w:rsid w:val="2CE167BB"/>
    <w:rsid w:val="2CEB5D3E"/>
    <w:rsid w:val="2D1218DA"/>
    <w:rsid w:val="2D126BAA"/>
    <w:rsid w:val="2D1816F4"/>
    <w:rsid w:val="2D283690"/>
    <w:rsid w:val="2D2C0D79"/>
    <w:rsid w:val="2D504CCB"/>
    <w:rsid w:val="2D5E7586"/>
    <w:rsid w:val="2DA54900"/>
    <w:rsid w:val="2DB66E70"/>
    <w:rsid w:val="2DE836CF"/>
    <w:rsid w:val="2DF63245"/>
    <w:rsid w:val="2DFD23C1"/>
    <w:rsid w:val="2E53763A"/>
    <w:rsid w:val="2E9754C6"/>
    <w:rsid w:val="2E997EC6"/>
    <w:rsid w:val="2EC4672C"/>
    <w:rsid w:val="2F7061E9"/>
    <w:rsid w:val="2F7268D5"/>
    <w:rsid w:val="2F7E4D1E"/>
    <w:rsid w:val="2F991BD3"/>
    <w:rsid w:val="2F9C59CE"/>
    <w:rsid w:val="2FE81AC0"/>
    <w:rsid w:val="30155DE3"/>
    <w:rsid w:val="303C5A11"/>
    <w:rsid w:val="30515E85"/>
    <w:rsid w:val="3068716B"/>
    <w:rsid w:val="306C12F6"/>
    <w:rsid w:val="307E04E7"/>
    <w:rsid w:val="309676E3"/>
    <w:rsid w:val="30A46638"/>
    <w:rsid w:val="30C1262D"/>
    <w:rsid w:val="30C20A9D"/>
    <w:rsid w:val="30CF5E22"/>
    <w:rsid w:val="30D5076A"/>
    <w:rsid w:val="30F50041"/>
    <w:rsid w:val="30F658E4"/>
    <w:rsid w:val="311E044B"/>
    <w:rsid w:val="31526E70"/>
    <w:rsid w:val="3177633A"/>
    <w:rsid w:val="32002203"/>
    <w:rsid w:val="32293AA9"/>
    <w:rsid w:val="322B6518"/>
    <w:rsid w:val="323030F3"/>
    <w:rsid w:val="32601298"/>
    <w:rsid w:val="328C11FD"/>
    <w:rsid w:val="329E2976"/>
    <w:rsid w:val="32A40180"/>
    <w:rsid w:val="33082946"/>
    <w:rsid w:val="330F053B"/>
    <w:rsid w:val="33933FAE"/>
    <w:rsid w:val="33A62D97"/>
    <w:rsid w:val="33CF312D"/>
    <w:rsid w:val="33EE55C1"/>
    <w:rsid w:val="340F4E7A"/>
    <w:rsid w:val="341C738A"/>
    <w:rsid w:val="34406A29"/>
    <w:rsid w:val="344A0B3B"/>
    <w:rsid w:val="345215EE"/>
    <w:rsid w:val="347C3F2B"/>
    <w:rsid w:val="34834C6B"/>
    <w:rsid w:val="348E4EAC"/>
    <w:rsid w:val="349725CB"/>
    <w:rsid w:val="349F3360"/>
    <w:rsid w:val="34A20B41"/>
    <w:rsid w:val="34B1099D"/>
    <w:rsid w:val="34CA0D4C"/>
    <w:rsid w:val="34CB766D"/>
    <w:rsid w:val="353F6237"/>
    <w:rsid w:val="35A24A3E"/>
    <w:rsid w:val="35E05641"/>
    <w:rsid w:val="35E96976"/>
    <w:rsid w:val="363D1C5B"/>
    <w:rsid w:val="36430FFC"/>
    <w:rsid w:val="364C655A"/>
    <w:rsid w:val="3665171B"/>
    <w:rsid w:val="36896D51"/>
    <w:rsid w:val="36B20636"/>
    <w:rsid w:val="36C02E61"/>
    <w:rsid w:val="36CF5679"/>
    <w:rsid w:val="36D60888"/>
    <w:rsid w:val="36DD25F0"/>
    <w:rsid w:val="36F95C21"/>
    <w:rsid w:val="37196592"/>
    <w:rsid w:val="373E384B"/>
    <w:rsid w:val="374D7724"/>
    <w:rsid w:val="374F0D67"/>
    <w:rsid w:val="376C0CD3"/>
    <w:rsid w:val="377820EC"/>
    <w:rsid w:val="377F0E97"/>
    <w:rsid w:val="37B93B20"/>
    <w:rsid w:val="37C96EC2"/>
    <w:rsid w:val="37CE50AB"/>
    <w:rsid w:val="37D32D2B"/>
    <w:rsid w:val="37DE5AA2"/>
    <w:rsid w:val="38085973"/>
    <w:rsid w:val="382D1EAA"/>
    <w:rsid w:val="38394D67"/>
    <w:rsid w:val="384D75D2"/>
    <w:rsid w:val="38D3171A"/>
    <w:rsid w:val="38E329E9"/>
    <w:rsid w:val="38F855D9"/>
    <w:rsid w:val="392B54D9"/>
    <w:rsid w:val="39695E8C"/>
    <w:rsid w:val="398228A1"/>
    <w:rsid w:val="398F777C"/>
    <w:rsid w:val="39917588"/>
    <w:rsid w:val="399F3299"/>
    <w:rsid w:val="39C127A0"/>
    <w:rsid w:val="39D0268A"/>
    <w:rsid w:val="39EA2567"/>
    <w:rsid w:val="39EC6A75"/>
    <w:rsid w:val="3A3047B5"/>
    <w:rsid w:val="3A3052F0"/>
    <w:rsid w:val="3A33658F"/>
    <w:rsid w:val="3A3804F5"/>
    <w:rsid w:val="3A4A5930"/>
    <w:rsid w:val="3A5D5058"/>
    <w:rsid w:val="3A65337B"/>
    <w:rsid w:val="3A7711E5"/>
    <w:rsid w:val="3A826072"/>
    <w:rsid w:val="3A880EB6"/>
    <w:rsid w:val="3ADE62E2"/>
    <w:rsid w:val="3B2024DF"/>
    <w:rsid w:val="3B484F53"/>
    <w:rsid w:val="3B55605A"/>
    <w:rsid w:val="3B8920F0"/>
    <w:rsid w:val="3B923BE8"/>
    <w:rsid w:val="3BD05A6E"/>
    <w:rsid w:val="3C042703"/>
    <w:rsid w:val="3C13079F"/>
    <w:rsid w:val="3C3D77DB"/>
    <w:rsid w:val="3C487974"/>
    <w:rsid w:val="3C716172"/>
    <w:rsid w:val="3C825373"/>
    <w:rsid w:val="3CC43FFA"/>
    <w:rsid w:val="3CED7033"/>
    <w:rsid w:val="3D47065A"/>
    <w:rsid w:val="3D78139C"/>
    <w:rsid w:val="3D7E7427"/>
    <w:rsid w:val="3DCA324C"/>
    <w:rsid w:val="3DF44C89"/>
    <w:rsid w:val="3E0C4E93"/>
    <w:rsid w:val="3E191147"/>
    <w:rsid w:val="3E4613F4"/>
    <w:rsid w:val="3E6F285E"/>
    <w:rsid w:val="3E83685E"/>
    <w:rsid w:val="3E9957DC"/>
    <w:rsid w:val="3E9C4A5C"/>
    <w:rsid w:val="3EAE1978"/>
    <w:rsid w:val="3ED80377"/>
    <w:rsid w:val="3EF41E2E"/>
    <w:rsid w:val="3F2B7A74"/>
    <w:rsid w:val="3F4F7C6C"/>
    <w:rsid w:val="3F7D0A8E"/>
    <w:rsid w:val="3F9910C6"/>
    <w:rsid w:val="3FB05B36"/>
    <w:rsid w:val="40047F17"/>
    <w:rsid w:val="40265A2A"/>
    <w:rsid w:val="403D71B3"/>
    <w:rsid w:val="40413169"/>
    <w:rsid w:val="40543C97"/>
    <w:rsid w:val="40686ED3"/>
    <w:rsid w:val="409B38E3"/>
    <w:rsid w:val="40DE1970"/>
    <w:rsid w:val="40E81F8C"/>
    <w:rsid w:val="40E902F5"/>
    <w:rsid w:val="40F222BC"/>
    <w:rsid w:val="40FC24E5"/>
    <w:rsid w:val="40FC3D8C"/>
    <w:rsid w:val="4119774B"/>
    <w:rsid w:val="411E6BE3"/>
    <w:rsid w:val="41225AE8"/>
    <w:rsid w:val="41277BDE"/>
    <w:rsid w:val="41390F80"/>
    <w:rsid w:val="414A569D"/>
    <w:rsid w:val="417A14FB"/>
    <w:rsid w:val="41973694"/>
    <w:rsid w:val="41A249C5"/>
    <w:rsid w:val="41B4596F"/>
    <w:rsid w:val="41EF1584"/>
    <w:rsid w:val="41FB5B69"/>
    <w:rsid w:val="420B2562"/>
    <w:rsid w:val="420F3F6D"/>
    <w:rsid w:val="4232304C"/>
    <w:rsid w:val="424703D0"/>
    <w:rsid w:val="427250E0"/>
    <w:rsid w:val="427A5366"/>
    <w:rsid w:val="42840A3A"/>
    <w:rsid w:val="42883C37"/>
    <w:rsid w:val="428A5470"/>
    <w:rsid w:val="429C30A7"/>
    <w:rsid w:val="42B92207"/>
    <w:rsid w:val="42D72D86"/>
    <w:rsid w:val="430A280F"/>
    <w:rsid w:val="43200984"/>
    <w:rsid w:val="434165C5"/>
    <w:rsid w:val="435A2BEA"/>
    <w:rsid w:val="43820A84"/>
    <w:rsid w:val="43993A74"/>
    <w:rsid w:val="43A13048"/>
    <w:rsid w:val="43C50FDA"/>
    <w:rsid w:val="43F153B2"/>
    <w:rsid w:val="44064ECA"/>
    <w:rsid w:val="44112953"/>
    <w:rsid w:val="442578C8"/>
    <w:rsid w:val="44410466"/>
    <w:rsid w:val="44711559"/>
    <w:rsid w:val="44744B34"/>
    <w:rsid w:val="44D22C14"/>
    <w:rsid w:val="44E346B1"/>
    <w:rsid w:val="44EC0EA2"/>
    <w:rsid w:val="44F45672"/>
    <w:rsid w:val="4510235C"/>
    <w:rsid w:val="45341597"/>
    <w:rsid w:val="453F6D2F"/>
    <w:rsid w:val="45433AAF"/>
    <w:rsid w:val="454873C2"/>
    <w:rsid w:val="454B4204"/>
    <w:rsid w:val="45596042"/>
    <w:rsid w:val="458732AE"/>
    <w:rsid w:val="45893BE1"/>
    <w:rsid w:val="45931C14"/>
    <w:rsid w:val="45AF31CB"/>
    <w:rsid w:val="45B346E4"/>
    <w:rsid w:val="45B3561E"/>
    <w:rsid w:val="45EB58BB"/>
    <w:rsid w:val="460A33A0"/>
    <w:rsid w:val="467F664E"/>
    <w:rsid w:val="468C3210"/>
    <w:rsid w:val="46B630BC"/>
    <w:rsid w:val="46B86E94"/>
    <w:rsid w:val="46C26210"/>
    <w:rsid w:val="47107984"/>
    <w:rsid w:val="47440F4D"/>
    <w:rsid w:val="47630472"/>
    <w:rsid w:val="476E3D34"/>
    <w:rsid w:val="47705844"/>
    <w:rsid w:val="478A45D2"/>
    <w:rsid w:val="478D1B02"/>
    <w:rsid w:val="47910B8A"/>
    <w:rsid w:val="47D7186A"/>
    <w:rsid w:val="47FB336E"/>
    <w:rsid w:val="47FD4DEA"/>
    <w:rsid w:val="47FF4FBB"/>
    <w:rsid w:val="48150707"/>
    <w:rsid w:val="48205C65"/>
    <w:rsid w:val="48513523"/>
    <w:rsid w:val="487A2F3C"/>
    <w:rsid w:val="489473BA"/>
    <w:rsid w:val="48A650B3"/>
    <w:rsid w:val="48B20B9D"/>
    <w:rsid w:val="48C56AD5"/>
    <w:rsid w:val="48EA4EE8"/>
    <w:rsid w:val="48F55BF9"/>
    <w:rsid w:val="492E26B6"/>
    <w:rsid w:val="493D4449"/>
    <w:rsid w:val="495A5625"/>
    <w:rsid w:val="496140BF"/>
    <w:rsid w:val="496D2572"/>
    <w:rsid w:val="497F41A4"/>
    <w:rsid w:val="498443C0"/>
    <w:rsid w:val="498446D0"/>
    <w:rsid w:val="49943BD0"/>
    <w:rsid w:val="49B43282"/>
    <w:rsid w:val="49BD5045"/>
    <w:rsid w:val="4A180C71"/>
    <w:rsid w:val="4A1A7F09"/>
    <w:rsid w:val="4A5B19B3"/>
    <w:rsid w:val="4AB553D8"/>
    <w:rsid w:val="4ABF1148"/>
    <w:rsid w:val="4AC21892"/>
    <w:rsid w:val="4AF463D6"/>
    <w:rsid w:val="4AF81574"/>
    <w:rsid w:val="4B0460FF"/>
    <w:rsid w:val="4B2637A6"/>
    <w:rsid w:val="4B55391F"/>
    <w:rsid w:val="4B57229C"/>
    <w:rsid w:val="4B5F3132"/>
    <w:rsid w:val="4B621FEB"/>
    <w:rsid w:val="4B926E60"/>
    <w:rsid w:val="4BBC751F"/>
    <w:rsid w:val="4BC46339"/>
    <w:rsid w:val="4BF46806"/>
    <w:rsid w:val="4C27558D"/>
    <w:rsid w:val="4C28386A"/>
    <w:rsid w:val="4C547266"/>
    <w:rsid w:val="4CDC470D"/>
    <w:rsid w:val="4CE43AA3"/>
    <w:rsid w:val="4D1A110D"/>
    <w:rsid w:val="4D5D7F57"/>
    <w:rsid w:val="4D6C2657"/>
    <w:rsid w:val="4D8F10CB"/>
    <w:rsid w:val="4D9E3092"/>
    <w:rsid w:val="4DBE7A85"/>
    <w:rsid w:val="4E007CED"/>
    <w:rsid w:val="4E0A4298"/>
    <w:rsid w:val="4E134E5E"/>
    <w:rsid w:val="4E1454A5"/>
    <w:rsid w:val="4E2D6C46"/>
    <w:rsid w:val="4E4A0881"/>
    <w:rsid w:val="4E7339BC"/>
    <w:rsid w:val="4E7B601F"/>
    <w:rsid w:val="4E8807E9"/>
    <w:rsid w:val="4EA34CFF"/>
    <w:rsid w:val="4EAB756E"/>
    <w:rsid w:val="4EE87ADC"/>
    <w:rsid w:val="4EF00E0E"/>
    <w:rsid w:val="4F083D82"/>
    <w:rsid w:val="4F190A03"/>
    <w:rsid w:val="4F5678BA"/>
    <w:rsid w:val="4F674399"/>
    <w:rsid w:val="4F891D97"/>
    <w:rsid w:val="4F9D65A9"/>
    <w:rsid w:val="4FA80021"/>
    <w:rsid w:val="4FAD65DD"/>
    <w:rsid w:val="4FBA772B"/>
    <w:rsid w:val="4FEC40D6"/>
    <w:rsid w:val="50334BA2"/>
    <w:rsid w:val="503A38B2"/>
    <w:rsid w:val="5079771B"/>
    <w:rsid w:val="50AD6A6A"/>
    <w:rsid w:val="50F607A5"/>
    <w:rsid w:val="51140415"/>
    <w:rsid w:val="511502B1"/>
    <w:rsid w:val="51236F6A"/>
    <w:rsid w:val="512F57EF"/>
    <w:rsid w:val="51444CB5"/>
    <w:rsid w:val="51515D19"/>
    <w:rsid w:val="516A3B30"/>
    <w:rsid w:val="51935A63"/>
    <w:rsid w:val="519A31F0"/>
    <w:rsid w:val="51A87A94"/>
    <w:rsid w:val="51C83262"/>
    <w:rsid w:val="51F93209"/>
    <w:rsid w:val="51FD071D"/>
    <w:rsid w:val="520F53AD"/>
    <w:rsid w:val="522B2ADE"/>
    <w:rsid w:val="52306627"/>
    <w:rsid w:val="5250417D"/>
    <w:rsid w:val="527B179A"/>
    <w:rsid w:val="5281408C"/>
    <w:rsid w:val="528A263B"/>
    <w:rsid w:val="53485083"/>
    <w:rsid w:val="534F5D39"/>
    <w:rsid w:val="537A4E07"/>
    <w:rsid w:val="53951A51"/>
    <w:rsid w:val="53D870D1"/>
    <w:rsid w:val="5408507F"/>
    <w:rsid w:val="542E17C6"/>
    <w:rsid w:val="544A667D"/>
    <w:rsid w:val="54846A8C"/>
    <w:rsid w:val="550D2817"/>
    <w:rsid w:val="55253D42"/>
    <w:rsid w:val="554716F7"/>
    <w:rsid w:val="55537607"/>
    <w:rsid w:val="55563E5A"/>
    <w:rsid w:val="55D81A86"/>
    <w:rsid w:val="55DE130B"/>
    <w:rsid w:val="55EF6684"/>
    <w:rsid w:val="560143A9"/>
    <w:rsid w:val="56102C33"/>
    <w:rsid w:val="561F538D"/>
    <w:rsid w:val="56253751"/>
    <w:rsid w:val="56833F70"/>
    <w:rsid w:val="56A47ABC"/>
    <w:rsid w:val="56A90D1C"/>
    <w:rsid w:val="56AE2FF9"/>
    <w:rsid w:val="56C7506B"/>
    <w:rsid w:val="56D6311E"/>
    <w:rsid w:val="57327F9E"/>
    <w:rsid w:val="573B5DD9"/>
    <w:rsid w:val="57420238"/>
    <w:rsid w:val="57742B5F"/>
    <w:rsid w:val="578F4319"/>
    <w:rsid w:val="57A54A59"/>
    <w:rsid w:val="57BE279A"/>
    <w:rsid w:val="5849511E"/>
    <w:rsid w:val="58594131"/>
    <w:rsid w:val="5870373F"/>
    <w:rsid w:val="58AC5CE9"/>
    <w:rsid w:val="58BF7568"/>
    <w:rsid w:val="592A33CF"/>
    <w:rsid w:val="59593AC0"/>
    <w:rsid w:val="595B08A7"/>
    <w:rsid w:val="59867460"/>
    <w:rsid w:val="598A7F12"/>
    <w:rsid w:val="59A975A4"/>
    <w:rsid w:val="59C37BED"/>
    <w:rsid w:val="59C87B1C"/>
    <w:rsid w:val="59D038F6"/>
    <w:rsid w:val="59DE0E81"/>
    <w:rsid w:val="59F435C7"/>
    <w:rsid w:val="5A2703CF"/>
    <w:rsid w:val="5A3B6D06"/>
    <w:rsid w:val="5A3E4DB1"/>
    <w:rsid w:val="5A4A1FB4"/>
    <w:rsid w:val="5A6F67BF"/>
    <w:rsid w:val="5A8335B2"/>
    <w:rsid w:val="5A9D3C05"/>
    <w:rsid w:val="5AD73066"/>
    <w:rsid w:val="5AEF02E7"/>
    <w:rsid w:val="5B01445B"/>
    <w:rsid w:val="5B1D4EF7"/>
    <w:rsid w:val="5B987E52"/>
    <w:rsid w:val="5BC73735"/>
    <w:rsid w:val="5BE851AE"/>
    <w:rsid w:val="5BF0118F"/>
    <w:rsid w:val="5BF2464B"/>
    <w:rsid w:val="5BF93998"/>
    <w:rsid w:val="5C45470C"/>
    <w:rsid w:val="5C463A79"/>
    <w:rsid w:val="5C56150A"/>
    <w:rsid w:val="5C700B17"/>
    <w:rsid w:val="5CE744E5"/>
    <w:rsid w:val="5CE964FA"/>
    <w:rsid w:val="5D142BC1"/>
    <w:rsid w:val="5D196F19"/>
    <w:rsid w:val="5D1E02B8"/>
    <w:rsid w:val="5D3540EC"/>
    <w:rsid w:val="5D5546B9"/>
    <w:rsid w:val="5D562DC6"/>
    <w:rsid w:val="5D7B525F"/>
    <w:rsid w:val="5D9C214D"/>
    <w:rsid w:val="5DAB0C20"/>
    <w:rsid w:val="5DBD1701"/>
    <w:rsid w:val="5E1B3A56"/>
    <w:rsid w:val="5E3F0130"/>
    <w:rsid w:val="5E7824C9"/>
    <w:rsid w:val="5E9D1053"/>
    <w:rsid w:val="5EA64F3B"/>
    <w:rsid w:val="5ED12557"/>
    <w:rsid w:val="5EE34480"/>
    <w:rsid w:val="5EE441AD"/>
    <w:rsid w:val="5EEE1FA5"/>
    <w:rsid w:val="5F011031"/>
    <w:rsid w:val="5F064676"/>
    <w:rsid w:val="5F62370B"/>
    <w:rsid w:val="5F6F0BD8"/>
    <w:rsid w:val="5F93775D"/>
    <w:rsid w:val="5F9C0CD4"/>
    <w:rsid w:val="5F9D1EC6"/>
    <w:rsid w:val="5FBD065C"/>
    <w:rsid w:val="5FDB6AF1"/>
    <w:rsid w:val="5FE33B7B"/>
    <w:rsid w:val="604B3CC4"/>
    <w:rsid w:val="606122A2"/>
    <w:rsid w:val="60DA7F88"/>
    <w:rsid w:val="61297D5E"/>
    <w:rsid w:val="61326F92"/>
    <w:rsid w:val="615C6476"/>
    <w:rsid w:val="61BB5003"/>
    <w:rsid w:val="61C1372F"/>
    <w:rsid w:val="61C75237"/>
    <w:rsid w:val="62022090"/>
    <w:rsid w:val="620E64B4"/>
    <w:rsid w:val="621020BF"/>
    <w:rsid w:val="62142748"/>
    <w:rsid w:val="62694A8B"/>
    <w:rsid w:val="628766E4"/>
    <w:rsid w:val="629422C9"/>
    <w:rsid w:val="62D96BBE"/>
    <w:rsid w:val="62E1287D"/>
    <w:rsid w:val="62ED1D08"/>
    <w:rsid w:val="63357787"/>
    <w:rsid w:val="6353387F"/>
    <w:rsid w:val="63862779"/>
    <w:rsid w:val="63896E25"/>
    <w:rsid w:val="63973F0B"/>
    <w:rsid w:val="63A60894"/>
    <w:rsid w:val="63A60C43"/>
    <w:rsid w:val="63A7308B"/>
    <w:rsid w:val="63A90A0B"/>
    <w:rsid w:val="63D227C6"/>
    <w:rsid w:val="63ED728E"/>
    <w:rsid w:val="63FD189B"/>
    <w:rsid w:val="642A55C5"/>
    <w:rsid w:val="64350C27"/>
    <w:rsid w:val="64415165"/>
    <w:rsid w:val="6446675C"/>
    <w:rsid w:val="64470CB0"/>
    <w:rsid w:val="64482C14"/>
    <w:rsid w:val="645038A3"/>
    <w:rsid w:val="646464DE"/>
    <w:rsid w:val="64913E49"/>
    <w:rsid w:val="649E6FEC"/>
    <w:rsid w:val="64A1578A"/>
    <w:rsid w:val="64BE0654"/>
    <w:rsid w:val="64C115D9"/>
    <w:rsid w:val="65007F96"/>
    <w:rsid w:val="65316493"/>
    <w:rsid w:val="6546764A"/>
    <w:rsid w:val="655065BD"/>
    <w:rsid w:val="65544EC0"/>
    <w:rsid w:val="65652284"/>
    <w:rsid w:val="656C4695"/>
    <w:rsid w:val="65A26140"/>
    <w:rsid w:val="65D27D1B"/>
    <w:rsid w:val="65D8629F"/>
    <w:rsid w:val="65F45BD4"/>
    <w:rsid w:val="661754BB"/>
    <w:rsid w:val="66281856"/>
    <w:rsid w:val="66293129"/>
    <w:rsid w:val="6690397F"/>
    <w:rsid w:val="66912F06"/>
    <w:rsid w:val="66A20184"/>
    <w:rsid w:val="66B36B3A"/>
    <w:rsid w:val="66CC6FAC"/>
    <w:rsid w:val="66DD330F"/>
    <w:rsid w:val="67173425"/>
    <w:rsid w:val="67244646"/>
    <w:rsid w:val="6760755B"/>
    <w:rsid w:val="677E3A5B"/>
    <w:rsid w:val="67963F4B"/>
    <w:rsid w:val="679900D4"/>
    <w:rsid w:val="67BE0894"/>
    <w:rsid w:val="67DA1203"/>
    <w:rsid w:val="67DE6387"/>
    <w:rsid w:val="681F6BCA"/>
    <w:rsid w:val="683B0720"/>
    <w:rsid w:val="684A392F"/>
    <w:rsid w:val="686A4B26"/>
    <w:rsid w:val="68947D20"/>
    <w:rsid w:val="68950E03"/>
    <w:rsid w:val="68B50F84"/>
    <w:rsid w:val="68C74C2C"/>
    <w:rsid w:val="68D11952"/>
    <w:rsid w:val="68D7221A"/>
    <w:rsid w:val="68DD3EDE"/>
    <w:rsid w:val="68F86E29"/>
    <w:rsid w:val="693252F2"/>
    <w:rsid w:val="6936054A"/>
    <w:rsid w:val="694F30D8"/>
    <w:rsid w:val="69680FB6"/>
    <w:rsid w:val="696D60A7"/>
    <w:rsid w:val="697E1A0C"/>
    <w:rsid w:val="698673BF"/>
    <w:rsid w:val="699D3ABD"/>
    <w:rsid w:val="69A83335"/>
    <w:rsid w:val="6A0A3F7F"/>
    <w:rsid w:val="6A0B4530"/>
    <w:rsid w:val="6A2A2C89"/>
    <w:rsid w:val="6A366D95"/>
    <w:rsid w:val="6A421AF3"/>
    <w:rsid w:val="6A481C33"/>
    <w:rsid w:val="6A565AC1"/>
    <w:rsid w:val="6A71241A"/>
    <w:rsid w:val="6AAC5B78"/>
    <w:rsid w:val="6AB6657A"/>
    <w:rsid w:val="6AB8181F"/>
    <w:rsid w:val="6AEB2E5A"/>
    <w:rsid w:val="6AF50401"/>
    <w:rsid w:val="6B113937"/>
    <w:rsid w:val="6B2A53A5"/>
    <w:rsid w:val="6B4D720A"/>
    <w:rsid w:val="6B67236B"/>
    <w:rsid w:val="6B6B3F10"/>
    <w:rsid w:val="6B7C2AF5"/>
    <w:rsid w:val="6B9051ED"/>
    <w:rsid w:val="6BBA2ACB"/>
    <w:rsid w:val="6BD805A3"/>
    <w:rsid w:val="6BDA4B23"/>
    <w:rsid w:val="6BDF49BE"/>
    <w:rsid w:val="6BF419AB"/>
    <w:rsid w:val="6C27567D"/>
    <w:rsid w:val="6C3D6FDE"/>
    <w:rsid w:val="6C585E4D"/>
    <w:rsid w:val="6C60590E"/>
    <w:rsid w:val="6C76177A"/>
    <w:rsid w:val="6C8F23ED"/>
    <w:rsid w:val="6CF644F8"/>
    <w:rsid w:val="6D7029B4"/>
    <w:rsid w:val="6D9754E1"/>
    <w:rsid w:val="6DA20D9B"/>
    <w:rsid w:val="6DC61A61"/>
    <w:rsid w:val="6DF67E77"/>
    <w:rsid w:val="6E0141C3"/>
    <w:rsid w:val="6E087D91"/>
    <w:rsid w:val="6E2E7FD1"/>
    <w:rsid w:val="6E35571D"/>
    <w:rsid w:val="6E3B72E7"/>
    <w:rsid w:val="6E4C7F75"/>
    <w:rsid w:val="6E955259"/>
    <w:rsid w:val="6EB23262"/>
    <w:rsid w:val="6EB35C70"/>
    <w:rsid w:val="6EDC4CE6"/>
    <w:rsid w:val="6EE841DD"/>
    <w:rsid w:val="6EE861C4"/>
    <w:rsid w:val="6EEC07DF"/>
    <w:rsid w:val="6EF66AD2"/>
    <w:rsid w:val="6F491A22"/>
    <w:rsid w:val="6F5E4EA6"/>
    <w:rsid w:val="6F6B2453"/>
    <w:rsid w:val="6F7C6A57"/>
    <w:rsid w:val="6F8D1212"/>
    <w:rsid w:val="6F9F69C8"/>
    <w:rsid w:val="6FA556EE"/>
    <w:rsid w:val="6FB15A3A"/>
    <w:rsid w:val="6FF26D31"/>
    <w:rsid w:val="700F26E5"/>
    <w:rsid w:val="700F38B8"/>
    <w:rsid w:val="701A4279"/>
    <w:rsid w:val="70254F60"/>
    <w:rsid w:val="703204C7"/>
    <w:rsid w:val="707520CA"/>
    <w:rsid w:val="70B14F4F"/>
    <w:rsid w:val="712A3909"/>
    <w:rsid w:val="712C4375"/>
    <w:rsid w:val="714F696B"/>
    <w:rsid w:val="716E3C04"/>
    <w:rsid w:val="716F13A8"/>
    <w:rsid w:val="71710A75"/>
    <w:rsid w:val="71782C84"/>
    <w:rsid w:val="718F7D5F"/>
    <w:rsid w:val="719802C0"/>
    <w:rsid w:val="71994237"/>
    <w:rsid w:val="71A6120E"/>
    <w:rsid w:val="71AB656F"/>
    <w:rsid w:val="71C938C1"/>
    <w:rsid w:val="72047601"/>
    <w:rsid w:val="720E5341"/>
    <w:rsid w:val="721852F9"/>
    <w:rsid w:val="72204641"/>
    <w:rsid w:val="722E4373"/>
    <w:rsid w:val="72592EFF"/>
    <w:rsid w:val="72612386"/>
    <w:rsid w:val="727C303A"/>
    <w:rsid w:val="728F637A"/>
    <w:rsid w:val="72B1118B"/>
    <w:rsid w:val="73180F7E"/>
    <w:rsid w:val="733337C8"/>
    <w:rsid w:val="73437495"/>
    <w:rsid w:val="7348547B"/>
    <w:rsid w:val="734C1F39"/>
    <w:rsid w:val="73532842"/>
    <w:rsid w:val="73553B3B"/>
    <w:rsid w:val="735D7EA8"/>
    <w:rsid w:val="73890EAB"/>
    <w:rsid w:val="73A171F0"/>
    <w:rsid w:val="74027CCB"/>
    <w:rsid w:val="74123008"/>
    <w:rsid w:val="74445FEC"/>
    <w:rsid w:val="74556642"/>
    <w:rsid w:val="746A689B"/>
    <w:rsid w:val="746F6ABF"/>
    <w:rsid w:val="74747C81"/>
    <w:rsid w:val="747E6AAC"/>
    <w:rsid w:val="748677F4"/>
    <w:rsid w:val="749B1C51"/>
    <w:rsid w:val="74DD0898"/>
    <w:rsid w:val="74E83C2C"/>
    <w:rsid w:val="75131B69"/>
    <w:rsid w:val="75180F2F"/>
    <w:rsid w:val="75465EF4"/>
    <w:rsid w:val="75493652"/>
    <w:rsid w:val="75A00D0D"/>
    <w:rsid w:val="75A2588B"/>
    <w:rsid w:val="75B7241E"/>
    <w:rsid w:val="75C77D48"/>
    <w:rsid w:val="75E64D79"/>
    <w:rsid w:val="762A586E"/>
    <w:rsid w:val="76637BC6"/>
    <w:rsid w:val="766A10E0"/>
    <w:rsid w:val="769A0719"/>
    <w:rsid w:val="769F132D"/>
    <w:rsid w:val="76F16531"/>
    <w:rsid w:val="77101C49"/>
    <w:rsid w:val="77571758"/>
    <w:rsid w:val="775C3661"/>
    <w:rsid w:val="775C3EE3"/>
    <w:rsid w:val="777A2C11"/>
    <w:rsid w:val="778A0CAD"/>
    <w:rsid w:val="77C63B32"/>
    <w:rsid w:val="77F17D12"/>
    <w:rsid w:val="780D6FA2"/>
    <w:rsid w:val="78121F73"/>
    <w:rsid w:val="78217CF6"/>
    <w:rsid w:val="7832223B"/>
    <w:rsid w:val="787034D3"/>
    <w:rsid w:val="787B4A5A"/>
    <w:rsid w:val="787F186E"/>
    <w:rsid w:val="788479DD"/>
    <w:rsid w:val="7887642F"/>
    <w:rsid w:val="789D7871"/>
    <w:rsid w:val="78A4749A"/>
    <w:rsid w:val="78BD36C7"/>
    <w:rsid w:val="78EC60C3"/>
    <w:rsid w:val="790117FE"/>
    <w:rsid w:val="791474DA"/>
    <w:rsid w:val="79314EE8"/>
    <w:rsid w:val="79662FDD"/>
    <w:rsid w:val="79FF507B"/>
    <w:rsid w:val="7A056A71"/>
    <w:rsid w:val="7A2931FE"/>
    <w:rsid w:val="7A3A6520"/>
    <w:rsid w:val="7A4773C4"/>
    <w:rsid w:val="7A824B17"/>
    <w:rsid w:val="7A831FB1"/>
    <w:rsid w:val="7A864F99"/>
    <w:rsid w:val="7AA52A09"/>
    <w:rsid w:val="7AD752BA"/>
    <w:rsid w:val="7AD81433"/>
    <w:rsid w:val="7B256A92"/>
    <w:rsid w:val="7B2A76EA"/>
    <w:rsid w:val="7BC703CE"/>
    <w:rsid w:val="7BEA167F"/>
    <w:rsid w:val="7BEF1933"/>
    <w:rsid w:val="7C0307BC"/>
    <w:rsid w:val="7C1830A2"/>
    <w:rsid w:val="7C453E0E"/>
    <w:rsid w:val="7C5B14A4"/>
    <w:rsid w:val="7C8C66DD"/>
    <w:rsid w:val="7CB334F6"/>
    <w:rsid w:val="7CB65BDA"/>
    <w:rsid w:val="7CCA4E08"/>
    <w:rsid w:val="7D034920"/>
    <w:rsid w:val="7D0D5738"/>
    <w:rsid w:val="7D225826"/>
    <w:rsid w:val="7D233B36"/>
    <w:rsid w:val="7D417DE5"/>
    <w:rsid w:val="7D466F9B"/>
    <w:rsid w:val="7D842909"/>
    <w:rsid w:val="7DA87168"/>
    <w:rsid w:val="7DAE699B"/>
    <w:rsid w:val="7DD32A6D"/>
    <w:rsid w:val="7DDC070D"/>
    <w:rsid w:val="7DFD6E51"/>
    <w:rsid w:val="7DFE31CB"/>
    <w:rsid w:val="7DFE8CC6"/>
    <w:rsid w:val="7E041453"/>
    <w:rsid w:val="7E3002D4"/>
    <w:rsid w:val="7E375323"/>
    <w:rsid w:val="7E474530"/>
    <w:rsid w:val="7E4F05D8"/>
    <w:rsid w:val="7EA6398F"/>
    <w:rsid w:val="7EFF3E52"/>
    <w:rsid w:val="7F0D0A7F"/>
    <w:rsid w:val="7F162659"/>
    <w:rsid w:val="7F25162F"/>
    <w:rsid w:val="7F566A0E"/>
    <w:rsid w:val="7F7A251D"/>
    <w:rsid w:val="7F7D695E"/>
    <w:rsid w:val="7F830620"/>
    <w:rsid w:val="7F971F31"/>
    <w:rsid w:val="7FA35BD5"/>
    <w:rsid w:val="7FA73739"/>
    <w:rsid w:val="7FA81371"/>
    <w:rsid w:val="7FAD4754"/>
    <w:rsid w:val="7FB86DEC"/>
    <w:rsid w:val="7FBB0538"/>
    <w:rsid w:val="7FC71C2E"/>
    <w:rsid w:val="7FDC63E8"/>
    <w:rsid w:val="EDEA7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link w:val="68"/>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41"/>
    <w:unhideWhenUsed/>
    <w:qFormat/>
    <w:uiPriority w:val="99"/>
    <w:pPr>
      <w:ind w:firstLine="420" w:firstLineChars="200"/>
    </w:pPr>
    <w:rPr>
      <w:rFonts w:ascii="Times New Roman" w:hAnsi="Times New Roman"/>
    </w:rPr>
  </w:style>
  <w:style w:type="paragraph" w:styleId="3">
    <w:name w:val="Body Text Indent"/>
    <w:basedOn w:val="1"/>
    <w:next w:val="1"/>
    <w:link w:val="36"/>
    <w:qFormat/>
    <w:uiPriority w:val="0"/>
    <w:pPr>
      <w:spacing w:after="120"/>
      <w:ind w:left="420" w:leftChars="200"/>
    </w:pPr>
    <w:rPr>
      <w:rFonts w:ascii="Calibri" w:hAnsi="Calibri"/>
    </w:rPr>
  </w:style>
  <w:style w:type="paragraph" w:styleId="7">
    <w:name w:val="Normal Indent"/>
    <w:basedOn w:val="1"/>
    <w:next w:val="1"/>
    <w:link w:val="46"/>
    <w:qFormat/>
    <w:uiPriority w:val="0"/>
    <w:pPr>
      <w:ind w:firstLine="420"/>
    </w:pPr>
    <w:rPr>
      <w:szCs w:val="20"/>
    </w:rPr>
  </w:style>
  <w:style w:type="paragraph" w:styleId="8">
    <w:name w:val="annotation text"/>
    <w:basedOn w:val="1"/>
    <w:link w:val="65"/>
    <w:qFormat/>
    <w:uiPriority w:val="0"/>
    <w:pPr>
      <w:jc w:val="left"/>
    </w:pPr>
    <w:rPr>
      <w:rFonts w:ascii="Tahoma" w:hAnsi="Tahoma"/>
    </w:rPr>
  </w:style>
  <w:style w:type="paragraph" w:styleId="9">
    <w:name w:val="Body Text"/>
    <w:basedOn w:val="1"/>
    <w:next w:val="10"/>
    <w:link w:val="35"/>
    <w:qFormat/>
    <w:uiPriority w:val="0"/>
    <w:pPr>
      <w:spacing w:after="120"/>
    </w:pPr>
    <w:rPr>
      <w:rFonts w:ascii="Calibri" w:hAnsi="Calibri"/>
    </w:rPr>
  </w:style>
  <w:style w:type="paragraph" w:customStyle="1" w:styleId="1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7"/>
    <w:qFormat/>
    <w:uiPriority w:val="99"/>
    <w:pPr>
      <w:spacing w:beforeLines="50" w:afterLines="50" w:line="400" w:lineRule="exact"/>
    </w:pPr>
    <w:rPr>
      <w:rFonts w:ascii="宋体" w:hAnsi="Courier New"/>
      <w:sz w:val="24"/>
    </w:rPr>
  </w:style>
  <w:style w:type="paragraph" w:styleId="14">
    <w:name w:val="Body Text Indent 2"/>
    <w:basedOn w:val="1"/>
    <w:link w:val="60"/>
    <w:unhideWhenUsed/>
    <w:qFormat/>
    <w:uiPriority w:val="99"/>
    <w:pPr>
      <w:spacing w:after="120" w:line="480" w:lineRule="auto"/>
      <w:ind w:left="420" w:leftChars="200"/>
    </w:pPr>
  </w:style>
  <w:style w:type="paragraph" w:styleId="15">
    <w:name w:val="Balloon Text"/>
    <w:basedOn w:val="1"/>
    <w:link w:val="44"/>
    <w:unhideWhenUsed/>
    <w:qFormat/>
    <w:uiPriority w:val="0"/>
    <w:rPr>
      <w:sz w:val="18"/>
      <w:szCs w:val="18"/>
    </w:rPr>
  </w:style>
  <w:style w:type="paragraph" w:styleId="16">
    <w:name w:val="footer"/>
    <w:basedOn w:val="1"/>
    <w:link w:val="38"/>
    <w:unhideWhenUsed/>
    <w:qFormat/>
    <w:uiPriority w:val="0"/>
    <w:pPr>
      <w:tabs>
        <w:tab w:val="center" w:pos="4153"/>
        <w:tab w:val="right" w:pos="8306"/>
      </w:tabs>
      <w:snapToGrid w:val="0"/>
      <w:jc w:val="left"/>
    </w:pPr>
    <w:rPr>
      <w:sz w:val="18"/>
      <w:szCs w:val="18"/>
    </w:rPr>
  </w:style>
  <w:style w:type="paragraph" w:styleId="17">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w:basedOn w:val="9"/>
    <w:qFormat/>
    <w:uiPriority w:val="0"/>
    <w:pPr>
      <w:ind w:firstLine="420" w:firstLineChars="1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List Paragraph"/>
    <w:basedOn w:val="1"/>
    <w:qFormat/>
    <w:uiPriority w:val="0"/>
    <w:pPr>
      <w:spacing w:line="360" w:lineRule="auto"/>
      <w:ind w:firstLine="420" w:firstLineChars="200"/>
    </w:pPr>
    <w:rPr>
      <w:rFonts w:ascii="Calibri" w:hAnsi="Calibri"/>
      <w:szCs w:val="22"/>
    </w:rPr>
  </w:style>
  <w:style w:type="character" w:customStyle="1" w:styleId="34">
    <w:name w:val="标题 2 Char"/>
    <w:basedOn w:val="26"/>
    <w:link w:val="5"/>
    <w:qFormat/>
    <w:uiPriority w:val="0"/>
    <w:rPr>
      <w:rFonts w:ascii="宋体" w:hAnsi="宋体" w:eastAsia="宋体" w:cs="Times New Roman"/>
      <w:b/>
      <w:bCs/>
      <w:sz w:val="24"/>
      <w:szCs w:val="24"/>
    </w:rPr>
  </w:style>
  <w:style w:type="character" w:customStyle="1" w:styleId="35">
    <w:name w:val="正文文本 Char"/>
    <w:basedOn w:val="26"/>
    <w:link w:val="9"/>
    <w:qFormat/>
    <w:uiPriority w:val="0"/>
    <w:rPr>
      <w:rFonts w:ascii="Calibri" w:hAnsi="Calibri" w:eastAsia="宋体" w:cs="Times New Roman"/>
      <w:szCs w:val="24"/>
    </w:rPr>
  </w:style>
  <w:style w:type="character" w:customStyle="1" w:styleId="36">
    <w:name w:val="正文文本缩进 Char"/>
    <w:basedOn w:val="26"/>
    <w:link w:val="3"/>
    <w:qFormat/>
    <w:uiPriority w:val="0"/>
    <w:rPr>
      <w:rFonts w:ascii="Calibri" w:hAnsi="Calibri" w:eastAsia="宋体" w:cs="Times New Roman"/>
      <w:szCs w:val="24"/>
    </w:rPr>
  </w:style>
  <w:style w:type="character" w:customStyle="1" w:styleId="37">
    <w:name w:val="纯文本 Char"/>
    <w:basedOn w:val="26"/>
    <w:link w:val="13"/>
    <w:qFormat/>
    <w:uiPriority w:val="99"/>
    <w:rPr>
      <w:rFonts w:ascii="宋体" w:hAnsi="Courier New" w:eastAsia="宋体" w:cs="Times New Roman"/>
      <w:sz w:val="24"/>
      <w:szCs w:val="24"/>
    </w:rPr>
  </w:style>
  <w:style w:type="character" w:customStyle="1" w:styleId="38">
    <w:name w:val="页脚 Char"/>
    <w:basedOn w:val="26"/>
    <w:link w:val="16"/>
    <w:qFormat/>
    <w:uiPriority w:val="0"/>
    <w:rPr>
      <w:rFonts w:ascii="Times New Roman" w:hAnsi="Times New Roman" w:eastAsia="宋体" w:cs="Times New Roman"/>
      <w:sz w:val="18"/>
      <w:szCs w:val="18"/>
    </w:rPr>
  </w:style>
  <w:style w:type="character" w:customStyle="1" w:styleId="39">
    <w:name w:val="页眉 Char"/>
    <w:basedOn w:val="26"/>
    <w:link w:val="17"/>
    <w:qFormat/>
    <w:uiPriority w:val="0"/>
    <w:rPr>
      <w:rFonts w:ascii="Times New Roman" w:hAnsi="Times New Roman" w:eastAsia="宋体" w:cs="Times New Roman"/>
      <w:sz w:val="18"/>
      <w:szCs w:val="18"/>
    </w:rPr>
  </w:style>
  <w:style w:type="character" w:customStyle="1" w:styleId="40">
    <w:name w:val="正文文本 2 Char"/>
    <w:basedOn w:val="26"/>
    <w:link w:val="20"/>
    <w:qFormat/>
    <w:uiPriority w:val="0"/>
    <w:rPr>
      <w:rFonts w:ascii="宋体" w:hAnsi="宋体" w:eastAsia="宋体" w:cs="Times New Roman"/>
      <w:color w:val="000000"/>
      <w:sz w:val="24"/>
      <w:szCs w:val="24"/>
    </w:rPr>
  </w:style>
  <w:style w:type="character" w:customStyle="1" w:styleId="41">
    <w:name w:val="正文首行缩进 2 Char"/>
    <w:basedOn w:val="36"/>
    <w:link w:val="2"/>
    <w:semiHidden/>
    <w:qFormat/>
    <w:uiPriority w:val="99"/>
    <w:rPr>
      <w:rFonts w:ascii="Times New Roman" w:hAnsi="Times New Roman" w:eastAsia="宋体" w:cs="Times New Roman"/>
      <w:szCs w:val="24"/>
    </w:rPr>
  </w:style>
  <w:style w:type="paragraph" w:customStyle="1" w:styleId="42">
    <w:name w:val="*正文"/>
    <w:basedOn w:val="1"/>
    <w:link w:val="91"/>
    <w:qFormat/>
    <w:uiPriority w:val="0"/>
    <w:pPr>
      <w:spacing w:line="360" w:lineRule="auto"/>
      <w:ind w:firstLine="200" w:firstLineChars="200"/>
    </w:pPr>
    <w:rPr>
      <w:rFonts w:ascii="宋体" w:hAnsi="宋体" w:cstheme="minorBidi"/>
      <w:sz w:val="22"/>
    </w:rPr>
  </w:style>
  <w:style w:type="character" w:customStyle="1" w:styleId="43">
    <w:name w:val="font61"/>
    <w:basedOn w:val="26"/>
    <w:qFormat/>
    <w:uiPriority w:val="0"/>
    <w:rPr>
      <w:rFonts w:hint="eastAsia" w:ascii="宋体" w:hAnsi="宋体" w:eastAsia="宋体" w:cs="宋体"/>
      <w:color w:val="000000"/>
      <w:sz w:val="22"/>
      <w:szCs w:val="22"/>
      <w:u w:val="none"/>
    </w:rPr>
  </w:style>
  <w:style w:type="character" w:customStyle="1" w:styleId="44">
    <w:name w:val="批注框文本 Char"/>
    <w:basedOn w:val="26"/>
    <w:link w:val="15"/>
    <w:qFormat/>
    <w:uiPriority w:val="0"/>
    <w:rPr>
      <w:rFonts w:ascii="Times New Roman" w:hAnsi="Times New Roman" w:eastAsia="宋体" w:cs="Times New Roman"/>
      <w:sz w:val="18"/>
      <w:szCs w:val="18"/>
    </w:rPr>
  </w:style>
  <w:style w:type="character" w:customStyle="1" w:styleId="45">
    <w:name w:val="纯文本 Char1"/>
    <w:basedOn w:val="26"/>
    <w:qFormat/>
    <w:uiPriority w:val="0"/>
    <w:rPr>
      <w:rFonts w:ascii="宋体" w:hAnsi="Courier New" w:eastAsia="宋体" w:cs="Times New Roman"/>
      <w:sz w:val="24"/>
      <w:szCs w:val="24"/>
    </w:rPr>
  </w:style>
  <w:style w:type="character" w:customStyle="1" w:styleId="46">
    <w:name w:val="正文缩进 Char"/>
    <w:basedOn w:val="26"/>
    <w:link w:val="7"/>
    <w:qFormat/>
    <w:uiPriority w:val="0"/>
    <w:rPr>
      <w:rFonts w:ascii="Times New Roman" w:hAnsi="Times New Roman" w:eastAsia="宋体" w:cs="Times New Roman"/>
      <w:szCs w:val="20"/>
    </w:rPr>
  </w:style>
  <w:style w:type="character" w:customStyle="1" w:styleId="47">
    <w:name w:val="正文文本缩进 Char1"/>
    <w:basedOn w:val="26"/>
    <w:qFormat/>
    <w:uiPriority w:val="0"/>
    <w:rPr>
      <w:rFonts w:ascii="Calibri" w:hAnsi="Calibri" w:eastAsia="宋体" w:cs="Times New Roman"/>
      <w:szCs w:val="24"/>
    </w:rPr>
  </w:style>
  <w:style w:type="paragraph" w:customStyle="1" w:styleId="48">
    <w:name w:val="列出段落1"/>
    <w:basedOn w:val="1"/>
    <w:link w:val="92"/>
    <w:qFormat/>
    <w:uiPriority w:val="34"/>
    <w:pPr>
      <w:ind w:firstLine="420" w:firstLineChars="200"/>
    </w:pPr>
    <w:rPr>
      <w:rFonts w:ascii="Calibri" w:hAnsi="Calibri" w:cs="黑体"/>
    </w:rPr>
  </w:style>
  <w:style w:type="character" w:customStyle="1" w:styleId="49">
    <w:name w:val="font41"/>
    <w:basedOn w:val="26"/>
    <w:qFormat/>
    <w:uiPriority w:val="0"/>
    <w:rPr>
      <w:rFonts w:hint="eastAsia" w:ascii="宋体" w:hAnsi="宋体" w:eastAsia="宋体" w:cs="宋体"/>
      <w:b/>
      <w:color w:val="000000"/>
      <w:sz w:val="20"/>
      <w:szCs w:val="20"/>
      <w:u w:val="none"/>
    </w:rPr>
  </w:style>
  <w:style w:type="character" w:customStyle="1" w:styleId="50">
    <w:name w:val="标题 1 Char"/>
    <w:basedOn w:val="26"/>
    <w:link w:val="4"/>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Char"/>
    <w:basedOn w:val="26"/>
    <w:link w:val="14"/>
    <w:semiHidden/>
    <w:qFormat/>
    <w:uiPriority w:val="99"/>
    <w:rPr>
      <w:rFonts w:ascii="Times New Roman" w:hAnsi="Times New Roman" w:eastAsia="宋体" w:cs="Times New Roman"/>
      <w:szCs w:val="24"/>
    </w:rPr>
  </w:style>
  <w:style w:type="paragraph" w:customStyle="1" w:styleId="61">
    <w:name w:val="正文1"/>
    <w:basedOn w:val="1"/>
    <w:next w:val="62"/>
    <w:qFormat/>
    <w:uiPriority w:val="0"/>
    <w:pPr>
      <w:adjustRightInd w:val="0"/>
      <w:spacing w:line="318" w:lineRule="atLeast"/>
      <w:ind w:left="369" w:firstLine="369"/>
      <w:textAlignment w:val="baseline"/>
    </w:pPr>
    <w:rPr>
      <w:rFonts w:ascii="宋体"/>
      <w:szCs w:val="20"/>
    </w:rPr>
  </w:style>
  <w:style w:type="paragraph" w:customStyle="1" w:styleId="62">
    <w:name w:val="正文文本1"/>
    <w:basedOn w:val="61"/>
    <w:next w:val="63"/>
    <w:qFormat/>
    <w:uiPriority w:val="0"/>
    <w:rPr>
      <w:rFonts w:ascii="Tahoma" w:hAnsi="Tahoma"/>
      <w:sz w:val="28"/>
    </w:rPr>
  </w:style>
  <w:style w:type="paragraph" w:customStyle="1" w:styleId="63">
    <w:name w:val="正文缩进1"/>
    <w:basedOn w:val="62"/>
    <w:qFormat/>
    <w:uiPriority w:val="0"/>
    <w:pPr>
      <w:ind w:firstLine="0"/>
    </w:pPr>
  </w:style>
  <w:style w:type="paragraph" w:customStyle="1" w:styleId="64">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5">
    <w:name w:val="批注文字 Char"/>
    <w:basedOn w:val="26"/>
    <w:link w:val="8"/>
    <w:qFormat/>
    <w:uiPriority w:val="0"/>
    <w:rPr>
      <w:rFonts w:ascii="Tahoma" w:hAnsi="Tahoma" w:eastAsia="宋体" w:cs="Times New Roman"/>
      <w:szCs w:val="24"/>
    </w:rPr>
  </w:style>
  <w:style w:type="character" w:customStyle="1" w:styleId="66">
    <w:name w:val="font11"/>
    <w:basedOn w:val="26"/>
    <w:qFormat/>
    <w:uiPriority w:val="0"/>
    <w:rPr>
      <w:rFonts w:hint="eastAsia" w:ascii="宋体" w:hAnsi="宋体" w:eastAsia="宋体" w:cs="宋体"/>
      <w:color w:val="000000"/>
      <w:sz w:val="23"/>
      <w:szCs w:val="23"/>
      <w:u w:val="none"/>
    </w:rPr>
  </w:style>
  <w:style w:type="character" w:customStyle="1" w:styleId="67">
    <w:name w:val="font31"/>
    <w:basedOn w:val="26"/>
    <w:qFormat/>
    <w:uiPriority w:val="0"/>
    <w:rPr>
      <w:rFonts w:hint="default" w:ascii="Times New Roman" w:hAnsi="Times New Roman" w:cs="Times New Roman"/>
      <w:color w:val="000000"/>
      <w:sz w:val="23"/>
      <w:szCs w:val="23"/>
      <w:u w:val="none"/>
    </w:rPr>
  </w:style>
  <w:style w:type="character" w:customStyle="1" w:styleId="68">
    <w:name w:val="标题 3 Char"/>
    <w:link w:val="6"/>
    <w:qFormat/>
    <w:locked/>
    <w:uiPriority w:val="0"/>
    <w:rPr>
      <w:rFonts w:eastAsia="楷体_GB2312"/>
      <w:b/>
      <w:bCs/>
      <w:szCs w:val="32"/>
    </w:rPr>
  </w:style>
  <w:style w:type="character" w:customStyle="1" w:styleId="69">
    <w:name w:val="font21"/>
    <w:basedOn w:val="26"/>
    <w:qFormat/>
    <w:uiPriority w:val="0"/>
    <w:rPr>
      <w:rFonts w:hint="eastAsia" w:ascii="宋体" w:hAnsi="宋体" w:eastAsia="宋体" w:cs="宋体"/>
      <w:color w:val="000000"/>
      <w:sz w:val="23"/>
      <w:szCs w:val="23"/>
      <w:u w:val="none"/>
    </w:rPr>
  </w:style>
  <w:style w:type="character" w:customStyle="1" w:styleId="70">
    <w:name w:val="font51"/>
    <w:basedOn w:val="26"/>
    <w:qFormat/>
    <w:uiPriority w:val="0"/>
    <w:rPr>
      <w:rFonts w:hint="default" w:ascii="Times New Roman" w:hAnsi="Times New Roman" w:cs="Times New Roman"/>
      <w:color w:val="000000"/>
      <w:sz w:val="23"/>
      <w:szCs w:val="23"/>
      <w:u w:val="none"/>
    </w:rPr>
  </w:style>
  <w:style w:type="character" w:customStyle="1" w:styleId="71">
    <w:name w:val="font81"/>
    <w:basedOn w:val="26"/>
    <w:qFormat/>
    <w:uiPriority w:val="0"/>
    <w:rPr>
      <w:rFonts w:hint="default" w:ascii="Times New Roman" w:hAnsi="Times New Roman" w:cs="Times New Roman"/>
      <w:b/>
      <w:color w:val="000000"/>
      <w:sz w:val="23"/>
      <w:szCs w:val="23"/>
      <w:u w:val="none"/>
    </w:rPr>
  </w:style>
  <w:style w:type="paragraph" w:customStyle="1" w:styleId="72">
    <w:name w:val="_Style 2"/>
    <w:basedOn w:val="1"/>
    <w:qFormat/>
    <w:uiPriority w:val="34"/>
    <w:pPr>
      <w:autoSpaceDE w:val="0"/>
      <w:autoSpaceDN w:val="0"/>
      <w:adjustRightInd w:val="0"/>
      <w:ind w:firstLine="420" w:firstLineChars="200"/>
    </w:pPr>
    <w:rPr>
      <w:color w:val="000000"/>
      <w:kern w:val="0"/>
      <w:szCs w:val="21"/>
    </w:rPr>
  </w:style>
  <w:style w:type="paragraph" w:customStyle="1" w:styleId="73">
    <w:name w:val="00正文"/>
    <w:basedOn w:val="1"/>
    <w:qFormat/>
    <w:uiPriority w:val="0"/>
    <w:pPr>
      <w:snapToGrid w:val="0"/>
      <w:spacing w:line="360" w:lineRule="exact"/>
      <w:ind w:firstLine="200" w:firstLineChars="200"/>
    </w:pPr>
    <w:rPr>
      <w:szCs w:val="22"/>
    </w:rPr>
  </w:style>
  <w:style w:type="character" w:customStyle="1" w:styleId="74">
    <w:name w:val="HTML 预设格式 Char"/>
    <w:basedOn w:val="26"/>
    <w:link w:val="21"/>
    <w:semiHidden/>
    <w:qFormat/>
    <w:uiPriority w:val="99"/>
    <w:rPr>
      <w:rFonts w:ascii="宋体" w:hAnsi="宋体"/>
      <w:sz w:val="24"/>
      <w:szCs w:val="24"/>
    </w:rPr>
  </w:style>
  <w:style w:type="character" w:customStyle="1" w:styleId="75">
    <w:name w:val="font01"/>
    <w:basedOn w:val="26"/>
    <w:qFormat/>
    <w:uiPriority w:val="0"/>
    <w:rPr>
      <w:rFonts w:hint="eastAsia" w:ascii="宋体" w:hAnsi="宋体" w:eastAsia="宋体" w:cs="宋体"/>
      <w:b/>
      <w:color w:val="000000"/>
      <w:sz w:val="36"/>
      <w:szCs w:val="36"/>
      <w:u w:val="none"/>
      <w:vertAlign w:val="subscript"/>
    </w:rPr>
  </w:style>
  <w:style w:type="character" w:customStyle="1" w:styleId="76">
    <w:name w:val="font122"/>
    <w:basedOn w:val="26"/>
    <w:qFormat/>
    <w:uiPriority w:val="0"/>
    <w:rPr>
      <w:rFonts w:hint="eastAsia" w:ascii="宋体" w:hAnsi="宋体" w:eastAsia="宋体" w:cs="宋体"/>
      <w:color w:val="000000"/>
      <w:sz w:val="24"/>
      <w:szCs w:val="24"/>
      <w:u w:val="none"/>
    </w:rPr>
  </w:style>
  <w:style w:type="paragraph" w:customStyle="1" w:styleId="77">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80">
    <w:name w:val="列出段落111"/>
    <w:basedOn w:val="1"/>
    <w:qFormat/>
    <w:uiPriority w:val="34"/>
    <w:pPr>
      <w:ind w:firstLine="420" w:firstLineChars="200"/>
    </w:pPr>
    <w:rPr>
      <w:rFonts w:ascii="Calibri" w:hAnsi="Calibri"/>
    </w:rPr>
  </w:style>
  <w:style w:type="paragraph" w:customStyle="1" w:styleId="81">
    <w:name w:val="Table Paragraph"/>
    <w:basedOn w:val="1"/>
    <w:qFormat/>
    <w:uiPriority w:val="1"/>
    <w:rPr>
      <w:rFonts w:ascii="仿宋" w:hAnsi="仿宋" w:eastAsia="仿宋" w:cs="仿宋"/>
      <w:lang w:val="zh-CN" w:bidi="zh-CN"/>
    </w:rPr>
  </w:style>
  <w:style w:type="character" w:customStyle="1" w:styleId="82">
    <w:name w:val="font71"/>
    <w:basedOn w:val="26"/>
    <w:qFormat/>
    <w:uiPriority w:val="0"/>
    <w:rPr>
      <w:rFonts w:hint="eastAsia" w:ascii="微软雅黑" w:hAnsi="微软雅黑" w:eastAsia="微软雅黑" w:cs="微软雅黑"/>
      <w:color w:val="000000"/>
      <w:sz w:val="18"/>
      <w:szCs w:val="18"/>
      <w:u w:val="none"/>
    </w:rPr>
  </w:style>
  <w:style w:type="character" w:customStyle="1" w:styleId="83">
    <w:name w:val="font91"/>
    <w:basedOn w:val="26"/>
    <w:qFormat/>
    <w:uiPriority w:val="0"/>
    <w:rPr>
      <w:rFonts w:ascii="Arial" w:hAnsi="Arial" w:cs="Arial"/>
      <w:color w:val="000000"/>
      <w:sz w:val="22"/>
      <w:szCs w:val="22"/>
      <w:u w:val="none"/>
    </w:rPr>
  </w:style>
  <w:style w:type="paragraph" w:customStyle="1" w:styleId="84">
    <w:name w:val="段落样式"/>
    <w:basedOn w:val="1"/>
    <w:next w:val="48"/>
    <w:qFormat/>
    <w:uiPriority w:val="0"/>
    <w:pPr>
      <w:ind w:firstLine="420" w:firstLineChars="200"/>
    </w:pPr>
    <w:rPr>
      <w:rFonts w:ascii="Calibri" w:hAnsi="Calibri" w:cs="Calibri"/>
      <w:sz w:val="20"/>
      <w:szCs w:val="20"/>
    </w:rPr>
  </w:style>
  <w:style w:type="paragraph" w:customStyle="1" w:styleId="85">
    <w:name w:val="列出段落11"/>
    <w:basedOn w:val="1"/>
    <w:qFormat/>
    <w:uiPriority w:val="34"/>
    <w:pPr>
      <w:ind w:firstLine="420" w:firstLineChars="200"/>
    </w:pPr>
    <w:rPr>
      <w:rFonts w:ascii="宋体" w:hAnsi="宋体" w:cs="Calibri"/>
      <w:sz w:val="24"/>
    </w:rPr>
  </w:style>
  <w:style w:type="paragraph" w:customStyle="1" w:styleId="86">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7">
    <w:name w:val="正文360首行缩进"/>
    <w:basedOn w:val="1"/>
    <w:qFormat/>
    <w:uiPriority w:val="0"/>
    <w:pPr>
      <w:widowControl/>
      <w:spacing w:before="120" w:line="300" w:lineRule="auto"/>
      <w:ind w:firstLine="200" w:firstLineChars="200"/>
      <w:jc w:val="left"/>
    </w:pPr>
    <w:rPr>
      <w:sz w:val="24"/>
      <w:szCs w:val="20"/>
    </w:rPr>
  </w:style>
  <w:style w:type="paragraph" w:customStyle="1" w:styleId="88">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9">
    <w:name w:val="Table Normal"/>
    <w:qFormat/>
    <w:uiPriority w:val="0"/>
    <w:tblPr>
      <w:tblLayout w:type="fixed"/>
      <w:tblCellMar>
        <w:top w:w="0" w:type="dxa"/>
        <w:left w:w="0" w:type="dxa"/>
        <w:bottom w:w="0" w:type="dxa"/>
        <w:right w:w="0" w:type="dxa"/>
      </w:tblCellMar>
    </w:tblPr>
  </w:style>
  <w:style w:type="character" w:customStyle="1" w:styleId="90">
    <w:name w:val="列表段落 字符"/>
    <w:qFormat/>
    <w:uiPriority w:val="34"/>
    <w:rPr>
      <w:rFonts w:ascii="Calibri" w:hAnsi="Calibri" w:eastAsia="宋体" w:cs="Times New Roman"/>
      <w:szCs w:val="22"/>
    </w:rPr>
  </w:style>
  <w:style w:type="character" w:customStyle="1" w:styleId="91">
    <w:name w:val="*正文 Char"/>
    <w:link w:val="42"/>
    <w:qFormat/>
    <w:uiPriority w:val="0"/>
    <w:rPr>
      <w:rFonts w:ascii="宋体" w:hAnsi="宋体" w:cstheme="minorBidi"/>
      <w:kern w:val="2"/>
      <w:sz w:val="22"/>
      <w:szCs w:val="24"/>
    </w:rPr>
  </w:style>
  <w:style w:type="character" w:customStyle="1" w:styleId="92">
    <w:name w:val="列出段落 Char"/>
    <w:link w:val="48"/>
    <w:qFormat/>
    <w:uiPriority w:val="34"/>
    <w:rPr>
      <w:rFonts w:ascii="Calibri" w:hAnsi="Calibri" w:cs="黑体"/>
      <w:kern w:val="2"/>
      <w:sz w:val="21"/>
      <w:szCs w:val="24"/>
    </w:rPr>
  </w:style>
  <w:style w:type="character" w:customStyle="1" w:styleId="93">
    <w:name w:val="ant-form-item-children"/>
    <w:basedOn w:val="26"/>
    <w:qFormat/>
    <w:uiPriority w:val="0"/>
  </w:style>
  <w:style w:type="paragraph" w:customStyle="1" w:styleId="94">
    <w:name w:val="表格文字"/>
    <w:basedOn w:val="1"/>
    <w:next w:val="9"/>
    <w:qFormat/>
    <w:uiPriority w:val="0"/>
    <w:pPr>
      <w:adjustRightInd w:val="0"/>
      <w:spacing w:line="420" w:lineRule="atLeast"/>
      <w:jc w:val="left"/>
      <w:textAlignment w:val="baseline"/>
    </w:pPr>
    <w:rPr>
      <w:rFonts w:ascii="Times New Roman" w:hAnsi="Times New Roman"/>
      <w:kern w:val="0"/>
    </w:rPr>
  </w:style>
  <w:style w:type="paragraph" w:customStyle="1" w:styleId="95">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96">
    <w:name w:val="_Style 3"/>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31849</Words>
  <Characters>33149</Characters>
  <Lines>247</Lines>
  <Paragraphs>69</Paragraphs>
  <TotalTime>208</TotalTime>
  <ScaleCrop>false</ScaleCrop>
  <LinksUpToDate>false</LinksUpToDate>
  <CharactersWithSpaces>35094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2020-10-14T07:13:00Z</dcterms:created>
  <dc:creator>gf</dc:creator>
  <cp:lastModifiedBy>Administrator</cp:lastModifiedBy>
  <cp:lastPrinted>2025-01-20T01:23:10Z</cp:lastPrinted>
  <dcterms:modified xsi:type="dcterms:W3CDTF">2025-01-20T01:57:40Z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21326CB0C09B7688E0BA7D63A875C0BC</vt:lpwstr>
  </property>
</Properties>
</file>