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34"/>
          <w:sz w:val="52"/>
          <w:szCs w:val="52"/>
          <w:highlight w:val="none"/>
          <w:lang w:eastAsia="zh-CN"/>
        </w:rPr>
      </w:pPr>
      <w:r>
        <w:rPr>
          <w:rFonts w:hint="eastAsia" w:ascii="宋体" w:hAnsi="宋体"/>
          <w:b/>
          <w:color w:val="auto"/>
          <w:spacing w:val="0"/>
          <w:sz w:val="52"/>
          <w:szCs w:val="52"/>
          <w:highlight w:val="none"/>
          <w:lang w:eastAsia="zh-CN"/>
        </w:rPr>
        <w:t>宁海法院安保等综合服务项目</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t>项目编号：</w:t>
      </w:r>
      <w:r>
        <w:rPr>
          <w:rFonts w:hint="eastAsia" w:ascii="宋体" w:hAnsi="宋体"/>
          <w:b/>
          <w:color w:val="auto"/>
          <w:sz w:val="44"/>
          <w:szCs w:val="44"/>
          <w:highlight w:val="none"/>
          <w:lang w:eastAsia="zh-CN"/>
        </w:rPr>
        <w:t>NHZFCG-Z2025004</w:t>
      </w:r>
    </w:p>
    <w:p>
      <w:pPr>
        <w:spacing w:line="800" w:lineRule="exact"/>
        <w:jc w:val="center"/>
        <w:rPr>
          <w:rFonts w:ascii="宋体" w:hAnsi="宋体"/>
          <w:b/>
          <w:color w:val="auto"/>
          <w:sz w:val="44"/>
          <w:szCs w:val="44"/>
          <w:highlight w:val="none"/>
        </w:rPr>
      </w:pPr>
    </w:p>
    <w:p>
      <w:pPr>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u w:val="single"/>
        </w:rPr>
      </w:pPr>
    </w:p>
    <w:p>
      <w:pPr>
        <w:spacing w:line="240" w:lineRule="exact"/>
        <w:jc w:val="center"/>
        <w:rPr>
          <w:rFonts w:ascii="宋体" w:hAnsi="宋体"/>
          <w:b/>
          <w:color w:val="auto"/>
          <w:sz w:val="36"/>
          <w:szCs w:val="36"/>
          <w:highlight w:val="none"/>
          <w:u w:val="single"/>
        </w:rPr>
      </w:pPr>
    </w:p>
    <w:p>
      <w:pPr>
        <w:spacing w:line="240" w:lineRule="exact"/>
        <w:jc w:val="center"/>
        <w:rPr>
          <w:rFonts w:ascii="宋体" w:hAnsi="宋体"/>
          <w:b/>
          <w:color w:val="auto"/>
          <w:sz w:val="36"/>
          <w:szCs w:val="36"/>
          <w:highlight w:val="none"/>
          <w:u w:val="single"/>
        </w:rPr>
      </w:pPr>
    </w:p>
    <w:p>
      <w:pPr>
        <w:spacing w:line="240" w:lineRule="exact"/>
        <w:rPr>
          <w:rFonts w:ascii="宋体" w:hAnsi="宋体"/>
          <w:b/>
          <w:color w:val="auto"/>
          <w:sz w:val="36"/>
          <w:szCs w:val="36"/>
          <w:highlight w:val="none"/>
          <w:u w:val="single"/>
        </w:rPr>
      </w:pPr>
    </w:p>
    <w:p>
      <w:pPr>
        <w:jc w:val="center"/>
        <w:rPr>
          <w:rFonts w:ascii="宋体" w:hAnsi="宋体"/>
          <w:b/>
          <w:color w:val="auto"/>
          <w:sz w:val="84"/>
          <w:szCs w:val="84"/>
          <w:highlight w:val="none"/>
        </w:rPr>
      </w:pPr>
      <w:r>
        <w:rPr>
          <w:rFonts w:hint="eastAsia" w:ascii="宋体" w:hAnsi="宋体"/>
          <w:b/>
          <w:color w:val="auto"/>
          <w:sz w:val="84"/>
          <w:szCs w:val="84"/>
          <w:highlight w:val="none"/>
        </w:rPr>
        <w:t>招</w:t>
      </w:r>
    </w:p>
    <w:p>
      <w:pPr>
        <w:jc w:val="center"/>
        <w:rPr>
          <w:rFonts w:ascii="宋体" w:hAnsi="宋体"/>
          <w:b/>
          <w:color w:val="auto"/>
          <w:sz w:val="84"/>
          <w:szCs w:val="84"/>
          <w:highlight w:val="none"/>
        </w:rPr>
      </w:pPr>
      <w:r>
        <w:rPr>
          <w:rFonts w:hint="eastAsia" w:ascii="宋体" w:hAnsi="宋体"/>
          <w:b/>
          <w:color w:val="auto"/>
          <w:sz w:val="84"/>
          <w:szCs w:val="84"/>
          <w:highlight w:val="none"/>
        </w:rPr>
        <w:t>标</w:t>
      </w:r>
    </w:p>
    <w:p>
      <w:pPr>
        <w:jc w:val="center"/>
        <w:rPr>
          <w:rFonts w:ascii="宋体" w:hAnsi="宋体"/>
          <w:b/>
          <w:color w:val="auto"/>
          <w:sz w:val="84"/>
          <w:szCs w:val="84"/>
          <w:highlight w:val="none"/>
        </w:rPr>
      </w:pPr>
      <w:r>
        <w:rPr>
          <w:rFonts w:hint="eastAsia" w:ascii="宋体" w:hAnsi="宋体"/>
          <w:b/>
          <w:color w:val="auto"/>
          <w:sz w:val="84"/>
          <w:szCs w:val="84"/>
          <w:highlight w:val="none"/>
        </w:rPr>
        <w:t>文</w:t>
      </w:r>
    </w:p>
    <w:p>
      <w:pPr>
        <w:jc w:val="center"/>
        <w:rPr>
          <w:rFonts w:ascii="宋体" w:hAnsi="宋体"/>
          <w:b/>
          <w:color w:val="auto"/>
          <w:sz w:val="84"/>
          <w:szCs w:val="84"/>
          <w:highlight w:val="none"/>
        </w:rPr>
      </w:pPr>
      <w:r>
        <w:rPr>
          <w:rFonts w:hint="eastAsia" w:ascii="宋体" w:hAnsi="宋体"/>
          <w:b/>
          <w:color w:val="auto"/>
          <w:sz w:val="84"/>
          <w:szCs w:val="84"/>
          <w:highlight w:val="none"/>
        </w:rPr>
        <w:t>件</w:t>
      </w: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pStyle w:val="34"/>
        <w:rPr>
          <w:color w:val="auto"/>
          <w:highlight w:val="none"/>
        </w:rPr>
      </w:pPr>
    </w:p>
    <w:p>
      <w:pPr>
        <w:spacing w:line="240" w:lineRule="exact"/>
        <w:rPr>
          <w:rFonts w:ascii="宋体" w:hAnsi="宋体"/>
          <w:b/>
          <w:color w:val="auto"/>
          <w:sz w:val="36"/>
          <w:szCs w:val="36"/>
          <w:highlight w:val="none"/>
        </w:rPr>
      </w:pPr>
    </w:p>
    <w:p>
      <w:pPr>
        <w:pStyle w:val="34"/>
        <w:rPr>
          <w:color w:val="auto"/>
          <w:highlight w:val="none"/>
        </w:rPr>
      </w:pPr>
    </w:p>
    <w:p>
      <w:pPr>
        <w:spacing w:line="240" w:lineRule="exact"/>
        <w:rPr>
          <w:rFonts w:ascii="宋体" w:hAnsi="宋体"/>
          <w:b/>
          <w:color w:val="auto"/>
          <w:sz w:val="36"/>
          <w:szCs w:val="36"/>
          <w:highlight w:val="none"/>
        </w:rPr>
      </w:pPr>
    </w:p>
    <w:p>
      <w:pPr>
        <w:pStyle w:val="34"/>
        <w:keepNext w:val="0"/>
        <w:keepLines w:val="0"/>
        <w:pageBreakBefore w:val="0"/>
        <w:widowControl w:val="0"/>
        <w:kinsoku/>
        <w:wordWrap/>
        <w:overflowPunct/>
        <w:topLinePunct w:val="0"/>
        <w:autoSpaceDE/>
        <w:autoSpaceDN/>
        <w:bidi w:val="0"/>
        <w:adjustRightInd/>
        <w:snapToGrid/>
        <w:spacing w:line="240" w:lineRule="exact"/>
        <w:textAlignment w:val="auto"/>
        <w:rPr>
          <w:color w:val="auto"/>
          <w:highlight w:val="none"/>
        </w:rPr>
      </w:pP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pacing w:val="-20"/>
          <w:sz w:val="44"/>
          <w:szCs w:val="44"/>
          <w:highlight w:val="none"/>
          <w:lang w:eastAsia="zh-CN"/>
        </w:rPr>
      </w:pPr>
      <w:r>
        <w:rPr>
          <w:rFonts w:hint="eastAsia" w:asciiTheme="majorEastAsia" w:hAnsiTheme="majorEastAsia" w:eastAsiaTheme="majorEastAsia" w:cstheme="majorEastAsia"/>
          <w:b/>
          <w:color w:val="auto"/>
          <w:spacing w:val="-20"/>
          <w:sz w:val="44"/>
          <w:szCs w:val="44"/>
          <w:highlight w:val="none"/>
          <w:lang w:eastAsia="zh-CN"/>
        </w:rPr>
        <w:t>宁海县人民法院</w:t>
      </w: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二〇二</w:t>
      </w:r>
      <w:r>
        <w:rPr>
          <w:rFonts w:hint="eastAsia" w:asciiTheme="majorEastAsia" w:hAnsiTheme="majorEastAsia" w:eastAsiaTheme="majorEastAsia" w:cstheme="majorEastAsia"/>
          <w:b/>
          <w:color w:val="auto"/>
          <w:sz w:val="44"/>
          <w:szCs w:val="44"/>
          <w:highlight w:val="none"/>
          <w:lang w:val="en-US" w:eastAsia="zh-CN"/>
        </w:rPr>
        <w:t>五</w:t>
      </w:r>
      <w:r>
        <w:rPr>
          <w:rFonts w:hint="eastAsia" w:asciiTheme="majorEastAsia" w:hAnsiTheme="majorEastAsia" w:eastAsiaTheme="majorEastAsia" w:cstheme="majorEastAsia"/>
          <w:b/>
          <w:color w:val="auto"/>
          <w:sz w:val="44"/>
          <w:szCs w:val="44"/>
          <w:highlight w:val="none"/>
        </w:rPr>
        <w:t>年</w:t>
      </w:r>
    </w:p>
    <w:p>
      <w:pPr>
        <w:pStyle w:val="12"/>
        <w:keepNext w:val="0"/>
        <w:keepLines w:val="0"/>
        <w:pageBreakBefore w:val="0"/>
        <w:widowControl w:val="0"/>
        <w:kinsoku/>
        <w:wordWrap/>
        <w:overflowPunct/>
        <w:topLinePunct w:val="0"/>
        <w:autoSpaceDE/>
        <w:autoSpaceDN/>
        <w:bidi w:val="0"/>
        <w:adjustRightInd/>
        <w:snapToGrid/>
        <w:spacing w:beforeLines="0" w:afterLines="0" w:line="800" w:lineRule="exact"/>
        <w:jc w:val="center"/>
        <w:textAlignment w:val="auto"/>
        <w:rPr>
          <w:rFonts w:hint="eastAsia" w:asciiTheme="majorEastAsia" w:hAnsiTheme="majorEastAsia" w:eastAsiaTheme="majorEastAsia" w:cstheme="majorEastAsia"/>
          <w:color w:val="auto"/>
          <w:sz w:val="44"/>
          <w:szCs w:val="44"/>
          <w:highlight w:val="none"/>
        </w:rPr>
        <w:sectPr>
          <w:pgSz w:w="11906" w:h="16838"/>
          <w:pgMar w:top="1440" w:right="1800" w:bottom="1440" w:left="1800" w:header="851" w:footer="992" w:gutter="0"/>
          <w:cols w:space="425" w:num="1"/>
          <w:docGrid w:type="lines" w:linePitch="312" w:charSpace="0"/>
        </w:sectPr>
      </w:pPr>
    </w:p>
    <w:p>
      <w:pPr>
        <w:pStyle w:val="12"/>
        <w:spacing w:beforeLines="0" w:afterLines="0" w:line="360" w:lineRule="auto"/>
        <w:jc w:val="center"/>
        <w:rPr>
          <w:rFonts w:hAnsi="宋体"/>
          <w:color w:val="auto"/>
          <w:highlight w:val="none"/>
        </w:rPr>
      </w:pPr>
    </w:p>
    <w:p>
      <w:pPr>
        <w:pStyle w:val="12"/>
        <w:spacing w:beforeLines="0" w:afterLines="0" w:line="360" w:lineRule="auto"/>
        <w:jc w:val="center"/>
        <w:rPr>
          <w:rFonts w:hAnsi="宋体"/>
          <w:color w:val="auto"/>
          <w:highlight w:val="none"/>
        </w:rPr>
      </w:pPr>
    </w:p>
    <w:p>
      <w:pPr>
        <w:pStyle w:val="12"/>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    录</w:t>
      </w:r>
    </w:p>
    <w:p>
      <w:pPr>
        <w:rPr>
          <w:rFonts w:ascii="宋体" w:hAnsi="宋体"/>
          <w:b/>
          <w:color w:val="auto"/>
          <w:sz w:val="28"/>
          <w:szCs w:val="28"/>
          <w:highlight w:val="none"/>
        </w:rPr>
      </w:pP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第一章  招标公告</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第二章  采购需求</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第三章  投标人须知</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第四章  评标办法及评标标准</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第五章  政府采购合同主要条款</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第六章  投标文件格式</w:t>
      </w:r>
    </w:p>
    <w:p>
      <w:pPr>
        <w:spacing w:line="600" w:lineRule="exact"/>
        <w:rPr>
          <w:rFonts w:ascii="宋体" w:hAnsi="宋体"/>
          <w:color w:val="auto"/>
          <w:sz w:val="32"/>
          <w:szCs w:val="32"/>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第一章  招标公告</w:t>
      </w:r>
    </w:p>
    <w:p>
      <w:pPr>
        <w:pStyle w:val="12"/>
        <w:keepNext w:val="0"/>
        <w:keepLines w:val="0"/>
        <w:pageBreakBefore w:val="0"/>
        <w:widowControl w:val="0"/>
        <w:kinsoku/>
        <w:wordWrap/>
        <w:overflowPunct/>
        <w:topLinePunct w:val="0"/>
        <w:autoSpaceDE/>
        <w:autoSpaceDN/>
        <w:bidi w:val="0"/>
        <w:adjustRightInd/>
        <w:snapToGrid w:val="0"/>
        <w:spacing w:beforeLines="0" w:afterLines="0" w:line="376" w:lineRule="exact"/>
        <w:jc w:val="center"/>
        <w:textAlignment w:val="auto"/>
        <w:outlineLvl w:val="0"/>
        <w:rPr>
          <w:rFonts w:hint="eastAsia" w:ascii="宋体" w:hAnsi="宋体" w:eastAsia="宋体" w:cs="宋体"/>
          <w:b/>
          <w:bCs/>
          <w:color w:val="auto"/>
          <w:sz w:val="21"/>
          <w:szCs w:val="21"/>
          <w:highlight w:val="none"/>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pPr>
              <w:keepNext w:val="0"/>
              <w:keepLines w:val="0"/>
              <w:pageBreakBefore w:val="0"/>
              <w:widowControl w:val="0"/>
              <w:kinsoku/>
              <w:wordWrap/>
              <w:overflowPunct/>
              <w:topLinePunct w:val="0"/>
              <w:autoSpaceDE/>
              <w:autoSpaceDN/>
              <w:bidi w:val="0"/>
              <w:adjustRightInd/>
              <w:spacing w:line="376"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宁海法院安保等综合服务项目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single"/>
              </w:rPr>
              <w:t> 政府采购云平台（www.zcygov.cn） </w:t>
            </w:r>
            <w:r>
              <w:rPr>
                <w:rFonts w:hint="eastAsia" w:ascii="宋体" w:hAnsi="宋体" w:eastAsia="宋体" w:cs="宋体"/>
                <w:color w:val="auto"/>
                <w:sz w:val="21"/>
                <w:szCs w:val="21"/>
                <w:highlight w:val="none"/>
              </w:rPr>
              <w:t>获取（下载）招标文件，并于</w:t>
            </w:r>
            <w:r>
              <w:rPr>
                <w:rFonts w:hint="eastAsia" w:ascii="宋体" w:hAnsi="宋体" w:eastAsia="宋体" w:cs="宋体"/>
                <w:color w:val="auto"/>
                <w:sz w:val="21"/>
                <w:szCs w:val="21"/>
                <w:highlight w:val="none"/>
                <w:u w:val="single"/>
                <w:lang w:eastAsia="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月  日</w:t>
            </w:r>
            <w:r>
              <w:rPr>
                <w:rFonts w:hint="eastAsia" w:ascii="宋体" w:hAnsi="宋体" w:eastAsia="宋体" w:cs="宋体"/>
                <w:color w:val="auto"/>
                <w:sz w:val="21"/>
                <w:szCs w:val="21"/>
                <w:highlight w:val="none"/>
                <w:u w:val="single"/>
              </w:rPr>
              <w:t xml:space="preserve"> 09:00 </w:t>
            </w:r>
            <w:r>
              <w:rPr>
                <w:rFonts w:hint="eastAsia" w:ascii="宋体" w:hAnsi="宋体" w:eastAsia="宋体" w:cs="宋体"/>
                <w:color w:val="auto"/>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NHZFCG-Z2025004</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w:t>
      </w:r>
      <w:bookmarkStart w:id="0" w:name="OLE_LINK2"/>
      <w:r>
        <w:rPr>
          <w:rFonts w:hint="eastAsia" w:ascii="宋体" w:hAnsi="宋体" w:eastAsia="宋体" w:cs="宋体"/>
          <w:color w:val="auto"/>
          <w:sz w:val="21"/>
          <w:szCs w:val="21"/>
          <w:highlight w:val="none"/>
          <w:lang w:val="en-US" w:eastAsia="zh-CN"/>
        </w:rPr>
        <w:t>宁海法院</w:t>
      </w:r>
      <w:bookmarkEnd w:id="0"/>
      <w:bookmarkStart w:id="1" w:name="OLE_LINK1"/>
      <w:r>
        <w:rPr>
          <w:rFonts w:hint="eastAsia" w:ascii="宋体" w:hAnsi="宋体" w:eastAsia="宋体" w:cs="宋体"/>
          <w:color w:val="auto"/>
          <w:sz w:val="21"/>
          <w:szCs w:val="21"/>
          <w:highlight w:val="none"/>
          <w:lang w:val="en-US" w:eastAsia="zh-CN"/>
        </w:rPr>
        <w:t>安保等综合服务</w:t>
      </w:r>
      <w:bookmarkEnd w:id="1"/>
      <w:r>
        <w:rPr>
          <w:rFonts w:hint="eastAsia" w:ascii="宋体" w:hAnsi="宋体" w:eastAsia="宋体" w:cs="宋体"/>
          <w:color w:val="auto"/>
          <w:sz w:val="21"/>
          <w:szCs w:val="21"/>
          <w:highlight w:val="none"/>
          <w:lang w:val="en-US" w:eastAsia="zh-CN"/>
        </w:rPr>
        <w:t>项目</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预算金额（元）：8666481</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bookmarkStart w:id="2" w:name="OLE_LINK38"/>
      <w:r>
        <w:rPr>
          <w:rFonts w:hint="eastAsia" w:ascii="宋体" w:hAnsi="宋体" w:eastAsia="宋体" w:cs="宋体"/>
          <w:color w:val="auto"/>
          <w:sz w:val="21"/>
          <w:szCs w:val="21"/>
          <w:highlight w:val="none"/>
          <w:lang w:val="en-US" w:eastAsia="zh-CN"/>
        </w:rPr>
        <w:t>8666481</w:t>
      </w:r>
      <w:bookmarkEnd w:id="2"/>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val="en-US" w:eastAsia="zh-CN"/>
        </w:rPr>
        <w:t>宁海法院安保等综合服务项目</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数量：3年</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8666481</w:t>
      </w:r>
    </w:p>
    <w:p>
      <w:pPr>
        <w:keepNext w:val="0"/>
        <w:keepLines w:val="0"/>
        <w:pageBreakBefore w:val="0"/>
        <w:widowControl w:val="0"/>
        <w:kinsoku/>
        <w:wordWrap/>
        <w:overflowPunct/>
        <w:topLinePunct w:val="0"/>
        <w:autoSpaceDE/>
        <w:autoSpaceDN/>
        <w:bidi w:val="0"/>
        <w:adjustRightInd/>
        <w:snapToGri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val="en-US" w:eastAsia="zh-CN"/>
        </w:rPr>
        <w:t>宁海法院安保等综合服务</w:t>
      </w:r>
      <w:r>
        <w:rPr>
          <w:rFonts w:hint="eastAsia" w:ascii="宋体" w:hAnsi="宋体" w:eastAsia="宋体" w:cs="宋体"/>
          <w:color w:val="auto"/>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napToGri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376"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合同履约期限：三年(具体时间以合同为准)合同一年一签，</w:t>
      </w:r>
      <w:r>
        <w:rPr>
          <w:rFonts w:hint="eastAsia" w:ascii="宋体" w:hAnsi="宋体" w:eastAsia="宋体" w:cs="宋体"/>
          <w:color w:val="auto"/>
          <w:szCs w:val="21"/>
          <w:highlight w:val="none"/>
        </w:rPr>
        <w:t>采购人根据中标人在上一年度合同履约、考核情况及财政资金审批情况等决定是否续签。</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pPr>
        <w:keepNext w:val="0"/>
        <w:keepLines w:val="0"/>
        <w:pageBreakBefore w:val="0"/>
        <w:widowControl w:val="0"/>
        <w:kinsoku/>
        <w:wordWrap/>
        <w:overflowPunct/>
        <w:topLinePunct w:val="0"/>
        <w:autoSpaceDE/>
        <w:autoSpaceDN/>
        <w:bidi w:val="0"/>
        <w:adjustRightInd/>
        <w:snapToGri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2.落实政府采购政策需满足的资格要求：本项目专门面向中小企业（监狱企业和残疾人福利性单位视同小微企业），投标人应满足《政府采购促进中小企业发展管理办法》（财库〔2020〕46号）的要求</w:t>
      </w:r>
      <w:r>
        <w:rPr>
          <w:rFonts w:hint="eastAsia" w:ascii="宋体" w:hAnsi="宋体" w:eastAsia="宋体" w:cs="宋体"/>
          <w:color w:val="auto"/>
          <w:sz w:val="21"/>
          <w:szCs w:val="21"/>
          <w:highlight w:val="none"/>
          <w:lang w:val="en-US" w:eastAsia="zh-CN"/>
        </w:rPr>
        <w:t>并提供中小企业声明函（格式见附件）</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eastAsia="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月  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rPr>
        <w:t>00:00至12:00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rPr>
        <w:t>12:00至23:59 </w:t>
      </w:r>
      <w:r>
        <w:rPr>
          <w:rFonts w:hint="eastAsia" w:ascii="宋体" w:hAnsi="宋体" w:eastAsia="宋体" w:cs="宋体"/>
          <w:color w:val="auto"/>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月  日</w:t>
      </w:r>
      <w:r>
        <w:rPr>
          <w:rFonts w:hint="eastAsia" w:ascii="宋体" w:hAnsi="宋体" w:eastAsia="宋体" w:cs="宋体"/>
          <w:color w:val="auto"/>
          <w:sz w:val="21"/>
          <w:szCs w:val="21"/>
          <w:highlight w:val="none"/>
          <w:u w:val="single"/>
        </w:rPr>
        <w:t xml:space="preserve"> 09:00</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w:t>
      </w:r>
      <w:r>
        <w:rPr>
          <w:rFonts w:hint="eastAsia" w:ascii="宋体" w:hAnsi="宋体" w:eastAsia="宋体" w:cs="宋体"/>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月  日</w:t>
      </w:r>
      <w:r>
        <w:rPr>
          <w:rFonts w:hint="eastAsia" w:ascii="宋体" w:hAnsi="宋体" w:eastAsia="宋体" w:cs="宋体"/>
          <w:color w:val="auto"/>
          <w:sz w:val="21"/>
          <w:szCs w:val="21"/>
          <w:highlight w:val="none"/>
          <w:u w:val="single"/>
        </w:rPr>
        <w:t xml:space="preserve"> 09:00</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w:t>
      </w:r>
      <w:r>
        <w:rPr>
          <w:rFonts w:hint="eastAsia" w:ascii="宋体" w:hAnsi="宋体" w:eastAsia="宋体" w:cs="宋体"/>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 《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其他事项：</w:t>
      </w:r>
    </w:p>
    <w:p>
      <w:pPr>
        <w:keepNext w:val="0"/>
        <w:keepLines w:val="0"/>
        <w:pageBreakBefore w:val="0"/>
        <w:widowControl w:val="0"/>
        <w:kinsoku/>
        <w:wordWrap/>
        <w:overflowPunct/>
        <w:topLinePunct w:val="0"/>
        <w:autoSpaceDE/>
        <w:autoSpaceDN/>
        <w:bidi w:val="0"/>
        <w:adjustRightInd/>
        <w:snapToGrid/>
        <w:spacing w:line="376"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（1）供应商需按照《浙江省政府采购供应商注册及诚信管理暂行办法》的规定在“浙江政府采购网(</w:t>
      </w:r>
      <w:r>
        <w:rPr>
          <w:rFonts w:hint="eastAsia" w:ascii="宋体" w:hAnsi="宋体" w:eastAsia="宋体" w:cs="宋体"/>
          <w:color w:val="auto"/>
          <w:sz w:val="21"/>
          <w:szCs w:val="21"/>
          <w:highlight w:val="none"/>
          <w:lang w:eastAsia="zh-CN"/>
        </w:rPr>
        <w:t>https://zfcg.czt.zj.gov.cn</w:t>
      </w:r>
      <w:r>
        <w:rPr>
          <w:rFonts w:hint="eastAsia" w:ascii="宋体" w:hAnsi="宋体" w:eastAsia="宋体" w:cs="宋体"/>
          <w:color w:val="auto"/>
          <w:sz w:val="21"/>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keepNext w:val="0"/>
        <w:keepLines w:val="0"/>
        <w:pageBreakBefore w:val="0"/>
        <w:widowControl w:val="0"/>
        <w:kinsoku/>
        <w:wordWrap/>
        <w:overflowPunct/>
        <w:topLinePunct w:val="0"/>
        <w:autoSpaceDE/>
        <w:autoSpaceDN/>
        <w:bidi w:val="0"/>
        <w:adjustRightInd/>
        <w:snapToGri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（3）供应商如提供电子备份投标文件的，应于</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月  日</w:t>
      </w:r>
      <w:r>
        <w:rPr>
          <w:rFonts w:hint="eastAsia" w:ascii="宋体" w:hAnsi="宋体" w:eastAsia="宋体" w:cs="宋体"/>
          <w:color w:val="auto"/>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宋体" w:hAnsi="宋体" w:eastAsia="宋体" w:cs="宋体"/>
          <w:color w:val="auto"/>
          <w:sz w:val="21"/>
          <w:szCs w:val="21"/>
          <w:highlight w:val="none"/>
          <w:lang w:eastAsia="zh-CN"/>
        </w:rPr>
        <w:t>宁海县政务服务中心</w:t>
      </w:r>
      <w:r>
        <w:rPr>
          <w:rFonts w:hint="eastAsia" w:ascii="宋体" w:hAnsi="宋体" w:eastAsia="宋体" w:cs="宋体"/>
          <w:color w:val="auto"/>
          <w:sz w:val="21"/>
          <w:szCs w:val="21"/>
          <w:highlight w:val="none"/>
        </w:rPr>
        <w:t>将拒签并退回。如想查询快递签收情况，请告知快递单号（地址：宁海县桃源街道金水东路5号五楼501室，收件人：</w:t>
      </w:r>
      <w:r>
        <w:rPr>
          <w:rFonts w:hint="eastAsia" w:ascii="宋体" w:hAnsi="宋体" w:eastAsia="宋体" w:cs="宋体"/>
          <w:color w:val="auto"/>
          <w:sz w:val="21"/>
          <w:szCs w:val="21"/>
          <w:highlight w:val="none"/>
          <w:lang w:val="en-US" w:eastAsia="zh-CN"/>
        </w:rPr>
        <w:t>高凤</w:t>
      </w:r>
      <w:r>
        <w:rPr>
          <w:rFonts w:hint="eastAsia" w:ascii="宋体" w:hAnsi="宋体" w:eastAsia="宋体" w:cs="宋体"/>
          <w:color w:val="auto"/>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（4）采购代理机构在招标文件规定的时间通过政府采购云平台组织开标、开启投标文件，所有供应商均应准时在线参加。开标时间后30分钟内（</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月  日</w:t>
      </w:r>
      <w:r>
        <w:rPr>
          <w:rFonts w:hint="eastAsia" w:ascii="宋体" w:hAnsi="宋体" w:eastAsia="宋体" w:cs="宋体"/>
          <w:color w:val="auto"/>
          <w:sz w:val="21"/>
          <w:szCs w:val="21"/>
          <w:highlight w:val="none"/>
        </w:rPr>
        <w:t>9点30分前）供应商可以登录政府采购云平台，用“项目采购-开标评标”功能解密投标文件。若供应商在规定时间内（</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月  日</w:t>
      </w:r>
      <w:r>
        <w:rPr>
          <w:rFonts w:hint="eastAsia" w:ascii="宋体" w:hAnsi="宋体" w:eastAsia="宋体" w:cs="宋体"/>
          <w:color w:val="auto"/>
          <w:sz w:val="21"/>
          <w:szCs w:val="21"/>
          <w:highlight w:val="none"/>
        </w:rPr>
        <w:t>9点30分前）无法解密或解密失败，可使用电子备份投标文件进行评标，若供应商电子投标文件和电子备份投标文件均无法解密或解密失败，视为供应商放弃投标。</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宁海县人民法院</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宁海县中山东路121号</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lang w:eastAsia="zh-CN"/>
        </w:rPr>
        <w:t>王文波</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lang w:eastAsia="zh-CN"/>
        </w:rPr>
        <w:t>0574-</w:t>
      </w:r>
      <w:bookmarkStart w:id="3" w:name="OLE_LINK4"/>
      <w:r>
        <w:rPr>
          <w:rFonts w:hint="eastAsia" w:ascii="宋体" w:hAnsi="宋体" w:eastAsia="宋体" w:cs="宋体"/>
          <w:color w:val="auto"/>
          <w:sz w:val="21"/>
          <w:szCs w:val="21"/>
          <w:highlight w:val="none"/>
          <w:u w:val="single"/>
          <w:lang w:eastAsia="zh-CN"/>
        </w:rPr>
        <w:t>59979033</w:t>
      </w:r>
      <w:bookmarkEnd w:id="3"/>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u w:val="single"/>
          <w:lang w:eastAsia="zh-CN"/>
        </w:rPr>
        <w:t>江晓晓</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微软雅黑" w:cs="宋体"/>
          <w:color w:val="auto"/>
          <w:sz w:val="21"/>
          <w:szCs w:val="21"/>
          <w:highlight w:val="none"/>
          <w:u w:val="single"/>
          <w:lang w:val="en-US" w:eastAsia="zh-CN"/>
        </w:rPr>
      </w:pPr>
      <w:r>
        <w:rPr>
          <w:rFonts w:hint="eastAsia" w:ascii="宋体" w:hAnsi="宋体" w:eastAsia="宋体" w:cs="宋体"/>
          <w:color w:val="auto"/>
          <w:sz w:val="21"/>
          <w:szCs w:val="21"/>
          <w:highlight w:val="none"/>
        </w:rPr>
        <w:t>质疑联系方式：</w:t>
      </w:r>
      <w:bookmarkStart w:id="4" w:name="OLE_LINK3"/>
      <w:r>
        <w:rPr>
          <w:rFonts w:hint="eastAsia" w:ascii="宋体" w:hAnsi="宋体" w:eastAsia="宋体" w:cs="宋体"/>
          <w:color w:val="auto"/>
          <w:sz w:val="21"/>
          <w:szCs w:val="21"/>
          <w:highlight w:val="none"/>
          <w:u w:val="single"/>
          <w:lang w:eastAsia="zh-CN"/>
        </w:rPr>
        <w:t>0574-</w:t>
      </w:r>
      <w:bookmarkEnd w:id="4"/>
      <w:r>
        <w:rPr>
          <w:rFonts w:hint="eastAsia" w:ascii="宋体" w:hAnsi="宋体" w:eastAsia="宋体" w:cs="宋体"/>
          <w:color w:val="auto"/>
          <w:sz w:val="21"/>
          <w:szCs w:val="21"/>
          <w:highlight w:val="none"/>
          <w:u w:val="single"/>
          <w:lang w:eastAsia="zh-CN"/>
        </w:rPr>
        <w:t>5997903</w:t>
      </w:r>
      <w:r>
        <w:rPr>
          <w:rFonts w:hint="eastAsia" w:ascii="宋体" w:hAnsi="宋体" w:eastAsia="宋体" w:cs="宋体"/>
          <w:color w:val="auto"/>
          <w:sz w:val="21"/>
          <w:szCs w:val="21"/>
          <w:highlight w:val="none"/>
          <w:u w:val="single"/>
          <w:lang w:val="en-US" w:eastAsia="zh-CN"/>
        </w:rPr>
        <w:t>2</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0574-65131831</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lang w:val="en-US" w:eastAsia="zh-CN"/>
        </w:rPr>
        <w:t>高凤</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0574-65131832</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u w:val="single"/>
          <w:lang w:val="en-US" w:eastAsia="zh-CN"/>
        </w:rPr>
        <w:t>应晓燕</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宁海县跃龙街道桃源中路218号</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0574-65265668</w:t>
      </w:r>
    </w:p>
    <w:p>
      <w:pPr>
        <w:pStyle w:val="12"/>
        <w:keepNext w:val="0"/>
        <w:keepLines w:val="0"/>
        <w:pageBreakBefore w:val="0"/>
        <w:widowControl w:val="0"/>
        <w:kinsoku/>
        <w:wordWrap/>
        <w:overflowPunct/>
        <w:topLinePunct w:val="0"/>
        <w:autoSpaceDE/>
        <w:autoSpaceDN/>
        <w:bidi w:val="0"/>
        <w:adjustRightInd/>
        <w:spacing w:beforeLines="0" w:afterLines="0" w:line="37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2"/>
        <w:keepNext w:val="0"/>
        <w:keepLines w:val="0"/>
        <w:pageBreakBefore w:val="0"/>
        <w:widowControl w:val="0"/>
        <w:kinsoku/>
        <w:wordWrap/>
        <w:overflowPunct/>
        <w:topLinePunct w:val="0"/>
        <w:autoSpaceDE/>
        <w:autoSpaceDN/>
        <w:bidi w:val="0"/>
        <w:adjustRightInd/>
        <w:spacing w:beforeLines="0" w:afterLines="0" w:line="376"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 xml:space="preserve"> CA问题联系电话（人工）：汇信CA 400-888-4636；天谷CA 400-087-8198。</w:t>
      </w:r>
    </w:p>
    <w:p>
      <w:pPr>
        <w:pStyle w:val="12"/>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第二章  采购需求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本次项目对宁海法院安保等综合服务进行招标，主要范围包括院机关、各人民法庭、交通法庭。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要求投标人充分理解本项目的特点，把握法院相关工作的特殊要求，以采购人的满意度为服务标准，制定有针对性的科学合理的安保等综合服务的实施方案，并按投标响应和承诺进行实施运作，定期、不定期接受</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的监督、考核。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本项目将由一家单位独立承包，实行统一管理，综合服务，不得分包经营。项目实行总负责制。要求投标人承诺派出的核心服务团队成员到岗率达100%，并接受采购人的考核。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要求服务人员岗位配置合理，统筹使用；服务规范、工作责任心强，业务技能扎实；仪容整洁、仪表端正、礼仪规范；要求工作人员个人素质高,保密意识强，遵纪守法，无不良嗜好，</w:t>
      </w:r>
      <w:bookmarkStart w:id="5" w:name="OLE_LINK50"/>
      <w:r>
        <w:rPr>
          <w:rFonts w:hint="eastAsia" w:ascii="宋体" w:hAnsi="宋体" w:cs="宋体"/>
          <w:color w:val="auto"/>
          <w:sz w:val="21"/>
          <w:szCs w:val="21"/>
          <w:highlight w:val="none"/>
          <w:lang w:val="en-US" w:eastAsia="zh-CN"/>
        </w:rPr>
        <w:t>岗位</w:t>
      </w:r>
      <w:r>
        <w:rPr>
          <w:rFonts w:hint="eastAsia" w:ascii="宋体" w:hAnsi="宋体" w:eastAsia="宋体" w:cs="宋体"/>
          <w:color w:val="auto"/>
          <w:sz w:val="21"/>
          <w:szCs w:val="21"/>
          <w:highlight w:val="none"/>
          <w:lang w:val="en-US" w:eastAsia="zh-CN"/>
        </w:rPr>
        <w:t>形象佳</w:t>
      </w:r>
      <w:bookmarkEnd w:id="5"/>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本项目主要包括：</w:t>
      </w:r>
    </w:p>
    <w:p>
      <w:pPr>
        <w:keepNext w:val="0"/>
        <w:keepLines w:val="0"/>
        <w:pageBreakBefore w:val="0"/>
        <w:widowControl w:val="0"/>
        <w:numPr>
          <w:ilvl w:val="0"/>
          <w:numId w:val="0"/>
        </w:numPr>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1.院机关及各派出点的安保服务；</w:t>
      </w:r>
    </w:p>
    <w:p>
      <w:pPr>
        <w:keepNext w:val="0"/>
        <w:keepLines w:val="0"/>
        <w:pageBreakBefore w:val="0"/>
        <w:widowControl w:val="0"/>
        <w:numPr>
          <w:ilvl w:val="0"/>
          <w:numId w:val="0"/>
        </w:numPr>
        <w:kinsoku/>
        <w:wordWrap/>
        <w:overflowPunct/>
        <w:topLinePunct w:val="0"/>
        <w:autoSpaceDE/>
        <w:autoSpaceDN/>
        <w:bidi w:val="0"/>
        <w:snapToGrid/>
        <w:spacing w:line="400" w:lineRule="exact"/>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2.保洁、绿化、维修等综合服务；</w:t>
      </w:r>
    </w:p>
    <w:p>
      <w:pPr>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3.各人民法庭等外派机构的安保、保洁等服务；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本项目采用管理服务方式为“清包”。清包的费用包括但不限于：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1.人工费用(工资、福利、社保、奖金、津贴等)；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2.综合费用（行政办公费用、服装费、培训费、食宿与交通费等）；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3.管理费用；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4.税金；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5.工具、器材以及保洁耗材费用；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6.其他相关费用。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采购人应承担的费用：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1.能耗费用：包括水、电费用；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2.规定费用：有关管理部门收取的检测、测试费用，以及垃圾清运等费用；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3.其他相关费用。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总体目标：总体管理满意率高；严格执行安保、安检相关规定要求，当事人安全感高；房屋及设备、设施完好；维修及时、急修响应率100%；维修工程质量合格；绿化完好、整洁；清洁管理无盲点，管理服务范围保持环境整洁，有效保洁率高；防疫消杀及时有效，严格落实相关防疫政策措施；投诉处理和回访率应达到100%；道路畅通、停车管理整齐有序。 </w:t>
      </w:r>
    </w:p>
    <w:p>
      <w:pPr>
        <w:keepNext w:val="0"/>
        <w:keepLines w:val="0"/>
        <w:pageBreakBefore w:val="0"/>
        <w:widowControl w:val="0"/>
        <w:kinsoku/>
        <w:wordWrap/>
        <w:overflowPunct/>
        <w:topLinePunct w:val="0"/>
        <w:autoSpaceDE/>
        <w:autoSpaceDN/>
        <w:bidi w:val="0"/>
        <w:snapToGrid/>
        <w:spacing w:line="400" w:lineRule="exact"/>
        <w:ind w:left="0" w:leftChars="0"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投标人应对采购人本次项目的采购需求，服务要求等充分调研理解，并作出无推诿承诺。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二、服务标准及要求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（一）总体要求</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审判办公区域是集审判、办公、会议于一体的机关办公重地，是国家审判机关，对安全性、保密性、规范性的要求高。要求中标人提供高资质、高服务、高标准、高质量的综合管理服务。中标人应根据国家有关法律、法规，对采购人的办公区域进行维护和管理，保障办公区域的合理使用，营造和保持整洁、文明、安全、正常的工作环境。</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2.中标人对所属聘用人员须按国家、省、市、区的劳动法律、法规、政策办理各种用工手续。</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3.采购人对所委托的综合管理方案、组织机构、人员录用、建立的各项规章制度有审核权，中标人在实施前要报采购人审批。</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4.中标人录用的员工须严格审查，保证录用人员没有刑事犯罪记录，身体健康，并严格执行当地最低工资标准的通知规定及有关职工劳动保障规定。</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信息安全与信息保密：采购人作为国家审判机关，在工作上有严格的保密要求，基于本项目采购服务范围包含了会务、室内保洁等服务内容，为严防发生泄密事件，中标人在工作中要严格落实好信息安全及信息保密管理等措施。</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节能减排管理：近年来国家大力开展“节约型公共机构示范单位”的活动，绿色、低碳、环保已成为公共机构的要求。中标人应配合采购人做好节约型公共机构示范单位、垃圾分类师范单位等创建工作。做好节能降耗措施，提出节能减排的合理化建议，做好办公大楼能源消耗和数据统计、分析等节能减排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服务人员要遵守国家法律法规，遵守采购人的各项规章制度，遵守社会公德，遵守职业操守。须政治思想可靠、身体健康、业务技术强、五官端正形象好、勤奋工作、责任心强、文明礼貌、言行规范、服务意识强。</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8.服务人员需经严格培训，持合格资格证上岗。要有统一着装，佩带统一工号标志。</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9.服务人员按采购人的要求，遵守各项保密制度。</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10.根据采购人要求提供的产品与服务安全可靠。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）安保服务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1.全天24小时在服务区域内开展安全保卫服务，对服务区域采取防范措施。通过巡逻、安全检查、报警监控，查验并登记出入人员证件、车辆和物品等手段，在服务区域内对</w:t>
      </w:r>
      <w:r>
        <w:rPr>
          <w:rFonts w:hint="eastAsia" w:ascii="宋体" w:hAnsi="宋体" w:cs="宋体"/>
          <w:color w:val="auto"/>
          <w:sz w:val="21"/>
          <w:szCs w:val="21"/>
          <w:highlight w:val="none"/>
          <w:lang w:val="en-US" w:eastAsia="zh-CN"/>
        </w:rPr>
        <w:t>外来人员</w:t>
      </w:r>
      <w:r>
        <w:rPr>
          <w:rFonts w:hint="eastAsia" w:ascii="宋体" w:hAnsi="宋体" w:eastAsia="宋体" w:cs="宋体"/>
          <w:color w:val="auto"/>
          <w:sz w:val="21"/>
          <w:szCs w:val="21"/>
          <w:highlight w:val="none"/>
          <w:lang w:val="en-US" w:eastAsia="zh-CN"/>
        </w:rPr>
        <w:t>及其所携带物品进行安全检查，维护公共秩序。确保服务区域无盗抢治安案件发生，无纵火、爆炸、投毒等恶性案件发生，无消防责任事故发生，无群众混乱踩踏、寻衅滋事、大声喧哗等情况发生。</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2.全天24小时车辆管理工作(不包含对车辆性能的检查等涉及技术性工作)，保证车辆停放</w:t>
      </w:r>
      <w:r>
        <w:rPr>
          <w:rFonts w:hint="eastAsia" w:ascii="宋体" w:hAnsi="宋体" w:cs="宋体"/>
          <w:color w:val="auto"/>
          <w:sz w:val="21"/>
          <w:szCs w:val="21"/>
          <w:highlight w:val="none"/>
          <w:lang w:val="en-US" w:eastAsia="zh-CN"/>
        </w:rPr>
        <w:t>有序</w:t>
      </w:r>
      <w:r>
        <w:rPr>
          <w:rFonts w:hint="eastAsia" w:ascii="宋体" w:hAnsi="宋体" w:eastAsia="宋体" w:cs="宋体"/>
          <w:color w:val="auto"/>
          <w:sz w:val="21"/>
          <w:szCs w:val="21"/>
          <w:highlight w:val="none"/>
          <w:lang w:val="en-US" w:eastAsia="zh-CN"/>
        </w:rPr>
        <w:t>安全，严格执行采购人停车场管理规定，主要指对在库车辆进行看护、巡查、登记；对车辆出入进行查验、登记；对外来车辆的管理(指引驾驶员将车停放到位)。协助工程管理人员做好设备设施巡检工作。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3.根据采购人要求处置各类安保突发事件或执行特别安保任务。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4.根据采购人要求完成服务区域内其他安保服务工作。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熟练运用监视控制系统，充分发挥办公楼的技防优势，实行24小时全天候对重点部位、监控点进行监视及录像工作。加强对出入口和周边环境的监控，严防外来人员违规直接进入办公楼，密切监视可疑人员出入动态。</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6.服务区域内发生的侵犯工作人员事件或者出现扰乱采购人正常工作秩序情况时，秩序维护人员应当予以制止和保护大院工作人员，并采取救助行动。</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7.协助采购人组织各类活动的开展及临时接待任务的安全保卫工作，随时提供人力支援。根据采购人要求，按照特殊敏感时期保卫方案，实施对办公楼的安全、防护、保卫工作。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8.负责办公区内重大突发情况和事（案）件的报警及救助工作；对突发事件有应急处理计划和措施，必要时及时报警并报采购人主管部门和业务指导部门，防止事态进一步恶化，协助保护现场。</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9.对大楼内出现争吵、身体接触等激烈行为，要及时制止，防止事态进一步恶化，对情节严重的及时上报采购人法警大队和有关职能部门（公安局派出所）处理。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10.监督消防维保单位检查有关消防设施，协助处理突发事件（如：火灾、水灾、自然灾害、危害公共安全人为事件等）及其他事项。</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11.协助采购人对审判会议场地的布置及物品的搬运工作。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12.协助有关部门妥善处理群众上访事件。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）卫生清洁服务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负责采购人采购范围内广场、道路；大楼外墙；铝板幕墙；冲孔铝板（铝质天花）；石膏板天花；花岗石墙地面；地毯；室内办公场所；诉讼服务中心；审判法庭；调解室；会议室；公共部位（卫生间及厕具、楼梯、电梯、走廊、走火通道等）；停车场；各种设备、设施；附属楼等的日常卫生清洁。以及采购人临时要求的突击清洁任务，如清洁会场、大扫除等，随时保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（1）关键办公区域、指定办公室的清洁卫生由中标人安排专人跟进和监督质量。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（2）外墙清洗、花岗石墙地面养护、区法院大堂晶面处理</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专业项目可外包由专业清洁公司负责。</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2.负责门前三包，</w:t>
      </w:r>
      <w:r>
        <w:rPr>
          <w:rFonts w:hint="eastAsia" w:ascii="宋体" w:hAnsi="宋体" w:cs="宋体"/>
          <w:color w:val="auto"/>
          <w:sz w:val="21"/>
          <w:szCs w:val="21"/>
          <w:highlight w:val="none"/>
          <w:lang w:val="en-US" w:eastAsia="zh-CN"/>
        </w:rPr>
        <w:t>定点</w:t>
      </w:r>
      <w:r>
        <w:rPr>
          <w:rFonts w:hint="eastAsia" w:ascii="宋体" w:hAnsi="宋体" w:eastAsia="宋体" w:cs="宋体"/>
          <w:color w:val="auto"/>
          <w:sz w:val="21"/>
          <w:szCs w:val="21"/>
          <w:highlight w:val="none"/>
          <w:lang w:val="en-US" w:eastAsia="zh-CN"/>
        </w:rPr>
        <w:t>定期消毒，除“四害”， 灭蚊、灭蝇、灭老鼠、灭蟑螂工作。协助采购人与辖内街道爱卫工作的商洽和落实，并按采购人的要求做好爱卫工作有关资料的建档工作。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3.负责服务范围外围的“三包”工作。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4.负责服务范围的垃圾分类收集和清运，做到日产日清。</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5.法院内大堂、公共通道、法庭等公共场所地面定期打腊或做晶面处理、打磨保养。</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6.定期清理大院内沟渠，保证污水排放通畅，定期清理化粪池。</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7.中标人负责卫生间各项日常用品（含洗手液、除臭丸、喷香剂、檀香等）的管理和配置。</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8.根据采购人要求完成服务区域内其它清洁服务工作。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）配套设备设施维护服务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负责服务区域内的各类设备设施的日常管理和简单维修工作。建立对各类设备设施进行全面检测的工作制度，规范检测行为，提高检测效率，保证检测效果。建立设备设施管理紧急事件处理规程(制度)，全面规范设备发生紧急事件时，各类服务工作人员的职责和义务，提高处理紧急情况的效率以确保采购人的财产和人身安全。当设备设施出现故障、损坏部位或存在危险隐患时要及时进行保护性修复或整改工作；在接到急修任务时应立即到现场处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2.办公大楼内设备（包括：电梯、消防、</w:t>
      </w:r>
      <w:r>
        <w:rPr>
          <w:rFonts w:hint="eastAsia" w:ascii="宋体" w:hAnsi="宋体" w:cs="宋体"/>
          <w:color w:val="auto"/>
          <w:sz w:val="21"/>
          <w:szCs w:val="21"/>
          <w:highlight w:val="none"/>
          <w:lang w:val="en-US" w:eastAsia="zh-CN"/>
        </w:rPr>
        <w:t>发电机、</w:t>
      </w:r>
      <w:r>
        <w:rPr>
          <w:rFonts w:hint="eastAsia" w:ascii="宋体" w:hAnsi="宋体" w:eastAsia="宋体" w:cs="宋体"/>
          <w:color w:val="auto"/>
          <w:sz w:val="21"/>
          <w:szCs w:val="21"/>
          <w:highlight w:val="none"/>
          <w:lang w:val="en-US" w:eastAsia="zh-CN"/>
        </w:rPr>
        <w:t>停车位、中央空调、直饮水机等）必须聘请具有相应资格的专业公司进行维护保养，并跟进、监督相关保养公司的服务质量，及时向采购人反馈。</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3.建立设备管理维修档案。</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4.在全面巡查的基础上，严格按照设备运行操作管理规范，加强对用电系统和消防系统的各类设备设施进行重点管理。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5.在全面巡查、重点管理的基础上，完成对安防系统、安检系统设备和用具、会议系统设备、触摸屏查询设备、空调设备设施、高压配电设备设施、数字化法庭、视频会议室设备、LED 发布系统、电梯、备用发电机及其他设备设施进行日常管理工作，确保上述设备设施的正常运行。</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6.在全面巡查、重点管理的基础上，完成对大楼各类给排水系统、低压用(配)电系统、安防门设施及其它设备设施进行日常管理和维修工作，以确保上述各类设备设施的正常运行。</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7.根据设备运行规范的要求加强对使用人安全用电管理。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8.加强对服务区域内的所有配套设备设施的管理，在全面巡查的基础上，做好清洁维护工作，及时对易(已)生锈的金属质物件进行除锈上漆的工作。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遇到采购人各业务部门需要在特定时间保证供电、供水等特殊情况时，应妥善安排工作，满足其要求；遇火灾、地震、水灾等灾害或其它突发事件时，应采取切断电源等有关抢险、救援措施：协助供电部门做好安全用电的有关工作、协助其他部门做好各类设备的管理维修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10.完成更换国旗、节假日庆典装饰、会议会场布置、重大活动舞台搭建等各类仪式布置工作。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11.负责法院宿舍物品、线路、灯泡的维修、保养工作。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12.根据采购人要求完成服务区域内其它设备设施检查、保养、维修等服务工作。</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13.协助采购人对办公区域进行线路整改、改造等管理工作。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）消防管理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1.负责服务区域内的全部消防设施、设备的使用和管理及大楼火灾的报警和救助工作，并制定较为完善的消防应急方案。</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认真贯彻“安全第一，预防为主”的方针，设立消防组织机构、职责、规章制度和工作程序，落实各级消防责任人。全面熟练掌握消防监控报警、干式灭火（气体）、湿式灭火（喷淋）、防排烟及消防栓五个系统的作用、位置和操作方法。</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按公共建筑消防管理规定，负责对消防设备和设施的保养，定期和不定期进行全面检查，确保消防设备和设施随时处于正常工作状态。中标人须按照采购人的要求监督配合并积极联系、协调消防系统专业承保公司的各项维修保养工作，严格按照保养合同进行设备保养，做好消防维保工作记录，并将记录资料和检测结果提供给采购人备案。</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4.办公区域和公共区域配装的各种灭火器材、防毒面具、烟感、喷淋设施以及楼梯、走道和出口的安全疏散指示、应急照明、通风设施等由中标人负责日常检查、维修。</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5.建立义务消防队伍，出现消防事故2分钟内应到达现场，进行必要的扑救。同时中标人有可调配的支援力量。</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每周进行一次全部消防设备、设施巡视检查工作，并做好记录，及时整改火险隐患，监护动火和易燃易爆用品存放情况，保持消防区及楼梯走道和出口畅通。重大节日前配合采购人进行节日消防安全大检查，并按采购人要求及时进行整改。</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7.做好消防知识的培训和宣传，每年组织大楼综合消防应急演练不少于两次。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8.做好其它防火灭火工作及消防配套设施的维护。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）会务保障服务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1.负责保障院内各种会议会场的布置，桌、椅、凳、茶杯、烟灰缸、毛巾、纸巾、麦克风等物品的摆放，设备的保养和清洁。</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2.配合或提醒监控音频操作人员按时调试音响、音频、视频、麦克风等设备。</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3.讲文明、讲礼仪、讲礼貌，诚信待客、微笑服务。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4.着装要按季节穿着，整洁、大方、得体，不得穿超短裙或不雅服装。</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5.负责会议场内的设备物品的保管工作，物品丢失要按价赔偿。</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6.要遵守会场纪律、不准打听、过问会议有关事项，不该看的不看，不得向外泄露会议内容，严格保守秘密。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7.机关内部书报刊、信件等非涉密文件类资料的传递。</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8.根据采购人要求完成服务区域内其它会务接待服务工作。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 xml:space="preserve">）保密管理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1.中标人应指派专人负责综合服务保密管理工作，及时研究、处理综合服务保密工作中的问题。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2.中标人应针对综合服务制定保密管理制度，制度涵盖人员管理、场所管理、责任追究等内容。</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3.中标人发现综合服务保密管理中存在隐患和问题，应当立即通知采购方。</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4.中标人应当对参与本单位综合服务的员工进行保密培训和教育，上岗前培训不少于2 小时，对在岗员工每年培训时间不少于24小时。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5.中标人签订合同之日起 15 天内提供管理人员的身份资料，管理人员发生变动的，应当及时进行书面说明并提供新任职人员的资料。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6.中标人应当核实因工作需要进入办案场所的综合服务企业员工的真实身份、保留能够证实其身份的有关材料，所有员工必须进行政审。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7.中标人员工进入采购方办案场所应当佩戴工作证（卡、牌）等表明员工身份；未经</w:t>
      </w:r>
      <w:bookmarkStart w:id="6" w:name="OLE_LINK15"/>
      <w:r>
        <w:rPr>
          <w:rFonts w:hint="eastAsia" w:ascii="宋体" w:hAnsi="宋体" w:eastAsia="宋体" w:cs="宋体"/>
          <w:color w:val="auto"/>
          <w:sz w:val="21"/>
          <w:szCs w:val="21"/>
          <w:highlight w:val="none"/>
          <w:lang w:val="en-US" w:eastAsia="zh-CN"/>
        </w:rPr>
        <w:t>采购方</w:t>
      </w:r>
      <w:bookmarkEnd w:id="6"/>
      <w:r>
        <w:rPr>
          <w:rFonts w:hint="eastAsia" w:ascii="宋体" w:hAnsi="宋体" w:eastAsia="宋体" w:cs="宋体"/>
          <w:color w:val="auto"/>
          <w:sz w:val="21"/>
          <w:szCs w:val="21"/>
          <w:highlight w:val="none"/>
          <w:lang w:val="en-US" w:eastAsia="zh-CN"/>
        </w:rPr>
        <w:t>允许并经过符合保密规定的程序，中标人员工不得进入</w:t>
      </w:r>
      <w:bookmarkStart w:id="7" w:name="OLE_LINK49"/>
      <w:r>
        <w:rPr>
          <w:rFonts w:hint="eastAsia" w:ascii="宋体" w:hAnsi="宋体" w:eastAsia="宋体" w:cs="宋体"/>
          <w:color w:val="auto"/>
          <w:sz w:val="21"/>
          <w:szCs w:val="21"/>
          <w:highlight w:val="none"/>
          <w:lang w:val="en-US" w:eastAsia="zh-CN"/>
        </w:rPr>
        <w:t>保密要害部门</w:t>
      </w:r>
      <w:bookmarkEnd w:id="7"/>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8.中标人保证因工作需要进入办案场所的综合服务企业员工相对固定，并将有关员工的姓名及照片提供给采购方，公布于办案场所的显著位置。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9.中标人员工不得参与采购方涉密工作、会议、活动，不得以任何形式接触，知悉采购方国家秘密。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10.中标人员工在工作过程中不得擅自查看采购方办案场所内的有关文件、资料，不得使用办案场所内的有关设施、设备。</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11.中标人员工进入</w:t>
      </w:r>
      <w:r>
        <w:rPr>
          <w:rFonts w:hint="eastAsia" w:ascii="宋体"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 xml:space="preserve">办案场所不得进行录音、录像，经采购方允许进入保密要害部门、不得携带手机。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12.中标人应当针对综合服务保密管理工作进行自查、整改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每半年至少开展一次。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13.采购方对中标人实施保密检查时，中标人应当积极配合，提供有关材料。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14.中标人必须指派一名管理人员负责监督各处室保密纸的回收交由具有相应资质单位进行处理，并做好相关记录。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）其他事项</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1.按采购人要求做好服务区域范围内防范各类传染病（非典及新型冠状病毒等类似疫情）的各项防疫及应急工作。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2.负责服务区域范围内防范自然灾害（台风、洪水等）及应急工作。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3.根据采购人的要求和指引，协助完成进出服务区域范围内物品的搬卸任务；协助采购人服务区域范围内废旧物品的处置。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自签约之日起，根据采购人的要求，中标人需提前一周派驻相关管理人员和技术人员，协助采购人跟踪和熟悉服务区域情况和各种设备的现状，掌握各种设备和管理要求和操作要求；掌握相关技术资料，协助做好各种设备接管交接工作。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5.负责服务区域管理服务项目其它相关工作及采购人提出的其他管理工作、任务和要求。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三、具体服务工作要求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bookmarkStart w:id="8" w:name="OLE_LINK12"/>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w:t>
      </w:r>
      <w:bookmarkEnd w:id="8"/>
      <w:r>
        <w:rPr>
          <w:rFonts w:hint="eastAsia" w:ascii="宋体" w:hAnsi="宋体" w:cs="宋体"/>
          <w:b/>
          <w:bCs/>
          <w:color w:val="auto"/>
          <w:sz w:val="21"/>
          <w:szCs w:val="21"/>
          <w:highlight w:val="none"/>
          <w:lang w:val="en-US" w:eastAsia="zh-CN"/>
        </w:rPr>
        <w:t>安保</w:t>
      </w:r>
      <w:r>
        <w:rPr>
          <w:rFonts w:hint="eastAsia" w:ascii="宋体" w:hAnsi="宋体" w:eastAsia="宋体" w:cs="宋体"/>
          <w:b/>
          <w:bCs/>
          <w:color w:val="auto"/>
          <w:sz w:val="21"/>
          <w:szCs w:val="21"/>
          <w:highlight w:val="none"/>
          <w:lang w:val="en-US" w:eastAsia="zh-CN"/>
        </w:rPr>
        <w:t xml:space="preserve">服务工作要求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1.保安员服务期间，严禁发生下列行为：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bookmarkStart w:id="9" w:name="OLE_LINK8"/>
      <w:r>
        <w:rPr>
          <w:rFonts w:hint="eastAsia" w:ascii="宋体" w:hAnsi="宋体" w:eastAsia="宋体" w:cs="宋体"/>
          <w:color w:val="auto"/>
          <w:kern w:val="0"/>
          <w:sz w:val="21"/>
          <w:szCs w:val="21"/>
          <w:highlight w:val="none"/>
          <w:lang w:val="en-US" w:eastAsia="zh-CN" w:bidi="ar-SA"/>
        </w:rPr>
        <w:t>(1)</w:t>
      </w:r>
      <w:bookmarkEnd w:id="9"/>
      <w:r>
        <w:rPr>
          <w:rFonts w:hint="eastAsia" w:ascii="宋体" w:hAnsi="宋体" w:eastAsia="宋体" w:cs="宋体"/>
          <w:color w:val="auto"/>
          <w:kern w:val="0"/>
          <w:sz w:val="21"/>
          <w:szCs w:val="21"/>
          <w:highlight w:val="none"/>
          <w:lang w:val="en-US" w:eastAsia="zh-CN" w:bidi="ar-SA"/>
        </w:rPr>
        <w:t xml:space="preserve">擅离职守；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(2)监守自盗行为；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(3)限制他人人身自由、搜查他人身体或者侮辱、殴打他人；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(4)扣押、没收他人证件、财物；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(5)阻碍依法执行公务；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(6)参与追索债务、采用暴力或者以暴力相威胁的手段处置纠纷；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(7)删改或者扩散保安服务中形成的监控影像资料、报警记录；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(8)侵犯个人隐私或者泄露在保安服务中获知的国家秘密、商业秘密以及采购人明确要求保密的信息；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(9)擅自带无关人员进入综合服务区域，擅自带人在值班室或采购人其它区域留宿。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2.保安员在岗期间应切实履行以下职责，严格遵守下列规定：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(1)保安员须遵守国家的法律法规、遵守采购人的各项规章制度</w:t>
      </w:r>
      <w:r>
        <w:rPr>
          <w:rFonts w:hint="eastAsia" w:ascii="宋体" w:hAnsi="宋体" w:cs="宋体"/>
          <w:color w:val="auto"/>
          <w:kern w:val="0"/>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)令行禁止。</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)工作中遇到紧急、突发事件或发现其他异常情况及时向主管部门报告；发现违法行为或其他不安全隐患应采取必要的阻扰措施予以制止、排除险情、查明情况并及时报告，确保采购人的安全。</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严格按采购人要求完成工作记录任务。内容填写应详尽、真实，严禁弄虚作假，应使用规范字、字迹清晰，不得随意涂改登记资料。登记的内容应当清晰、全面。对案件当事人、来访人的身份证明文件进行登记时应记录证件名称、姓名、证号、发证机关；对传票进行登记时应记录开庭地址、出庭人姓名、经办法官或书记员；对其他法律文件资料、物品进行登记时应记录名称、交接时间、交接人、价值及能反映物</w:t>
      </w:r>
      <w:r>
        <w:rPr>
          <w:rFonts w:hint="eastAsia" w:ascii="宋体" w:hAnsi="宋体" w:cs="宋体"/>
          <w:color w:val="auto"/>
          <w:kern w:val="0"/>
          <w:sz w:val="21"/>
          <w:szCs w:val="21"/>
          <w:highlight w:val="none"/>
          <w:lang w:val="en-US" w:eastAsia="zh-CN" w:bidi="ar-SA"/>
        </w:rPr>
        <w:t>品</w:t>
      </w:r>
      <w:r>
        <w:rPr>
          <w:rFonts w:hint="eastAsia" w:ascii="宋体" w:hAnsi="宋体" w:eastAsia="宋体" w:cs="宋体"/>
          <w:color w:val="auto"/>
          <w:kern w:val="0"/>
          <w:sz w:val="21"/>
          <w:szCs w:val="21"/>
          <w:highlight w:val="none"/>
          <w:lang w:val="en-US" w:eastAsia="zh-CN" w:bidi="ar-SA"/>
        </w:rPr>
        <w:t xml:space="preserve">特征的其他要素；对于各种涉及安保管理工作的登记应具体、细致而全面。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对出入办公审判区域的人员、车辆及所携带、装载的物品，按采购人的要求进行验证、检查：发现管制刀具、枪支(含自制火药枪)、弹药、毒品、瓶装有毒有害物品等危险品或形迹可疑的人应及时制止并按相关规定完成盘查、监视工作同时向主管部门报告。</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对进入办公审判区域的人员，应当礼貌地主动接待，了解来访目的及其身份，严格按照采购人的要求完成接访及登记工作。严格按采购人的要求，对出入办公审判区域的人员及其随身携带的各类包袋进行安全检查，询问其行程的目的、查验其身份证明文件并进行详实的登记。</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(7)制止未经许可的人员、车辆进入护卫区域内，对发生在护卫区域内的刑事案件或治安案件应保护现场、保护证据、维护秩序并及时向有</w:t>
      </w:r>
      <w:r>
        <w:rPr>
          <w:rFonts w:hint="eastAsia" w:ascii="宋体" w:hAnsi="宋体" w:cs="宋体"/>
          <w:color w:val="auto"/>
          <w:kern w:val="0"/>
          <w:sz w:val="21"/>
          <w:szCs w:val="21"/>
          <w:highlight w:val="none"/>
          <w:lang w:val="en-US" w:eastAsia="zh-CN" w:bidi="ar-SA"/>
        </w:rPr>
        <w:t>关</w:t>
      </w:r>
      <w:r>
        <w:rPr>
          <w:rFonts w:hint="eastAsia" w:ascii="宋体" w:hAnsi="宋体" w:eastAsia="宋体" w:cs="宋体"/>
          <w:color w:val="auto"/>
          <w:kern w:val="0"/>
          <w:sz w:val="21"/>
          <w:szCs w:val="21"/>
          <w:highlight w:val="none"/>
          <w:lang w:val="en-US" w:eastAsia="zh-CN" w:bidi="ar-SA"/>
        </w:rPr>
        <w:t xml:space="preserve">主管部门报告，并做好登记工作。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(8)严格按采购人的要求，对携带公物出院的人员进行必要的查问，做好相关物品的放行登记工作：严格按工作要求认真检查设备设施，做好防盗、防抢劫工作。</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(9)保持审判区域与办公区域的间隔门处于关闭状态，保安(特别是门卫和巡逻岗位的在岗保安)应主动检查审判区域与办公区域的间隔门是否关闭，发现间隔门打开，应立即关闭。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(10)在办公审判区域内进行巡逻，采取守护、安全检查、报警监控等措施对采购人的公共财产和人员进行保护；对进出采购人的公共财产进行详实登记。</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(11)对案件当事人及相关人员的违规违法行为(含影响采购人形象、破坏办公环境、影响办公审判秩序的各种行为)及时合法有效地制止并立即报告，同时应保护现场。</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(12)保安员应当按月将以下保安工作的登记资料进行整理、汇总、编册后提交管理处并报送主管部门备查。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车辆使用登记资料；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保安巡逻、门岗值班、文件资料收发等工作的登记资料；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应</w:t>
      </w:r>
      <w:r>
        <w:rPr>
          <w:rFonts w:hint="eastAsia" w:ascii="宋体" w:hAnsi="宋体" w:cs="宋体"/>
          <w:color w:val="auto"/>
          <w:kern w:val="0"/>
          <w:sz w:val="21"/>
          <w:szCs w:val="21"/>
          <w:highlight w:val="none"/>
          <w:lang w:val="en-US" w:eastAsia="zh-CN" w:bidi="ar-SA"/>
        </w:rPr>
        <w:t>采购人</w:t>
      </w:r>
      <w:r>
        <w:rPr>
          <w:rFonts w:hint="eastAsia" w:ascii="宋体" w:hAnsi="宋体" w:eastAsia="宋体" w:cs="宋体"/>
          <w:color w:val="auto"/>
          <w:kern w:val="0"/>
          <w:sz w:val="21"/>
          <w:szCs w:val="21"/>
          <w:highlight w:val="none"/>
          <w:lang w:val="en-US" w:eastAsia="zh-CN" w:bidi="ar-SA"/>
        </w:rPr>
        <w:t xml:space="preserve">要求，对相关事项情况进行登记、造册汇总。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(13)保安员应加强组织纪律性，搞好保卫值班队伍内部团结。坚持从大局出发，遇大事 讲原则，小事讲风格，发挥集体主义精神，团结协助共同把安全保卫管理服务工作做好。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(14)严格按要求配合电工技术员及其他工程人员做好消防工作积极参加消防演习和培 训，熟练使用安保、消防器材。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(15)爱护公物，合理使用、妥善保管各值班器械、用品、办公桌椅等公用物品。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(16)严格遵守采购人的各项规章制度；爱惜采购人财产，有损坏者，应照价赔偿；不得 擅自使用采购人的各类设备设施；不得擅自带采购人的物资(材料)外出。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(17)严格执行请销假制度。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(18)自觉接受采购人的监督指导并及时整改。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(19)着装整齐、配带规定装备，扎好腰带、系领带、穿着黑色皮鞋、配带工作证， 不得披衣、敞怀、挽袖、卷裤腿、戴歪帽：注重仪表，不蓄发、不染发、不烫发、不留长指甲、 不配戴饰物、不化妆、不戴墨镜。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(20)讲究举止文明，不得污言秽语、不得打人骂人、不准哼歌曲、吹哨；不得从事喝酒、赌博、吸烟、睡觉、玩电脑、玩手机、玩游戏、长时间打电话、吃零食、看书、听广播、 看 视频、闲聊等与工作无关的事情。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(21)讲究卫生，不随地吐痰、乱丢杂物。注重个人卫生，保持良好形象。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bookmarkStart w:id="10" w:name="OLE_LINK9"/>
      <w:r>
        <w:rPr>
          <w:rFonts w:hint="eastAsia" w:ascii="宋体" w:hAnsi="宋体" w:eastAsia="宋体" w:cs="宋体"/>
          <w:color w:val="auto"/>
          <w:kern w:val="0"/>
          <w:sz w:val="21"/>
          <w:szCs w:val="21"/>
          <w:highlight w:val="none"/>
          <w:lang w:val="en-US" w:eastAsia="zh-CN" w:bidi="ar-SA"/>
        </w:rPr>
        <w:t>(22)</w:t>
      </w:r>
      <w:bookmarkEnd w:id="10"/>
      <w:r>
        <w:rPr>
          <w:rFonts w:hint="eastAsia" w:ascii="宋体" w:hAnsi="宋体" w:eastAsia="宋体" w:cs="宋体"/>
          <w:color w:val="auto"/>
          <w:kern w:val="0"/>
          <w:sz w:val="21"/>
          <w:szCs w:val="21"/>
          <w:highlight w:val="none"/>
          <w:lang w:val="en-US" w:eastAsia="zh-CN" w:bidi="ar-SA"/>
        </w:rPr>
        <w:t xml:space="preserve">保安在岗期间，实行站岗(或巡逻)值班，除以下情形外，禁止坐岗行为。站岗时应站姿端正、不左摇右摆，不弯腰驼背；不得勾肩搭背、不得伸懒腰、不背手、插腰或将手插 入衣袋。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bookmarkStart w:id="11" w:name="OLE_LINK5"/>
      <w:r>
        <w:rPr>
          <w:rFonts w:hint="default" w:ascii="Cambria" w:hAnsi="Cambria" w:eastAsia="宋体" w:cs="Cambria"/>
          <w:color w:val="auto"/>
          <w:kern w:val="0"/>
          <w:sz w:val="21"/>
          <w:szCs w:val="21"/>
          <w:highlight w:val="none"/>
          <w:lang w:val="en-US" w:eastAsia="zh-CN" w:bidi="ar-SA"/>
        </w:rPr>
        <w:t>①</w:t>
      </w:r>
      <w:bookmarkEnd w:id="11"/>
      <w:r>
        <w:rPr>
          <w:rFonts w:hint="eastAsia" w:ascii="宋体" w:hAnsi="宋体" w:eastAsia="宋体" w:cs="宋体"/>
          <w:color w:val="auto"/>
          <w:kern w:val="0"/>
          <w:sz w:val="21"/>
          <w:szCs w:val="21"/>
          <w:highlight w:val="none"/>
          <w:lang w:val="en-US" w:eastAsia="zh-CN" w:bidi="ar-SA"/>
        </w:rPr>
        <w:t xml:space="preserve">交接资料、核查证件需要坐下书写登记；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bookmarkStart w:id="12" w:name="OLE_LINK6"/>
      <w:r>
        <w:rPr>
          <w:rFonts w:hint="default" w:ascii="Cambria" w:hAnsi="Cambria" w:eastAsia="宋体" w:cs="Cambria"/>
          <w:color w:val="auto"/>
          <w:kern w:val="0"/>
          <w:sz w:val="21"/>
          <w:szCs w:val="21"/>
          <w:highlight w:val="none"/>
          <w:lang w:val="en-US" w:eastAsia="zh-CN" w:bidi="ar-SA"/>
        </w:rPr>
        <w:t>②</w:t>
      </w:r>
      <w:bookmarkEnd w:id="12"/>
      <w:r>
        <w:rPr>
          <w:rFonts w:hint="eastAsia" w:ascii="宋体" w:hAnsi="宋体" w:eastAsia="宋体" w:cs="宋体"/>
          <w:color w:val="auto"/>
          <w:kern w:val="0"/>
          <w:sz w:val="21"/>
          <w:szCs w:val="21"/>
          <w:highlight w:val="none"/>
          <w:lang w:val="en-US" w:eastAsia="zh-CN" w:bidi="ar-SA"/>
        </w:rPr>
        <w:t xml:space="preserve">站岗或巡逻超过2小时，可在值班室坐下休息10分钟。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 xml:space="preserve">)负责对进出法院的外来人员、旁听人员、信访人员的登记和安全检查。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 xml:space="preserve">)对大楼内出现争吵、身体接触等激烈行为，要及时制止，防止事态进一步恶化，对情节严重的及时上报采购人法警大队和有关职能部门（公安局派出所）处理。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 xml:space="preserve">)协助有关部门妥善处理群众上访事件。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 xml:space="preserve">)配合采购人完成一些重大活动的组织工作和临时指派一些零星工作。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3.保安服务工作的交接班要求：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(1)严格执行交接班制度。各岗位的接班人员应提前10分钟到岗进行交接班工作，交 接的人员应做到不迟到、不早退，不得擅自调班、换班。按时交接班，不能误岗、漏岗。</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(2)接班队员应查验值班器械是否齐备。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(3)接班人应查验交班人员的值班情况是否正常及值班登记是否齐备。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(4)交班人应将当班情况如实向接班人交接。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(5)交班人应将当班的各种器械及当班记录交接班人验收；交接班人应将交接班情况登记在册并签名。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(6)接班人员未到岗时，当班人员不得离开岗位。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 xml:space="preserve">门卫岗保安工作要求：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(1)接访、传达工作</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案件当事人要求会见法官，保安应做好登记工作并直接通过电话与法官或书记员联系，请他们到立案大厅接待当事人。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bookmarkStart w:id="13" w:name="OLE_LINK46"/>
      <w:r>
        <w:rPr>
          <w:rFonts w:hint="eastAsia" w:ascii="宋体" w:hAnsi="宋体" w:eastAsia="宋体" w:cs="宋体"/>
          <w:color w:val="auto"/>
          <w:kern w:val="0"/>
          <w:sz w:val="21"/>
          <w:szCs w:val="21"/>
          <w:highlight w:val="none"/>
          <w:lang w:val="en-US" w:eastAsia="zh-CN" w:bidi="ar-SA"/>
        </w:rPr>
        <w:t>外单位工作人员</w:t>
      </w:r>
      <w:bookmarkEnd w:id="13"/>
      <w:r>
        <w:rPr>
          <w:rFonts w:hint="eastAsia" w:ascii="宋体" w:hAnsi="宋体" w:eastAsia="宋体" w:cs="宋体"/>
          <w:color w:val="auto"/>
          <w:kern w:val="0"/>
          <w:sz w:val="21"/>
          <w:szCs w:val="21"/>
          <w:highlight w:val="none"/>
          <w:lang w:val="en-US" w:eastAsia="zh-CN" w:bidi="ar-SA"/>
        </w:rPr>
        <w:t xml:space="preserve">来访接访处理办法。保安应通知相应的受访人或受访部门负责人，请受访人或受访部门负责人派人到立案大厅接待来访人；若受访人或受访部门负责人未派人到立案大厅接待来访人，保安则根据受访人或受访部门负责人的意见由保安引领来访人到受访部门或受访人办公室；参加会议的宾客，由保安引领至会场。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开庭报到处理办法。案件当事人持法律文书(如传票)要求到庭，保安应做好登记工作并根据传票内容通知经办法官或书记员并按其要求处理；案外人要求旁听的，保安应做好登记身份证的工作。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t xml:space="preserve">立案、信访工作处理办法。案件当事人需办理立案或信访事务，保安应在登记身份资料后指引其到立案导诉窗口办理。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⑤</w:t>
      </w:r>
      <w:r>
        <w:rPr>
          <w:rFonts w:hint="eastAsia" w:ascii="宋体" w:hAnsi="宋体" w:eastAsia="宋体" w:cs="宋体"/>
          <w:color w:val="auto"/>
          <w:kern w:val="0"/>
          <w:sz w:val="21"/>
          <w:szCs w:val="21"/>
          <w:highlight w:val="none"/>
          <w:lang w:val="en-US" w:eastAsia="zh-CN" w:bidi="ar-SA"/>
        </w:rPr>
        <w:t xml:space="preserve">收发信报、邮件、涉诉文件材料等工作处理办法。 保安应严格按采购人的要求做好各种资料(含报刊、杂志、邮件、信函)的收发工作， 收发信报、邮件时应认真做好核检、交接、签收、登记工作，杜绝资料丢失。非办公时间或 因其他原因案件当事人不能直接向法官提交诉讼材料，保安不得擅自接收诉讼材料，应及时 向立案庭负责人或值班负责人报告并按其要求引领当事人交接诉讼材料。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⑥</w:t>
      </w:r>
      <w:r>
        <w:rPr>
          <w:rFonts w:hint="eastAsia" w:ascii="宋体" w:hAnsi="宋体" w:eastAsia="宋体" w:cs="宋体"/>
          <w:color w:val="auto"/>
          <w:kern w:val="0"/>
          <w:sz w:val="21"/>
          <w:szCs w:val="21"/>
          <w:highlight w:val="none"/>
          <w:lang w:val="en-US" w:eastAsia="zh-CN" w:bidi="ar-SA"/>
        </w:rPr>
        <w:t>根据统一安排，积极协助有关部门完成各种会议的会务工作(与会人员的接访、会场 的布置、车辆停放的指挥等工作。</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⑦</w:t>
      </w:r>
      <w:r>
        <w:rPr>
          <w:rFonts w:hint="eastAsia" w:ascii="宋体" w:hAnsi="宋体" w:eastAsia="宋体" w:cs="宋体"/>
          <w:color w:val="auto"/>
          <w:kern w:val="0"/>
          <w:sz w:val="21"/>
          <w:szCs w:val="21"/>
          <w:highlight w:val="none"/>
          <w:lang w:val="en-US" w:eastAsia="zh-CN" w:bidi="ar-SA"/>
        </w:rPr>
        <w:t xml:space="preserve">非办公时间对进入办公区域的人员实行出入登记，严禁未经批准的外来人员进入。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2"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 </w:t>
      </w:r>
      <w:r>
        <w:rPr>
          <w:rFonts w:hint="default" w:ascii="Cambria" w:hAnsi="Cambria" w:eastAsia="宋体" w:cs="Cambria"/>
          <w:b/>
          <w:bCs/>
          <w:color w:val="auto"/>
          <w:kern w:val="0"/>
          <w:sz w:val="21"/>
          <w:szCs w:val="21"/>
          <w:highlight w:val="none"/>
          <w:lang w:val="en-US" w:eastAsia="zh-CN" w:bidi="ar-SA"/>
        </w:rPr>
        <w:t>⑧</w:t>
      </w:r>
      <w:r>
        <w:rPr>
          <w:rFonts w:hint="eastAsia" w:ascii="宋体" w:hAnsi="宋体" w:eastAsia="宋体" w:cs="宋体"/>
          <w:b/>
          <w:bCs/>
          <w:color w:val="auto"/>
          <w:kern w:val="0"/>
          <w:sz w:val="21"/>
          <w:szCs w:val="21"/>
          <w:highlight w:val="none"/>
          <w:lang w:val="en-US" w:eastAsia="zh-CN" w:bidi="ar-SA"/>
        </w:rPr>
        <w:t>法院机关本部大门岗8:00 至18:00工作期间应站立执勤，以保持法院保安形象。注：站岗设备由中标方负责。（</w:t>
      </w:r>
      <w:r>
        <w:rPr>
          <w:rFonts w:hint="eastAsia" w:ascii="宋体" w:hAnsi="宋体" w:cs="宋体"/>
          <w:b/>
          <w:bCs/>
          <w:color w:val="auto"/>
          <w:kern w:val="0"/>
          <w:sz w:val="21"/>
          <w:szCs w:val="21"/>
          <w:highlight w:val="none"/>
          <w:lang w:val="en-US" w:eastAsia="zh-CN" w:bidi="ar-SA"/>
        </w:rPr>
        <w:t>投标文件中须附承诺函加盖公章</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安全检查工作</w:t>
      </w:r>
      <w:bookmarkStart w:id="14" w:name="OLE_LINK7"/>
      <w:r>
        <w:rPr>
          <w:rFonts w:hint="eastAsia" w:ascii="宋体" w:hAnsi="宋体" w:eastAsia="宋体" w:cs="宋体"/>
          <w:color w:val="auto"/>
          <w:kern w:val="0"/>
          <w:sz w:val="21"/>
          <w:szCs w:val="21"/>
          <w:highlight w:val="none"/>
          <w:lang w:val="en-US" w:eastAsia="zh-CN" w:bidi="ar-SA"/>
        </w:rPr>
        <w:t>要求</w:t>
      </w:r>
      <w:r>
        <w:rPr>
          <w:rFonts w:hint="eastAsia" w:ascii="宋体" w:hAnsi="宋体" w:cs="宋体"/>
          <w:color w:val="auto"/>
          <w:kern w:val="0"/>
          <w:sz w:val="21"/>
          <w:szCs w:val="21"/>
          <w:highlight w:val="none"/>
          <w:lang w:val="en-US" w:eastAsia="zh-CN" w:bidi="ar-SA"/>
        </w:rPr>
        <w:t>：</w:t>
      </w:r>
      <w:bookmarkEnd w:id="14"/>
      <w:r>
        <w:rPr>
          <w:rFonts w:hint="eastAsia" w:ascii="宋体" w:hAnsi="宋体" w:eastAsia="宋体" w:cs="宋体"/>
          <w:color w:val="auto"/>
          <w:kern w:val="0"/>
          <w:sz w:val="21"/>
          <w:szCs w:val="21"/>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1）当事人进入过机员控制区域后，首先对当事人进行 “三提醒”：一提醒当事人将随身携带的手机、钱包、钥匙、香烟、打火机、雨伞等物品放入指定绿色框内；二提醒当事人将行李包裹中的电脑、IPAD、相机、录音笔存柜；三提醒当事人将行李包裹中的液体、空瓶、食物放入指定位置，如有携带管制刀具、辣椒水等违禁品，必须将违禁品拿出法院门，自行处理好</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否则，一经发现、一律没收。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其次对当事人放入指定框内的物品进行“三查看”：一查看钥匙串上面有没有水果刀；二查看烟盒里面有没有藏打火机；三查看雨伞内部是否藏有管制刀具等违禁品。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3</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将当事人物品分成可携带物品和不可携带物品，将不可携带物品存放指定位置；将可携带行李物品依次放入安检机传送带上进行过机检查，并提醒当事人通过安检门。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4）在岗保安应加强辨别能力，时刻保持高度警惕性，认真负责地履行安保检查工作，发现可疑的人或物立即制止同时向主管部门报告并根据其意见处理。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5）案件当事人携带的不宜带入庭审或调解场所的物件可放置在门外的储物柜中，保安应将储物柜钥匙交予当事人，礼貌地告知其处理完事情后当天取走物件交还钥匙。保安应做好物件的检查登记、钥匙交接登记工作。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维护秩序工作要求</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1）维护立案大厅以及采购人其他公共场所的秩序，发现有不良行为(室内吸烟，在座椅上躺卧，在办公审判区域喧哗、打闹、嬉戏等行为)及时制止。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2）发生放火、投放爆炸物、自焚、攻击他人及其它破坏公私财物和侵害他人</w:t>
      </w:r>
      <w:r>
        <w:rPr>
          <w:rFonts w:hint="eastAsia" w:ascii="宋体" w:hAnsi="宋体" w:cs="宋体"/>
          <w:color w:val="auto"/>
          <w:kern w:val="0"/>
          <w:sz w:val="21"/>
          <w:szCs w:val="21"/>
          <w:highlight w:val="none"/>
          <w:lang w:val="en-US" w:eastAsia="zh-CN" w:bidi="ar-SA"/>
        </w:rPr>
        <w:t>人</w:t>
      </w:r>
      <w:r>
        <w:rPr>
          <w:rFonts w:hint="eastAsia" w:ascii="宋体" w:hAnsi="宋体" w:eastAsia="宋体" w:cs="宋体"/>
          <w:color w:val="auto"/>
          <w:kern w:val="0"/>
          <w:sz w:val="21"/>
          <w:szCs w:val="21"/>
          <w:highlight w:val="none"/>
          <w:lang w:val="en-US" w:eastAsia="zh-CN" w:bidi="ar-SA"/>
        </w:rPr>
        <w:t>身安全的行为时，保安应迅速制止同时向法警大队安保负责人报告并根据其意见处理。</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 xml:space="preserve">巡逻岗保安工作要求：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区域巡逻技能要求：能按照预定的巡逻路线巡逻；能使用通讯、防护等常用保安器械；能够观察、发现异常情况并及时报告；能够以报警等方法救助危难人员；能按规范格式填写 巡逻纪录；能指出巡逻区域的分布与重点部位。掌握相关知识：人群聚集场所的特点；通讯器材使用方法</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拥挤人群的疏导方法；哄闹行为的处置方法。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人群集聚场所巡逻技能要求：能按照要求在固定的路线巡视；能发现可疑情况并及时报告；会使用通讯器材；能协助疏导拥挤的人群；能制止一般的哄闹行为；能在一定区域警戒。掌握相关知识：巡逻基本常识和方法；防卫技能；保安常用器械使用方法；保安巡逻登记表及填写规范；报警要领。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巡逻工作要求</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1）保安应严格按照全天 24 小时内每 2 小时巡逻 1 次的要求，做好巡查工作，发现危险隐患应及时报告并协助设备设施管理人员做好排险工作。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2）工作日工作期间，在岗保安应主动检查审判区域与办公区域的间隔门是否关闭，发现间隔门打开，应立即关闭。发现和查问进入办公区域内的陌生人员。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3）非工作日和工作日的非工作期间，在岗保安应做好下班后的巡检工作，检查审判办公区域的门窗是否关闭、是否遵守采购人用电、用水的有关规定；发现安全隐患应及时处理并报告管理处，做好巡检记录工作。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（4）严格按照消防法规做好消防巡查工作。及时处理、排除险情并报告管理处。应做好每次消防巡查的记录工作。检查消防设备设施，发现安全隐患或险情的应及时处理并汇报。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8.停车场保安的工作要求：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(1)协助采购人车辆管理部门加强对车辆的管理。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认真执行车辆管理规定，准确无误地做好车辆进出登记工作，不得漏记、误记。</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节假日期间，非经审批手续停车场不得放行车辆。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登记内容包括：车辆号牌、车辆离院时间、车辆回院时间、车辆驾驶人员、车容车貌状况等内容。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t xml:space="preserve">对违规用车情况，做好记录。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⑤</w:t>
      </w:r>
      <w:r>
        <w:rPr>
          <w:rFonts w:hint="eastAsia" w:ascii="宋体" w:hAnsi="宋体" w:eastAsia="宋体" w:cs="宋体"/>
          <w:color w:val="auto"/>
          <w:kern w:val="0"/>
          <w:sz w:val="21"/>
          <w:szCs w:val="21"/>
          <w:highlight w:val="none"/>
          <w:lang w:val="en-US" w:eastAsia="zh-CN" w:bidi="ar-SA"/>
        </w:rPr>
        <w:t xml:space="preserve">督促驾驶人员按车辆停放规范定点停放车辆。提醒驾驶人员应锁车门、关车窗，贵重物品及涉密文件不得留在车内。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⑥</w:t>
      </w:r>
      <w:r>
        <w:rPr>
          <w:rFonts w:hint="eastAsia" w:ascii="宋体" w:hAnsi="宋体" w:eastAsia="宋体" w:cs="宋体"/>
          <w:color w:val="auto"/>
          <w:kern w:val="0"/>
          <w:sz w:val="21"/>
          <w:szCs w:val="21"/>
          <w:highlight w:val="none"/>
          <w:lang w:val="en-US" w:eastAsia="zh-CN" w:bidi="ar-SA"/>
        </w:rPr>
        <w:t xml:space="preserve">巡逻保安员应将每次巡逻时车辆在库的情况如实登记，保安员交接班时应做好车辆 在位的情况登记及资料的交接工作。 </w:t>
      </w:r>
    </w:p>
    <w:p>
      <w:pPr>
        <w:keepNext w:val="0"/>
        <w:keepLines w:val="0"/>
        <w:pageBreakBefore w:val="0"/>
        <w:widowControl w:val="0"/>
        <w:kinsoku/>
        <w:wordWrap/>
        <w:overflowPunct/>
        <w:topLinePunct w:val="0"/>
        <w:autoSpaceDE/>
        <w:autoSpaceDN/>
        <w:bidi w:val="0"/>
        <w:snapToGrid/>
        <w:spacing w:line="400" w:lineRule="exact"/>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default" w:ascii="Cambria" w:hAnsi="Cambria" w:eastAsia="宋体" w:cs="Cambria"/>
          <w:color w:val="auto"/>
          <w:kern w:val="2"/>
          <w:sz w:val="21"/>
          <w:szCs w:val="21"/>
          <w:highlight w:val="none"/>
          <w:lang w:val="en-US" w:eastAsia="zh-CN" w:bidi="ar-SA"/>
        </w:rPr>
        <w:t>⑦</w:t>
      </w:r>
      <w:r>
        <w:rPr>
          <w:rFonts w:hint="eastAsia" w:ascii="宋体" w:hAnsi="宋体" w:eastAsia="宋体" w:cs="宋体"/>
          <w:color w:val="auto"/>
          <w:kern w:val="2"/>
          <w:sz w:val="21"/>
          <w:szCs w:val="21"/>
          <w:highlight w:val="none"/>
          <w:lang w:val="en-US" w:eastAsia="zh-CN" w:bidi="ar-SA"/>
        </w:rPr>
        <w:t>熟练掌握道闸等相关系统使用。</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(2)根据采购人要求，指挥外来车辆定点停放。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(3)对停车场和服务区域辖内发生的车辆事故及交通设施损坏应及时保护现场，妥善处理并报告，协助采购人做好善后处理工作。</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 xml:space="preserve">监控岗保安的工作要求：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bookmarkStart w:id="15" w:name="OLE_LINK10"/>
      <w:r>
        <w:rPr>
          <w:rFonts w:hint="eastAsia" w:ascii="宋体" w:hAnsi="宋体" w:eastAsia="宋体" w:cs="宋体"/>
          <w:color w:val="auto"/>
          <w:kern w:val="0"/>
          <w:sz w:val="21"/>
          <w:szCs w:val="21"/>
          <w:highlight w:val="none"/>
          <w:lang w:val="en-US" w:eastAsia="zh-CN" w:bidi="ar-SA"/>
        </w:rPr>
        <w:t>（1）</w:t>
      </w:r>
      <w:bookmarkEnd w:id="15"/>
      <w:r>
        <w:rPr>
          <w:rFonts w:hint="eastAsia" w:ascii="宋体" w:hAnsi="宋体" w:eastAsia="宋体" w:cs="宋体"/>
          <w:color w:val="auto"/>
          <w:kern w:val="0"/>
          <w:sz w:val="21"/>
          <w:szCs w:val="21"/>
          <w:highlight w:val="none"/>
          <w:lang w:val="en-US" w:eastAsia="zh-CN" w:bidi="ar-SA"/>
        </w:rPr>
        <w:t xml:space="preserve">按时交接班。提前15分钟到岗，整理着装，做好准备工作；做好交接班记录，告知交接人员注意事项；交接班后，将全部监控从头至尾查看一遍，查看监控点有无黑屏、监控点有无可疑人员；发现黑屏现象及时通知技术科维修；发现可疑人员及时通知机动巡逻岗注意跟踪查看，及时上报，做好异常情况登记记录。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bookmarkStart w:id="16" w:name="OLE_LINK11"/>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w:t>
      </w:r>
      <w:bookmarkEnd w:id="16"/>
      <w:r>
        <w:rPr>
          <w:rFonts w:hint="eastAsia" w:ascii="宋体" w:hAnsi="宋体" w:eastAsia="宋体" w:cs="宋体"/>
          <w:color w:val="auto"/>
          <w:kern w:val="0"/>
          <w:sz w:val="21"/>
          <w:szCs w:val="21"/>
          <w:highlight w:val="none"/>
          <w:lang w:val="en-US" w:eastAsia="zh-CN" w:bidi="ar-SA"/>
        </w:rPr>
        <w:t xml:space="preserve">掌控电视监控。密切监视所有要害部位的监视画面，不因监控失职而放入闲杂、 可疑人员或发生被盗案件；配合各岗位在大厦范围内的执勤工作，不准发生一起因监控不到位而导致的意外事故。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（3）统计监控数据。按时记录各种监控数据，妥善保管各种资料、记录；每月定时上报监控设备设施运行状况的各种数据报表。</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（4）处理报警信号。出现报警信号时，立即报告队长，并及时对讲通知机动人员赶赴报警法庭进行支援；监控室收到安检处报警信号时，立即拨打报警电话。 </w:t>
      </w:r>
    </w:p>
    <w:p>
      <w:pPr>
        <w:keepNext w:val="0"/>
        <w:keepLines w:val="0"/>
        <w:pageBreakBefore w:val="0"/>
        <w:widowControl w:val="0"/>
        <w:numPr>
          <w:ilvl w:val="1"/>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 xml:space="preserve">安保设备的使用管理要求：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保安应严格遵守相关管理规定，严格按照操作规程和使用说明资料熟练使用高压电警棍、辣椒枪、防爆桶防爆毯、闭路监控设备、防盗报警设备、触摸屏查询设备、X 光安检 机、红外线安检门、手持式金属探测器、手持探温器、消防设备系统、车辆管理智能系统等 采购人现有的安保设备。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未经批准，无关人员一律不许进入监控中心；未经许可，值班人员不得随便操作与本职工作无关的一切设备。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严格按采购人要求对弱电设备和相关用具的管理，应将弱电设备作为重点巡检对象。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t xml:space="preserve">处置安保突发事件或执行特别安保任务要求：严格按照采购人要求及应急工作处理制度迅速、高效地处置突发事件或执行特别安保任务，管理及服务工作人员不得心存侥幸、不得有懈怠行为。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⑤</w:t>
      </w:r>
      <w:r>
        <w:rPr>
          <w:rFonts w:hint="eastAsia" w:ascii="宋体" w:hAnsi="宋体" w:eastAsia="宋体" w:cs="宋体"/>
          <w:color w:val="auto"/>
          <w:kern w:val="0"/>
          <w:sz w:val="21"/>
          <w:szCs w:val="21"/>
          <w:highlight w:val="none"/>
          <w:lang w:val="en-US" w:eastAsia="zh-CN" w:bidi="ar-SA"/>
        </w:rPr>
        <w:t>综合服务区域内其他安保服务工作标准由采购人根据实际情况确定。</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val="0"/>
        <w:kinsoku/>
        <w:wordWrap/>
        <w:overflowPunct/>
        <w:topLinePunct w:val="0"/>
        <w:autoSpaceDE/>
        <w:autoSpaceDN/>
        <w:bidi w:val="0"/>
        <w:snapToGrid/>
        <w:spacing w:line="400" w:lineRule="exact"/>
        <w:ind w:left="0" w:leftChars="0" w:firstLine="422" w:firstLineChars="200"/>
        <w:jc w:val="both"/>
        <w:rPr>
          <w:rFonts w:hint="eastAsia" w:ascii="宋体" w:hAnsi="宋体" w:eastAsia="宋体" w:cs="宋体"/>
          <w:b/>
          <w:bCs/>
          <w:color w:val="auto"/>
          <w:kern w:val="2"/>
          <w:sz w:val="21"/>
          <w:szCs w:val="21"/>
          <w:highlight w:val="none"/>
          <w:lang w:val="en-US" w:eastAsia="zh-CN" w:bidi="ar-SA"/>
        </w:rPr>
      </w:pPr>
      <w:bookmarkStart w:id="17" w:name="OLE_LINK13"/>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w:t>
      </w:r>
      <w:bookmarkEnd w:id="17"/>
      <w:r>
        <w:rPr>
          <w:rFonts w:hint="eastAsia" w:ascii="宋体" w:hAnsi="宋体" w:cs="宋体"/>
          <w:b/>
          <w:bCs/>
          <w:color w:val="auto"/>
          <w:kern w:val="2"/>
          <w:sz w:val="21"/>
          <w:szCs w:val="21"/>
          <w:highlight w:val="none"/>
          <w:lang w:val="en-US" w:eastAsia="zh-CN" w:bidi="ar-SA"/>
        </w:rPr>
        <w:t>卫生清洁服务</w:t>
      </w:r>
      <w:bookmarkStart w:id="18" w:name="OLE_LINK32"/>
      <w:r>
        <w:rPr>
          <w:rFonts w:hint="eastAsia" w:ascii="宋体" w:hAnsi="宋体" w:eastAsia="宋体" w:cs="宋体"/>
          <w:b/>
          <w:bCs/>
          <w:color w:val="auto"/>
          <w:kern w:val="2"/>
          <w:sz w:val="21"/>
          <w:szCs w:val="21"/>
          <w:highlight w:val="none"/>
          <w:lang w:val="en-US" w:eastAsia="zh-CN" w:bidi="ar-SA"/>
        </w:rPr>
        <w:t>工作要求</w:t>
      </w:r>
      <w:bookmarkEnd w:id="18"/>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室外区域(含法院前、后广场等)。清洁标准：地面及草坪无垃圾、无碎屑、无积水、无明显</w:t>
      </w:r>
      <w:r>
        <w:rPr>
          <w:rFonts w:hint="eastAsia" w:ascii="宋体" w:hAnsi="宋体" w:cs="宋体"/>
          <w:color w:val="auto"/>
          <w:kern w:val="0"/>
          <w:sz w:val="21"/>
          <w:szCs w:val="21"/>
          <w:highlight w:val="none"/>
          <w:lang w:val="en-US" w:eastAsia="zh-CN" w:bidi="ar-SA"/>
        </w:rPr>
        <w:t>污</w:t>
      </w:r>
      <w:r>
        <w:rPr>
          <w:rFonts w:hint="eastAsia" w:ascii="宋体" w:hAnsi="宋体" w:eastAsia="宋体" w:cs="宋体"/>
          <w:color w:val="auto"/>
          <w:kern w:val="0"/>
          <w:sz w:val="21"/>
          <w:szCs w:val="21"/>
          <w:highlight w:val="none"/>
          <w:lang w:val="en-US" w:eastAsia="zh-CN" w:bidi="ar-SA"/>
        </w:rPr>
        <w:t xml:space="preserve">垢、无恶臭气味；物品表面干净整洁，无污渍。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室内区域(走廊、通道、楼梯、审判法庭、调解室、办公室、会议室、行政后勤及各类设备设施配套专用房间室内区域)、洗手间及茶水间区域。清洁标准：保持地面、墙面、天花、物件表面，无积水、无积油、无污渍、无积尘、无烟头、干净整洁；玻璃明亮洁净、无手印；室内无杂物，物品摆放整齐有致；室内无异味、无恶臭味；烟灰盅、垃圾桶无明显杂物和污渍、无垃圾；各类标志(标识)清晰，设置合理、准确；设备设施表面无积尘、无明显锈渍；排水口无堵塞；卫生区域内无蜘蛛网、“四害” 绝迹，保持干爽清洁的环境。</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中标人清洁时所用的清洁用品要求如下：</w:t>
      </w: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各办公室：会议室台面、沙发选用达到国家环保标准的专业清洁剂；</w:t>
      </w: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玻璃：选用玻璃清洁剂或全能水；</w:t>
      </w: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垃圾桶：选用全能水；</w:t>
      </w:r>
      <w:r>
        <w:rPr>
          <w:rFonts w:hint="default" w:ascii="Cambria" w:hAnsi="Cambria" w:eastAsia="宋体" w:cs="Cambria"/>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t>楼梯：选用全能水,也可选用消毒水或漂白水；</w:t>
      </w:r>
      <w:r>
        <w:rPr>
          <w:rFonts w:hint="default" w:ascii="Cambria" w:hAnsi="Cambria" w:eastAsia="宋体" w:cs="Cambria"/>
          <w:color w:val="auto"/>
          <w:kern w:val="0"/>
          <w:sz w:val="21"/>
          <w:szCs w:val="21"/>
          <w:highlight w:val="none"/>
          <w:lang w:val="en-US" w:eastAsia="zh-CN" w:bidi="ar-SA"/>
        </w:rPr>
        <w:t>⑤</w:t>
      </w:r>
      <w:r>
        <w:rPr>
          <w:rFonts w:hint="eastAsia" w:ascii="宋体" w:hAnsi="宋体" w:eastAsia="宋体" w:cs="宋体"/>
          <w:color w:val="auto"/>
          <w:kern w:val="0"/>
          <w:sz w:val="21"/>
          <w:szCs w:val="21"/>
          <w:highlight w:val="none"/>
          <w:lang w:val="en-US" w:eastAsia="zh-CN" w:bidi="ar-SA"/>
        </w:rPr>
        <w:t>洗手间：地面选用全能水，便器选用洁厕精；</w:t>
      </w:r>
      <w:r>
        <w:rPr>
          <w:rFonts w:hint="default" w:ascii="Cambria" w:hAnsi="Cambria" w:eastAsia="宋体" w:cs="Cambria"/>
          <w:color w:val="auto"/>
          <w:kern w:val="0"/>
          <w:sz w:val="21"/>
          <w:szCs w:val="21"/>
          <w:highlight w:val="none"/>
          <w:lang w:val="en-US" w:eastAsia="zh-CN" w:bidi="ar-SA"/>
        </w:rPr>
        <w:t>⑥</w:t>
      </w:r>
      <w:r>
        <w:rPr>
          <w:rFonts w:hint="eastAsia" w:ascii="宋体" w:hAnsi="宋体" w:eastAsia="宋体" w:cs="宋体"/>
          <w:color w:val="auto"/>
          <w:kern w:val="0"/>
          <w:sz w:val="21"/>
          <w:szCs w:val="21"/>
          <w:highlight w:val="none"/>
          <w:lang w:val="en-US" w:eastAsia="zh-CN" w:bidi="ar-SA"/>
        </w:rPr>
        <w:t>花岗石墙地面处理：选用磨光剂；</w:t>
      </w:r>
      <w:r>
        <w:rPr>
          <w:rFonts w:hint="default" w:ascii="Cambria" w:hAnsi="Cambria" w:eastAsia="宋体" w:cs="Cambria"/>
          <w:color w:val="auto"/>
          <w:kern w:val="0"/>
          <w:sz w:val="21"/>
          <w:szCs w:val="21"/>
          <w:highlight w:val="none"/>
          <w:lang w:val="en-US" w:eastAsia="zh-CN" w:bidi="ar-SA"/>
        </w:rPr>
        <w:t>⑦</w:t>
      </w:r>
      <w:r>
        <w:rPr>
          <w:rFonts w:hint="eastAsia" w:ascii="宋体" w:hAnsi="宋体" w:eastAsia="宋体" w:cs="宋体"/>
          <w:color w:val="auto"/>
          <w:kern w:val="0"/>
          <w:sz w:val="21"/>
          <w:szCs w:val="21"/>
          <w:highlight w:val="none"/>
          <w:lang w:val="en-US" w:eastAsia="zh-CN" w:bidi="ar-SA"/>
        </w:rPr>
        <w:t>大堂、各楼层走廊晶面清洁：采用清水和推拖；</w:t>
      </w:r>
      <w:r>
        <w:rPr>
          <w:rFonts w:hint="default" w:ascii="Cambria" w:hAnsi="Cambria" w:eastAsia="宋体" w:cs="Cambria"/>
          <w:color w:val="auto"/>
          <w:kern w:val="0"/>
          <w:sz w:val="21"/>
          <w:szCs w:val="21"/>
          <w:highlight w:val="none"/>
          <w:lang w:val="en-US" w:eastAsia="zh-CN" w:bidi="ar-SA"/>
        </w:rPr>
        <w:t>⑧</w:t>
      </w:r>
      <w:r>
        <w:rPr>
          <w:rFonts w:hint="eastAsia" w:ascii="宋体" w:hAnsi="宋体" w:eastAsia="宋体" w:cs="宋体"/>
          <w:color w:val="auto"/>
          <w:kern w:val="0"/>
          <w:sz w:val="21"/>
          <w:szCs w:val="21"/>
          <w:highlight w:val="none"/>
          <w:lang w:val="en-US" w:eastAsia="zh-CN" w:bidi="ar-SA"/>
        </w:rPr>
        <w:t>地毯：选用中性地毯水；</w:t>
      </w:r>
      <w:r>
        <w:rPr>
          <w:rFonts w:hint="default" w:ascii="Cambria" w:hAnsi="Cambria" w:eastAsia="宋体" w:cs="Cambria"/>
          <w:color w:val="auto"/>
          <w:kern w:val="0"/>
          <w:sz w:val="21"/>
          <w:szCs w:val="21"/>
          <w:highlight w:val="none"/>
          <w:lang w:val="en-US" w:eastAsia="zh-CN" w:bidi="ar-SA"/>
        </w:rPr>
        <w:t>⑨</w:t>
      </w:r>
      <w:r>
        <w:rPr>
          <w:rFonts w:hint="eastAsia" w:ascii="宋体" w:hAnsi="宋体" w:eastAsia="宋体" w:cs="宋体"/>
          <w:color w:val="auto"/>
          <w:kern w:val="0"/>
          <w:sz w:val="21"/>
          <w:szCs w:val="21"/>
          <w:highlight w:val="none"/>
          <w:lang w:val="en-US" w:eastAsia="zh-CN" w:bidi="ar-SA"/>
        </w:rPr>
        <w:t>铝质天花：采用中性清洁剂或化油剂，此外针对一些难以清除的污垢，选用更强的除污剂，例如洁而亮。</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排水沟、雨水井、污水井、隔油池及其它储污设施的清理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及时清理垃圾，疏通管道。每日巡查，每月彻底清洗一次。清洁标准：设施四壁及底面整洁、无明显污垢、无蚊虫(蚁)孳生、无恶臭气味等现象；设施上盖后四围地面整洁、无污物污水四溅、散布现象；设施上盖后无蝇(蚊)虫(蚁)叮爬现象。</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化粪池。每月检查一次，每半年对化粪池进行检查、疏通，发现满池的及时清理。清洁标准：化粪池经清理后池底污物深度不超过8厘米；设施上盖后恶臭气味无散发现象；设施上盖后四围地面整洁、无粪便污水四溅、散布现象；设施上盖后无蝇(蚊)虫(蚁)叮爬现象。每年对化粪池进行清理，费用由中标人支付。</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2" w:firstLineChars="200"/>
        <w:jc w:val="left"/>
        <w:rPr>
          <w:rFonts w:hint="eastAsia" w:ascii="宋体" w:hAnsi="宋体" w:eastAsia="宋体" w:cs="宋体"/>
          <w:b/>
          <w:bCs/>
          <w:color w:val="auto"/>
          <w:kern w:val="0"/>
          <w:sz w:val="21"/>
          <w:szCs w:val="21"/>
          <w:highlight w:val="none"/>
          <w:lang w:val="en-US" w:eastAsia="zh-CN" w:bidi="ar-SA"/>
        </w:rPr>
      </w:pPr>
      <w:bookmarkStart w:id="19" w:name="OLE_LINK14"/>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bookmarkEnd w:id="19"/>
      <w:r>
        <w:rPr>
          <w:rFonts w:hint="eastAsia" w:ascii="宋体" w:hAnsi="宋体" w:cs="宋体"/>
          <w:b/>
          <w:bCs/>
          <w:color w:val="auto"/>
          <w:sz w:val="21"/>
          <w:szCs w:val="21"/>
          <w:highlight w:val="none"/>
          <w:lang w:val="en-US" w:eastAsia="zh-CN"/>
        </w:rPr>
        <w:t>配套设备设施</w:t>
      </w:r>
      <w:r>
        <w:rPr>
          <w:rFonts w:hint="eastAsia" w:ascii="宋体" w:hAnsi="宋体" w:eastAsia="宋体" w:cs="宋体"/>
          <w:b/>
          <w:bCs/>
          <w:color w:val="auto"/>
          <w:kern w:val="0"/>
          <w:sz w:val="21"/>
          <w:szCs w:val="21"/>
          <w:highlight w:val="none"/>
          <w:lang w:val="en-US" w:eastAsia="zh-CN" w:bidi="ar-SA"/>
        </w:rPr>
        <w:t>维</w:t>
      </w:r>
      <w:r>
        <w:rPr>
          <w:rFonts w:hint="eastAsia" w:ascii="宋体" w:hAnsi="宋体" w:cs="宋体"/>
          <w:b/>
          <w:bCs/>
          <w:color w:val="auto"/>
          <w:kern w:val="0"/>
          <w:sz w:val="21"/>
          <w:szCs w:val="21"/>
          <w:highlight w:val="none"/>
          <w:lang w:val="en-US" w:eastAsia="zh-CN" w:bidi="ar-SA"/>
        </w:rPr>
        <w:t>护</w:t>
      </w:r>
      <w:r>
        <w:rPr>
          <w:rFonts w:hint="eastAsia" w:ascii="宋体" w:hAnsi="宋体" w:eastAsia="宋体" w:cs="宋体"/>
          <w:b/>
          <w:bCs/>
          <w:color w:val="auto"/>
          <w:kern w:val="0"/>
          <w:sz w:val="21"/>
          <w:szCs w:val="21"/>
          <w:highlight w:val="none"/>
          <w:lang w:val="en-US" w:eastAsia="zh-CN" w:bidi="ar-SA"/>
        </w:rPr>
        <w:t>服务</w:t>
      </w:r>
      <w:r>
        <w:rPr>
          <w:rFonts w:hint="eastAsia" w:ascii="宋体" w:hAnsi="宋体" w:eastAsia="宋体" w:cs="宋体"/>
          <w:b/>
          <w:bCs/>
          <w:color w:val="auto"/>
          <w:kern w:val="2"/>
          <w:sz w:val="21"/>
          <w:szCs w:val="21"/>
          <w:highlight w:val="none"/>
          <w:lang w:val="en-US" w:eastAsia="zh-CN" w:bidi="ar-SA"/>
        </w:rPr>
        <w:t>工作要求</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随时接受采购人报修，满足采购人各部门的工作需要。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负责高、低压变配电设施、设备的日常管理、使用、保养和一般性维修。按照变压器、配电柜管理规范和标准每2小时进行值班巡查，并做好记录。每年对变压器、配电柜保养不少于2次。须熟练掌握双市电之间的转换。</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负责建筑物及装修的日常管理以及配套设施的日常管理、养护和维修。包括各层办公室、会议室、审判法庭、调解室、强弱电线路的布装、地下车库、屋顶、内外墙面、地面、楼梯走道、走廊、电梯厅、天花、洗手间、茶水间、阳台、门窗门锁，防火门、光棚、围栏等。完成非工程类维修工作，针对服务区域内的道路、墙体、地板、室内天花及其附属设备设施损坏进行小型维修，如墙体小面积翻新(油墙面漆)、地板小面积维修、简单墙体及天花补漏、更换漏水水管、更换洗手盆、房门维修等。负责采购人实施服务区域内土建修缮的一般性维修；装饰工程、设备的中修和大修、加装等工程的监督，切实落实采购人在工程合同中</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 xml:space="preserve">各项要求。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公用设施和附属建筑物、构筑物的一般性维修、养护和管理，包括道路、院墙、室外上下水管道、沟渠、池井（化粪池隔油池）。</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有水、电设备设施，全部机电设备设施的日常管理、保养和一般性维修工作。包括：给排水系统、照明及动力等电力系统、避雷系统、空调系统、电梯系统、消防系统、安防系统、残疾人通道系统、车牌识别系统、各服务区域点开水器，外墙灯饰等。</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 xml:space="preserve">对服务区域范围内的办公电器设备简单故障进行排除和维修。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6.定期巡查功能指示标识、办公家具(含审判家具)、审判牌、墙面挂件等损坏、丢失， </w:t>
      </w:r>
    </w:p>
    <w:p>
      <w:pPr>
        <w:keepNext w:val="0"/>
        <w:keepLines w:val="0"/>
        <w:pageBreakBefore w:val="0"/>
        <w:widowControl/>
        <w:suppressLineNumbers w:val="0"/>
        <w:kinsoku/>
        <w:wordWrap/>
        <w:overflowPunct/>
        <w:topLinePunct w:val="0"/>
        <w:autoSpaceDE/>
        <w:autoSpaceDN/>
        <w:bidi w:val="0"/>
        <w:snapToGrid/>
        <w:spacing w:line="4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及时维修和补充。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 xml:space="preserve">各类设备设施(金属质的供排水管、消防栓、金属台凳等)维修加固、除锈处理。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 xml:space="preserve">综合服务区域内交通安全设施的保养维修工作要求，定期对停车场、道路警示标志标识进行检查，发现损坏、丢失，及时维修和补充。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 xml:space="preserve">对综合服务区域及其附属设备设施进行日常管理和维修养护，检修记录和保养记录齐全。属于小修部分的：中标人须及时组织修复；属于大、中修范围的，中标人须及时编制维修计划，向采购人提出报告，根据采购人的决定，组织实施。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 xml:space="preserve">维护工作由中标人自备工具及人员进行，如规定需另行聘请专业人员或租用工具的，所产生的人工费用由中标人自行负责；维修项目属正常损耗的维修配件、养护物料（如分体空调雪种、油漆、燃料等）费用由采购人支付；因中标人管理责任引起的损坏由中标人承担赔偿责任。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2" w:firstLineChars="200"/>
        <w:jc w:val="left"/>
        <w:rPr>
          <w:rFonts w:hint="eastAsia" w:ascii="宋体" w:hAnsi="宋体" w:eastAsia="宋体" w:cs="宋体"/>
          <w:b/>
          <w:bCs/>
          <w:color w:val="auto"/>
          <w:kern w:val="0"/>
          <w:sz w:val="21"/>
          <w:szCs w:val="21"/>
          <w:highlight w:val="none"/>
          <w:lang w:val="en-US" w:eastAsia="zh-CN" w:bidi="ar-SA"/>
        </w:rPr>
      </w:pPr>
      <w:bookmarkStart w:id="20" w:name="OLE_LINK16"/>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w:t>
      </w:r>
      <w:bookmarkEnd w:id="20"/>
      <w:r>
        <w:rPr>
          <w:rFonts w:hint="eastAsia" w:ascii="宋体" w:hAnsi="宋体" w:eastAsia="宋体" w:cs="宋体"/>
          <w:b/>
          <w:bCs/>
          <w:color w:val="auto"/>
          <w:kern w:val="0"/>
          <w:sz w:val="21"/>
          <w:szCs w:val="21"/>
          <w:highlight w:val="none"/>
          <w:lang w:val="en-US" w:eastAsia="zh-CN" w:bidi="ar-SA"/>
        </w:rPr>
        <w:t>会务</w:t>
      </w:r>
      <w:r>
        <w:rPr>
          <w:rFonts w:hint="eastAsia" w:ascii="宋体" w:hAnsi="宋体" w:cs="宋体"/>
          <w:b/>
          <w:bCs/>
          <w:color w:val="auto"/>
          <w:kern w:val="0"/>
          <w:sz w:val="21"/>
          <w:szCs w:val="21"/>
          <w:highlight w:val="none"/>
          <w:lang w:val="en-US" w:eastAsia="zh-CN" w:bidi="ar-SA"/>
        </w:rPr>
        <w:t>保障服务</w:t>
      </w:r>
      <w:r>
        <w:rPr>
          <w:rFonts w:hint="eastAsia" w:ascii="宋体" w:hAnsi="宋体" w:eastAsia="宋体" w:cs="宋体"/>
          <w:b/>
          <w:bCs/>
          <w:color w:val="auto"/>
          <w:kern w:val="0"/>
          <w:sz w:val="21"/>
          <w:szCs w:val="21"/>
          <w:highlight w:val="none"/>
          <w:lang w:val="en-US" w:eastAsia="zh-CN" w:bidi="ar-SA"/>
        </w:rPr>
        <w:t xml:space="preserve">工作要求 </w:t>
      </w:r>
    </w:p>
    <w:p>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各类大小型会议会务接待服务要求</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会务接待工作要做到准备充分、周到细致、有条不紊、不得出现重大失误。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接待服务人员应仪容整洁、举止大方、主动热情、文明礼貌。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 xml:space="preserve">根据采购人的要求，做好会场布置及会议前准备工作：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(1)检查并打开灯光</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空调</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检查会场卫生、桌椅摆放是否符合要求：会场环境整洁、灯光亮度适中，空调温度适体、营造庄重、协调、整洁、舒适的会场气氛。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(2)准备会务用品：茶杯：茶杯须经过消毒，消毒时间不少于 20 分钟，杯体、杯盖无黄斑、无缺口，杯子干净、光亮、无指印，并列摆放在茶水间操作台面；热水瓶：表面清洁光亮，无水迹，水温控制在90度以上；矿泉水：水瓶洁净无灰尘，密封完好，瓶内无沉淀物，并在保质期内；盒装纸巾：保证纸量充足；开水：根据参会人数准备足量的开水。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(3)重要场所、重要会议活动，工作人员要认真遵守保密法规，做到不该听的坚决不听，不该问的坚决不问，不该说的坚决不说，不该看的文件资料坚决不看。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 xml:space="preserve">会议结束后的服务工作：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(1)检查会场是否有来宾遗忘的物品，如有发现应立即交还来宾或上交机关服务中心并做好记录；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(2)检查会场内是否有电器设备损坏，发现损坏及时通知工程主管进行修复；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(3)清理会议桌上的茶杯、矿泉水瓶等物品，将茶杯茶壶送到储水间进行清洗消毒；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(4)摆放桌椅，恢复原样，进行保洁清扫；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(5)关闭所有照明灯具、空调及会议设备；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(6)关闭会议室。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 xml:space="preserve">领导办公室的整理及日常接待客人茶水服务。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(1)根据领导要求参照会务接待服务要求提供上茶及清洁服务；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(2)根据领导要求对办公室进行整理。</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bidi="ar-SA"/>
        </w:rPr>
        <w:t>绿化服务</w:t>
      </w:r>
      <w:r>
        <w:rPr>
          <w:rFonts w:hint="eastAsia" w:ascii="宋体" w:hAnsi="宋体" w:cs="宋体"/>
          <w:b/>
          <w:bCs/>
          <w:color w:val="auto"/>
          <w:kern w:val="0"/>
          <w:sz w:val="21"/>
          <w:szCs w:val="21"/>
          <w:highlight w:val="none"/>
          <w:lang w:val="en-US" w:eastAsia="zh-CN" w:bidi="ar-SA"/>
        </w:rPr>
        <w:t>工作要求</w:t>
      </w:r>
      <w:r>
        <w:rPr>
          <w:rFonts w:hint="eastAsia" w:ascii="宋体" w:hAnsi="宋体" w:eastAsia="宋体" w:cs="宋体"/>
          <w:b/>
          <w:bCs/>
          <w:color w:val="auto"/>
          <w:kern w:val="0"/>
          <w:sz w:val="21"/>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1.草坪的养护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（1)目的标准：草种生长茂盛，草坪整齐，叶片健壮，生机勃勃。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（2)要求：一年绿色期应长于300天，覆盖率达98%以上。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（3)除杂草及补植：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草坪中杂草应及时除去，杂草率应低于3%，新接管的草坪要求半年内达标。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人工除杂草要将杂草连根拔除，压平目的草。 </w:t>
      </w:r>
    </w:p>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宋体" w:hAnsi="宋体" w:eastAsia="宋体" w:cs="宋体"/>
          <w:color w:val="auto"/>
          <w:kern w:val="0"/>
          <w:sz w:val="21"/>
          <w:szCs w:val="21"/>
          <w:highlight w:val="none"/>
          <w:lang w:val="en-US" w:eastAsia="zh-CN" w:bidi="ar-SA"/>
        </w:rPr>
      </w:pPr>
      <w:bookmarkStart w:id="21" w:name="OLE_LINK21"/>
      <w:r>
        <w:rPr>
          <w:rFonts w:hint="eastAsia" w:ascii="宋体" w:hAnsi="宋体" w:eastAsia="宋体" w:cs="宋体"/>
          <w:color w:val="auto"/>
          <w:kern w:val="0"/>
          <w:sz w:val="21"/>
          <w:szCs w:val="21"/>
          <w:highlight w:val="none"/>
          <w:lang w:val="en-US" w:eastAsia="zh-CN" w:bidi="ar-SA"/>
        </w:rPr>
        <w:t>（4）</w:t>
      </w:r>
      <w:bookmarkEnd w:id="21"/>
      <w:r>
        <w:rPr>
          <w:rFonts w:hint="eastAsia" w:ascii="宋体" w:hAnsi="宋体" w:eastAsia="宋体" w:cs="宋体"/>
          <w:color w:val="auto"/>
          <w:kern w:val="0"/>
          <w:sz w:val="21"/>
          <w:szCs w:val="21"/>
          <w:highlight w:val="none"/>
          <w:lang w:val="en-US" w:eastAsia="zh-CN" w:bidi="ar-SA"/>
        </w:rPr>
        <w:t>对被破坏或其它原因引起死亡的草坪植物应及时补植，保持草坪完整，无裸露地。（5）修剪标准：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草坪应适时进行修剪，使草的高度一致，边缘整齐，草坪的高度控制在5cm以下。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花基边和树旁边的草要修剪整齐。花基边修剪宽度控制在5cm以下，修剪前需清除草坪上的石</w:t>
      </w:r>
      <w:r>
        <w:rPr>
          <w:rFonts w:hint="eastAsia" w:ascii="宋体" w:hAnsi="宋体" w:cs="宋体"/>
          <w:color w:val="auto"/>
          <w:kern w:val="0"/>
          <w:sz w:val="21"/>
          <w:szCs w:val="21"/>
          <w:highlight w:val="none"/>
          <w:lang w:val="en-US" w:eastAsia="zh-CN" w:bidi="ar-SA"/>
        </w:rPr>
        <w:t>子</w:t>
      </w:r>
      <w:r>
        <w:rPr>
          <w:rFonts w:hint="eastAsia" w:ascii="宋体" w:hAnsi="宋体" w:eastAsia="宋体" w:cs="宋体"/>
          <w:color w:val="auto"/>
          <w:kern w:val="0"/>
          <w:sz w:val="21"/>
          <w:szCs w:val="21"/>
          <w:highlight w:val="none"/>
          <w:lang w:val="en-US" w:eastAsia="zh-CN" w:bidi="ar-SA"/>
        </w:rPr>
        <w:t xml:space="preserve">、瓦砾、树枝等杂物。修剪平整，边角无遗漏，草屑应及时清除。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病虫害防治：及时做好病虫害防治工作，做到以防为主，经常检查，发现病虫害及时处理，最严重的危害率控制在3%以下。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灌木的养护</w:t>
      </w:r>
      <w:r>
        <w:rPr>
          <w:rFonts w:hint="eastAsia" w:ascii="宋体" w:hAnsi="宋体" w:eastAsia="宋体" w:cs="宋体"/>
          <w:b/>
          <w:bCs/>
          <w:color w:val="auto"/>
          <w:kern w:val="0"/>
          <w:sz w:val="21"/>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（1)灌木的养护标准：生长旺盛，枝叶健壮，无空脚、光秃现象，保证开花植物在花期内的充分开花。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（2)灌溉：根据植物的生理特性进行合理灌溉，原则上晴天每天淋水淋透两次，并经常进行叶面喷水，保持土壤全天候湿润。（管理员登记在册并报主管领导）。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（3)通常在每年春、秋季重点施肥各 3-4 次，施肥后应及时淋水，不能污染叶片，以复合肥为主，有机肥为辅。</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（4)整形修剪：根据每种植物的生长发育特点，适时适量修剪，保证造型美观。黄叶及枯枝要及时剪除，花坛、绿篱应保持经常性修剪，乱枝的生长不得超过 10cm,保持图案明显、整齐，达到最佳视觉效果。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（5)中耕除草：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发现杂草及时清除，除杂草要连根拔除。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经常性中耕、松土；中耕深度适当，不伤害植物根系或造成根系裸露。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（6)病虫害防治：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对病虫害要及时防治经常检查，及时处理，最严重</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 xml:space="preserve">危害率在5%以下。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药物的种类和用量，要达到防治的目的，且符合环保的要求和标准，喷药尽量安排在非工作日进行。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（7)补植和改植：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如果</w:t>
      </w:r>
      <w:r>
        <w:rPr>
          <w:rFonts w:hint="eastAsia" w:ascii="宋体" w:hAnsi="宋体" w:cs="宋体"/>
          <w:color w:val="auto"/>
          <w:kern w:val="0"/>
          <w:sz w:val="21"/>
          <w:szCs w:val="21"/>
          <w:highlight w:val="none"/>
          <w:lang w:val="en-US" w:eastAsia="zh-CN" w:bidi="ar-SA"/>
        </w:rPr>
        <w:t>出现</w:t>
      </w:r>
      <w:r>
        <w:rPr>
          <w:rFonts w:hint="eastAsia" w:ascii="宋体" w:hAnsi="宋体" w:eastAsia="宋体" w:cs="宋体"/>
          <w:color w:val="auto"/>
          <w:kern w:val="0"/>
          <w:sz w:val="21"/>
          <w:szCs w:val="21"/>
          <w:highlight w:val="none"/>
          <w:lang w:val="en-US" w:eastAsia="zh-CN" w:bidi="ar-SA"/>
        </w:rPr>
        <w:t xml:space="preserve">缺苗现象，应及时补植，补回原来的种类，规格尽量与原植株接近。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补植后加强淋水等保养工作，成活率应大于95%。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对生长不宜的植物，进行换种改种，选用植物品种确保生长良好，且与周围的环境协调。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乔木的养护</w:t>
      </w:r>
      <w:r>
        <w:rPr>
          <w:rFonts w:hint="eastAsia" w:ascii="宋体" w:hAnsi="宋体" w:eastAsia="宋体" w:cs="宋体"/>
          <w:b/>
          <w:bCs/>
          <w:color w:val="auto"/>
          <w:kern w:val="0"/>
          <w:sz w:val="21"/>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（1)乔木养护的标准是：生长势好，枝叶健壮，生长数量超过该树种该规格的平均年生长量，树型美观，分枝点恰当。无死树缺株、无枯枝残叶、无明显人为破坏、最严重的病虫害率在 5%以下。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（2)灌溉与排水：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根据不同植物种类，不同树龄及季节气候条件适当淋水，保持土壤有效水分，保证植物正常生长，原则上在晴天每2天淋一次，且要淋足水。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暴雨天应排除树木周围的积水、避免树根窒息、腐烂。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（3)施肥：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每年春、秋季重点施肥2-3次，以有机肥和复合肥为主。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施肥后要及时进行淋水，使料肥及时渗入，避免伤害树根。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（4)整形修剪：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自然型修剪应根据植物生长特性合理修剪，以达到最理想的生长和观赏效果，每年修剪一次。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造型修剪则应按预定的形体进行修剪，成形并保持一定的形状，每年修剪三次以上。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影响高压线及交通、照明设备的树枝应及时剪除。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t xml:space="preserve">对徒长枝、病虫枝、交叉枝、并生枝、下垂枝、枯枝、残枝等应及时剪除。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⑤</w:t>
      </w:r>
      <w:r>
        <w:rPr>
          <w:rFonts w:hint="eastAsia" w:ascii="宋体" w:hAnsi="宋体" w:eastAsia="宋体" w:cs="宋体"/>
          <w:color w:val="auto"/>
          <w:kern w:val="0"/>
          <w:sz w:val="21"/>
          <w:szCs w:val="21"/>
          <w:highlight w:val="none"/>
          <w:lang w:val="en-US" w:eastAsia="zh-CN" w:bidi="ar-SA"/>
        </w:rPr>
        <w:t xml:space="preserve">修剪时按操作规程进行，防止发生安全事故。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（5)中耕除草：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树头位杂草及时清除，对影响树木生长和景观效果的各类野生藤蔓及时清除。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树木根部附近的土壤保持疏松，中耕深度以不伤根系为限。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中耕除草应在天气晴朗，且土壤不过分潮湿时进行，应及时清除杂草和土壤中的瓦砾、石块等。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（6)病虫害的防治：对树木的病虫害要及时喷杀，发生病虫害最严重的危害率在5%以下，单株受害程度在5%以下。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（7)补种和改植：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及</w:t>
      </w:r>
      <w:r>
        <w:rPr>
          <w:rFonts w:hint="eastAsia" w:ascii="宋体" w:hAnsi="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lang w:val="en-US" w:eastAsia="zh-CN" w:bidi="ar-SA"/>
        </w:rPr>
        <w:t xml:space="preserve">清理死树，并在两周内补植回原来的树枝，规格与原有的树木接近。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对已呈老化或明显与周围环境景观不协调的树木应进行改植，改植方案报批后方可实施。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（8)防台风及意外：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t xml:space="preserve">作好防台风工作，台风前加强防御措施。对一些浅根性，树冠庞大、树叶过密以及立地条件较差的乔木作好加固措施。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t xml:space="preserve">风暴后迅速清理倒树、断枝，疏通道路，及时进行扶树、护树。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t xml:space="preserve">对撞倒、撞伤的树木，及时处理现场，及时扶植。损伤严重的树木及时清除，于两周内补植原规格树种。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t xml:space="preserve">乔木距地面1.2M以下，树身于每年底前做防虫害防冷工作。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default" w:ascii="Cambria" w:hAnsi="Cambria" w:eastAsia="宋体" w:cs="Cambria"/>
          <w:color w:val="auto"/>
          <w:kern w:val="0"/>
          <w:sz w:val="21"/>
          <w:szCs w:val="21"/>
          <w:highlight w:val="none"/>
          <w:lang w:val="en-US" w:eastAsia="zh-CN" w:bidi="ar-SA"/>
        </w:rPr>
        <w:t>⑤</w:t>
      </w:r>
      <w:r>
        <w:rPr>
          <w:rFonts w:hint="eastAsia" w:ascii="宋体" w:hAnsi="宋体" w:eastAsia="宋体" w:cs="宋体"/>
          <w:color w:val="auto"/>
          <w:kern w:val="0"/>
          <w:sz w:val="21"/>
          <w:szCs w:val="21"/>
          <w:highlight w:val="none"/>
          <w:lang w:val="en-US" w:eastAsia="zh-CN" w:bidi="ar-SA"/>
        </w:rPr>
        <w:t xml:space="preserve">乔木类，若确因承包管理不善导致死亡的，要负责及时购买补种，并确保成活。属于不可抗力的，协商解决，视具体情况而定。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 xml:space="preserve">绿化带环境卫生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（1)绿地清洁，无垃圾杂物、无石砾砖块、无干枯枝叶、无粪便暴露、无悬挂物，绿化标语牌、绿化围栏及其他绿化方面设备长期保</w:t>
      </w:r>
      <w:r>
        <w:rPr>
          <w:rFonts w:hint="eastAsia" w:ascii="宋体" w:hAnsi="宋体" w:cs="宋体"/>
          <w:color w:val="auto"/>
          <w:kern w:val="0"/>
          <w:sz w:val="21"/>
          <w:szCs w:val="21"/>
          <w:highlight w:val="none"/>
          <w:lang w:val="en-US" w:eastAsia="zh-CN" w:bidi="ar-SA"/>
        </w:rPr>
        <w:t>持</w:t>
      </w:r>
      <w:r>
        <w:rPr>
          <w:rFonts w:hint="eastAsia" w:ascii="宋体" w:hAnsi="宋体" w:eastAsia="宋体" w:cs="宋体"/>
          <w:color w:val="auto"/>
          <w:kern w:val="0"/>
          <w:sz w:val="21"/>
          <w:szCs w:val="21"/>
          <w:highlight w:val="none"/>
          <w:lang w:val="en-US" w:eastAsia="zh-CN" w:bidi="ar-SA"/>
        </w:rPr>
        <w:t xml:space="preserve">干净、明亮，无明显灰尘、油迹。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（2)每天早晨清扫完所有生活垃圾，及时清理瓦砾石块、枯枝残叶等，清洁、整理蚊蝇滋生地，发现鼠洞及时堵塞，发现白蚁及时作好有效处理。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（3)清除垃圾杂物后，注意保洁。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（4)归堆后的垃圾杂物堆放在隐蔽的地方，做到日产日清，不过夜、不焚烧，不造成二次污染。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（5)行道树、绿篱修剪下的枝叶，应随时堆放在路边不影响车辆行人处，并及时进行收纳处理，不得影响行人通行安全和观瞻。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 xml:space="preserve">服务标准和质量指标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 xml:space="preserve">）管理服务范围内无因中标人管理不当而发生重大刑事案件和重大交通及重大火灾等安全事故。办公楼内无被盗等治安案件的发生，无纵火、爆炸、投毒、食物中毒等恶性事（案）件发生、无外事纠纷、泄密等事（案）件发生。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）严格遵守有关消防管理规定，确保无因中标人管理不当而发生消防事故，消防设备完好率100%。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 xml:space="preserve">）办公楼设施、机电设备无操作管理、使用责任事故发生。全部外包项目（含采购人外包项目）及大楼内施工工程无因中标人监管不到位而发生安全事故。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 xml:space="preserve">）各项设施设备的维修保养工作，须按采购人要求的时限，高效、保质、保量完成。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 xml:space="preserve">）除因基建质量、设备质量在保养期内等特殊原因外，房屋及配套设施、设备完好率达99%；零星维修、急修(2小时内完成)及时率达99%以上(网络等专业设施除外)。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 xml:space="preserve">）管理范围内照明、化粪池、雨水井、污水井、排水管、明暗沟、停车场、道路完好率99%以上。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 xml:space="preserve">）实行动态保洁，卫生清洁保洁率99%。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 xml:space="preserve">）综合管理服务满意率在95%以上；投诉处理率100%。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 xml:space="preserve">）中标人一切管理服务工作的实施，须以服从于采购人的工作需要为前提，以方便采购人为原则。维修保养等工作通常情况下尽可能在采购人工作时间以外进行。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 xml:space="preserve">）根据有关规定和采购人需求，拟定详细的管理服务细则或拟定详细的管理服务实施方案，且经采购人认可后方能实施。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四、服务工作人员配备要求 </w:t>
      </w:r>
    </w:p>
    <w:p>
      <w:pPr>
        <w:keepNext w:val="0"/>
        <w:keepLines w:val="0"/>
        <w:pageBreakBefore w:val="0"/>
        <w:widowControl/>
        <w:suppressLineNumbers w:val="0"/>
        <w:kinsoku/>
        <w:wordWrap/>
        <w:overflowPunct/>
        <w:topLinePunct w:val="0"/>
        <w:autoSpaceDE/>
        <w:autoSpaceDN/>
        <w:bidi w:val="0"/>
        <w:snapToGrid/>
        <w:spacing w:line="400" w:lineRule="exact"/>
        <w:ind w:left="0" w:lef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一）采购人委托管理的事项中，除按照国家有关规定须由有资质专业单位进行服务保障的项目和采购人允许外包的项目外，未经采购人书面同意，中标人不得将本项目的管理责任转让给第三方，更不得将管理项目进行分拆或分包、转包。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（二）合同期内采购人新增各类设备（大型设备除外）的管理、维修、保养均由中标人负责，采购人不另增加费用。</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bookmarkStart w:id="22" w:name="OLE_LINK19"/>
      <w:r>
        <w:rPr>
          <w:rFonts w:hint="eastAsia" w:ascii="宋体" w:hAnsi="宋体" w:eastAsia="宋体" w:cs="宋体"/>
          <w:color w:val="auto"/>
          <w:kern w:val="0"/>
          <w:sz w:val="21"/>
          <w:szCs w:val="21"/>
          <w:highlight w:val="none"/>
          <w:lang w:val="en-US" w:eastAsia="zh-CN" w:bidi="ar-SA"/>
        </w:rPr>
        <w:t>（三）</w:t>
      </w:r>
      <w:bookmarkEnd w:id="22"/>
      <w:r>
        <w:rPr>
          <w:rFonts w:hint="eastAsia" w:ascii="宋体" w:hAnsi="宋体" w:eastAsia="宋体" w:cs="宋体"/>
          <w:color w:val="auto"/>
          <w:kern w:val="0"/>
          <w:sz w:val="21"/>
          <w:szCs w:val="21"/>
          <w:highlight w:val="none"/>
          <w:lang w:val="en-US" w:eastAsia="zh-CN" w:bidi="ar-SA"/>
        </w:rPr>
        <w:t xml:space="preserve">服务工作人员配置基本要求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1.中标人应结合具体的工作范围及要求，向采购人派出经过专业技术培训(具备相关专业证书)的、熟悉相关工作的、具备相关专业工作能力的服务工作人员负责采购人服务工作。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2.中标人向采购人派出的所有人员应符合以下条件：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bookmarkStart w:id="23" w:name="OLE_LINK17"/>
      <w:r>
        <w:rPr>
          <w:rFonts w:hint="eastAsia" w:ascii="宋体" w:hAnsi="宋体" w:eastAsia="宋体" w:cs="宋体"/>
          <w:color w:val="auto"/>
          <w:kern w:val="0"/>
          <w:sz w:val="21"/>
          <w:szCs w:val="21"/>
          <w:highlight w:val="none"/>
          <w:lang w:val="en-US" w:eastAsia="zh-CN" w:bidi="ar-SA"/>
        </w:rPr>
        <w:t>(1)</w:t>
      </w:r>
      <w:bookmarkEnd w:id="23"/>
      <w:r>
        <w:rPr>
          <w:rFonts w:hint="eastAsia" w:ascii="宋体" w:hAnsi="宋体" w:eastAsia="宋体" w:cs="宋体"/>
          <w:color w:val="auto"/>
          <w:kern w:val="0"/>
          <w:sz w:val="21"/>
          <w:szCs w:val="21"/>
          <w:highlight w:val="none"/>
          <w:lang w:val="en-US" w:eastAsia="zh-CN" w:bidi="ar-SA"/>
        </w:rPr>
        <w:t xml:space="preserve">18岁以上的中国公民；拥护中国共产党的领导、拥护社会主义制度的中国公民；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bookmarkStart w:id="24" w:name="OLE_LINK18"/>
      <w:r>
        <w:rPr>
          <w:rFonts w:hint="eastAsia" w:ascii="宋体" w:hAnsi="宋体" w:eastAsia="宋体" w:cs="宋体"/>
          <w:color w:val="auto"/>
          <w:kern w:val="0"/>
          <w:sz w:val="21"/>
          <w:szCs w:val="21"/>
          <w:highlight w:val="none"/>
          <w:lang w:val="en-US" w:eastAsia="zh-CN" w:bidi="ar-SA"/>
        </w:rPr>
        <w:t>(2)</w:t>
      </w:r>
      <w:bookmarkEnd w:id="24"/>
      <w:r>
        <w:rPr>
          <w:rFonts w:hint="eastAsia" w:ascii="宋体" w:hAnsi="宋体" w:eastAsia="宋体" w:cs="宋体"/>
          <w:color w:val="auto"/>
          <w:kern w:val="0"/>
          <w:sz w:val="21"/>
          <w:szCs w:val="21"/>
          <w:highlight w:val="none"/>
          <w:lang w:val="en-US" w:eastAsia="zh-CN" w:bidi="ar-SA"/>
        </w:rPr>
        <w:t xml:space="preserve">身体健康；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(3)遵守法纪、品行良好，无被刑事处罚、强制性教育、强制隔离戒毒或者被开除公职、开除军籍等记录，没有参与政府明令禁止的非法组织及活动；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(4)维修技工等特殊工种人员须持有国家认可或行业认可的相关的服务工作的上岗证书；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(5)责任心强、具有强烈的服务意识，具有吃苦耐劳、勤俭节约、严谨细致、勤恳扎实的工作作风。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3.中标人须设立完整的现场管理服务组织机构，配备相应的各管理岗位人员。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备注：(1)保安员岗位实行24小时轮班制度，供应商可在不违反劳动法相关规定及采购人要求的前提下，对保安各岗位灵活进行人员配置，确保各岗位值班人员满足采购人各岗位要求出勤值班。(2)本项目属国家审判机关，部分案件的宣判结果当事人无法接受，造成部分当事人有自残、自暴等行为，要求中标人具备基本医疗救护知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（四）各服务岗位最低数量要求及任职条件需求 </w:t>
      </w:r>
    </w:p>
    <w:tbl>
      <w:tblPr>
        <w:tblStyle w:val="25"/>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218"/>
        <w:gridCol w:w="907"/>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分类</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岗位</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岗位数</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负责项目整体运作、联络、协调、管理等。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客服管理</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协助项目经理做好各部门的人事招聘、档案管理、会务接待同时兼管保洁部门工作。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万能工</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负责水电、工程维修等工作。须持证上岗。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安保部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保安</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负责院机关及相关派出法庭、派出点的安全保卫、安检，及其他相关工作。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保洁部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保洁员</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负责项目范围的保洁工作等。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绿化部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bookmarkStart w:id="25" w:name="OLE_LINK26"/>
            <w:r>
              <w:rPr>
                <w:rFonts w:hint="eastAsia" w:ascii="宋体" w:hAnsi="宋体" w:eastAsia="宋体" w:cs="宋体"/>
                <w:sz w:val="21"/>
                <w:szCs w:val="21"/>
                <w:highlight w:val="none"/>
                <w:lang w:val="en-US" w:eastAsia="zh-CN"/>
              </w:rPr>
              <w:t>园艺工</w:t>
            </w:r>
            <w:bookmarkEnd w:id="25"/>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负责项目范围的绿化养护等工作。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各人民法庭等外派机构服务部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食堂、保洁、门卫</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4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负责食堂、门卫、保洁等工作，地点为岔路、深甽、桥头胡、力洋、长街、桃源等六个法庭。</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1.项目经理：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(1)年龄28～40周岁，本科或以上学历；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(2)具备5年以上项目管理经验。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2.客服管理员：</w:t>
      </w:r>
      <w:r>
        <w:rPr>
          <w:rFonts w:hint="eastAsia" w:ascii="宋体" w:hAnsi="宋体" w:cs="宋体"/>
          <w:color w:val="auto"/>
          <w:kern w:val="0"/>
          <w:sz w:val="21"/>
          <w:szCs w:val="21"/>
          <w:highlight w:val="none"/>
          <w:lang w:val="en-US" w:eastAsia="zh-CN" w:bidi="ar-SA"/>
        </w:rPr>
        <w:t>女，</w:t>
      </w:r>
      <w:r>
        <w:rPr>
          <w:rFonts w:hint="eastAsia" w:ascii="宋体" w:hAnsi="宋体" w:eastAsia="宋体" w:cs="宋体"/>
          <w:color w:val="auto"/>
          <w:kern w:val="0"/>
          <w:sz w:val="21"/>
          <w:szCs w:val="21"/>
          <w:highlight w:val="none"/>
          <w:lang w:val="en-US" w:eastAsia="zh-CN" w:bidi="ar-SA"/>
        </w:rPr>
        <w:t>年龄35</w:t>
      </w:r>
      <w:bookmarkStart w:id="26" w:name="OLE_LINK47"/>
      <w:r>
        <w:rPr>
          <w:rFonts w:hint="eastAsia" w:ascii="宋体" w:hAnsi="宋体" w:eastAsia="宋体" w:cs="宋体"/>
          <w:color w:val="auto"/>
          <w:kern w:val="0"/>
          <w:sz w:val="21"/>
          <w:szCs w:val="21"/>
          <w:highlight w:val="none"/>
          <w:lang w:val="en-US" w:eastAsia="zh-CN" w:bidi="ar-SA"/>
        </w:rPr>
        <w:t>～</w:t>
      </w:r>
      <w:bookmarkEnd w:id="26"/>
      <w:r>
        <w:rPr>
          <w:rFonts w:hint="eastAsia" w:ascii="宋体" w:hAnsi="宋体" w:eastAsia="宋体" w:cs="宋体"/>
          <w:color w:val="auto"/>
          <w:kern w:val="0"/>
          <w:sz w:val="21"/>
          <w:szCs w:val="21"/>
          <w:highlight w:val="none"/>
          <w:lang w:val="en-US" w:eastAsia="zh-CN" w:bidi="ar-SA"/>
        </w:rPr>
        <w:t>42周岁，本科或以上学历。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3.法院保安员：年龄20～50周岁。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4.派出法庭及办案点保安员：年龄20～55周岁。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5.清洁、杂工：女，年龄20～55周岁；男，年龄20～60周岁。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sz w:val="21"/>
          <w:szCs w:val="21"/>
          <w:highlight w:val="none"/>
          <w:lang w:val="en-US" w:eastAsia="zh-CN"/>
        </w:rPr>
        <w:t>园艺工</w:t>
      </w:r>
      <w:r>
        <w:rPr>
          <w:rFonts w:hint="eastAsia" w:ascii="宋体" w:hAnsi="宋体" w:eastAsia="宋体" w:cs="宋体"/>
          <w:color w:val="auto"/>
          <w:kern w:val="0"/>
          <w:sz w:val="21"/>
          <w:szCs w:val="21"/>
          <w:highlight w:val="none"/>
          <w:lang w:val="en-US" w:eastAsia="zh-CN" w:bidi="ar-SA"/>
        </w:rPr>
        <w:t xml:space="preserve">：女，年龄20～55周岁；男，年龄20～-60周岁。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7.万能工：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(1)年龄30～50周岁；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(2)持有高配证、电工证。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（五）综合服务工作人员的管理培训要求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1.中标人应当重视管理和培训工作。制定培训计划，对各类综合服务工作人员进行定期培训，提高其业务工作能力、处置各类突发事件能力。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2.每周对综合服务工作进行全面的检查，发现不足及时整改，切实落实奖惩制度，表现突出的工作人员应当予以表扬、对于各种怠于履行职责的服务</w:t>
      </w:r>
      <w:r>
        <w:rPr>
          <w:rFonts w:hint="eastAsia" w:ascii="宋体" w:hAnsi="宋体" w:cs="宋体"/>
          <w:color w:val="auto"/>
          <w:kern w:val="0"/>
          <w:sz w:val="21"/>
          <w:szCs w:val="21"/>
          <w:highlight w:val="none"/>
          <w:lang w:val="en-US" w:eastAsia="zh-CN" w:bidi="ar-SA"/>
        </w:rPr>
        <w:t>工</w:t>
      </w:r>
      <w:r>
        <w:rPr>
          <w:rFonts w:hint="eastAsia" w:ascii="宋体" w:hAnsi="宋体" w:eastAsia="宋体" w:cs="宋体"/>
          <w:color w:val="auto"/>
          <w:kern w:val="0"/>
          <w:sz w:val="21"/>
          <w:szCs w:val="21"/>
          <w:highlight w:val="none"/>
          <w:lang w:val="en-US" w:eastAsia="zh-CN" w:bidi="ar-SA"/>
        </w:rPr>
        <w:t xml:space="preserve">作人员应当及时批评教育或辞退。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3.培训内容为：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保安人员的培训内容为：安防、安检技能知识、消防安全知识、现场保护知识、队列知识、保安礼仪常识、安全管理知识(含各类安保突发事件的处置知识)、安全咨询知识、法律常识、消防设备设施的操作、安防设备设施及工具的操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(2)卫生清洁人员及会务/服务员的培训内容为：消防安全知识、礼仪常识、安全管理知识(含各类安保突发事件的处置知识)、安全咨询知识、法律常识、卫生清洁和“消杀”(消毒灭菌)除“四害”知识及操作办法。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(3)设备管理人员的培训内容为：消防安全知识、礼仪常识、安全管理知识 (含各类突发事件的处置知识)、安全咨询知识、法律常识、消防设备设施的操作、安防设备设施及工具的操作、电工知识及操作。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(4)综合服务管理人员的培训内容为：综合服务知识、人事管理、公文应用及管理、礼仪常识等知识和技能培训。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4.每月进行一次培训，培训项目可分开交叉进行；每季度对综合服务员工进行一次考核。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5.根据考核结果和实际工作需要，每季针对个别培训项目或人员进行针对性训练。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五、中标人和采购人责任义务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（一）鉴于项目地点为国家审判机关，综合服务中的安全使用直接影响到审判机关的正常运作，因此本项目的日常管理与其他商业写字楼、住宅小区有较大的区别，在界定责任义务时按有利于采购人的原则执行。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（二）在管理服务期内由于中标人责任造成群众、大楼工作人员人身伤亡和财产损失的，由中标人承担相应责任并赔偿。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（三）中标人工作人员在办公楼范围内发生违法、违规行为的，所造成一切后果及损失，由行为人承担全部法律责任并负责赔偿。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（四）中标人负责承担和支付所属员工的工资福利。依照劳动法规承担和交缴所属员工的社会保险费（企业应缴部分）、节假日补助及规定的税费等费用。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（五）采购人移交给中标人的综合服务管理档案，合同期满须完整移交给采购人。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（六）合同期满之日如果未能续约，要按时撤离，并做好管理服务事项交接和相关资料移交工作。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（七）中标人在采购人处应设置综合管理服务处管理整个项目服务工作,中标人应服从采购人项目主管部门的管理及安保等相关业务责任部门的指导，综合管理服务处应做好与其沟通工作,确保服务质量。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（八）中标人应严格按照采购需求和合同要求建立专业稳定的组织架构和完善的管理机制,提高管理效能。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（九）根据采购需求、合同约定及法律规定,中标人应建立健全综合管理服务制度并交由采购人审定后成为双方工作准则。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十）中标人应结合项目实际，制定相应的综合管理服务制度，按采购人需求和合同要求建立应急工作处置制度,对采购人提出的工作需求应有明确处理办法。遇突发紧急事件、举办大型活动或特殊情况时,采购人可直接指挥综合管理服务人员完成服务工作,中标人不得以任何理由阻扰。建立健全各类员工的在岗培训和考评制度,加强对员工的管理、教育和培训,提高员工的职业道德水平、法律素质、专业技能和责任意识</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严格按照各岗位人员业务专业管理法规要求管理和培训员工</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定期对员工进行考核,发现员工严重违反制度或者其他不称职行为,应及时清退处理。根据采购人要求和实际工作需要,依法制定人员招(聘)用制度,建立管理队伍,制订切合采购人实际的综合管理制度、岗位职责、奖惩制度。根据采购人要求和实际工作需要,建立内部管理架构、设置机构,健全运作机制、工作流程、信息反馈渠道、控制方式等</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设立 24 小时服务电话,建立完善的接诉、处理、回访机制</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每周回访一次，听取意见，改正工作。建立综合管理服务档案，根据采购需求，收集各项综合服务工作资料并分类整理、归档管理，实行综合服务工作的规范化管理，实现服务管理程序化，全程记载所有服务工作过程和责任人</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以提供采购人随时监控、抽查、核实服务质量。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（十一）中标人严格遵守《中华人民共和国劳动法》、《</w:t>
      </w:r>
      <w:bookmarkStart w:id="27" w:name="OLE_LINK29"/>
      <w:r>
        <w:rPr>
          <w:rFonts w:hint="eastAsia" w:ascii="宋体" w:hAnsi="宋体" w:eastAsia="宋体" w:cs="宋体"/>
          <w:color w:val="auto"/>
          <w:kern w:val="0"/>
          <w:sz w:val="21"/>
          <w:szCs w:val="21"/>
          <w:highlight w:val="none"/>
          <w:lang w:val="en-US" w:eastAsia="zh-CN" w:bidi="ar"/>
        </w:rPr>
        <w:t>中华人民共和国劳动合同法</w:t>
      </w:r>
      <w:bookmarkEnd w:id="27"/>
      <w:r>
        <w:rPr>
          <w:rFonts w:hint="eastAsia" w:ascii="宋体" w:hAnsi="宋体" w:eastAsia="宋体" w:cs="宋体"/>
          <w:color w:val="auto"/>
          <w:kern w:val="0"/>
          <w:sz w:val="21"/>
          <w:szCs w:val="21"/>
          <w:highlight w:val="none"/>
          <w:lang w:val="en-US" w:eastAsia="zh-CN" w:bidi="ar"/>
        </w:rPr>
        <w:t>》、《</w:t>
      </w:r>
      <w:bookmarkStart w:id="28" w:name="OLE_LINK30"/>
      <w:r>
        <w:rPr>
          <w:rFonts w:hint="eastAsia" w:ascii="宋体" w:hAnsi="宋体" w:eastAsia="宋体" w:cs="宋体"/>
          <w:color w:val="auto"/>
          <w:kern w:val="0"/>
          <w:sz w:val="21"/>
          <w:szCs w:val="21"/>
          <w:highlight w:val="none"/>
          <w:lang w:val="en-US" w:eastAsia="zh-CN" w:bidi="ar"/>
        </w:rPr>
        <w:t>中华人民共和国社会保险法</w:t>
      </w:r>
      <w:bookmarkEnd w:id="28"/>
      <w:r>
        <w:rPr>
          <w:rFonts w:hint="eastAsia" w:ascii="宋体" w:hAnsi="宋体" w:eastAsia="宋体" w:cs="宋体"/>
          <w:color w:val="auto"/>
          <w:kern w:val="0"/>
          <w:sz w:val="21"/>
          <w:szCs w:val="21"/>
          <w:highlight w:val="none"/>
          <w:lang w:val="en-US" w:eastAsia="zh-CN" w:bidi="ar"/>
        </w:rPr>
        <w:t>》的规定，依法与员工签订劳动合同，保障员工在社会保险、劳动用工、劳动保护、工资福利、教育培训等方面的合法权益。中标人应在劳动社保部门和保险机构为员工按不低于当地最低工资标准交纳“五险”。全部员工须符合政府用工标准要求</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按月发放员工工资,不得以任何理由克扣员工工资。中标人应该承担员工解除劳动合同、工伤、社保、劳保福利等法律责任。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（十二）合同期间,中标人加强对员工的管理，其员工在项目范围内发生违法、违规行为或从事高危工种违规操作所造成一切后果,由行为人承担。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（十</w:t>
      </w:r>
      <w:r>
        <w:rPr>
          <w:rFonts w:hint="eastAsia" w:ascii="宋体" w:hAnsi="宋体" w:cs="宋体"/>
          <w:color w:val="auto"/>
          <w:kern w:val="0"/>
          <w:sz w:val="21"/>
          <w:szCs w:val="21"/>
          <w:highlight w:val="none"/>
          <w:lang w:val="en-US" w:eastAsia="zh-CN" w:bidi="ar"/>
        </w:rPr>
        <w:t>三</w:t>
      </w:r>
      <w:r>
        <w:rPr>
          <w:rFonts w:hint="eastAsia" w:ascii="宋体" w:hAnsi="宋体" w:eastAsia="宋体" w:cs="宋体"/>
          <w:color w:val="auto"/>
          <w:kern w:val="0"/>
          <w:sz w:val="21"/>
          <w:szCs w:val="21"/>
          <w:highlight w:val="none"/>
          <w:lang w:val="en-US" w:eastAsia="zh-CN" w:bidi="ar"/>
        </w:rPr>
        <w:t xml:space="preserve">）中标人应保证其派驻人员均为正式招(聘)用员工,不得以任何理由向采购人派驻临时性工作人员(包括实习人员、试用工)。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color w:val="auto"/>
          <w:sz w:val="21"/>
          <w:szCs w:val="21"/>
          <w:highlight w:val="none"/>
        </w:rPr>
      </w:pPr>
      <w:bookmarkStart w:id="29" w:name="OLE_LINK22"/>
      <w:r>
        <w:rPr>
          <w:rFonts w:hint="eastAsia" w:ascii="宋体" w:hAnsi="宋体" w:eastAsia="宋体" w:cs="宋体"/>
          <w:b/>
          <w:bCs/>
          <w:color w:val="auto"/>
          <w:kern w:val="0"/>
          <w:sz w:val="21"/>
          <w:szCs w:val="21"/>
          <w:highlight w:val="none"/>
          <w:lang w:val="en-US" w:eastAsia="zh-CN" w:bidi="ar"/>
        </w:rPr>
        <w:t>★</w:t>
      </w:r>
      <w:bookmarkEnd w:id="29"/>
      <w:r>
        <w:rPr>
          <w:rFonts w:hint="eastAsia" w:ascii="宋体" w:hAnsi="宋体" w:eastAsia="宋体" w:cs="宋体"/>
          <w:b/>
          <w:bCs/>
          <w:color w:val="auto"/>
          <w:kern w:val="0"/>
          <w:sz w:val="21"/>
          <w:szCs w:val="21"/>
          <w:highlight w:val="none"/>
          <w:lang w:val="en-US" w:eastAsia="zh-CN" w:bidi="ar"/>
        </w:rPr>
        <w:t>（十</w:t>
      </w:r>
      <w:r>
        <w:rPr>
          <w:rFonts w:hint="eastAsia" w:ascii="宋体" w:hAnsi="宋体" w:cs="宋体"/>
          <w:b/>
          <w:bCs/>
          <w:color w:val="auto"/>
          <w:kern w:val="0"/>
          <w:sz w:val="21"/>
          <w:szCs w:val="21"/>
          <w:highlight w:val="none"/>
          <w:lang w:val="en-US" w:eastAsia="zh-CN" w:bidi="ar"/>
        </w:rPr>
        <w:t>四</w:t>
      </w:r>
      <w:r>
        <w:rPr>
          <w:rFonts w:hint="eastAsia" w:ascii="宋体" w:hAnsi="宋体" w:eastAsia="宋体" w:cs="宋体"/>
          <w:b/>
          <w:bCs/>
          <w:color w:val="auto"/>
          <w:kern w:val="0"/>
          <w:sz w:val="21"/>
          <w:szCs w:val="21"/>
          <w:highlight w:val="none"/>
          <w:lang w:val="en-US" w:eastAsia="zh-CN" w:bidi="ar"/>
        </w:rPr>
        <w:t>）中标人招(聘)用服务人员岗位数不得低于本章“</w:t>
      </w:r>
      <w:bookmarkStart w:id="30" w:name="OLE_LINK20"/>
      <w:r>
        <w:rPr>
          <w:rFonts w:hint="eastAsia" w:ascii="宋体" w:hAnsi="宋体" w:eastAsia="宋体" w:cs="宋体"/>
          <w:b/>
          <w:bCs/>
          <w:color w:val="auto"/>
          <w:kern w:val="0"/>
          <w:sz w:val="21"/>
          <w:szCs w:val="21"/>
          <w:highlight w:val="none"/>
          <w:lang w:val="en-US" w:eastAsia="zh-CN" w:bidi="ar"/>
        </w:rPr>
        <w:t>各服务岗位最低数</w:t>
      </w:r>
      <w:bookmarkEnd w:id="30"/>
      <w:r>
        <w:rPr>
          <w:rFonts w:hint="eastAsia" w:ascii="宋体" w:hAnsi="宋体" w:eastAsia="宋体" w:cs="宋体"/>
          <w:b/>
          <w:bCs/>
          <w:color w:val="auto"/>
          <w:kern w:val="0"/>
          <w:sz w:val="21"/>
          <w:szCs w:val="21"/>
          <w:highlight w:val="none"/>
          <w:lang w:val="en-US" w:eastAsia="zh-CN" w:bidi="ar"/>
        </w:rPr>
        <w:t>量要求及任职条件需求 ”要求（其中除各人民法庭等外派机构服务部外各岗位最少实到1人），且必须在合同签订后5个工作日内全部到岗，否则采购人有权取消中标人的中标资格，并无条件终止合同，中标人须承担采购人相关的损失。（</w:t>
      </w:r>
      <w:r>
        <w:rPr>
          <w:rFonts w:hint="eastAsia" w:ascii="宋体" w:hAnsi="宋体" w:cs="宋体"/>
          <w:b/>
          <w:bCs/>
          <w:color w:val="auto"/>
          <w:kern w:val="0"/>
          <w:sz w:val="21"/>
          <w:szCs w:val="21"/>
          <w:highlight w:val="none"/>
          <w:lang w:val="en-US" w:eastAsia="zh-CN" w:bidi="ar"/>
        </w:rPr>
        <w:t>投标文件中须附承诺函加盖公章</w:t>
      </w:r>
      <w:r>
        <w:rPr>
          <w:rFonts w:hint="eastAsia" w:ascii="宋体" w:hAnsi="宋体" w:eastAsia="宋体" w:cs="宋体"/>
          <w:b/>
          <w:bCs/>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（十</w:t>
      </w:r>
      <w:r>
        <w:rPr>
          <w:rFonts w:hint="eastAsia" w:ascii="宋体" w:hAnsi="宋体" w:cs="宋体"/>
          <w:color w:val="auto"/>
          <w:kern w:val="0"/>
          <w:sz w:val="21"/>
          <w:szCs w:val="21"/>
          <w:highlight w:val="none"/>
          <w:lang w:val="en-US" w:eastAsia="zh-CN" w:bidi="ar"/>
        </w:rPr>
        <w:t>五</w:t>
      </w:r>
      <w:r>
        <w:rPr>
          <w:rFonts w:hint="eastAsia" w:ascii="宋体" w:hAnsi="宋体" w:eastAsia="宋体" w:cs="宋体"/>
          <w:color w:val="auto"/>
          <w:kern w:val="0"/>
          <w:sz w:val="21"/>
          <w:szCs w:val="21"/>
          <w:highlight w:val="none"/>
          <w:lang w:val="en-US" w:eastAsia="zh-CN" w:bidi="ar"/>
        </w:rPr>
        <w:t>）采购人有权拒用不符合要求及不称职综合管理服务人员。根据服务人员的工作表现和考核结果，采购人有权要求中标人更换人员。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（十</w:t>
      </w:r>
      <w:r>
        <w:rPr>
          <w:rFonts w:hint="eastAsia" w:ascii="宋体" w:hAnsi="宋体" w:cs="宋体"/>
          <w:color w:val="auto"/>
          <w:kern w:val="0"/>
          <w:sz w:val="21"/>
          <w:szCs w:val="21"/>
          <w:highlight w:val="none"/>
          <w:lang w:val="en-US" w:eastAsia="zh-CN" w:bidi="ar"/>
        </w:rPr>
        <w:t>六</w:t>
      </w:r>
      <w:r>
        <w:rPr>
          <w:rFonts w:hint="eastAsia" w:ascii="宋体" w:hAnsi="宋体" w:eastAsia="宋体" w:cs="宋体"/>
          <w:color w:val="auto"/>
          <w:kern w:val="0"/>
          <w:sz w:val="21"/>
          <w:szCs w:val="21"/>
          <w:highlight w:val="none"/>
          <w:lang w:val="en-US" w:eastAsia="zh-CN" w:bidi="ar"/>
        </w:rPr>
        <w:t xml:space="preserve">）中标人应严格执行有关的管理制度,加强对综合管理服务工作人员的管理。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1.中标人应按照经采购人审定的综合管理服务的有关制度进行规范化管理,做好各项目点的防盗、消防安全工作,确保无治安、消防隐患。严格执行综合服务有关设备运行的制度, 根据采购人的要求,努力做好监督和管理工作,确保各个设备供应商、维修商严格按照保修合 同履行维修义务,杜绝因中标人管理不当造成设备瘫痪事件。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2.中标人的员工在采购人处工作时应穿着统一的制服和配带员工证。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3.中标人保证其员工在派往采购人处工作时,已知悉采购人与中标人双方有关的制度、规定和行为守则</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中标人应严格履行管理义务,确保其员工在采购人处工作期间能遵守采购人的规章制度和有关服务承诺。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中标人员工在采购人处工作期间违反采购人的有关规定及采购人与中标人双方订立的合同时,采购人有权责令中标人对其进行批评教育,中标人已对其采取了批评教育措施后,仍屡教不改者或给采购人造成负面影响的,中标人应于接到采购人更换人员的要求后5日内退换相关人员。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5.中标人不得擅自使用、占用采购人所有的物件、设备,不得擅自改变其用途和功能</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未经采购人同意,中标人的工作人员不得使用采购人的电脑、电话及其它审判、办公、生活等设备和用品,不得查阅、挪用采购人的电脑数据和文书资料。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6.中标人的在岗上班(值班)工作人员(含正常上班人员、夜晚值班人员和因公加班的工作人员)不得从事其他与服务工作无关的事项。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7.非工作原因,中标人的非上班人员以及其他无关人员,下班后须离开项目地点,不得在采购人本项目区域内逗留。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（十</w:t>
      </w:r>
      <w:r>
        <w:rPr>
          <w:rFonts w:hint="eastAsia" w:ascii="宋体" w:hAnsi="宋体" w:cs="宋体"/>
          <w:color w:val="auto"/>
          <w:kern w:val="0"/>
          <w:sz w:val="21"/>
          <w:szCs w:val="21"/>
          <w:highlight w:val="none"/>
          <w:lang w:val="en-US" w:eastAsia="zh-CN" w:bidi="ar"/>
        </w:rPr>
        <w:t>七</w:t>
      </w:r>
      <w:r>
        <w:rPr>
          <w:rFonts w:hint="eastAsia" w:ascii="宋体" w:hAnsi="宋体" w:eastAsia="宋体" w:cs="宋体"/>
          <w:color w:val="auto"/>
          <w:kern w:val="0"/>
          <w:sz w:val="21"/>
          <w:szCs w:val="21"/>
          <w:highlight w:val="none"/>
          <w:lang w:val="en-US" w:eastAsia="zh-CN" w:bidi="ar"/>
        </w:rPr>
        <w:t xml:space="preserve">）非因工作需要或采购人的许可,中标人员工不得擅自进入与其工作无关的区域。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（十</w:t>
      </w:r>
      <w:r>
        <w:rPr>
          <w:rFonts w:hint="eastAsia" w:ascii="宋体" w:hAnsi="宋体" w:cs="宋体"/>
          <w:color w:val="auto"/>
          <w:kern w:val="0"/>
          <w:sz w:val="21"/>
          <w:szCs w:val="21"/>
          <w:highlight w:val="none"/>
          <w:lang w:val="en-US" w:eastAsia="zh-CN" w:bidi="ar"/>
        </w:rPr>
        <w:t>八</w:t>
      </w:r>
      <w:r>
        <w:rPr>
          <w:rFonts w:hint="eastAsia" w:ascii="宋体" w:hAnsi="宋体" w:eastAsia="宋体" w:cs="宋体"/>
          <w:color w:val="auto"/>
          <w:kern w:val="0"/>
          <w:sz w:val="21"/>
          <w:szCs w:val="21"/>
          <w:highlight w:val="none"/>
          <w:lang w:val="en-US" w:eastAsia="zh-CN" w:bidi="ar"/>
        </w:rPr>
        <w:t>）中标人应按采购需求和合同要求为员工配备劳保用品、工作自用装备和工具。包括：站岗平台、电子巡更系统、巡更棒、防恐装备、对讲机、清洁作业车、绿化用车（小型货车）、镇街巡查用车（小客车）、草坪机、绿化油据/高枝剪、弥雾机（灭蚊/灭虫使用）、吹叶机、灭蚊喷药机、消毒喷雾机、石材抛光机（地面打蜡）、高压清洗机、吸尘器、抽水泵、办公电脑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（十</w:t>
      </w:r>
      <w:r>
        <w:rPr>
          <w:rFonts w:hint="eastAsia" w:ascii="宋体" w:hAnsi="宋体" w:cs="宋体"/>
          <w:color w:val="auto"/>
          <w:kern w:val="0"/>
          <w:sz w:val="21"/>
          <w:szCs w:val="21"/>
          <w:highlight w:val="none"/>
          <w:lang w:val="en-US" w:eastAsia="zh-CN" w:bidi="ar"/>
        </w:rPr>
        <w:t>九</w:t>
      </w:r>
      <w:r>
        <w:rPr>
          <w:rFonts w:hint="eastAsia" w:ascii="宋体" w:hAnsi="宋体" w:eastAsia="宋体" w:cs="宋体"/>
          <w:color w:val="auto"/>
          <w:kern w:val="0"/>
          <w:sz w:val="21"/>
          <w:szCs w:val="21"/>
          <w:highlight w:val="none"/>
          <w:lang w:val="en-US" w:eastAsia="zh-CN" w:bidi="ar"/>
        </w:rPr>
        <w:t xml:space="preserve">）中标人应每半年举行不少于 1 次的应急处突和消防演练活动,提高各岗位综合管理服务人员的应急处理能力。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（二十）中标人应根据采购需求,组织保安、工程设备管理员、服务员完成会场布置、 清理杂物、物品搬卸等物质搬运工作</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协助采购人对项目范围内废旧物品处置。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val="en-US" w:eastAsia="zh-CN" w:bidi="ar"/>
        </w:rPr>
        <w:t xml:space="preserve">）中标人应监督所属服务人员遵守各项保密制度,因工作中获知秘密信息的,应予保密，中标人派驻本项目的服务人员均需签订《保密协议》。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二</w:t>
      </w:r>
      <w:r>
        <w:rPr>
          <w:rFonts w:hint="eastAsia" w:ascii="宋体" w:hAnsi="宋体" w:eastAsia="宋体" w:cs="宋体"/>
          <w:color w:val="auto"/>
          <w:kern w:val="0"/>
          <w:sz w:val="21"/>
          <w:szCs w:val="21"/>
          <w:highlight w:val="none"/>
          <w:lang w:val="en-US" w:eastAsia="zh-CN" w:bidi="ar"/>
        </w:rPr>
        <w:t>）中标人在服务工作中如遇到不能自行解决的问题时,应及时向采购人报告</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在合同期间,有责任向采购人提供合理化建议,以提高管理效率和管理质量。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三</w:t>
      </w:r>
      <w:r>
        <w:rPr>
          <w:rFonts w:hint="eastAsia" w:ascii="宋体" w:hAnsi="宋体" w:eastAsia="宋体" w:cs="宋体"/>
          <w:color w:val="auto"/>
          <w:kern w:val="0"/>
          <w:sz w:val="21"/>
          <w:szCs w:val="21"/>
          <w:highlight w:val="none"/>
          <w:lang w:val="en-US" w:eastAsia="zh-CN" w:bidi="ar"/>
        </w:rPr>
        <w:t xml:space="preserve">）中标人员工工作质量未能达到合同要求,应主动返工。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四</w:t>
      </w:r>
      <w:r>
        <w:rPr>
          <w:rFonts w:hint="eastAsia" w:ascii="宋体" w:hAnsi="宋体" w:eastAsia="宋体" w:cs="宋体"/>
          <w:color w:val="auto"/>
          <w:kern w:val="0"/>
          <w:sz w:val="21"/>
          <w:szCs w:val="21"/>
          <w:highlight w:val="none"/>
          <w:lang w:val="en-US" w:eastAsia="zh-CN" w:bidi="ar"/>
        </w:rPr>
        <w:t>）采购人向中标人无偿提供办公用房,由此所产生的水、电等费用由采购人承担</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与本项目相关的工程图纸、竣工验收资料、设备说明书、使用手册等由采购人管理,中标人可借阅。采购人免费提供给中标人使用的服务工作专用房间,中标人仅能用作针对采购人服务工作之需,不得用作其他用途。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五</w:t>
      </w:r>
      <w:r>
        <w:rPr>
          <w:rFonts w:hint="eastAsia" w:ascii="宋体" w:hAnsi="宋体" w:eastAsia="宋体" w:cs="宋体"/>
          <w:color w:val="auto"/>
          <w:kern w:val="0"/>
          <w:sz w:val="21"/>
          <w:szCs w:val="21"/>
          <w:highlight w:val="none"/>
          <w:lang w:val="en-US" w:eastAsia="zh-CN" w:bidi="ar"/>
        </w:rPr>
        <w:t xml:space="preserve">）中标人应完成清洗、打磨地板等服务工作时,自备地板打磨机等专业设备。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六</w:t>
      </w:r>
      <w:r>
        <w:rPr>
          <w:rFonts w:hint="eastAsia" w:ascii="宋体" w:hAnsi="宋体" w:eastAsia="宋体" w:cs="宋体"/>
          <w:color w:val="auto"/>
          <w:kern w:val="0"/>
          <w:sz w:val="21"/>
          <w:szCs w:val="21"/>
          <w:highlight w:val="none"/>
          <w:lang w:val="en-US" w:eastAsia="zh-CN" w:bidi="ar"/>
        </w:rPr>
        <w:t>）中标人应及时回应采购人的投诉或建议,积极解决问题</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按实际情况处理采购人与中标人双方的争议,不得无中生有、恶意中伤,更不得恶意违约损害采购人的利益。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七</w:t>
      </w:r>
      <w:r>
        <w:rPr>
          <w:rFonts w:hint="eastAsia" w:ascii="宋体" w:hAnsi="宋体" w:eastAsia="宋体" w:cs="宋体"/>
          <w:color w:val="auto"/>
          <w:kern w:val="0"/>
          <w:sz w:val="21"/>
          <w:szCs w:val="21"/>
          <w:highlight w:val="none"/>
          <w:lang w:val="en-US" w:eastAsia="zh-CN" w:bidi="ar"/>
        </w:rPr>
        <w:t xml:space="preserve">） 因其员工不履行合同义务或行为有重大瑕疵造成不良后果的,中标人须在接到采购人书面通知后5天内更换人员。其员工行为违反合同约定,损害采购人利益的,中标人应立刻调离违规员工,替换新员工在10日内到岗。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（二十</w:t>
      </w:r>
      <w:r>
        <w:rPr>
          <w:rFonts w:hint="eastAsia" w:ascii="宋体" w:hAnsi="宋体" w:cs="宋体"/>
          <w:color w:val="auto"/>
          <w:kern w:val="0"/>
          <w:sz w:val="21"/>
          <w:szCs w:val="21"/>
          <w:highlight w:val="none"/>
          <w:lang w:val="en-US" w:eastAsia="zh-CN" w:bidi="ar"/>
        </w:rPr>
        <w:t>八</w:t>
      </w:r>
      <w:r>
        <w:rPr>
          <w:rFonts w:hint="eastAsia" w:ascii="宋体" w:hAnsi="宋体" w:eastAsia="宋体" w:cs="宋体"/>
          <w:color w:val="auto"/>
          <w:kern w:val="0"/>
          <w:sz w:val="21"/>
          <w:szCs w:val="21"/>
          <w:highlight w:val="none"/>
          <w:lang w:val="en-US" w:eastAsia="zh-CN" w:bidi="ar"/>
        </w:rPr>
        <w:t>）采购人通过综合管理服务考评制度对服务工作进行考核、监督。除按回访制度监督服务工作外,采购人依据采购需求对中标人服务工作进行即时考评、月考评、季度考评以及年度综合考评,</w:t>
      </w:r>
      <w:r>
        <w:rPr>
          <w:rFonts w:hint="eastAsia" w:ascii="宋体" w:hAnsi="宋体" w:eastAsia="宋体" w:cs="宋体"/>
          <w:b/>
          <w:bCs/>
          <w:color w:val="auto"/>
          <w:kern w:val="0"/>
          <w:sz w:val="21"/>
          <w:szCs w:val="21"/>
          <w:highlight w:val="none"/>
          <w:lang w:val="en-US" w:eastAsia="zh-CN" w:bidi="ar"/>
        </w:rPr>
        <w:t xml:space="preserve">如年度综合考评不达标的、因中标人原因导致严重后果或不良影响的,采购人有权单方面终止合同: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即时考评</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对中标人的综合服务情况随时随地进行检查,对于检查中发现的问题,采购人提出口头警告,中标人应立即整改。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月考评</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对即时考评情况进行月度累加,并视中标人整改情况评定月度管理服务是否达标。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以下三种情况单独或同时出现,月末采购人发出书面限期整改通知,整改限期为5日,中标人未按时整改或整改未达到预定效果的,视为当月综合服务考评不达标</w:t>
      </w:r>
      <w:r>
        <w:rPr>
          <w:rFonts w:hint="eastAsia" w:ascii="宋体" w:hAnsi="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1）同一服务工作问题一个月累计出现三次。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2）一个月内发生三次未造成恶劣影响的违约行为。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3）因服务工作问题被采购人口头警告累计达到五次以上。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季度考评</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对月度考评情况进行季度累加,或每季组织机关干部职工对中标人服务管理情况进行满意度测评(</w:t>
      </w:r>
      <w:bookmarkStart w:id="31" w:name="OLE_LINK25"/>
      <w:r>
        <w:rPr>
          <w:rFonts w:hint="eastAsia" w:ascii="宋体" w:hAnsi="宋体" w:eastAsia="宋体" w:cs="宋体"/>
          <w:color w:val="auto"/>
          <w:kern w:val="0"/>
          <w:sz w:val="21"/>
          <w:szCs w:val="21"/>
          <w:highlight w:val="none"/>
          <w:lang w:val="en-US" w:eastAsia="zh-CN" w:bidi="ar"/>
        </w:rPr>
        <w:t>满意度测评表</w:t>
      </w:r>
      <w:bookmarkEnd w:id="31"/>
      <w:r>
        <w:rPr>
          <w:rFonts w:hint="eastAsia" w:ascii="宋体" w:hAnsi="宋体" w:eastAsia="宋体" w:cs="宋体"/>
          <w:color w:val="auto"/>
          <w:kern w:val="0"/>
          <w:sz w:val="21"/>
          <w:szCs w:val="21"/>
          <w:highlight w:val="none"/>
          <w:lang w:val="en-US" w:eastAsia="zh-CN" w:bidi="ar"/>
        </w:rPr>
        <w:t>附后，采购人有权对满意度测评表根据实际工作要求进行调整，中标人须无条件配合),并视中标人整改情况评定季度综合管理服务是否达标。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以下情况单独或同时出现,季末采购人发出书面限期整改通知,整改限期为5日,中标人未按时整改或整改未达到预定效果的,视为当季综合管理服务考评不达</w:t>
      </w:r>
      <w:r>
        <w:rPr>
          <w:rFonts w:hint="eastAsia" w:ascii="宋体" w:hAnsi="宋体" w:cs="宋体"/>
          <w:color w:val="auto"/>
          <w:kern w:val="0"/>
          <w:sz w:val="21"/>
          <w:szCs w:val="21"/>
          <w:highlight w:val="none"/>
          <w:lang w:val="en-US" w:eastAsia="zh-CN" w:bidi="ar"/>
        </w:rPr>
        <w:t>标：</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1）中标人在一个季度内两个月综合管理服务考评不达标的。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2）中标人在季度满意度测评中,综合服务工作满意率低于75%。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r>
        <w:rPr>
          <w:rFonts w:hint="eastAsia" w:ascii="宋体" w:hAnsi="宋体" w:eastAsia="宋体" w:cs="宋体"/>
          <w:color w:val="auto"/>
          <w:kern w:val="0"/>
          <w:szCs w:val="21"/>
          <w:highlight w:val="none"/>
          <w:lang w:val="en-US" w:eastAsia="zh-CN" w:bidi="ar"/>
        </w:rPr>
        <w:t>3）同一服务工作问题或同类问题屡</w:t>
      </w:r>
      <w:r>
        <w:rPr>
          <w:rFonts w:hint="eastAsia" w:ascii="宋体" w:hAnsi="宋体" w:cs="宋体"/>
          <w:color w:val="auto"/>
          <w:kern w:val="0"/>
          <w:szCs w:val="21"/>
          <w:highlight w:val="none"/>
          <w:lang w:val="en-US" w:eastAsia="zh-CN" w:bidi="ar"/>
        </w:rPr>
        <w:t>犯</w:t>
      </w:r>
      <w:r>
        <w:rPr>
          <w:rFonts w:hint="eastAsia" w:ascii="宋体" w:hAnsi="宋体" w:eastAsia="宋体" w:cs="宋体"/>
          <w:color w:val="auto"/>
          <w:kern w:val="0"/>
          <w:szCs w:val="21"/>
          <w:highlight w:val="none"/>
          <w:lang w:val="en-US" w:eastAsia="zh-CN" w:bidi="ar"/>
        </w:rPr>
        <w:t>不改。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年度综合考评</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综合月考评、季度考评情况,并视中标人整改情况评定年度综合管理服务是否达标；或组织机关干部职工对中标人年度服务管理情况进行满意度测评。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以下情况单独或同时出现,视为当年综合管理服务考评不达标</w:t>
      </w:r>
      <w:r>
        <w:rPr>
          <w:rFonts w:hint="eastAsia" w:ascii="宋体" w:hAnsi="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1）年度内两个季度综合管理服务考评不达标。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2）年度内采购人就综合服务工作影响较大的同一个问题向中标人发出书面限期整改通知4 次以上(每次整改限期为</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日),中标人均未按时整改或整改未达到预定效果的。 </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3）因安检等工作不到位等原因造成重大影响、或其他不良后果的。</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以下情况，采购人有权单方面解除合同</w:t>
      </w:r>
      <w:r>
        <w:rPr>
          <w:rFonts w:hint="eastAsia" w:ascii="宋体" w:hAnsi="宋体" w:cs="宋体"/>
          <w:color w:val="auto"/>
          <w:kern w:val="0"/>
          <w:sz w:val="21"/>
          <w:szCs w:val="21"/>
          <w:highlight w:val="none"/>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1）月考评不达标年度累计4次及以上的</w:t>
      </w:r>
      <w:r>
        <w:rPr>
          <w:rFonts w:hint="eastAsia" w:ascii="宋体" w:hAnsi="宋体" w:cs="宋体"/>
          <w:color w:val="auto"/>
          <w:kern w:val="0"/>
          <w:sz w:val="21"/>
          <w:szCs w:val="21"/>
          <w:highlight w:val="none"/>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2）季度考评不达标年度累计2次及以上的</w:t>
      </w:r>
      <w:r>
        <w:rPr>
          <w:rFonts w:hint="eastAsia" w:ascii="宋体" w:hAnsi="宋体" w:cs="宋体"/>
          <w:color w:val="auto"/>
          <w:kern w:val="0"/>
          <w:sz w:val="21"/>
          <w:szCs w:val="21"/>
          <w:highlight w:val="none"/>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3）年度考评不达标的</w:t>
      </w:r>
      <w:r>
        <w:rPr>
          <w:rFonts w:hint="eastAsia" w:ascii="宋体" w:hAnsi="宋体" w:cs="宋体"/>
          <w:color w:val="auto"/>
          <w:kern w:val="0"/>
          <w:sz w:val="21"/>
          <w:szCs w:val="21"/>
          <w:highlight w:val="none"/>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4）因工作不力或人为原因，影响采购人工作，造成重大后果或不良后果的。</w:t>
      </w:r>
    </w:p>
    <w:tbl>
      <w:tblPr>
        <w:tblStyle w:val="2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32"/>
        <w:gridCol w:w="3238"/>
        <w:gridCol w:w="1640"/>
        <w:gridCol w:w="1786"/>
        <w:gridCol w:w="66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宁海法院安保等综合服务满意度测评表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考核项目</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考核内容</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标准分值</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综合管理</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36分</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1、建立健全完整的各项管理制度和档案台帐、各岗位工作标准，制定具体的工作落实措施和考核办法。</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未建立管理制度和工作标准扣1分；未建立工作措施和考核办法扣1分。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2、有完善的月度工作总结。</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无工作总结不得分。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3、员工统一着装，工作规范，作风严谨，仪容仪表符合服务要求，服务用语及服务动作规范。</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未统一着装或未佩带</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标志发现一次扣1分，工作中使用不文明语言，与</w:t>
            </w:r>
            <w:r>
              <w:rPr>
                <w:rFonts w:hint="eastAsia" w:ascii="宋体" w:hAnsi="宋体" w:eastAsia="宋体" w:cs="宋体"/>
                <w:color w:val="auto"/>
                <w:kern w:val="0"/>
                <w:sz w:val="21"/>
                <w:szCs w:val="21"/>
                <w:highlight w:val="none"/>
                <w:lang w:val="en-US" w:eastAsia="zh-CN"/>
              </w:rPr>
              <w:t>当事人、来客来访人员</w:t>
            </w:r>
            <w:r>
              <w:rPr>
                <w:rFonts w:hint="eastAsia" w:ascii="宋体" w:hAnsi="宋体" w:eastAsia="宋体" w:cs="宋体"/>
                <w:color w:val="auto"/>
                <w:kern w:val="0"/>
                <w:sz w:val="21"/>
                <w:szCs w:val="21"/>
                <w:highlight w:val="none"/>
              </w:rPr>
              <w:t>无理争吵发现一次扣2分，扣完为止。</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每周至少一次和</w:t>
            </w:r>
            <w:r>
              <w:rPr>
                <w:rFonts w:hint="eastAsia" w:ascii="宋体" w:hAnsi="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 xml:space="preserve">进行工作沟通。 </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工作未沟通，扣2分，对</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提出的问题不及时解决，出现一次扣2分，扣完为止。</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5、每月人员到位率符合岗位设置要求，到岗率及考勤管理记录清楚，无迟到、早退、缺勤、脱岗、离岗、串岗现象。人员档案健全，无不良犯罪记录。</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人员考勤每少1人扣1分；考勤若出现违反规定，发现一次扣1分；上班时间玩游戏，吃东西，打瞌睡，打电话超过5分钟、闲聊等，每出现一次扣1分；脱岗，擅自离岗每次扣2分。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6、不得随意更换核心团队成员；人员变动信息需提前五个工作日内上报</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备案。</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人员变动没有及时上报发现一次扣一分，扣完为止。</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7、中标人应第一时间向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报告由服务人员发现的重特大事件或其它应当上报的事件，以便于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及时有效统一处置，不得迟报、瞒报。</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每发现一次迟报、瞒报扣完该项全部分数。</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安全保卫岗位管理</w:t>
            </w:r>
          </w:p>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24分</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1、有专业保安人员，各岗位日常工作记录齐全、规范。 </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工作记录不齐全、不规范的，发现一次扣1分，扣完为止。</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2、巡逻保安人员和门卫，文明值勤、训练有素、言语规范认真，实行24小时值班及巡逻制度，严禁擅自脱岗。</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未按要求巡逻或出现脱岗现象，每发现一次扣1分；保安业务生疏，影响工作的，扣1分；与</w:t>
            </w:r>
            <w:r>
              <w:rPr>
                <w:rFonts w:hint="eastAsia" w:ascii="宋体" w:hAnsi="宋体" w:eastAsia="宋体" w:cs="宋体"/>
                <w:color w:val="auto"/>
                <w:kern w:val="0"/>
                <w:sz w:val="21"/>
                <w:szCs w:val="21"/>
                <w:highlight w:val="none"/>
                <w:lang w:val="en-US" w:eastAsia="zh-CN"/>
              </w:rPr>
              <w:t>当事人、来客来访人员</w:t>
            </w:r>
            <w:r>
              <w:rPr>
                <w:rFonts w:hint="eastAsia" w:ascii="宋体" w:hAnsi="宋体" w:eastAsia="宋体" w:cs="宋体"/>
                <w:color w:val="auto"/>
                <w:kern w:val="0"/>
                <w:sz w:val="21"/>
                <w:szCs w:val="21"/>
                <w:highlight w:val="none"/>
              </w:rPr>
              <w:t>发生争吵，有损形象的，扣2分。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3、</w:t>
            </w:r>
            <w:r>
              <w:rPr>
                <w:rFonts w:hint="eastAsia" w:ascii="宋体" w:hAnsi="宋体" w:eastAsia="宋体" w:cs="宋体"/>
                <w:iCs/>
                <w:color w:val="auto"/>
                <w:kern w:val="0"/>
                <w:sz w:val="21"/>
                <w:szCs w:val="21"/>
                <w:highlight w:val="none"/>
                <w:lang w:val="en-US" w:eastAsia="zh-CN"/>
              </w:rPr>
              <w:t>安检人员专业、</w:t>
            </w:r>
            <w:r>
              <w:rPr>
                <w:rFonts w:hint="eastAsia" w:ascii="宋体" w:hAnsi="宋体" w:eastAsia="宋体" w:cs="宋体"/>
                <w:iCs/>
                <w:color w:val="auto"/>
                <w:kern w:val="0"/>
                <w:sz w:val="21"/>
                <w:szCs w:val="21"/>
                <w:highlight w:val="none"/>
              </w:rPr>
              <w:t>热情、文明、言语规范并统一着装。</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未按要求</w:t>
            </w:r>
            <w:r>
              <w:rPr>
                <w:rFonts w:hint="eastAsia" w:ascii="宋体" w:hAnsi="宋体" w:eastAsia="宋体" w:cs="宋体"/>
                <w:color w:val="auto"/>
                <w:kern w:val="0"/>
                <w:sz w:val="21"/>
                <w:szCs w:val="21"/>
                <w:highlight w:val="none"/>
                <w:lang w:val="en-US" w:eastAsia="zh-CN"/>
              </w:rPr>
              <w:t>安检</w:t>
            </w:r>
            <w:r>
              <w:rPr>
                <w:rFonts w:hint="eastAsia" w:ascii="宋体" w:hAnsi="宋体" w:eastAsia="宋体" w:cs="宋体"/>
                <w:color w:val="auto"/>
                <w:kern w:val="0"/>
                <w:sz w:val="21"/>
                <w:szCs w:val="21"/>
                <w:highlight w:val="none"/>
              </w:rPr>
              <w:t>或者出现脱岗现象，每发现一次扣1分；</w:t>
            </w:r>
            <w:r>
              <w:rPr>
                <w:rFonts w:hint="eastAsia" w:ascii="宋体" w:hAnsi="宋体" w:eastAsia="宋体" w:cs="宋体"/>
                <w:color w:val="auto"/>
                <w:kern w:val="0"/>
                <w:sz w:val="21"/>
                <w:szCs w:val="21"/>
                <w:highlight w:val="none"/>
                <w:lang w:val="en-US" w:eastAsia="zh-CN"/>
              </w:rPr>
              <w:t>安检不到位造成安全隐患的</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一次</w:t>
            </w:r>
            <w:r>
              <w:rPr>
                <w:rFonts w:hint="eastAsia" w:ascii="宋体" w:hAnsi="宋体" w:eastAsia="宋体" w:cs="宋体"/>
                <w:color w:val="auto"/>
                <w:kern w:val="0"/>
                <w:sz w:val="21"/>
                <w:szCs w:val="21"/>
                <w:highlight w:val="none"/>
              </w:rPr>
              <w:t>扣2分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造成较大及以上影响的，一次扣10分。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w:t>
            </w:r>
            <w:r>
              <w:rPr>
                <w:rFonts w:hint="eastAsia" w:ascii="宋体" w:hAnsi="宋体" w:cs="宋体"/>
                <w:iCs/>
                <w:color w:val="auto"/>
                <w:kern w:val="0"/>
                <w:sz w:val="21"/>
                <w:szCs w:val="21"/>
                <w:highlight w:val="none"/>
                <w:lang w:eastAsia="zh-CN"/>
              </w:rPr>
              <w:t>技术防控</w:t>
            </w:r>
            <w:r>
              <w:rPr>
                <w:rFonts w:hint="eastAsia" w:ascii="宋体" w:hAnsi="宋体" w:eastAsia="宋体" w:cs="宋体"/>
                <w:iCs/>
                <w:color w:val="auto"/>
                <w:kern w:val="0"/>
                <w:sz w:val="21"/>
                <w:szCs w:val="21"/>
                <w:highlight w:val="none"/>
              </w:rPr>
              <w:t>和消防设备操作熟练；严禁擅自脱岗、离岗；出现报警情况能第一时间处理。</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设备操作不熟练，经培训后仍出现的，每出现一次扣1分；未按照要求或出现脱岗现象，每发现一次扣1分；出现报警未处理的，每发现一次扣2分；未持证上岗的一经发现扣完该项全部分数。</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5、定期开展安全教育、组织安全检查和消防演练，反恐演练，建立安全生产管理台账。</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未开展安全教育、检查和演练的，扣完该项全部分数。</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卫生保洁岗位管理</w:t>
            </w:r>
          </w:p>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要求安排合理的保洁计划、提供及时、准时、有质量的保洁服务；文明保洁，安全保洁。</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未及时配合的每次扣1分；未做到文明、安全保洁的，每次扣1分。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2、保洁人员应明确责任范围，实行标准化保洁；垃圾日产日清；相关设施按计划定时养护；</w:t>
            </w:r>
            <w:r>
              <w:rPr>
                <w:rFonts w:hint="eastAsia" w:ascii="宋体" w:hAnsi="宋体" w:eastAsia="宋体" w:cs="宋体"/>
                <w:color w:val="auto"/>
                <w:kern w:val="0"/>
                <w:sz w:val="21"/>
                <w:szCs w:val="21"/>
                <w:highlight w:val="none"/>
                <w:lang w:val="en-US" w:eastAsia="zh-CN"/>
              </w:rPr>
              <w:t>服务区域</w:t>
            </w:r>
            <w:r>
              <w:rPr>
                <w:rFonts w:hint="eastAsia" w:ascii="宋体" w:hAnsi="宋体" w:eastAsia="宋体" w:cs="宋体"/>
                <w:color w:val="auto"/>
                <w:kern w:val="0"/>
                <w:sz w:val="21"/>
                <w:szCs w:val="21"/>
                <w:highlight w:val="none"/>
              </w:rPr>
              <w:t>空气清新，无异味。</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未做到垃圾日产日清的，每出现一次扣1分；未及时进行养护的，扣1分；未及时进行清理打扫的，扣1分；未达到空气清新，有异味的，扣1分。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3、开展卫生保洁工作，确保展厅干净、整洁、无灰尘、目视无垃圾，定期开展展厅玻璃柜消毒工作。</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未做到卫生保洁工作的，每发现一次，扣一分；未使用五色毛巾的，发现一次扣2分。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w:t>
            </w:r>
          </w:p>
        </w:tc>
        <w:tc>
          <w:tcPr>
            <w:tcW w:w="7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1、制定岗位责任制、每天至少一次巡查设施设备，做好设备基本保养工作，及时处理各种问题。</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无巡查不得分，</w:t>
            </w:r>
            <w:bookmarkStart w:id="32" w:name="OLE_LINK48"/>
            <w:r>
              <w:rPr>
                <w:rFonts w:hint="eastAsia" w:ascii="宋体" w:hAnsi="宋体" w:eastAsia="宋体" w:cs="宋体"/>
                <w:color w:val="auto"/>
                <w:kern w:val="0"/>
                <w:sz w:val="21"/>
                <w:szCs w:val="21"/>
                <w:highlight w:val="none"/>
              </w:rPr>
              <w:t>每</w:t>
            </w:r>
            <w:bookmarkEnd w:id="32"/>
            <w:r>
              <w:rPr>
                <w:rFonts w:hint="eastAsia" w:ascii="宋体" w:hAnsi="宋体" w:eastAsia="宋体" w:cs="宋体"/>
                <w:color w:val="auto"/>
                <w:kern w:val="0"/>
                <w:sz w:val="21"/>
                <w:szCs w:val="21"/>
                <w:highlight w:val="none"/>
              </w:rPr>
              <w:t>少一次巡查扣1分。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p>
        </w:tc>
        <w:tc>
          <w:tcPr>
            <w:tcW w:w="73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2、制定设施设备的养护机制，记录设施设备的运行记录，发现问题，在责任范围内的及时处理，超出责任范围的，上报</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无养护机制扣2分，无运行记录发现一次扣1分；未及时处理的扣2分。</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c>
          <w:tcPr>
            <w:tcW w:w="7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造成的刑事案件、违法犯罪行为和影响社会稳定的群体性事件发生率为零。</w:t>
            </w:r>
          </w:p>
        </w:tc>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出现一次扣完该项全部分数。</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考核部门</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被考核单位</w:t>
            </w:r>
          </w:p>
        </w:tc>
        <w:tc>
          <w:tcPr>
            <w:tcW w:w="31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考核人员</w:t>
            </w:r>
          </w:p>
        </w:tc>
        <w:tc>
          <w:tcPr>
            <w:tcW w:w="3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陪检人</w:t>
            </w:r>
          </w:p>
        </w:tc>
        <w:tc>
          <w:tcPr>
            <w:tcW w:w="31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考核部门意见</w:t>
            </w:r>
          </w:p>
        </w:tc>
        <w:tc>
          <w:tcPr>
            <w:tcW w:w="8030"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spacing w:line="360" w:lineRule="exact"/>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分管领导意见</w:t>
            </w:r>
          </w:p>
        </w:tc>
        <w:tc>
          <w:tcPr>
            <w:tcW w:w="8030"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spacing w:line="360" w:lineRule="exact"/>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备注：本考核表总分为100分；</w:t>
            </w:r>
          </w:p>
          <w:p>
            <w:pPr>
              <w:keepNext w:val="0"/>
              <w:keepLines w:val="0"/>
              <w:pageBreakBefore w:val="0"/>
              <w:widowControl w:val="0"/>
              <w:kinsoku/>
              <w:wordWrap/>
              <w:overflowPunct/>
              <w:topLinePunct w:val="0"/>
              <w:autoSpaceDE/>
              <w:autoSpaceDN/>
              <w:bidi w:val="0"/>
              <w:adjustRightInd w:val="0"/>
              <w:snapToGrid/>
              <w:spacing w:line="360" w:lineRule="exact"/>
              <w:ind w:firstLine="611" w:firstLineChars="291"/>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考核分数≥90分为优秀；低于60分为不合格；</w:t>
            </w:r>
          </w:p>
          <w:p>
            <w:pPr>
              <w:keepNext w:val="0"/>
              <w:keepLines w:val="0"/>
              <w:pageBreakBefore w:val="0"/>
              <w:widowControl w:val="0"/>
              <w:kinsoku/>
              <w:wordWrap/>
              <w:overflowPunct/>
              <w:topLinePunct w:val="0"/>
              <w:autoSpaceDE/>
              <w:autoSpaceDN/>
              <w:bidi w:val="0"/>
              <w:adjustRightInd w:val="0"/>
              <w:snapToGrid/>
              <w:spacing w:line="360" w:lineRule="exact"/>
              <w:ind w:firstLine="611" w:firstLineChars="291"/>
              <w:textAlignment w:val="baseline"/>
              <w:rPr>
                <w:rFonts w:hint="eastAsia" w:ascii="宋体" w:hAnsi="宋体" w:eastAsia="宋体" w:cs="宋体"/>
                <w:color w:val="auto"/>
                <w:kern w:val="0"/>
                <w:sz w:val="21"/>
                <w:szCs w:val="21"/>
                <w:highlight w:val="none"/>
              </w:rPr>
            </w:pPr>
            <w:bookmarkStart w:id="33" w:name="OLE_LINK27"/>
            <w:r>
              <w:rPr>
                <w:rFonts w:hint="eastAsia" w:ascii="宋体" w:hAnsi="宋体" w:eastAsia="宋体" w:cs="宋体"/>
                <w:color w:val="auto"/>
                <w:kern w:val="0"/>
                <w:sz w:val="21"/>
                <w:szCs w:val="21"/>
                <w:highlight w:val="none"/>
              </w:rPr>
              <w:t>低于90分，按每分值1000元扣减当季度管理服务费（扣款分值为100分-季度考核得分）；</w:t>
            </w:r>
            <w:bookmarkEnd w:id="33"/>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（二十九）中标人首年提供的综合服务工作满意率低于85%时，采购人有权单方面终止合同；若综合服务工作满意率高于85%的，中标人可按合同签订期限履行服务合同。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（三十）根据采购人的要求,制定物料管理制度。中标人应做好综合服务耗材的保管、发放工作，做到仓库物品分类整齐且帐物</w:t>
      </w:r>
      <w:r>
        <w:rPr>
          <w:rFonts w:hint="eastAsia" w:ascii="宋体" w:hAnsi="宋体" w:cs="宋体"/>
          <w:color w:val="auto"/>
          <w:kern w:val="0"/>
          <w:sz w:val="21"/>
          <w:szCs w:val="21"/>
          <w:highlight w:val="none"/>
          <w:lang w:val="en-US" w:eastAsia="zh-CN" w:bidi="ar"/>
        </w:rPr>
        <w:t>相符</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十一）根据综合服务工作的需要，需要采购人配备相关物料或用品的，中标人应按需列明清单，提前向采购人申请采购；常用耗材可以提前采购保持合理的库存数量备用。此类物料及用品的所有权归采购人，中标人须按采购人的要求使用、未经采购人同意不得私自占有或挪作他用。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十二）合同期满未能续约,中标人须按时(视签订合同的时间而定)做好管理服务事项交接和相关资料移交工作,按时撤离本项目。如新的管理公司因故不能按时接盘,应采购人的要求,中标人须以新中标价格协助采购人做好综合管理工作,直至新的管理公司接盘为止。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（三十三）中标人应妥善保管、合理使用采购人移交的一切物品,在合同终止或解除后,中标人须将</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 xml:space="preserve">移交的物品、存储物料、项目服务用房和综合服务全部档案资料一并移交给采购人。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（三十四）中标人应按劳动法规为员工在劳动社保部门购买社会保险，如有违反，由中标人承担全部责任并负责赔偿。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（三十五）合同期限内,约定的服务范围不变时,采购人对服务费用不作调整,中标人不得以任何理由降低服务质量、裁减服务人员数量。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（三十六）合同期限内，因工作需要,增加设备设施、服务区域导致综合服务工作量增加的,由采购人与中标人另行协商并签订补充协议。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（三十七）中标人须保证合同期间各类管理及服务人员素质和数量完全符合采购需求,因特殊原因需要调整,须事先向采购人书面说明理由且经采购人同意。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（三十八）采购需求中明确要求中标人员工须持证上岗,如发现缺少持证人员情况严重,采购人有权要求中标人限期整改。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★（三十九）中标人做出书面承诺,保证在签订合同后，根据采购需求派驻员工提前接受服务工作。（投标文件中须附承诺函加盖公章）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四十）中标人作为投标人，其投标文件内容应实质响应采购人全部需求，其投标文件与采购需求有矛盾或差距时，以采购需求为合同要件，与采购需求有矛盾或差距的投标文件内容不作为合同内容，对采购人无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（四十一）违反或怠于履行合同和采购需求规定之责任和义务视为违约；因中标人违约,导致单方解除合同造成采购人损失的,由中标人承担民事赔偿责任。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（四十二）合同期满、双方未续约或因中标人违约、采购人单方面解除合同或中标人单方面解除合同,中标人应履行以下义务：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1.在采购人指定的时间内全面撤离项目区域。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2.在采购人指定的时间内无条件移交以下物件: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（1）采购人移交给中标人使用和管理的项目图纸资料。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（2）采购人移交给中标人使用和管理的办公值班用房。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（3）采购人移交给中标人使用和管理的办公台椅、钥匙等物件。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（4）用采购人支付费用购买的所有物料。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3.所有中标</w:t>
      </w:r>
      <w:r>
        <w:rPr>
          <w:rFonts w:hint="eastAsia" w:ascii="宋体" w:hAnsi="宋体" w:cs="宋体"/>
          <w:color w:val="auto"/>
          <w:kern w:val="0"/>
          <w:sz w:val="21"/>
          <w:szCs w:val="21"/>
          <w:highlight w:val="none"/>
          <w:lang w:val="en-US" w:eastAsia="zh-CN" w:bidi="ar"/>
        </w:rPr>
        <w:t>人</w:t>
      </w:r>
      <w:r>
        <w:rPr>
          <w:rFonts w:hint="eastAsia" w:ascii="宋体" w:hAnsi="宋体" w:eastAsia="宋体" w:cs="宋体"/>
          <w:color w:val="auto"/>
          <w:kern w:val="0"/>
          <w:sz w:val="21"/>
          <w:szCs w:val="21"/>
          <w:highlight w:val="none"/>
          <w:lang w:val="en-US" w:eastAsia="zh-CN" w:bidi="ar"/>
        </w:rPr>
        <w:t xml:space="preserve">的自用物品(综合管理服务费涵盖的费用采购物品)所有权属于中标人,由中标人自行处理。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★（四十三）中标人应按照《中华人民共和国社会保险法》的相关规定，支付国家规定需购买的社会保险费用。（投标文件中须附承诺函加盖公章）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（四十四）以上所称的“合同”是指中标人与采购人签订的《政府采购合同》；以上所称的社会保险是指“基本养老保险、基本医疗保险、工伤保险、失业保险、生育保险”。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（四十五）采购需求中虽然未明确为中标人义务,但符合以下条件的工作,中标人应当严格按采购人的要求完成：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1.工作范畴属于综合管理服务类或与之密切相关。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2.综合管理服务人员的能力水平可以胜任工作要求。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六、商务条款</w:t>
      </w:r>
    </w:p>
    <w:tbl>
      <w:tblPr>
        <w:tblStyle w:val="24"/>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bookmarkStart w:id="34" w:name="OLE_LINK2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三年(具体时间以合同为准)合同一年一签，采购人根据中标人在上一年度合同履约、考核情况及财政资金审批情况等决定是否续签。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3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eastAsia="zh-CN"/>
              </w:rPr>
            </w:pPr>
            <w:bookmarkStart w:id="35" w:name="OLE_LINK23"/>
            <w:r>
              <w:rPr>
                <w:rFonts w:hint="eastAsia" w:ascii="宋体" w:hAnsi="宋体" w:eastAsia="宋体" w:cs="宋体"/>
                <w:color w:val="auto"/>
                <w:sz w:val="21"/>
                <w:szCs w:val="21"/>
                <w:highlight w:val="none"/>
              </w:rPr>
              <w:t>★</w:t>
            </w:r>
            <w:bookmarkEnd w:id="35"/>
            <w:r>
              <w:rPr>
                <w:rFonts w:hint="eastAsia" w:ascii="宋体" w:hAnsi="宋体" w:eastAsia="宋体" w:cs="宋体"/>
                <w:color w:val="auto"/>
                <w:sz w:val="21"/>
                <w:szCs w:val="21"/>
                <w:highlight w:val="none"/>
                <w:lang w:val="en-US" w:eastAsia="zh-CN"/>
              </w:rPr>
              <w:t>2</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spacing w:line="400" w:lineRule="exac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spacing w:line="400" w:lineRule="exac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bookmarkStart w:id="36" w:name="OLE_LINK52"/>
            <w:bookmarkStart w:id="57" w:name="_GoBack"/>
            <w:bookmarkEnd w:id="57"/>
            <w:r>
              <w:rPr>
                <w:rFonts w:hint="eastAsia" w:ascii="宋体" w:hAnsi="宋体" w:eastAsia="宋体" w:cs="宋体"/>
                <w:color w:val="auto"/>
                <w:sz w:val="21"/>
                <w:szCs w:val="21"/>
                <w:highlight w:val="none"/>
              </w:rPr>
              <w:t>年度合同签订之日</w:t>
            </w:r>
            <w:r>
              <w:rPr>
                <w:rFonts w:hint="eastAsia" w:ascii="宋体" w:hAnsi="宋体" w:eastAsia="宋体" w:cs="宋体"/>
                <w:color w:val="auto"/>
                <w:sz w:val="21"/>
                <w:szCs w:val="21"/>
                <w:highlight w:val="none"/>
                <w:lang w:val="en-US" w:eastAsia="zh-CN"/>
              </w:rPr>
              <w:t>起</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日内支付年度合同总价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作为</w:t>
            </w:r>
            <w:r>
              <w:rPr>
                <w:rFonts w:hint="eastAsia" w:ascii="宋体" w:hAnsi="宋体" w:eastAsia="宋体" w:cs="宋体"/>
                <w:color w:val="auto"/>
                <w:sz w:val="21"/>
                <w:szCs w:val="21"/>
                <w:highlight w:val="none"/>
              </w:rPr>
              <w:t>预付款</w:t>
            </w:r>
            <w:bookmarkEnd w:id="3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合同签订时中标人主动要求不需要预付款的采购人可以不支付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bookmarkStart w:id="37" w:name="OLE_LINK2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lang w:eastAsia="zh-CN"/>
              </w:rPr>
              <w:t>经采购人考核评定后，结合考核</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lang w:eastAsia="zh-CN"/>
              </w:rPr>
              <w:t>确定应付服务费，中标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按应收款总额开具正式发票，采购人于次月20日前支付，如遇节假日则自动顺延（先从预付款中扣除相应金额，待预付款支付完后再另行按实支付）</w:t>
            </w:r>
            <w:bookmarkEnd w:id="37"/>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履约保证金金额：合同金额的1%；</w:t>
            </w:r>
          </w:p>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形式：支票、汇票、银行无条件履约保函或保险保单形式。中标人收到中标通知书后7天内向采购人支付。履约保证金在中标人完成合同履约后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合同终止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不能保证工作质量，或发生重大差错事故的，采购人可有权终止</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，中标人承担全部责任。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bookmarkStart w:id="38" w:name="OLE_LINK31"/>
            <w:r>
              <w:rPr>
                <w:rFonts w:hint="eastAsia" w:ascii="宋体" w:hAnsi="宋体" w:eastAsia="宋体" w:cs="宋体"/>
                <w:i w:val="0"/>
                <w:caps w:val="0"/>
                <w:color w:val="auto"/>
                <w:spacing w:val="0"/>
                <w:sz w:val="21"/>
                <w:szCs w:val="21"/>
                <w:highlight w:val="none"/>
                <w:shd w:val="clear" w:fill="FFFFFF"/>
                <w:lang w:val="en-US" w:eastAsia="zh-CN"/>
              </w:rPr>
              <w:t>本次招标采用按中标价格一次性包干的方式。但在合同执行期间，投标人在进行投标报价时要充分考虑未来三年价格因素的变化，合同中的人员工资部分必须符合当地劳动部门有关规定，遇到社保缴费基数、比例及最低工资标准上调，则按实际情况予以调整，确保用工合法，由此增加的费用，由投标人负责，合同价格不作调整。</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同意采购方对投标文件内容的真实性和有效性进行监督审查、验证</w:t>
            </w:r>
            <w:r>
              <w:rPr>
                <w:rFonts w:hint="eastAsia" w:ascii="宋体" w:hAnsi="宋体" w:eastAsia="宋体" w:cs="宋体"/>
                <w:bCs/>
                <w:color w:val="auto"/>
                <w:sz w:val="21"/>
                <w:szCs w:val="21"/>
                <w:highlight w:val="none"/>
              </w:rPr>
              <w:t>。</w:t>
            </w:r>
          </w:p>
        </w:tc>
      </w:tr>
      <w:bookmarkEnd w:id="34"/>
    </w:tbl>
    <w:p>
      <w:pPr>
        <w:keepNext w:val="0"/>
        <w:keepLines w:val="0"/>
        <w:pageBreakBefore w:val="0"/>
        <w:widowControl w:val="0"/>
        <w:kinsoku/>
        <w:wordWrap/>
        <w:overflowPunct/>
        <w:topLinePunct w:val="0"/>
        <w:bidi w:val="0"/>
        <w:snapToGrid/>
        <w:spacing w:line="400" w:lineRule="exact"/>
        <w:rPr>
          <w:sz w:val="21"/>
          <w:szCs w:val="21"/>
          <w:highlight w:val="none"/>
        </w:rPr>
      </w:pPr>
    </w:p>
    <w:p>
      <w:pPr>
        <w:pStyle w:val="12"/>
        <w:snapToGrid w:val="0"/>
        <w:spacing w:beforeLines="0" w:afterLines="0"/>
        <w:jc w:val="center"/>
        <w:outlineLvl w:val="0"/>
        <w:rPr>
          <w:rFonts w:hint="eastAsia" w:ascii="黑体" w:hAnsi="宋体" w:eastAsia="黑体"/>
          <w:b/>
          <w:bCs/>
          <w:color w:val="auto"/>
          <w:sz w:val="28"/>
          <w:szCs w:val="28"/>
          <w:highlight w:val="none"/>
        </w:rPr>
      </w:pPr>
    </w:p>
    <w:p>
      <w:pPr>
        <w:pStyle w:val="12"/>
        <w:snapToGrid w:val="0"/>
        <w:spacing w:beforeLines="0" w:afterLines="0"/>
        <w:jc w:val="center"/>
        <w:outlineLvl w:val="0"/>
        <w:rPr>
          <w:rFonts w:hint="eastAsia" w:ascii="黑体" w:hAnsi="宋体" w:eastAsia="黑体"/>
          <w:b/>
          <w:bCs/>
          <w:color w:val="auto"/>
          <w:sz w:val="28"/>
          <w:szCs w:val="28"/>
          <w:highlight w:val="none"/>
        </w:rPr>
      </w:pPr>
    </w:p>
    <w:p>
      <w:pPr>
        <w:pStyle w:val="12"/>
        <w:snapToGrid w:val="0"/>
        <w:spacing w:beforeLines="0" w:afterLines="0"/>
        <w:jc w:val="center"/>
        <w:outlineLvl w:val="0"/>
        <w:rPr>
          <w:rFonts w:hint="eastAsia"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第三章  投标人须知</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ascii="黑体" w:hAnsi="宋体" w:eastAsia="黑体"/>
          <w:b/>
          <w:bCs/>
          <w:color w:val="auto"/>
          <w:sz w:val="28"/>
          <w:szCs w:val="28"/>
          <w:highlight w:val="none"/>
        </w:rPr>
        <w:t>前附表</w:t>
      </w:r>
    </w:p>
    <w:p>
      <w:pPr>
        <w:pStyle w:val="12"/>
        <w:snapToGrid w:val="0"/>
        <w:spacing w:beforeLines="0" w:afterLines="0"/>
        <w:jc w:val="center"/>
        <w:outlineLvl w:val="0"/>
        <w:rPr>
          <w:rFonts w:ascii="黑体" w:hAnsi="宋体" w:eastAsia="黑体"/>
          <w:b/>
          <w:bCs/>
          <w:color w:val="auto"/>
          <w:sz w:val="28"/>
          <w:szCs w:val="28"/>
          <w:highlight w:val="none"/>
        </w:rPr>
      </w:pPr>
    </w:p>
    <w:tbl>
      <w:tblPr>
        <w:tblStyle w:val="24"/>
        <w:tblW w:w="8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专门面向中小微企业招标：</w:t>
            </w:r>
            <w:r>
              <w:rPr>
                <w:rFonts w:hint="eastAsia" w:asciiTheme="minorEastAsia" w:hAnsiTheme="minorEastAsia" w:eastAsiaTheme="minorEastAsia"/>
                <w:color w:val="auto"/>
                <w:szCs w:val="21"/>
                <w:highlight w:val="none"/>
                <w:bdr w:val="single" w:color="auto" w:sz="4" w:space="0"/>
              </w:rPr>
              <w:t>√</w:t>
            </w:r>
            <w:r>
              <w:rPr>
                <w:rFonts w:hint="eastAsia" w:asciiTheme="minorEastAsia" w:hAnsiTheme="minorEastAsia" w:eastAsiaTheme="minorEastAsia"/>
                <w:color w:val="auto"/>
                <w:szCs w:val="21"/>
                <w:highlight w:val="none"/>
              </w:rPr>
              <w:t>是；</w:t>
            </w:r>
            <w:r>
              <w:rPr>
                <w:rFonts w:hint="eastAsia" w:asciiTheme="minorEastAsia" w:hAnsiTheme="minorEastAsia" w:eastAsiaTheme="minorEastAsia"/>
                <w:color w:val="auto"/>
                <w:szCs w:val="21"/>
                <w:highlight w:val="none"/>
                <w:bdr w:val="single" w:color="auto" w:sz="4" w:space="0"/>
              </w:rPr>
              <w:t xml:space="preserve">  </w:t>
            </w:r>
            <w:r>
              <w:rPr>
                <w:rFonts w:hint="eastAsia" w:asciiTheme="minorEastAsia" w:hAnsiTheme="minorEastAsia" w:eastAsiaTheme="minorEastAsia"/>
                <w:color w:val="auto"/>
                <w:szCs w:val="21"/>
                <w:highlight w:val="none"/>
              </w:rPr>
              <w:t>否。</w:t>
            </w:r>
            <w:r>
              <w:rPr>
                <w:rFonts w:hint="eastAsia" w:asciiTheme="minorEastAsia" w:hAnsiTheme="minorEastAsia" w:eastAsiaTheme="minorEastAsia" w:cstheme="minorEastAsia"/>
                <w:color w:val="auto"/>
                <w:sz w:val="21"/>
                <w:szCs w:val="21"/>
                <w:highlight w:val="none"/>
                <w:lang w:val="en-US" w:eastAsia="zh-CN"/>
              </w:rPr>
              <w:t>是</w:t>
            </w:r>
            <w:r>
              <w:rPr>
                <w:rFonts w:hint="eastAsia" w:asciiTheme="minorEastAsia" w:hAnsiTheme="minorEastAsia" w:eastAsiaTheme="minorEastAsia" w:cstheme="minorEastAsia"/>
                <w:color w:val="auto"/>
                <w:sz w:val="21"/>
                <w:szCs w:val="21"/>
                <w:highlight w:val="none"/>
              </w:rPr>
              <w:t>专门面向中小微企业招标项目。</w:t>
            </w:r>
          </w:p>
          <w:p>
            <w:pPr>
              <w:pStyle w:val="34"/>
              <w:ind w:left="0" w:leftChars="0" w:firstLine="0"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bidi="ar-SA"/>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本次招标有关信息公告在</w:t>
            </w:r>
          </w:p>
          <w:p>
            <w:pPr>
              <w:spacing w:line="40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宁波市公共资源交易电子服务系统V2.0（https://jyxt.zwb.ningbo.gov.cn:4011/website/home)</w:t>
            </w:r>
          </w:p>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宁波政府采购网（</w:t>
            </w:r>
            <w:r>
              <w:rPr>
                <w:rFonts w:hint="eastAsia" w:asciiTheme="minorEastAsia" w:hAnsiTheme="minorEastAsia" w:eastAsiaTheme="minorEastAsia" w:cstheme="minorEastAsia"/>
                <w:color w:val="auto"/>
                <w:sz w:val="21"/>
                <w:szCs w:val="21"/>
                <w:highlight w:val="none"/>
                <w:lang w:eastAsia="zh-CN"/>
              </w:rPr>
              <w:t>https://zfcg.czj.ningbo.gov.cn</w:t>
            </w:r>
            <w:r>
              <w:rPr>
                <w:rFonts w:hint="eastAsia" w:asciiTheme="minorEastAsia" w:hAnsiTheme="minorEastAsia" w:eastAsiaTheme="minorEastAsia" w:cstheme="minorEastAsia"/>
                <w:color w:val="auto"/>
                <w:sz w:val="21"/>
                <w:szCs w:val="21"/>
                <w:highlight w:val="none"/>
              </w:rPr>
              <w:t>）</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color w:val="auto"/>
          <w:szCs w:val="21"/>
          <w:highlight w:val="none"/>
        </w:rPr>
      </w:pPr>
      <w:r>
        <w:rPr>
          <w:rFonts w:hint="eastAsia"/>
          <w:color w:val="auto"/>
          <w:highlight w:val="none"/>
        </w:rPr>
        <w:br w:type="page"/>
      </w:r>
      <w:r>
        <w:rPr>
          <w:rFonts w:hint="eastAsia" w:asciiTheme="minorEastAsia" w:hAnsiTheme="minorEastAsia" w:eastAsiaTheme="minorEastAsia"/>
          <w:b/>
          <w:bCs/>
          <w:color w:val="auto"/>
          <w:szCs w:val="21"/>
          <w:highlight w:val="none"/>
        </w:rPr>
        <w:t>一、总  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适用范围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（二）定义</w:t>
      </w:r>
    </w:p>
    <w:p>
      <w:pPr>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是指依法进行政府</w:t>
      </w:r>
      <w:r>
        <w:rPr>
          <w:rFonts w:hint="eastAsia" w:asciiTheme="minorEastAsia" w:hAnsiTheme="minorEastAsia" w:eastAsiaTheme="minorEastAsia"/>
          <w:color w:val="auto"/>
          <w:szCs w:val="21"/>
          <w:highlight w:val="none"/>
        </w:rPr>
        <w:t>采购的国家机关、事业单位、团体组织。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2.“采购代理机构”是指</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”是指实质性要求条款。</w:t>
      </w:r>
    </w:p>
    <w:p>
      <w:pPr>
        <w:spacing w:line="400" w:lineRule="exact"/>
        <w:ind w:firstLine="420" w:firstLineChars="200"/>
        <w:rPr>
          <w:rFonts w:asciiTheme="minorEastAsia" w:hAnsiTheme="minorEastAsia" w:eastAsiaTheme="minorEastAsia"/>
          <w:color w:val="auto"/>
          <w:szCs w:val="21"/>
          <w:highlight w:val="none"/>
        </w:rPr>
      </w:pPr>
      <w:bookmarkStart w:id="39" w:name="_Toc317685562"/>
      <w:bookmarkStart w:id="40" w:name="_Toc304292180"/>
      <w:r>
        <w:rPr>
          <w:rFonts w:hint="eastAsia" w:asciiTheme="minorEastAsia" w:hAnsiTheme="minorEastAsia" w:eastAsiaTheme="minorEastAsia"/>
          <w:color w:val="auto"/>
          <w:szCs w:val="21"/>
          <w:highlight w:val="none"/>
        </w:rPr>
        <w:t>（三）投标委</w:t>
      </w:r>
      <w:bookmarkEnd w:id="39"/>
      <w:bookmarkEnd w:id="40"/>
      <w:r>
        <w:rPr>
          <w:rFonts w:hint="eastAsia" w:asciiTheme="minorEastAsia" w:hAnsiTheme="minorEastAsia" w:eastAsiaTheme="minorEastAsia"/>
          <w:color w:val="auto"/>
          <w:szCs w:val="21"/>
          <w:highlight w:val="none"/>
        </w:rPr>
        <w:t>托</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代表须</w:t>
      </w:r>
      <w:r>
        <w:rPr>
          <w:rFonts w:hint="eastAsia" w:asciiTheme="minorEastAsia" w:hAnsiTheme="minorEastAsia" w:eastAsiaTheme="minorEastAsia"/>
          <w:color w:val="auto"/>
          <w:szCs w:val="21"/>
          <w:highlight w:val="none"/>
        </w:rPr>
        <w:t>提</w:t>
      </w:r>
      <w:r>
        <w:rPr>
          <w:rFonts w:asciiTheme="minorEastAsia" w:hAnsiTheme="minorEastAsia" w:eastAsiaTheme="minorEastAsia"/>
          <w:color w:val="auto"/>
          <w:szCs w:val="21"/>
          <w:highlight w:val="none"/>
        </w:rPr>
        <w:t>供</w:t>
      </w:r>
      <w:r>
        <w:rPr>
          <w:rFonts w:hint="eastAsia" w:asciiTheme="minorEastAsia" w:hAnsiTheme="minorEastAsia" w:eastAsiaTheme="minorEastAsia"/>
          <w:color w:val="auto"/>
          <w:szCs w:val="21"/>
          <w:highlight w:val="none"/>
        </w:rPr>
        <w:t>有效</w:t>
      </w:r>
      <w:r>
        <w:rPr>
          <w:rFonts w:asciiTheme="minorEastAsia" w:hAnsiTheme="minorEastAsia" w:eastAsiaTheme="minorEastAsia"/>
          <w:color w:val="auto"/>
          <w:szCs w:val="21"/>
          <w:highlight w:val="none"/>
        </w:rPr>
        <w:t>身份证</w:t>
      </w:r>
      <w:r>
        <w:rPr>
          <w:rFonts w:hint="eastAsia" w:asciiTheme="minorEastAsia" w:hAnsiTheme="minorEastAsia" w:eastAsiaTheme="minorEastAsia"/>
          <w:color w:val="auto"/>
          <w:szCs w:val="21"/>
          <w:highlight w:val="none"/>
        </w:rPr>
        <w:t>件</w:t>
      </w:r>
      <w:r>
        <w:rPr>
          <w:rFonts w:asciiTheme="minorEastAsia" w:hAnsiTheme="minorEastAsia" w:eastAsiaTheme="minorEastAsia"/>
          <w:color w:val="auto"/>
          <w:szCs w:val="21"/>
          <w:highlight w:val="none"/>
        </w:rPr>
        <w:t>。如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代表不是法定代表人／负责人，须有法定代表人／负责人出具的授权委托书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格式见</w:t>
      </w: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bookmarkStart w:id="41" w:name="_Toc304292181"/>
      <w:bookmarkStart w:id="42" w:name="_Toc317685563"/>
      <w:r>
        <w:rPr>
          <w:rFonts w:hint="eastAsia" w:asciiTheme="minorEastAsia" w:hAnsiTheme="minorEastAsia" w:eastAsiaTheme="minorEastAsia"/>
          <w:color w:val="auto"/>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41"/>
      <w:bookmarkEnd w:id="42"/>
      <w:r>
        <w:rPr>
          <w:rFonts w:hint="eastAsia" w:asciiTheme="minorEastAsia" w:hAnsiTheme="minorEastAsia" w:eastAsiaTheme="minorEastAsia"/>
          <w:color w:val="auto"/>
          <w:szCs w:val="21"/>
          <w:highlight w:val="none"/>
        </w:rPr>
        <w:t>投标费用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（五）转包与分包</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本项目不得转包</w:t>
      </w:r>
      <w:r>
        <w:rPr>
          <w:rFonts w:hint="eastAsia" w:asciiTheme="minorEastAsia" w:hAnsiTheme="minorEastAsia" w:eastAsiaTheme="minorEastAsia"/>
          <w:color w:val="auto"/>
          <w:szCs w:val="21"/>
          <w:highlight w:val="none"/>
        </w:rPr>
        <w:t>，未经采购人同意不得分包。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（六）特别说明</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银行、保险、石油石化、电力、电信、移动、联通等行业实行许可证管理的本地分支机构可直接参与投标，法人代表授权书可以为分公司负责人授权。</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招标文件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公告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投标人须知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w:t>
      </w:r>
      <w:r>
        <w:rPr>
          <w:rFonts w:hint="eastAsia" w:asciiTheme="minorEastAsia" w:hAnsiTheme="minorEastAsia" w:eastAsiaTheme="minorEastAsia"/>
          <w:color w:val="auto"/>
          <w:szCs w:val="21"/>
          <w:highlight w:val="none"/>
        </w:rPr>
        <w:t>评标</w:t>
      </w:r>
      <w:r>
        <w:rPr>
          <w:rFonts w:asciiTheme="minorEastAsia" w:hAnsiTheme="minorEastAsia" w:eastAsiaTheme="minorEastAsia"/>
          <w:color w:val="auto"/>
          <w:szCs w:val="21"/>
          <w:highlight w:val="none"/>
        </w:rPr>
        <w:t>标准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.政府采购</w:t>
      </w:r>
      <w:r>
        <w:rPr>
          <w:rFonts w:asciiTheme="minorEastAsia" w:hAnsiTheme="minorEastAsia" w:eastAsiaTheme="minorEastAsia"/>
          <w:color w:val="auto"/>
          <w:szCs w:val="21"/>
          <w:highlight w:val="none"/>
        </w:rPr>
        <w:t>合同主要条款</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（二）招标文件的澄清与修改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澄清或者修改的内容为招标文件的组成部分</w:t>
      </w:r>
      <w:r>
        <w:rPr>
          <w:rFonts w:hint="eastAsia" w:asciiTheme="minorEastAsia" w:hAnsi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3.所有投标人均有义务登陆</w:t>
      </w:r>
      <w:r>
        <w:rPr>
          <w:rFonts w:hint="eastAsia" w:asciiTheme="minorEastAsia" w:hAnsiTheme="minorEastAsia" w:eastAsiaTheme="minorEastAsia"/>
          <w:color w:val="auto"/>
          <w:szCs w:val="21"/>
          <w:highlight w:val="none"/>
          <w:lang w:eastAsia="zh-CN"/>
        </w:rPr>
        <w:t>宁波市公共资源交易电子服务系统V2.0（https://jyxt.zwb.ningbo.gov.cn:4011/website/home)</w:t>
      </w:r>
      <w:r>
        <w:rPr>
          <w:rFonts w:hint="eastAsia" w:asciiTheme="minorEastAsia" w:hAnsiTheme="minorEastAsia" w:eastAsiaTheme="minorEastAsia"/>
          <w:color w:val="auto"/>
          <w:szCs w:val="21"/>
          <w:highlight w:val="none"/>
        </w:rPr>
        <w:t>、宁波政府采购网（</w:t>
      </w:r>
      <w:r>
        <w:rPr>
          <w:rFonts w:hint="eastAsia" w:asciiTheme="minorEastAsia" w:hAnsiTheme="minorEastAsia" w:eastAsiaTheme="minorEastAsia"/>
          <w:color w:val="auto"/>
          <w:szCs w:val="21"/>
          <w:highlight w:val="none"/>
          <w:lang w:eastAsia="zh-CN"/>
        </w:rPr>
        <w:t>https://zfcg.czj.ningbo.gov.cn</w:t>
      </w:r>
      <w:r>
        <w:rPr>
          <w:rFonts w:hint="eastAsia" w:asciiTheme="minorEastAsia" w:hAnsiTheme="minorEastAsia" w:eastAsiaTheme="minorEastAsia"/>
          <w:color w:val="auto"/>
          <w:szCs w:val="21"/>
          <w:highlight w:val="none"/>
        </w:rPr>
        <w:t>）和浙江政府采购网（</w:t>
      </w:r>
      <w:r>
        <w:rPr>
          <w:rFonts w:hint="eastAsia" w:asciiTheme="minorEastAsia" w:hAnsiTheme="minorEastAsia" w:eastAsiaTheme="minorEastAsia"/>
          <w:color w:val="auto"/>
          <w:szCs w:val="21"/>
          <w:highlight w:val="none"/>
          <w:lang w:eastAsia="zh-CN"/>
        </w:rPr>
        <w:t>https://zfcg.czt.zj.gov.cn</w:t>
      </w:r>
      <w:r>
        <w:rPr>
          <w:rFonts w:hint="eastAsia" w:asciiTheme="minorEastAsia" w:hAnsiTheme="minorEastAsia" w:eastAsiaTheme="minorEastAsia"/>
          <w:color w:val="auto"/>
          <w:szCs w:val="21"/>
          <w:highlight w:val="none"/>
        </w:rPr>
        <w:t>）网站获取相关信息，</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（一）投标文件的组成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投标文件由技术商务文件及报价文件两部分组成。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1.技术商务文件的内容组成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（1）资格条件自查表（格式见附件）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（3）评分索引表（格式详见技术商务文件格式中的评分索引表）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（4）对照技术商务评分表的要求提供以下资料：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ascii="宋体" w:hAnsi="宋体" w:eastAsia="宋体" w:cs="宋体"/>
          <w:color w:val="auto"/>
          <w:sz w:val="21"/>
          <w:szCs w:val="21"/>
          <w:highlight w:val="none"/>
        </w:rPr>
        <w:t>整体综合服务管理方案</w:t>
      </w:r>
      <w:r>
        <w:rPr>
          <w:rFonts w:hint="eastAsia" w:asciiTheme="minorEastAsia" w:hAnsiTheme="minorEastAsia" w:eastAsiaTheme="minorEastAsia"/>
          <w:color w:val="auto"/>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ascii="宋体" w:hAnsi="宋体" w:eastAsia="宋体" w:cs="宋体"/>
          <w:color w:val="000000"/>
          <w:sz w:val="21"/>
          <w:szCs w:val="21"/>
          <w:highlight w:val="none"/>
          <w:lang w:val="en-US" w:eastAsia="zh-CN"/>
        </w:rPr>
        <w:t>管理制度</w:t>
      </w:r>
      <w:r>
        <w:rPr>
          <w:rFonts w:hint="eastAsia"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hint="eastAsia" w:ascii="宋体" w:hAnsi="宋体" w:cs="宋体"/>
          <w:color w:val="000000"/>
          <w:sz w:val="21"/>
          <w:szCs w:val="21"/>
          <w:highlight w:val="none"/>
          <w:lang w:val="en-US" w:eastAsia="zh-CN"/>
        </w:rPr>
        <w:t>安保服务方案</w:t>
      </w:r>
      <w:r>
        <w:rPr>
          <w:rFonts w:hint="eastAsia"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④</w:t>
      </w:r>
      <w:r>
        <w:rPr>
          <w:rFonts w:hint="eastAsia" w:ascii="宋体" w:hAnsi="宋体" w:cs="宋体"/>
          <w:color w:val="000000"/>
          <w:sz w:val="21"/>
          <w:szCs w:val="21"/>
          <w:highlight w:val="none"/>
          <w:lang w:val="en-US" w:eastAsia="zh-CN"/>
        </w:rPr>
        <w:t>会务保障服务方案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宋体" w:hAnsi="宋体" w:cs="宋体"/>
          <w:color w:val="000000"/>
          <w:sz w:val="21"/>
          <w:szCs w:val="21"/>
          <w:highlight w:val="none"/>
          <w:lang w:val="en-US" w:eastAsia="zh-CN"/>
        </w:rPr>
        <w:t>卫生清洁服务方案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⑥</w:t>
      </w:r>
      <w:r>
        <w:rPr>
          <w:rFonts w:hint="eastAsia" w:ascii="宋体" w:hAnsi="宋体" w:cs="宋体"/>
          <w:color w:val="000000"/>
          <w:sz w:val="21"/>
          <w:szCs w:val="21"/>
          <w:highlight w:val="none"/>
          <w:lang w:val="en-US" w:eastAsia="zh-CN"/>
        </w:rPr>
        <w:t>绿化服务方案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hint="eastAsia" w:ascii="宋体" w:hAnsi="宋体" w:eastAsia="宋体" w:cs="宋体"/>
          <w:color w:val="000000"/>
          <w:sz w:val="21"/>
          <w:szCs w:val="21"/>
          <w:highlight w:val="none"/>
          <w:lang w:val="en-US" w:eastAsia="zh-CN"/>
        </w:rPr>
        <w:t>配套设备设施维护服务</w:t>
      </w:r>
      <w:r>
        <w:rPr>
          <w:rFonts w:hint="eastAsia" w:ascii="宋体" w:hAnsi="宋体" w:cs="宋体"/>
          <w:color w:val="000000"/>
          <w:sz w:val="21"/>
          <w:szCs w:val="21"/>
          <w:highlight w:val="none"/>
          <w:lang w:val="en-US" w:eastAsia="zh-CN"/>
        </w:rPr>
        <w:t>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hint="eastAsia" w:ascii="宋体" w:hAnsi="宋体" w:cs="宋体"/>
          <w:color w:val="000000"/>
          <w:sz w:val="21"/>
          <w:szCs w:val="21"/>
          <w:highlight w:val="none"/>
          <w:lang w:val="en-US" w:eastAsia="zh-CN"/>
        </w:rPr>
        <w:t>消防管理方案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宋体" w:hAnsi="宋体" w:cs="宋体"/>
          <w:color w:val="000000"/>
          <w:sz w:val="21"/>
          <w:szCs w:val="21"/>
          <w:highlight w:val="none"/>
          <w:lang w:val="en-US" w:eastAsia="zh-CN"/>
        </w:rPr>
        <w:t>保密管理方案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Cambria Math" w:hAnsi="Cambria Math" w:eastAsiaTheme="minorEastAsia"/>
          <w:color w:val="auto"/>
          <w:szCs w:val="21"/>
          <w:highlight w:val="none"/>
          <w:lang w:val="en-US"/>
        </w:rPr>
      </w:pPr>
      <w:r>
        <w:rPr>
          <w:rFonts w:ascii="Cambria Math" w:hAnsi="Cambria Math" w:eastAsiaTheme="minorEastAsia"/>
          <w:color w:val="auto"/>
          <w:szCs w:val="21"/>
          <w:highlight w:val="none"/>
        </w:rPr>
        <w:t>⑩</w:t>
      </w:r>
      <w:r>
        <w:rPr>
          <w:rFonts w:hint="eastAsia" w:ascii="宋体" w:hAnsi="宋体" w:cs="宋体"/>
          <w:color w:val="000000"/>
          <w:sz w:val="21"/>
          <w:szCs w:val="21"/>
          <w:highlight w:val="none"/>
          <w:lang w:val="en-US" w:eastAsia="zh-CN"/>
        </w:rPr>
        <w:t>应急管理方案；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olor w:val="auto"/>
          <w:szCs w:val="21"/>
          <w:highlight w:val="none"/>
          <w:lang w:val="en-US"/>
        </w:rPr>
      </w:pPr>
      <w:r>
        <w:rPr>
          <w:rFonts w:ascii="Cambria Math" w:hAnsi="Cambria Math" w:cs="Cambria Math" w:eastAsiaTheme="minorEastAsia"/>
          <w:color w:val="auto"/>
          <w:szCs w:val="21"/>
          <w:highlight w:val="none"/>
          <w:shd w:val="clear" w:color="auto" w:fill="FFFFFF"/>
        </w:rPr>
        <w:t>⑪</w:t>
      </w:r>
      <w:r>
        <w:rPr>
          <w:rFonts w:hint="eastAsia" w:ascii="宋体" w:hAnsi="宋体" w:cs="宋体"/>
          <w:b w:val="0"/>
          <w:bCs/>
          <w:color w:val="000000"/>
          <w:sz w:val="21"/>
          <w:szCs w:val="21"/>
          <w:highlight w:val="none"/>
          <w:lang w:val="en-US" w:eastAsia="zh-CN"/>
        </w:rPr>
        <w:t>拟投入的人员配备及管理；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olor w:val="auto"/>
          <w:szCs w:val="21"/>
          <w:highlight w:val="none"/>
          <w:lang w:val="en-US"/>
        </w:rPr>
      </w:pPr>
      <w:r>
        <w:rPr>
          <w:rFonts w:hint="default" w:ascii="Cambria" w:hAnsi="Cambria" w:eastAsia="宋体" w:cs="Cambria"/>
          <w:bCs/>
          <w:color w:val="000000"/>
          <w:sz w:val="21"/>
          <w:szCs w:val="21"/>
          <w:highlight w:val="none"/>
          <w:lang w:eastAsia="zh-CN"/>
        </w:rPr>
        <w:t>⑫</w:t>
      </w:r>
      <w:r>
        <w:rPr>
          <w:rFonts w:hint="eastAsia" w:ascii="宋体" w:hAnsi="宋体" w:eastAsia="宋体" w:cs="宋体"/>
          <w:bCs/>
          <w:color w:val="000000"/>
          <w:sz w:val="21"/>
          <w:szCs w:val="21"/>
          <w:highlight w:val="none"/>
          <w:lang w:eastAsia="zh-CN"/>
        </w:rPr>
        <w:t>人员</w:t>
      </w:r>
      <w:r>
        <w:rPr>
          <w:rFonts w:hint="eastAsia" w:ascii="宋体" w:hAnsi="宋体" w:eastAsia="宋体" w:cs="宋体"/>
          <w:bCs/>
          <w:color w:val="000000"/>
          <w:sz w:val="21"/>
          <w:szCs w:val="21"/>
          <w:highlight w:val="none"/>
        </w:rPr>
        <w:t>培训与管理</w:t>
      </w:r>
      <w:r>
        <w:rPr>
          <w:rFonts w:hint="eastAsia" w:ascii="宋体" w:hAnsi="宋体" w:cs="宋体"/>
          <w:bCs/>
          <w:color w:val="000000"/>
          <w:sz w:val="21"/>
          <w:szCs w:val="21"/>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olor w:val="auto"/>
          <w:szCs w:val="21"/>
          <w:highlight w:val="none"/>
          <w:lang w:val="en-US"/>
        </w:rPr>
      </w:pPr>
      <w:r>
        <w:rPr>
          <w:rFonts w:hint="default" w:ascii="Cambria" w:hAnsi="Cambria" w:eastAsia="宋体" w:cs="Cambria"/>
          <w:color w:val="auto"/>
          <w:sz w:val="21"/>
          <w:szCs w:val="21"/>
          <w:highlight w:val="none"/>
          <w:lang w:val="en-US" w:eastAsia="zh-CN"/>
        </w:rPr>
        <w:t>⑬</w:t>
      </w:r>
      <w:r>
        <w:rPr>
          <w:rFonts w:hint="eastAsia" w:ascii="宋体" w:hAnsi="宋体" w:eastAsia="宋体" w:cs="宋体"/>
          <w:color w:val="auto"/>
          <w:sz w:val="21"/>
          <w:szCs w:val="21"/>
          <w:highlight w:val="none"/>
          <w:lang w:val="en-US" w:eastAsia="zh-CN"/>
        </w:rPr>
        <w:t>服务承诺；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asciiTheme="minorEastAsia" w:hAnsiTheme="minorEastAsia"/>
          <w:color w:val="auto"/>
          <w:szCs w:val="21"/>
          <w:highlight w:val="none"/>
          <w:lang w:val="en-US" w:eastAsia="zh-CN"/>
        </w:rPr>
      </w:pPr>
      <w:r>
        <w:rPr>
          <w:rFonts w:hint="default" w:ascii="Cambria" w:hAnsi="Cambria" w:eastAsia="宋体" w:cs="Cambria"/>
          <w:color w:val="auto"/>
          <w:sz w:val="21"/>
          <w:szCs w:val="21"/>
          <w:highlight w:val="none"/>
        </w:rPr>
        <w:t>⑭</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sz w:val="21"/>
          <w:szCs w:val="21"/>
          <w:highlight w:val="none"/>
          <w:lang w:val="en-US" w:eastAsia="zh-CN"/>
        </w:rPr>
      </w:pPr>
      <w:r>
        <w:rPr>
          <w:rFonts w:hint="default" w:ascii="Cambria" w:hAnsi="Cambria" w:eastAsia="宋体" w:cs="Cambria"/>
          <w:bCs/>
          <w:color w:val="000000"/>
          <w:sz w:val="21"/>
          <w:szCs w:val="21"/>
          <w:highlight w:val="none"/>
          <w:lang w:val="zh-CN"/>
        </w:rPr>
        <w:t>⑮</w:t>
      </w:r>
      <w:r>
        <w:rPr>
          <w:rFonts w:hint="eastAsia" w:ascii="宋体" w:hAnsi="宋体" w:eastAsia="宋体" w:cs="宋体"/>
          <w:bCs/>
          <w:color w:val="000000"/>
          <w:sz w:val="21"/>
          <w:szCs w:val="21"/>
          <w:highlight w:val="none"/>
          <w:lang w:val="zh-CN"/>
        </w:rPr>
        <w:t>综合实力</w:t>
      </w:r>
      <w:r>
        <w:rPr>
          <w:rFonts w:hint="eastAsia" w:ascii="宋体" w:hAnsi="宋体" w:eastAsia="宋体" w:cs="宋体"/>
          <w:bCs/>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000000"/>
          <w:sz w:val="21"/>
          <w:szCs w:val="21"/>
          <w:highlight w:val="none"/>
          <w:lang w:val="en-US" w:eastAsia="zh-CN"/>
        </w:rPr>
      </w:pPr>
      <w:r>
        <w:rPr>
          <w:rFonts w:hint="default" w:ascii="Cambria" w:hAnsi="Cambria" w:eastAsia="宋体" w:cs="Cambria"/>
          <w:bCs/>
          <w:color w:val="000000"/>
          <w:sz w:val="21"/>
          <w:szCs w:val="21"/>
          <w:highlight w:val="none"/>
          <w:lang w:val="en-US" w:eastAsia="zh-CN"/>
        </w:rPr>
        <w:t>⑯</w:t>
      </w:r>
      <w:r>
        <w:rPr>
          <w:rFonts w:hint="eastAsia" w:ascii="宋体" w:hAnsi="宋体" w:eastAsia="宋体" w:cs="宋体"/>
          <w:bCs/>
          <w:color w:val="000000"/>
          <w:sz w:val="21"/>
          <w:szCs w:val="21"/>
          <w:highlight w:val="none"/>
          <w:lang w:val="en-US" w:eastAsia="zh-CN"/>
        </w:rPr>
        <w:t>业绩；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000000"/>
          <w:sz w:val="21"/>
          <w:szCs w:val="21"/>
          <w:highlight w:val="none"/>
          <w:lang w:val="en-US" w:eastAsia="zh-CN"/>
        </w:rPr>
      </w:pPr>
      <w:r>
        <w:rPr>
          <w:rFonts w:hint="default" w:ascii="Cambria" w:hAnsi="Cambria" w:eastAsia="宋体" w:cs="Cambria"/>
          <w:bCs/>
          <w:color w:val="000000"/>
          <w:sz w:val="21"/>
          <w:szCs w:val="21"/>
          <w:highlight w:val="none"/>
          <w:lang w:val="en-US" w:eastAsia="zh-CN"/>
        </w:rPr>
        <w:t>⑰</w:t>
      </w:r>
      <w:r>
        <w:rPr>
          <w:rFonts w:hint="eastAsia" w:ascii="宋体" w:hAnsi="宋体" w:eastAsia="宋体" w:cs="宋体"/>
          <w:bCs/>
          <w:color w:val="000000"/>
          <w:sz w:val="21"/>
          <w:szCs w:val="21"/>
          <w:highlight w:val="none"/>
          <w:lang w:val="en-US" w:eastAsia="zh-CN"/>
        </w:rPr>
        <w:t>政府采购政策加分；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⑱</w:t>
      </w:r>
      <w:r>
        <w:rPr>
          <w:rFonts w:hint="eastAsia" w:asciiTheme="minorEastAsia" w:hAnsiTheme="minorEastAsia" w:eastAsiaTheme="minorEastAsia"/>
          <w:color w:val="auto"/>
          <w:szCs w:val="21"/>
          <w:highlight w:val="none"/>
        </w:rPr>
        <w:t>服务指标偏离表（格式见附件）；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⑲</w:t>
      </w:r>
      <w:r>
        <w:rPr>
          <w:rFonts w:hint="eastAsia" w:asciiTheme="minorEastAsia" w:hAnsiTheme="minorEastAsia" w:eastAsiaTheme="minorEastAsia"/>
          <w:color w:val="auto"/>
          <w:szCs w:val="21"/>
          <w:highlight w:val="none"/>
        </w:rPr>
        <w:t>商务条款偏离表（格式见附件）；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（5）上述几项中未列</w:t>
      </w:r>
      <w:r>
        <w:rPr>
          <w:rFonts w:hint="eastAsia" w:asciiTheme="minorEastAsia" w:hAnsiTheme="minorEastAsia" w:eastAsiaTheme="minorEastAsia"/>
          <w:color w:val="auto"/>
          <w:szCs w:val="21"/>
          <w:highlight w:val="none"/>
        </w:rPr>
        <w:t>明而招标文件要求提供的其他资料；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（6）投标人认为需提供的其他资料。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报价文件</w:t>
      </w:r>
      <w:r>
        <w:rPr>
          <w:rFonts w:hint="eastAsia" w:asciiTheme="minorEastAsia" w:hAnsiTheme="minorEastAsia" w:eastAsiaTheme="minorEastAsia"/>
          <w:color w:val="auto"/>
          <w:szCs w:val="21"/>
          <w:highlight w:val="none"/>
        </w:rPr>
        <w:t>的内容组成</w:t>
      </w:r>
      <w:r>
        <w:rPr>
          <w:rFonts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（2）投标分项报价表（格式见附件）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）投标人针对报价需要说明的其他文件和资料（格式自拟）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（二）投标文件的语言及计量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.投标人提交的</w:t>
      </w:r>
      <w:r>
        <w:rPr>
          <w:rFonts w:asciiTheme="minorEastAsia" w:hAnsiTheme="minorEastAsia" w:eastAsiaTheme="minorEastAsia"/>
          <w:color w:val="auto"/>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（四）投标文件的有效期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.投标有效期从提交投标文件的截止之日起90天</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在特殊情况下，</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（五）投标文件的编制和份数</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.投标文件的编制：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（1）投标人应当按照招标文件的要求编制投标文件。投标文件应当对招标文件提出的要求和条件作出明确响应，</w:t>
      </w:r>
      <w:r>
        <w:rPr>
          <w:rFonts w:asciiTheme="minorEastAsia" w:hAnsiTheme="minorEastAsia" w:eastAsiaTheme="minorEastAsia"/>
          <w:color w:val="auto"/>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投标文件内容不完整、编排混乱导致投标文件被误读、漏读或者查找不到相关内容的，</w:t>
      </w:r>
      <w:r>
        <w:rPr>
          <w:rFonts w:hint="eastAsia" w:asciiTheme="minorEastAsia" w:hAnsiTheme="minorEastAsia" w:eastAsiaTheme="minorEastAsia"/>
          <w:color w:val="auto"/>
          <w:szCs w:val="21"/>
          <w:highlight w:val="none"/>
        </w:rPr>
        <w:t>由投标人自负。</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投标文件须由投标人在规定位置盖章并由法定代表人／负责人或授权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签署，投标人应写全称。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投标文件不得涂改，若有修改错漏处，须加盖单位公章或者</w:t>
      </w:r>
      <w:r>
        <w:rPr>
          <w:rFonts w:hint="eastAsia" w:asciiTheme="minorEastAsia" w:hAnsiTheme="minorEastAsia" w:eastAsiaTheme="minorEastAsia"/>
          <w:color w:val="auto"/>
          <w:szCs w:val="21"/>
          <w:highlight w:val="none"/>
        </w:rPr>
        <w:t>法定代表人／负责人或授权代表签字</w:t>
      </w:r>
      <w:r>
        <w:rPr>
          <w:rFonts w:asciiTheme="minorEastAsia" w:hAnsiTheme="minorEastAsia" w:eastAsiaTheme="minorEastAsia"/>
          <w:color w:val="auto"/>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2.投标文件的份数：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本项目实行网上投标，供应商应准备以下投标文件：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以介质存储的数据电文形式的电子备份投标文件用封袋密封</w:t>
      </w:r>
      <w:r>
        <w:rPr>
          <w:rFonts w:hint="eastAsia" w:cs="宋体" w:asciiTheme="minorEastAsia" w:hAnsiTheme="minorEastAsia" w:eastAsiaTheme="minorEastAsia"/>
          <w:bCs/>
          <w:color w:val="auto"/>
          <w:szCs w:val="21"/>
          <w:highlight w:val="none"/>
        </w:rPr>
        <w:t>包装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包封</w:t>
      </w:r>
      <w:r>
        <w:rPr>
          <w:rFonts w:hint="eastAsia" w:asciiTheme="minorEastAsia" w:hAnsiTheme="minorEastAsia" w:eastAsiaTheme="minorEastAsia"/>
          <w:color w:val="auto"/>
          <w:szCs w:val="21"/>
          <w:highlight w:val="none"/>
        </w:rPr>
        <w:t>应密封完好，正确标明</w:t>
      </w:r>
      <w:r>
        <w:rPr>
          <w:rFonts w:hint="eastAsia" w:cs="宋体" w:asciiTheme="minorEastAsia" w:hAnsiTheme="minorEastAsia" w:eastAsiaTheme="minorEastAsia"/>
          <w:color w:val="auto"/>
          <w:kern w:val="0"/>
          <w:szCs w:val="21"/>
          <w:highlight w:val="none"/>
        </w:rPr>
        <w:t>电子备份</w:t>
      </w:r>
      <w:r>
        <w:rPr>
          <w:rFonts w:hint="eastAsia" w:asciiTheme="minorEastAsia" w:hAnsiTheme="minorEastAsia" w:eastAsiaTheme="minorEastAsia"/>
          <w:color w:val="auto"/>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3.投标人在投标截止时间之前，可以对所递交的</w:t>
      </w:r>
      <w:r>
        <w:rPr>
          <w:rFonts w:hint="eastAsia" w:cs="宋体" w:asciiTheme="minorEastAsia" w:hAnsiTheme="minorEastAsia" w:eastAsiaTheme="minorEastAsia"/>
          <w:color w:val="auto"/>
          <w:kern w:val="0"/>
          <w:sz w:val="21"/>
          <w:szCs w:val="21"/>
          <w:highlight w:val="none"/>
        </w:rPr>
        <w:t>电子备份投标文件</w:t>
      </w:r>
      <w:r>
        <w:rPr>
          <w:rFonts w:hint="eastAsia" w:cs="宋体" w:asciiTheme="minorEastAsia" w:hAnsiTheme="minorEastAsia" w:eastAsiaTheme="minorEastAsia"/>
          <w:color w:val="auto"/>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投标文件未按时解密，供应商提供了电子备份投标文件的，以电子备份投标文件作为依据，否则视为投标文件撤回。投标文件已按时解密的，电子备份投标文件自动失效。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5.投标人应当在</w:t>
      </w:r>
      <w:r>
        <w:rPr>
          <w:rFonts w:hint="eastAsia" w:cs="宋体" w:asciiTheme="minorEastAsia" w:hAnsiTheme="minorEastAsia" w:eastAsiaTheme="minorEastAsia"/>
          <w:color w:val="auto"/>
          <w:szCs w:val="21"/>
          <w:highlight w:val="none"/>
        </w:rPr>
        <w:t>投标截止时间</w:t>
      </w:r>
      <w:r>
        <w:rPr>
          <w:rFonts w:hint="eastAsia" w:asciiTheme="minorEastAsia" w:hAnsiTheme="minorEastAsia" w:eastAsiaTheme="minorEastAsia"/>
          <w:color w:val="auto"/>
          <w:szCs w:val="21"/>
          <w:highlight w:val="none"/>
        </w:rPr>
        <w:t>前将电子备份投标文件送达投标地点，逾期送达或未按照招标文件要求密封的电子备份投标文件将予以拒收。</w:t>
      </w:r>
    </w:p>
    <w:p>
      <w:pPr>
        <w:pStyle w:val="12"/>
        <w:snapToGrid w:val="0"/>
        <w:spacing w:beforeLines="0" w:afterLines="0"/>
        <w:jc w:val="center"/>
        <w:outlineLvl w:val="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四、开标和评标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（一）开标准备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采购代理机构将在招标文件规定的时间和地点进行开标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投标人的法定代表人／负责人或其授权代表</w:t>
      </w:r>
      <w:r>
        <w:rPr>
          <w:rFonts w:hint="eastAsia" w:asciiTheme="minorEastAsia" w:hAnsiTheme="minorEastAsia" w:eastAsiaTheme="minorEastAsia"/>
          <w:color w:val="auto"/>
          <w:szCs w:val="21"/>
          <w:highlight w:val="none"/>
        </w:rPr>
        <w:t>可</w:t>
      </w:r>
      <w:r>
        <w:rPr>
          <w:rFonts w:asciiTheme="minorEastAsia" w:hAnsiTheme="minorEastAsia" w:eastAsiaTheme="minorEastAsia"/>
          <w:color w:val="auto"/>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宋体" w:hAnsi="宋体" w:eastAsia="Calibri"/>
          <w:color w:val="auto"/>
          <w:szCs w:val="21"/>
          <w:highlight w:val="none"/>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eastAsia="Calibri"/>
          <w:color w:val="auto"/>
          <w:szCs w:val="21"/>
          <w:highlight w:val="none"/>
        </w:rPr>
        <w:t>在政府采购云平台开启已解密供应商的技术商务文件，</w:t>
      </w:r>
      <w:r>
        <w:rPr>
          <w:rFonts w:hint="eastAsia" w:ascii="宋体" w:hAnsi="宋体" w:eastAsiaTheme="minorEastAsia"/>
          <w:color w:val="auto"/>
          <w:szCs w:val="21"/>
          <w:highlight w:val="none"/>
        </w:rPr>
        <w:t>然后进入技术商务评审。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技术商务评审结束后</w:t>
      </w:r>
      <w:r>
        <w:rPr>
          <w:rFonts w:hint="eastAsia" w:asciiTheme="minorEastAsia" w:hAnsiTheme="minorEastAsia" w:eastAsiaTheme="minorEastAsia"/>
          <w:color w:val="auto"/>
          <w:szCs w:val="21"/>
          <w:highlight w:val="none"/>
        </w:rPr>
        <w:t>，</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开启报价文件，并做开标记录。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4.进入报价</w:t>
      </w:r>
      <w:r>
        <w:rPr>
          <w:rFonts w:asciiTheme="minorEastAsia" w:hAnsiTheme="minorEastAsia" w:eastAsiaTheme="minorEastAsia"/>
          <w:color w:val="auto"/>
          <w:szCs w:val="21"/>
          <w:highlight w:val="none"/>
        </w:rPr>
        <w:t>评审</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Theme="minorEastAsia" w:hAnsiTheme="minorEastAsia" w:eastAsiaTheme="minorEastAsia"/>
          <w:color w:val="auto"/>
          <w:szCs w:val="21"/>
          <w:highlight w:val="none"/>
        </w:rPr>
        <w:t>宣布最终评审结果，</w:t>
      </w:r>
      <w:r>
        <w:rPr>
          <w:rFonts w:asciiTheme="minorEastAsia" w:hAnsiTheme="minorEastAsia" w:eastAsiaTheme="minorEastAsia"/>
          <w:color w:val="auto"/>
          <w:szCs w:val="21"/>
          <w:highlight w:val="none"/>
        </w:rPr>
        <w:t>开标会议结束。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特别说明：</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olor w:val="auto"/>
          <w:szCs w:val="21"/>
          <w:highlight w:val="none"/>
        </w:rPr>
        <w:t>，但有以下情形之一的，按以下情况处理：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）若有供应商在规定时间内无法解密或解密失败，采购代理机构将开启该供应商递交的</w:t>
      </w:r>
      <w:r>
        <w:rPr>
          <w:rFonts w:hint="eastAsia" w:ascii="宋体" w:hAnsi="宋体" w:cs="宋体"/>
          <w:color w:val="auto"/>
          <w:kern w:val="0"/>
          <w:szCs w:val="21"/>
          <w:highlight w:val="none"/>
        </w:rPr>
        <w:t>电子备份投标文件</w:t>
      </w:r>
      <w:r>
        <w:rPr>
          <w:rFonts w:hint="eastAsia" w:ascii="宋体" w:hAnsi="宋体"/>
          <w:color w:val="auto"/>
          <w:szCs w:val="21"/>
          <w:highlight w:val="none"/>
        </w:rPr>
        <w:t>，上传至政采云平台项目采购模块完成开标，电子投标文件自动失效。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①</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②</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③</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④</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⑤</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依法组建评标委员会。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2.评标委员会的组成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color w:val="auto"/>
          <w:szCs w:val="21"/>
          <w:highlight w:val="none"/>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评标委员会成员名单在评标结果公告前应当保密</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4.评标委员会的职责</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5.评标办法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本次采购项目的评标方法为：综合评分法。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评标程序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（7）采购代理机构工作人员宣布会议结束。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7.评审程序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（1）资格审查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由采购人对投标人的资格进行审查。</w:t>
      </w:r>
    </w:p>
    <w:tbl>
      <w:tblPr>
        <w:tblStyle w:val="2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Style w:val="27"/>
                <w:rFonts w:cs="宋体" w:asciiTheme="minorEastAsia" w:hAnsiTheme="minorEastAsia" w:eastAsiaTheme="minorEastAsia"/>
                <w:b w:val="0"/>
                <w:color w:val="auto"/>
                <w:szCs w:val="21"/>
                <w:highlight w:val="none"/>
              </w:rPr>
            </w:pPr>
            <w:r>
              <w:rPr>
                <w:rStyle w:val="27"/>
                <w:rFonts w:hint="eastAsia" w:cs="宋体" w:asciiTheme="minorEastAsia" w:hAnsiTheme="minorEastAsia" w:eastAsiaTheme="minorEastAsia"/>
                <w:b w:val="0"/>
                <w:color w:val="auto"/>
                <w:szCs w:val="21"/>
                <w:highlight w:val="none"/>
              </w:rPr>
              <w:t>审查类别</w:t>
            </w:r>
          </w:p>
        </w:tc>
        <w:tc>
          <w:tcPr>
            <w:tcW w:w="76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w:t>
            </w:r>
          </w:p>
        </w:tc>
        <w:tc>
          <w:tcPr>
            <w:tcW w:w="76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（2）符合性审查</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评标委员会应当对符合资格的</w:t>
      </w:r>
      <w:r>
        <w:rPr>
          <w:rFonts w:hint="eastAsia"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kern w:val="0"/>
          <w:szCs w:val="21"/>
          <w:highlight w:val="none"/>
        </w:rPr>
        <w:t>的投标文件进行符合性审查</w:t>
      </w:r>
      <w:r>
        <w:rPr>
          <w:rFonts w:hint="eastAsia" w:cs="宋体" w:asciiTheme="minorEastAsia" w:hAnsiTheme="minorEastAsia"/>
          <w:color w:val="auto"/>
          <w:kern w:val="0"/>
          <w:szCs w:val="21"/>
          <w:highlight w:val="none"/>
        </w:rPr>
        <w:t>，</w:t>
      </w:r>
      <w:r>
        <w:rPr>
          <w:rFonts w:hint="eastAsia" w:cs="宋体" w:asciiTheme="minorEastAsia" w:hAnsiTheme="minorEastAsia" w:eastAsiaTheme="minorEastAsia"/>
          <w:color w:val="auto"/>
          <w:kern w:val="0"/>
          <w:szCs w:val="21"/>
          <w:highlight w:val="none"/>
        </w:rPr>
        <w:t>以确定其是否满足招标文件的实质性要求。</w:t>
      </w:r>
    </w:p>
    <w:tbl>
      <w:tblPr>
        <w:tblStyle w:val="2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审查类别</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授权代表无《</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三年(具体时间以合同为准)合同一年一签，采购人根据中标人在上一年度合同履约、考核情况及财政资金审批情况等决定是否续签。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年度合同签订之日</w:t>
            </w:r>
            <w:r>
              <w:rPr>
                <w:rFonts w:hint="eastAsia" w:ascii="宋体" w:hAnsi="宋体" w:eastAsia="宋体" w:cs="宋体"/>
                <w:color w:val="auto"/>
                <w:sz w:val="21"/>
                <w:szCs w:val="21"/>
                <w:highlight w:val="none"/>
                <w:lang w:val="en-US" w:eastAsia="zh-CN"/>
              </w:rPr>
              <w:t>起</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日内支付年度合同总价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作为</w:t>
            </w:r>
            <w:r>
              <w:rPr>
                <w:rFonts w:hint="eastAsia" w:ascii="宋体" w:hAnsi="宋体" w:eastAsia="宋体" w:cs="宋体"/>
                <w:color w:val="auto"/>
                <w:sz w:val="21"/>
                <w:szCs w:val="21"/>
                <w:highlight w:val="none"/>
              </w:rPr>
              <w:t>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合同签订时中标人主动要求不需要预付款的采购人可以不支付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lang w:eastAsia="zh-CN"/>
              </w:rPr>
              <w:t>经采购人考核评定后，结合考核</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lang w:eastAsia="zh-CN"/>
              </w:rPr>
              <w:t>确定应付服务费，中标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按应收款总额开具正式发票，采购人于次月20日前支付，如遇节假日则自动顺延（先从预付款中扣除相应金额，待预付款支付完后再另行按实支付）</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caps w:val="0"/>
                <w:color w:val="auto"/>
                <w:spacing w:val="0"/>
                <w:sz w:val="21"/>
                <w:szCs w:val="21"/>
                <w:highlight w:val="none"/>
                <w:shd w:val="clear" w:fill="FFFFFF"/>
                <w:lang w:val="en-US" w:eastAsia="zh-CN"/>
              </w:rPr>
              <w:t>4.本次招标采用按中标价格一次性包干的方式。但在合同执行期间，投标人在进行投标报价时要充分考虑未来三年价格因素的变化，合同中的人员工资部分必须符合当地劳动部门有关规定，遇到社保缴费基数、比例及最低工资标准上调，则按实际情况予以调整，确保用工合法，由此增加的费用，由投标人负责，合同价格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（3）投标人澄清、说明或者补正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cs="Times New Roman" w:asciiTheme="minorEastAsia" w:hAnsiTheme="minorEastAsia" w:eastAsiaTheme="minorEastAsia"/>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asciiTheme="minorEastAsia" w:hAnsiTheme="minorEastAsia" w:eastAsiaTheme="minorEastAsia"/>
          <w:color w:val="auto"/>
          <w:szCs w:val="21"/>
          <w:highlight w:val="none"/>
        </w:rPr>
        <w:t>投标人的</w:t>
      </w:r>
      <w:r>
        <w:rPr>
          <w:rFonts w:asciiTheme="minorEastAsia" w:hAnsiTheme="minorEastAsia" w:eastAsiaTheme="minorEastAsia"/>
          <w:color w:val="auto"/>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评标</w:t>
      </w:r>
      <w:r>
        <w:rPr>
          <w:rFonts w:cs="Times New Roman" w:asciiTheme="minorEastAsia" w:hAnsiTheme="minorEastAsia" w:eastAsiaTheme="minorEastAsia"/>
          <w:color w:val="auto"/>
          <w:sz w:val="21"/>
          <w:szCs w:val="21"/>
          <w:highlight w:val="none"/>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A.投标文件中开标一览表(报价表)内容与投标文件中相应内容不一致的，以开标一览表(报价表)为准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B.大写金额和小写金额不一致的，以大写金额为准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C.单价金额小数点或者百分比有明显错位的，以开标一览表的总价为准，并修改单价</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D.总价金额与按单价汇总金额不一致的，以单价金额计算结果为准。</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default"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政采云平台系统填写的开标一览表数据与</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文件填写的开标一览表数据不一致时，以</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文件中开标一览表的数据为准。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cs="Times New Roman" w:asciiTheme="minorEastAsia" w:hAnsiTheme="minorEastAsia" w:eastAsiaTheme="minorEastAsia"/>
          <w:color w:val="auto"/>
          <w:sz w:val="21"/>
          <w:szCs w:val="21"/>
          <w:highlight w:val="none"/>
        </w:rPr>
        <w:t>汇总</w:t>
      </w:r>
      <w:r>
        <w:rPr>
          <w:rFonts w:hint="eastAsia" w:cs="Times New Roman" w:asciiTheme="minorEastAsia" w:hAnsiTheme="minorEastAsia" w:eastAsiaTheme="minorEastAsia"/>
          <w:color w:val="auto"/>
          <w:sz w:val="21"/>
          <w:szCs w:val="21"/>
          <w:highlight w:val="none"/>
        </w:rPr>
        <w:t>得分。</w:t>
      </w:r>
      <w:r>
        <w:rPr>
          <w:rFonts w:cs="Times New Roman" w:asciiTheme="minorEastAsia" w:hAnsiTheme="minorEastAsia" w:eastAsiaTheme="minorEastAsia"/>
          <w:color w:val="auto"/>
          <w:sz w:val="21"/>
          <w:szCs w:val="21"/>
          <w:highlight w:val="none"/>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cs="Times New Roman" w:asciiTheme="minorEastAsia" w:hAnsiTheme="minorEastAsia" w:eastAsiaTheme="minorEastAsia"/>
          <w:color w:val="auto"/>
          <w:sz w:val="21"/>
          <w:szCs w:val="21"/>
          <w:highlight w:val="none"/>
        </w:rPr>
        <w:t>顺序排列</w:t>
      </w:r>
      <w:r>
        <w:rPr>
          <w:rFonts w:hint="eastAsia" w:cs="Times New Roman" w:asciiTheme="minorEastAsia" w:hAnsiTheme="minorEastAsia" w:eastAsiaTheme="minorEastAsia"/>
          <w:color w:val="auto"/>
          <w:sz w:val="21"/>
          <w:szCs w:val="21"/>
          <w:highlight w:val="none"/>
        </w:rPr>
        <w:t>与中标候选人推荐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cs="Times New Roman" w:asciiTheme="minorEastAsia" w:hAnsiTheme="minorEastAsia" w:eastAsiaTheme="minorEastAsia"/>
          <w:color w:val="auto"/>
          <w:sz w:val="21"/>
          <w:szCs w:val="21"/>
          <w:highlight w:val="none"/>
        </w:rPr>
        <w:t>串通投标认定</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有下列情形之一的，视为投标人串通投标，其投标无效：</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不同投标人的投标文件由同一单位或者个人编制；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不同投标人委托同一单位或者个人办理投标事宜；</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④</w:t>
      </w:r>
      <w:r>
        <w:rPr>
          <w:rFonts w:hint="eastAsia" w:cs="Times New Roman" w:asciiTheme="minorEastAsia" w:hAnsiTheme="minorEastAsia" w:eastAsiaTheme="minorEastAsia"/>
          <w:color w:val="auto"/>
          <w:sz w:val="21"/>
          <w:szCs w:val="21"/>
          <w:highlight w:val="none"/>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⑤</w:t>
      </w:r>
      <w:r>
        <w:rPr>
          <w:rFonts w:hint="eastAsia" w:cs="Times New Roman" w:asciiTheme="minorEastAsia" w:hAnsiTheme="minorEastAsia" w:eastAsiaTheme="minorEastAsia"/>
          <w:color w:val="auto"/>
          <w:sz w:val="21"/>
          <w:szCs w:val="21"/>
          <w:highlight w:val="none"/>
        </w:rPr>
        <w:t>不同投标人的投标文件相互混装。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（9）投标无效的情形</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asciiTheme="minorEastAsia" w:hAnsiTheme="minorEastAsia" w:eastAsiaTheme="minorEastAsia"/>
          <w:color w:val="auto"/>
          <w:szCs w:val="21"/>
          <w:highlight w:val="none"/>
        </w:rPr>
        <w:t>投标函未提交或不符合招标文件要求的；</w:t>
      </w:r>
    </w:p>
    <w:p>
      <w:pPr>
        <w:pStyle w:val="9"/>
        <w:spacing w:after="0" w:line="400" w:lineRule="exact"/>
        <w:ind w:firstLine="407" w:firstLineChars="194"/>
        <w:rPr>
          <w:color w:val="auto"/>
          <w:szCs w:val="21"/>
          <w:highlight w:val="none"/>
        </w:rPr>
      </w:pPr>
      <w:r>
        <w:rPr>
          <w:rFonts w:ascii="Cambria Math" w:hAnsi="Cambria Math" w:eastAsiaTheme="minorEastAsia"/>
          <w:color w:val="auto"/>
          <w:szCs w:val="21"/>
          <w:highlight w:val="none"/>
        </w:rPr>
        <w:t>②《</w:t>
      </w:r>
      <w:r>
        <w:rPr>
          <w:rFonts w:hint="eastAsia" w:ascii="宋体" w:hAnsi="宋体" w:cs="宋体"/>
          <w:color w:val="auto"/>
          <w:szCs w:val="21"/>
          <w:highlight w:val="none"/>
          <w:shd w:val="clear" w:color="auto" w:fill="FFFFFF"/>
        </w:rPr>
        <w:t>法定代表人／负责人身份证明书</w:t>
      </w:r>
      <w:r>
        <w:rPr>
          <w:rFonts w:hint="eastAsia" w:asciiTheme="minorEastAsia" w:hAnsiTheme="minorEastAsia" w:eastAsiaTheme="minorEastAsia"/>
          <w:color w:val="auto"/>
          <w:szCs w:val="21"/>
          <w:highlight w:val="none"/>
        </w:rPr>
        <w:t>》未提交的；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asciiTheme="minorEastAsia" w:hAnsiTheme="minorEastAsia" w:eastAsiaTheme="minorEastAsia"/>
          <w:color w:val="auto"/>
          <w:szCs w:val="21"/>
          <w:highlight w:val="none"/>
        </w:rPr>
        <w:t>投标文件未按招标文件要求签署、盖章的；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宋体" w:eastAsiaTheme="minorEastAsia"/>
          <w:color w:val="auto"/>
          <w:szCs w:val="21"/>
          <w:highlight w:val="none"/>
          <w:shd w:val="clear" w:color="auto" w:fill="FFFFFF"/>
        </w:rPr>
        <w:t>④</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投标有效期不足的；</w:t>
      </w:r>
    </w:p>
    <w:p>
      <w:pPr>
        <w:spacing w:line="400" w:lineRule="exact"/>
        <w:ind w:firstLine="420" w:firstLineChars="200"/>
        <w:rPr>
          <w:rFonts w:cs="宋体" w:asciiTheme="minorEastAsia" w:hAnsiTheme="minorEastAsia" w:eastAsiaTheme="minorEastAsia"/>
          <w:color w:val="auto"/>
          <w:szCs w:val="21"/>
          <w:highlight w:val="none"/>
          <w:shd w:val="clear" w:color="auto" w:fill="FFFFFF"/>
        </w:rPr>
      </w:pPr>
      <w:r>
        <w:rPr>
          <w:rFonts w:ascii="Cambria Math" w:hAnsi="Cambria Math" w:eastAsiaTheme="minorEastAsia"/>
          <w:color w:val="auto"/>
          <w:szCs w:val="21"/>
          <w:highlight w:val="none"/>
        </w:rPr>
        <w:t>⑥</w:t>
      </w:r>
      <w:r>
        <w:rPr>
          <w:rFonts w:cs="宋体" w:asciiTheme="minorEastAsia" w:hAnsiTheme="minorEastAsia" w:eastAsiaTheme="minorEastAsia"/>
          <w:color w:val="auto"/>
          <w:szCs w:val="21"/>
          <w:highlight w:val="none"/>
          <w:shd w:val="clear" w:color="auto" w:fill="FFFFFF"/>
        </w:rPr>
        <w:t>授权代表无《</w:t>
      </w:r>
      <w:r>
        <w:rPr>
          <w:rFonts w:hint="eastAsia" w:ascii="宋体" w:hAnsi="宋体" w:cs="宋体"/>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asciiTheme="minorEastAsia" w:hAnsiTheme="minorEastAsia" w:eastAsiaTheme="minorEastAsia"/>
          <w:color w:val="auto"/>
          <w:szCs w:val="21"/>
          <w:highlight w:val="none"/>
        </w:rPr>
        <w:t>提供虚假材料投标的；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color w:val="auto"/>
          <w:szCs w:val="21"/>
          <w:highlight w:val="none"/>
        </w:rPr>
        <w:t>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w:t>
      </w:r>
      <w:r>
        <w:rPr>
          <w:rFonts w:asciiTheme="minorEastAsia" w:hAnsiTheme="minorEastAsia" w:eastAsiaTheme="minorEastAsia"/>
          <w:color w:val="auto"/>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⑪</w:t>
      </w:r>
      <w:r>
        <w:rPr>
          <w:rFonts w:asciiTheme="minorEastAsia" w:hAnsiTheme="minorEastAsia" w:eastAsiaTheme="minorEastAsia"/>
          <w:color w:val="auto"/>
          <w:szCs w:val="21"/>
          <w:highlight w:val="none"/>
        </w:rPr>
        <w:t>未采用人民币报价或者未按照招标文件标明的币种报价的；</w:t>
      </w:r>
    </w:p>
    <w:p>
      <w:pPr>
        <w:spacing w:line="400" w:lineRule="exact"/>
        <w:ind w:firstLine="420" w:firstLineChars="200"/>
        <w:rPr>
          <w:rFonts w:hint="eastAsia"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⑫</w:t>
      </w:r>
      <w:r>
        <w:rPr>
          <w:rFonts w:hint="eastAsia" w:asciiTheme="minorEastAsia" w:hAnsiTheme="minorEastAsia" w:eastAsiaTheme="minorEastAsia"/>
          <w:color w:val="auto"/>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⑬</w:t>
      </w:r>
      <w:r>
        <w:rPr>
          <w:rFonts w:hint="eastAsia" w:asciiTheme="minorEastAsia" w:hAnsiTheme="minorEastAsia" w:eastAsiaTheme="minorEastAsia"/>
          <w:color w:val="auto"/>
          <w:szCs w:val="21"/>
          <w:highlight w:val="none"/>
        </w:rPr>
        <w:t>投标报价具有选择性；</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⑭</w:t>
      </w:r>
      <w:r>
        <w:rPr>
          <w:rFonts w:hint="eastAsia" w:asciiTheme="minorEastAsia" w:hAnsiTheme="minorEastAsia" w:eastAsiaTheme="minorEastAsia"/>
          <w:color w:val="auto"/>
          <w:szCs w:val="21"/>
          <w:highlight w:val="none"/>
        </w:rPr>
        <w:t>技术商务文件中出现投标报价内容的；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⑮</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color w:val="auto"/>
          <w:szCs w:val="21"/>
          <w:highlight w:val="none"/>
        </w:rPr>
        <w:t>时提交相关证明材料；投标人不能证明其报价合理性的；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⑯</w:t>
      </w:r>
      <w:r>
        <w:rPr>
          <w:rFonts w:hint="eastAsia" w:ascii="Cambria Math" w:hAnsi="Cambria Math" w:cs="Cambria Math" w:eastAsiaTheme="minorEastAsia"/>
          <w:color w:val="auto"/>
          <w:szCs w:val="21"/>
          <w:highlight w:val="none"/>
        </w:rPr>
        <w:t>投标人对根据修正原则修正后的报价不确认的；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⑰</w:t>
      </w:r>
      <w:r>
        <w:rPr>
          <w:rFonts w:hint="eastAsia" w:ascii="Cambria Math" w:hAnsi="Cambria Math" w:cs="Cambria Math" w:eastAsiaTheme="minorEastAsia"/>
          <w:color w:val="auto"/>
          <w:szCs w:val="21"/>
          <w:highlight w:val="none"/>
        </w:rPr>
        <w:t>投</w:t>
      </w:r>
      <w:r>
        <w:rPr>
          <w:rFonts w:hint="eastAsia" w:asciiTheme="minorEastAsia" w:hAnsiTheme="minorEastAsia" w:eastAsiaTheme="minorEastAsia"/>
          <w:color w:val="auto"/>
          <w:szCs w:val="21"/>
          <w:highlight w:val="none"/>
        </w:rPr>
        <w:t>标人被视为串通投标的；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⑱</w:t>
      </w:r>
      <w:r>
        <w:rPr>
          <w:rFonts w:hint="eastAsia" w:asciiTheme="minorEastAsia" w:hAnsiTheme="minorEastAsia" w:eastAsiaTheme="minorEastAsia"/>
          <w:color w:val="auto"/>
          <w:szCs w:val="21"/>
          <w:highlight w:val="none"/>
        </w:rPr>
        <w:t>仅提交电子备份投标文件的；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微软雅黑" w:cs="Cambria Math"/>
          <w:color w:val="auto"/>
          <w:szCs w:val="21"/>
          <w:highlight w:val="none"/>
          <w:shd w:val="clear" w:color="auto" w:fill="FFFFFF"/>
        </w:rPr>
        <w:t>⑲</w:t>
      </w:r>
      <w:r>
        <w:rPr>
          <w:rFonts w:hint="eastAsia" w:asciiTheme="minorEastAsia" w:hAnsiTheme="minorEastAsia" w:eastAsiaTheme="minorEastAsia"/>
          <w:color w:val="auto"/>
          <w:szCs w:val="21"/>
          <w:highlight w:val="none"/>
        </w:rPr>
        <w:t>法律、法规和招标文件规定的其他无效情形。</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五、采购方式变更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六、定标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采购代理机构应当自中标人确定之日起2个工作日内，在财政部门指定的媒体上公告中标结果</w:t>
      </w:r>
      <w:r>
        <w:rPr>
          <w:rFonts w:hint="eastAsia" w:asciiTheme="minorEastAsia" w:hAnsiTheme="minorEastAsia" w:eastAsiaTheme="minorEastAsia"/>
          <w:color w:val="auto"/>
          <w:szCs w:val="21"/>
          <w:highlight w:val="none"/>
        </w:rPr>
        <w:t>，中标公告期限为1个工作日。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七、评标过程的监控与保密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本项目评标过程实行全程录音、录像监控，投标人在评标过程中所进行的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评审活动在严格保密的情况下进行。评审过程中凡是与</w:t>
      </w: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八、合同授予和验收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（一）合同授予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采购人应当组织对供应商履约的验收。履约验收按照宁</w:t>
      </w:r>
      <w:r>
        <w:rPr>
          <w:rFonts w:hint="eastAsia" w:asciiTheme="minorEastAsia" w:hAnsiTheme="minorEastAsia" w:eastAsiaTheme="minorEastAsia"/>
          <w:color w:val="auto"/>
          <w:szCs w:val="21"/>
          <w:highlight w:val="none"/>
          <w:lang w:val="en-US" w:eastAsia="zh-CN"/>
        </w:rPr>
        <w:t>财政发</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lang w:val="en-US" w:eastAsia="zh-CN"/>
        </w:rPr>
        <w:t>22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72</w:t>
      </w:r>
      <w:r>
        <w:rPr>
          <w:rFonts w:hint="eastAsia" w:asciiTheme="minorEastAsia" w:hAnsiTheme="minorEastAsia" w:eastAsiaTheme="minorEastAsia"/>
          <w:color w:val="auto"/>
          <w:szCs w:val="21"/>
          <w:highlight w:val="none"/>
        </w:rPr>
        <w:t>号文件执行。</w:t>
      </w:r>
    </w:p>
    <w:p>
      <w:pPr>
        <w:snapToGrid w:val="0"/>
        <w:spacing w:line="400" w:lineRule="exact"/>
        <w:jc w:val="center"/>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九、质疑与投诉</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（一）供应商询问</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（二）供应商质疑</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（1）对招标文件提出质疑的，质疑期限自供应商获得招标文件之日或者招标公告期限届满之日起计算，且应当在采购响应截止时间之前提出。</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（2）对采购过程提出质疑的，质疑期限自各采购程序环节结束之日起计算。</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（3）对采购结果提出质疑的，质疑期限自采购结果公告期限届满之日起计算。</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（4）供应商应在法定质疑期内一次性提出针对同一采购程序环节的质疑。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3.供应商提出质疑应当提交质疑函和必要的证明材料。质疑函应当包括下列内容：</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（1）供应商的姓名或者名称、地址、邮编、联系人及联系电话；</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（2）质疑项目的名称、编号；</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（3）具体、明确的质疑事项和与质疑事项相关的请求；</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（4）事实依据；</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（5）必要的法律依据；</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（6）提出质疑的日期。</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6.质疑人因故不能自行办理质疑事项的，可以委托代理人办理质疑事宜，但应当向被质疑人提交授权委托书，并载明委托代理的具体权限和事项。</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7.质疑人提供的相关材料中有外文资料的，应当将与质疑相关的外文资料完整、客观、真实地翻译为中文，并注明翻译人员姓名、工作单位、联系方式等信息。</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（三）供应商投诉</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kern w:val="2"/>
          <w:sz w:val="21"/>
          <w:szCs w:val="21"/>
          <w:highlight w:val="none"/>
        </w:rPr>
        <w:t>供应商投诉的事项不得超出已质疑事项的范围，但基于质疑答复内容提出的投诉事项除外。</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3.供应商投诉应当有明确的请求和必要的证明材料。</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第四章  评标办法及评标标准</w:t>
      </w:r>
    </w:p>
    <w:p>
      <w:pPr>
        <w:pStyle w:val="12"/>
        <w:snapToGrid w:val="0"/>
        <w:spacing w:beforeLines="0" w:afterLines="0"/>
        <w:jc w:val="center"/>
        <w:outlineLvl w:val="0"/>
        <w:rPr>
          <w:rFonts w:asciiTheme="minorEastAsia" w:hAnsiTheme="minorEastAsia" w:eastAsiaTheme="minorEastAsia"/>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一、总则</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技术商务分按照评标委员会成员的独立评分结果汇总后的算术平均分计算，计算公式为：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投标人评标综合得分=报价分+技术商务分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三、评</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内容和标准，见下表：</w:t>
      </w:r>
    </w:p>
    <w:tbl>
      <w:tblPr>
        <w:tblStyle w:val="24"/>
        <w:tblW w:w="91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2"/>
        <w:gridCol w:w="1185"/>
        <w:gridCol w:w="67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考核项目</w:t>
            </w:r>
          </w:p>
        </w:tc>
        <w:tc>
          <w:tcPr>
            <w:tcW w:w="7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12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报价分</w:t>
            </w:r>
          </w:p>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7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报价分采用低价优先法计算，报价得分=(评标基准价/投标报价)×价格权重×100（价格权重：</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评标基准价=满足招标文件要求且最低的投标报价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05" w:hRule="atLeast"/>
          <w:jc w:val="center"/>
        </w:trPr>
        <w:tc>
          <w:tcPr>
            <w:tcW w:w="121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w:t>
            </w:r>
            <w:r>
              <w:rPr>
                <w:rFonts w:hint="eastAsia" w:ascii="宋体" w:hAnsi="宋体" w:eastAsia="宋体" w:cs="宋体"/>
                <w:color w:val="000000"/>
                <w:sz w:val="21"/>
                <w:szCs w:val="21"/>
                <w:highlight w:val="none"/>
                <w:lang w:val="en-US" w:eastAsia="zh-CN"/>
              </w:rPr>
              <w:t>商务</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80</w:t>
            </w:r>
            <w:r>
              <w:rPr>
                <w:rFonts w:hint="eastAsia" w:ascii="宋体" w:hAnsi="宋体" w:eastAsia="宋体" w:cs="宋体"/>
                <w:color w:val="000000"/>
                <w:sz w:val="21"/>
                <w:szCs w:val="21"/>
                <w:highlight w:val="none"/>
              </w:rPr>
              <w:t>分）</w:t>
            </w:r>
          </w:p>
        </w:tc>
        <w:tc>
          <w:tcPr>
            <w:tcW w:w="1185"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整体综合服务管理方案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bCs/>
                <w:color w:val="000000"/>
                <w:sz w:val="21"/>
                <w:szCs w:val="21"/>
                <w:highlight w:val="none"/>
                <w:lang w:val="en-US" w:eastAsia="zh-CN"/>
              </w:rPr>
              <w:t>（5分）</w:t>
            </w:r>
          </w:p>
        </w:tc>
        <w:tc>
          <w:tcPr>
            <w:tcW w:w="6740"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根据投标人提供的</w:t>
            </w:r>
            <w:bookmarkStart w:id="43" w:name="OLE_LINK33"/>
            <w:r>
              <w:rPr>
                <w:rFonts w:hint="eastAsia" w:ascii="宋体" w:hAnsi="宋体" w:eastAsia="宋体" w:cs="宋体"/>
                <w:color w:val="auto"/>
                <w:sz w:val="21"/>
                <w:szCs w:val="21"/>
                <w:highlight w:val="none"/>
              </w:rPr>
              <w:t>整体综合服务管理方案</w:t>
            </w:r>
            <w:bookmarkEnd w:id="43"/>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widowControl/>
              <w:tabs>
                <w:tab w:val="left" w:pos="4915"/>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widowControl/>
              <w:tabs>
                <w:tab w:val="left" w:pos="4915"/>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widowControl/>
              <w:tabs>
                <w:tab w:val="left" w:pos="4915"/>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widowControl/>
              <w:tabs>
                <w:tab w:val="left" w:pos="4915"/>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widowControl/>
              <w:tabs>
                <w:tab w:val="left" w:pos="4915"/>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tabs>
                <w:tab w:val="left" w:pos="4915"/>
              </w:tabs>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auto"/>
                <w:sz w:val="21"/>
                <w:szCs w:val="21"/>
                <w:highlight w:val="none"/>
              </w:rPr>
              <w:t>整体综合服务管理方案</w:t>
            </w:r>
            <w:r>
              <w:rPr>
                <w:rFonts w:hint="eastAsia" w:ascii="宋体" w:hAnsi="宋体" w:eastAsia="宋体" w:cs="宋体"/>
                <w:color w:val="000000"/>
                <w:sz w:val="21"/>
                <w:szCs w:val="21"/>
                <w:highlight w:val="none"/>
                <w:lang w:val="en-US" w:eastAsia="zh-CN"/>
              </w:rPr>
              <w:t>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12"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管理制度</w:t>
            </w:r>
            <w:r>
              <w:rPr>
                <w:rFonts w:hint="eastAsia" w:ascii="宋体" w:hAnsi="宋体" w:eastAsia="宋体" w:cs="宋体"/>
                <w:bCs/>
                <w:color w:val="000000"/>
                <w:sz w:val="21"/>
                <w:szCs w:val="21"/>
                <w:highlight w:val="none"/>
                <w:lang w:val="en-US" w:eastAsia="zh-CN"/>
              </w:rPr>
              <w:t>（5分）</w:t>
            </w:r>
          </w:p>
        </w:tc>
        <w:tc>
          <w:tcPr>
            <w:tcW w:w="6740"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根据投标人提供的</w:t>
            </w:r>
            <w:r>
              <w:rPr>
                <w:rFonts w:hint="eastAsia" w:ascii="宋体" w:hAnsi="宋体" w:eastAsia="宋体" w:cs="宋体"/>
                <w:color w:val="000000"/>
                <w:sz w:val="21"/>
                <w:szCs w:val="21"/>
                <w:highlight w:val="none"/>
                <w:lang w:val="en-US" w:eastAsia="zh-CN"/>
              </w:rPr>
              <w:t>管理制度</w:t>
            </w:r>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制度内容编制全面，能很好契合项目实际情况，完全符合采购人需求的得5分；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制度内容编制合理、基本契合项目情况，较为符合采购人需求的得4分；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制度基本完整，但存在一定瑕疵，基本符合采购人需求的得3分；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制度内容编制存在瑕疵，与项目实际情况存在出入，操作性一般的得2分；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制度内容编制存在较大瑕疵，与项目实际情况存在较大出入，较难操作的得1分；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000000"/>
                <w:sz w:val="21"/>
                <w:szCs w:val="21"/>
                <w:highlight w:val="none"/>
                <w:lang w:val="en-US" w:eastAsia="zh-CN"/>
              </w:rPr>
              <w:t>管理制度的不得分。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5"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安保服务</w:t>
            </w:r>
            <w:r>
              <w:rPr>
                <w:rFonts w:hint="eastAsia" w:ascii="宋体" w:hAnsi="宋体" w:eastAsia="宋体" w:cs="宋体"/>
                <w:color w:val="auto"/>
                <w:sz w:val="21"/>
                <w:szCs w:val="21"/>
                <w:highlight w:val="none"/>
              </w:rPr>
              <w:t>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lang w:val="en-US" w:eastAsia="zh-CN"/>
              </w:rPr>
              <w:t>（5分）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val="en-US" w:eastAsia="zh-CN"/>
              </w:rPr>
            </w:pPr>
          </w:p>
        </w:tc>
        <w:tc>
          <w:tcPr>
            <w:tcW w:w="6740"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r>
              <w:rPr>
                <w:rFonts w:hint="eastAsia" w:ascii="宋体" w:hAnsi="宋体" w:eastAsia="宋体" w:cs="宋体"/>
                <w:color w:val="000000"/>
                <w:sz w:val="21"/>
                <w:szCs w:val="21"/>
                <w:highlight w:val="none"/>
                <w:lang w:val="en-US" w:eastAsia="zh-CN"/>
              </w:rPr>
              <w:t>安保服务方案</w:t>
            </w:r>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000000"/>
                <w:sz w:val="21"/>
                <w:szCs w:val="21"/>
                <w:highlight w:val="none"/>
                <w:lang w:val="en-US" w:eastAsia="zh-CN"/>
              </w:rPr>
              <w:t>安保服务方案的不得分。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0"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color w:val="000000"/>
                <w:sz w:val="21"/>
                <w:szCs w:val="21"/>
                <w:highlight w:val="none"/>
                <w:lang w:val="en-US" w:eastAsia="zh-CN"/>
              </w:rPr>
              <w:t>会务保障服务方案</w:t>
            </w:r>
            <w:r>
              <w:rPr>
                <w:rFonts w:hint="eastAsia" w:ascii="宋体" w:hAnsi="宋体" w:eastAsia="宋体" w:cs="宋体"/>
                <w:bCs/>
                <w:color w:val="000000"/>
                <w:sz w:val="21"/>
                <w:szCs w:val="21"/>
                <w:highlight w:val="none"/>
                <w:lang w:val="en-US" w:eastAsia="zh-CN"/>
              </w:rPr>
              <w:t>（5分）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r>
              <w:rPr>
                <w:rFonts w:hint="eastAsia" w:ascii="宋体" w:hAnsi="宋体" w:eastAsia="宋体" w:cs="宋体"/>
                <w:color w:val="000000"/>
                <w:sz w:val="21"/>
                <w:szCs w:val="21"/>
                <w:highlight w:val="none"/>
                <w:lang w:val="en-US" w:eastAsia="zh-CN"/>
              </w:rPr>
              <w:t>会务保障服务方案</w:t>
            </w:r>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000000"/>
                <w:sz w:val="21"/>
                <w:szCs w:val="21"/>
                <w:highlight w:val="none"/>
                <w:lang w:val="en-US" w:eastAsia="zh-CN"/>
              </w:rPr>
              <w:t>会务保障服务方案的不得分。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卫生清洁服务</w:t>
            </w:r>
            <w:r>
              <w:rPr>
                <w:rFonts w:hint="eastAsia" w:ascii="宋体" w:hAnsi="宋体" w:eastAsia="宋体" w:cs="宋体"/>
                <w:color w:val="auto"/>
                <w:sz w:val="21"/>
                <w:szCs w:val="21"/>
                <w:highlight w:val="none"/>
              </w:rPr>
              <w:t>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lang w:val="en-US" w:eastAsia="zh-CN"/>
              </w:rPr>
              <w:t>（5分）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bookmarkStart w:id="44" w:name="OLE_LINK34"/>
            <w:r>
              <w:rPr>
                <w:rFonts w:hint="eastAsia" w:ascii="宋体" w:hAnsi="宋体" w:eastAsia="宋体" w:cs="宋体"/>
                <w:color w:val="000000"/>
                <w:sz w:val="21"/>
                <w:szCs w:val="21"/>
                <w:highlight w:val="none"/>
                <w:lang w:val="en-US" w:eastAsia="zh-CN"/>
              </w:rPr>
              <w:t>卫生清洁服务方案</w:t>
            </w:r>
            <w:bookmarkEnd w:id="44"/>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000000"/>
                <w:sz w:val="21"/>
                <w:szCs w:val="21"/>
                <w:highlight w:val="none"/>
                <w:lang w:val="en-US" w:eastAsia="zh-CN"/>
              </w:rPr>
              <w:t>卫生清洁服务方案的不得分。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80"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绿化服务</w:t>
            </w:r>
            <w:r>
              <w:rPr>
                <w:rFonts w:hint="eastAsia" w:ascii="宋体" w:hAnsi="宋体" w:eastAsia="宋体" w:cs="宋体"/>
                <w:color w:val="auto"/>
                <w:sz w:val="21"/>
                <w:szCs w:val="21"/>
                <w:highlight w:val="none"/>
              </w:rPr>
              <w:t>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lang w:val="en-US" w:eastAsia="zh-CN"/>
              </w:rPr>
              <w:t>（5分）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bookmarkStart w:id="45" w:name="OLE_LINK35"/>
            <w:r>
              <w:rPr>
                <w:rFonts w:hint="eastAsia" w:ascii="宋体" w:hAnsi="宋体" w:eastAsia="宋体" w:cs="宋体"/>
                <w:color w:val="000000"/>
                <w:sz w:val="21"/>
                <w:szCs w:val="21"/>
                <w:highlight w:val="none"/>
                <w:lang w:val="en-US" w:eastAsia="zh-CN"/>
              </w:rPr>
              <w:t>绿化服务方案</w:t>
            </w:r>
            <w:bookmarkEnd w:id="45"/>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000000"/>
                <w:sz w:val="21"/>
                <w:szCs w:val="21"/>
                <w:highlight w:val="none"/>
                <w:lang w:val="en-US" w:eastAsia="zh-CN"/>
              </w:rPr>
              <w:t>绿化服务方案的不得分。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10"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配套设备设施维护服务方案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lang w:val="en-US" w:eastAsia="zh-CN"/>
              </w:rPr>
              <w:t>（5分）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bookmarkStart w:id="46" w:name="OLE_LINK36"/>
            <w:r>
              <w:rPr>
                <w:rFonts w:hint="eastAsia" w:ascii="宋体" w:hAnsi="宋体" w:eastAsia="宋体" w:cs="宋体"/>
                <w:color w:val="000000"/>
                <w:sz w:val="21"/>
                <w:szCs w:val="21"/>
                <w:highlight w:val="none"/>
                <w:lang w:val="en-US" w:eastAsia="zh-CN"/>
              </w:rPr>
              <w:t>配套设备设施维护服务方案</w:t>
            </w:r>
            <w:bookmarkEnd w:id="46"/>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000000"/>
                <w:sz w:val="21"/>
                <w:szCs w:val="21"/>
                <w:highlight w:val="none"/>
                <w:lang w:val="en-US" w:eastAsia="zh-CN"/>
              </w:rPr>
              <w:t>配套设备设施维护服务方案的不得分。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消防管理方案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lang w:val="en-US" w:eastAsia="zh-CN"/>
              </w:rPr>
              <w:t>（5分）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bookmarkStart w:id="47" w:name="OLE_LINK37"/>
            <w:r>
              <w:rPr>
                <w:rFonts w:hint="eastAsia" w:ascii="宋体" w:hAnsi="宋体" w:eastAsia="宋体" w:cs="宋体"/>
                <w:color w:val="000000"/>
                <w:sz w:val="21"/>
                <w:szCs w:val="21"/>
                <w:highlight w:val="none"/>
                <w:lang w:val="en-US" w:eastAsia="zh-CN"/>
              </w:rPr>
              <w:t>消防管理方案</w:t>
            </w:r>
            <w:bookmarkEnd w:id="47"/>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000000"/>
                <w:sz w:val="21"/>
                <w:szCs w:val="21"/>
                <w:highlight w:val="none"/>
                <w:lang w:val="en-US" w:eastAsia="zh-CN"/>
              </w:rPr>
              <w:t>消防管理方案的不得分。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保密管理方案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根据投标人提供的保密管理方案进行综合评议（5分）：</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方案内容编制合理、基本契合项目情况，较为符合采购人需求的得4分；</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方案基本完整，但存在一定瑕疵，基本符合采购人需求的得3分；</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未提供保密管理方案的不得分。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应急管理方案</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lang w:val="en-US" w:eastAsia="zh-CN"/>
              </w:rPr>
              <w:t>（5分）</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bookmarkStart w:id="48" w:name="OLE_LINK39"/>
            <w:r>
              <w:rPr>
                <w:rFonts w:hint="eastAsia" w:ascii="宋体" w:hAnsi="宋体" w:eastAsia="宋体" w:cs="宋体"/>
                <w:color w:val="000000"/>
                <w:sz w:val="21"/>
                <w:szCs w:val="21"/>
                <w:highlight w:val="none"/>
                <w:lang w:val="en-US" w:eastAsia="zh-CN"/>
              </w:rPr>
              <w:t>应急管理方案</w:t>
            </w:r>
            <w:bookmarkEnd w:id="48"/>
            <w:r>
              <w:rPr>
                <w:rFonts w:hint="eastAsia" w:ascii="宋体" w:hAnsi="宋体" w:eastAsia="宋体" w:cs="宋体"/>
                <w:bCs/>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adjustRightInd/>
              <w:snapToGrid/>
              <w:spacing w:line="4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adjustRightInd/>
              <w:snapToGrid/>
              <w:spacing w:line="4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adjustRightInd/>
              <w:snapToGrid/>
              <w:spacing w:line="4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adjustRightInd/>
              <w:snapToGrid/>
              <w:spacing w:line="4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adjustRightInd/>
              <w:snapToGrid/>
              <w:spacing w:line="4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lang w:val="en-US" w:eastAsia="zh-CN"/>
              </w:rPr>
              <w:t>未提供应急</w:t>
            </w:r>
            <w:r>
              <w:rPr>
                <w:rFonts w:hint="eastAsia" w:ascii="宋体" w:hAnsi="宋体" w:eastAsia="宋体" w:cs="宋体"/>
                <w:color w:val="000000"/>
                <w:sz w:val="21"/>
                <w:szCs w:val="21"/>
                <w:highlight w:val="none"/>
                <w:lang w:val="en-US" w:eastAsia="zh-CN"/>
              </w:rPr>
              <w:t>管理方案的不得分。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highlight w:val="none"/>
                <w:lang w:val="en-US" w:eastAsia="zh-CN"/>
              </w:rPr>
            </w:pPr>
            <w:bookmarkStart w:id="49" w:name="OLE_LINK40"/>
            <w:r>
              <w:rPr>
                <w:rFonts w:hint="eastAsia" w:ascii="宋体" w:hAnsi="宋体" w:eastAsia="宋体" w:cs="宋体"/>
                <w:b w:val="0"/>
                <w:bCs/>
                <w:color w:val="000000"/>
                <w:sz w:val="21"/>
                <w:szCs w:val="21"/>
                <w:highlight w:val="none"/>
                <w:lang w:val="en-US" w:eastAsia="zh-CN"/>
              </w:rPr>
              <w:t>拟投入的人员配备及管理</w:t>
            </w:r>
            <w:bookmarkEnd w:id="49"/>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highlight w:val="none"/>
                <w:lang w:val="zh-CN"/>
              </w:rPr>
            </w:pPr>
            <w:r>
              <w:rPr>
                <w:rFonts w:hint="eastAsia" w:ascii="宋体" w:hAnsi="宋体" w:eastAsia="宋体" w:cs="宋体"/>
                <w:b w:val="0"/>
                <w:bCs/>
                <w:color w:val="000000"/>
                <w:sz w:val="21"/>
                <w:szCs w:val="21"/>
                <w:highlight w:val="none"/>
                <w:lang w:val="zh-CN"/>
              </w:rPr>
              <w:t>（</w:t>
            </w:r>
            <w:r>
              <w:rPr>
                <w:rFonts w:hint="eastAsia" w:ascii="宋体" w:hAnsi="宋体" w:eastAsia="宋体" w:cs="宋体"/>
                <w:b w:val="0"/>
                <w:bCs/>
                <w:color w:val="000000"/>
                <w:sz w:val="21"/>
                <w:szCs w:val="21"/>
                <w:highlight w:val="none"/>
                <w:lang w:val="en-US" w:eastAsia="zh-CN"/>
              </w:rPr>
              <w:t>11分</w:t>
            </w:r>
            <w:r>
              <w:rPr>
                <w:rFonts w:hint="eastAsia" w:ascii="宋体" w:hAnsi="宋体" w:eastAsia="宋体" w:cs="宋体"/>
                <w:b w:val="0"/>
                <w:bCs/>
                <w:color w:val="000000"/>
                <w:sz w:val="21"/>
                <w:szCs w:val="21"/>
                <w:highlight w:val="none"/>
                <w:lang w:val="zh-CN"/>
              </w:rPr>
              <w:t>）</w:t>
            </w:r>
          </w:p>
          <w:p>
            <w:pPr>
              <w:keepNext w:val="0"/>
              <w:keepLines w:val="0"/>
              <w:pageBreakBefore w:val="0"/>
              <w:widowControl/>
              <w:kinsoku/>
              <w:wordWrap/>
              <w:overflowPunct/>
              <w:topLinePunct w:val="0"/>
              <w:autoSpaceDE/>
              <w:autoSpaceDN/>
              <w:bidi w:val="0"/>
              <w:adjustRightInd/>
              <w:snapToGrid/>
              <w:spacing w:line="440" w:lineRule="exact"/>
              <w:ind w:firstLine="210" w:firstLineChars="100"/>
              <w:jc w:val="center"/>
              <w:textAlignment w:val="auto"/>
              <w:rPr>
                <w:rFonts w:hint="eastAsia" w:ascii="宋体" w:hAnsi="宋体" w:eastAsia="宋体" w:cs="宋体"/>
                <w:color w:val="000000"/>
                <w:kern w:val="0"/>
                <w:sz w:val="21"/>
                <w:szCs w:val="21"/>
                <w:highlight w:val="none"/>
              </w:rPr>
            </w:pPr>
          </w:p>
        </w:tc>
        <w:tc>
          <w:tcPr>
            <w:tcW w:w="6740"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项目经理年龄35周岁以下，具有本科及以上学历的得2分。</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提供相关证明文件</w:t>
            </w:r>
            <w:r>
              <w:rPr>
                <w:rFonts w:hint="eastAsia" w:ascii="宋体" w:hAnsi="宋体" w:eastAsia="宋体" w:cs="宋体"/>
                <w:color w:val="auto"/>
                <w:sz w:val="21"/>
                <w:szCs w:val="21"/>
                <w:highlight w:val="none"/>
                <w:lang w:eastAsia="zh-CN"/>
              </w:rPr>
              <w:t>、投标人为</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lang w:eastAsia="zh-CN"/>
              </w:rPr>
              <w:t>缴纳的</w:t>
            </w:r>
            <w:r>
              <w:rPr>
                <w:rFonts w:hint="eastAsia" w:ascii="宋体" w:hAnsi="宋体" w:eastAsia="宋体" w:cs="宋体"/>
                <w:color w:val="auto"/>
                <w:sz w:val="21"/>
                <w:szCs w:val="21"/>
                <w:highlight w:val="none"/>
                <w:lang w:val="en-US" w:eastAsia="zh-CN"/>
              </w:rPr>
              <w:t>投标截止时间前3个月内任意一个月的</w:t>
            </w:r>
            <w:r>
              <w:rPr>
                <w:rFonts w:hint="eastAsia" w:ascii="宋体" w:hAnsi="宋体" w:eastAsia="宋体" w:cs="宋体"/>
                <w:color w:val="auto"/>
                <w:sz w:val="21"/>
                <w:szCs w:val="21"/>
                <w:highlight w:val="none"/>
                <w:lang w:eastAsia="zh-CN"/>
              </w:rPr>
              <w:t>社保证明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复印件加盖公章。</w:t>
            </w:r>
            <w:r>
              <w:rPr>
                <w:rFonts w:hint="eastAsia" w:ascii="宋体" w:hAnsi="宋体" w:eastAsia="宋体" w:cs="宋体"/>
                <w:bCs/>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ind w:firstLine="210" w:firstLineChars="100"/>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客服管理员年龄40周岁以下，本科及以上学历</w:t>
            </w:r>
            <w:r>
              <w:rPr>
                <w:rFonts w:hint="eastAsia" w:ascii="宋体" w:hAnsi="宋体" w:cs="宋体"/>
                <w:bCs/>
                <w:color w:val="auto"/>
                <w:sz w:val="21"/>
                <w:szCs w:val="21"/>
                <w:highlight w:val="none"/>
                <w:lang w:val="en-US" w:eastAsia="zh-CN"/>
              </w:rPr>
              <w:t>且同时</w:t>
            </w:r>
            <w:r>
              <w:rPr>
                <w:rFonts w:hint="eastAsia" w:ascii="宋体" w:hAnsi="宋体" w:eastAsia="宋体" w:cs="宋体"/>
                <w:bCs/>
                <w:color w:val="auto"/>
                <w:sz w:val="21"/>
                <w:szCs w:val="21"/>
                <w:highlight w:val="none"/>
                <w:lang w:val="en-US" w:eastAsia="zh-CN"/>
              </w:rPr>
              <w:t>具有</w:t>
            </w:r>
            <w:r>
              <w:rPr>
                <w:rFonts w:hint="eastAsia" w:ascii="宋体" w:hAnsi="宋体" w:cs="宋体"/>
                <w:bCs/>
                <w:color w:val="auto"/>
                <w:sz w:val="21"/>
                <w:szCs w:val="21"/>
                <w:highlight w:val="none"/>
                <w:lang w:val="en-US" w:eastAsia="zh-CN"/>
              </w:rPr>
              <w:t>中级及以上职称</w:t>
            </w:r>
            <w:r>
              <w:rPr>
                <w:rFonts w:hint="eastAsia" w:ascii="宋体" w:hAnsi="宋体" w:eastAsia="宋体" w:cs="宋体"/>
                <w:bCs/>
                <w:color w:val="auto"/>
                <w:sz w:val="21"/>
                <w:szCs w:val="21"/>
                <w:highlight w:val="none"/>
                <w:lang w:val="en-US" w:eastAsia="zh-CN"/>
              </w:rPr>
              <w:t>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提供相关证明文件</w:t>
            </w:r>
            <w:r>
              <w:rPr>
                <w:rFonts w:hint="eastAsia" w:ascii="宋体" w:hAnsi="宋体" w:eastAsia="宋体" w:cs="宋体"/>
                <w:color w:val="auto"/>
                <w:sz w:val="21"/>
                <w:szCs w:val="21"/>
                <w:highlight w:val="none"/>
                <w:lang w:eastAsia="zh-CN"/>
              </w:rPr>
              <w:t>、投标人为</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lang w:eastAsia="zh-CN"/>
              </w:rPr>
              <w:t>缴纳的</w:t>
            </w:r>
            <w:r>
              <w:rPr>
                <w:rFonts w:hint="eastAsia" w:ascii="宋体" w:hAnsi="宋体" w:eastAsia="宋体" w:cs="宋体"/>
                <w:color w:val="auto"/>
                <w:sz w:val="21"/>
                <w:szCs w:val="21"/>
                <w:highlight w:val="none"/>
                <w:lang w:val="en-US" w:eastAsia="zh-CN"/>
              </w:rPr>
              <w:t>投标截止时间前3个月内任意一个月的</w:t>
            </w:r>
            <w:r>
              <w:rPr>
                <w:rFonts w:hint="eastAsia" w:ascii="宋体" w:hAnsi="宋体" w:eastAsia="宋体" w:cs="宋体"/>
                <w:color w:val="auto"/>
                <w:sz w:val="21"/>
                <w:szCs w:val="21"/>
                <w:highlight w:val="none"/>
                <w:lang w:eastAsia="zh-CN"/>
              </w:rPr>
              <w:t>社保证明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复印件加盖公章。</w:t>
            </w:r>
            <w:r>
              <w:rPr>
                <w:rFonts w:hint="eastAsia" w:ascii="宋体" w:hAnsi="宋体" w:eastAsia="宋体" w:cs="宋体"/>
                <w:bCs/>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vMerge w:val="continue"/>
            <w:tcBorders>
              <w:left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ind w:firstLine="210" w:firstLineChars="100"/>
              <w:jc w:val="center"/>
              <w:textAlignment w:val="auto"/>
              <w:rPr>
                <w:rFonts w:hint="eastAsia" w:ascii="宋体" w:hAnsi="宋体" w:eastAsia="宋体" w:cs="宋体"/>
                <w:color w:val="000000"/>
                <w:kern w:val="0"/>
                <w:sz w:val="21"/>
                <w:szCs w:val="21"/>
                <w:highlight w:val="none"/>
              </w:rPr>
            </w:pPr>
          </w:p>
        </w:tc>
        <w:tc>
          <w:tcPr>
            <w:tcW w:w="6740" w:type="dxa"/>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保安人员同时具有保安员证、中级及以上</w:t>
            </w:r>
            <w:r>
              <w:rPr>
                <w:rFonts w:hint="eastAsia" w:ascii="宋体" w:hAnsi="宋体" w:eastAsia="宋体" w:cs="宋体"/>
                <w:bCs/>
                <w:color w:val="auto"/>
                <w:sz w:val="21"/>
                <w:szCs w:val="21"/>
                <w:highlight w:val="none"/>
                <w:lang w:val="en-US" w:eastAsia="zh-CN"/>
              </w:rPr>
              <w:t>消防设施操作员证、退</w:t>
            </w:r>
            <w:r>
              <w:rPr>
                <w:rFonts w:hint="eastAsia" w:ascii="宋体" w:hAnsi="宋体" w:cs="宋体"/>
                <w:bCs/>
                <w:color w:val="auto"/>
                <w:sz w:val="21"/>
                <w:szCs w:val="21"/>
                <w:highlight w:val="none"/>
                <w:lang w:val="en-US" w:eastAsia="zh-CN"/>
              </w:rPr>
              <w:t>伍</w:t>
            </w:r>
            <w:r>
              <w:rPr>
                <w:rFonts w:hint="eastAsia" w:ascii="宋体" w:hAnsi="宋体" w:eastAsia="宋体" w:cs="宋体"/>
                <w:bCs/>
                <w:color w:val="auto"/>
                <w:sz w:val="21"/>
                <w:szCs w:val="21"/>
                <w:highlight w:val="none"/>
                <w:lang w:val="en-US" w:eastAsia="zh-CN"/>
              </w:rPr>
              <w:t>证的得2分。</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提供相关证明文件</w:t>
            </w:r>
            <w:r>
              <w:rPr>
                <w:rFonts w:hint="eastAsia" w:ascii="宋体" w:hAnsi="宋体" w:eastAsia="宋体" w:cs="宋体"/>
                <w:color w:val="auto"/>
                <w:sz w:val="21"/>
                <w:szCs w:val="21"/>
                <w:highlight w:val="none"/>
                <w:lang w:eastAsia="zh-CN"/>
              </w:rPr>
              <w:t>、投标人为</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lang w:eastAsia="zh-CN"/>
              </w:rPr>
              <w:t>缴纳的</w:t>
            </w:r>
            <w:r>
              <w:rPr>
                <w:rFonts w:hint="eastAsia" w:ascii="宋体" w:hAnsi="宋体" w:eastAsia="宋体" w:cs="宋体"/>
                <w:color w:val="auto"/>
                <w:sz w:val="21"/>
                <w:szCs w:val="21"/>
                <w:highlight w:val="none"/>
                <w:lang w:val="en-US" w:eastAsia="zh-CN"/>
              </w:rPr>
              <w:t>投标截止时间前3个月内任意一个月的</w:t>
            </w:r>
            <w:r>
              <w:rPr>
                <w:rFonts w:hint="eastAsia" w:ascii="宋体" w:hAnsi="宋体" w:eastAsia="宋体" w:cs="宋体"/>
                <w:color w:val="auto"/>
                <w:sz w:val="21"/>
                <w:szCs w:val="21"/>
                <w:highlight w:val="none"/>
                <w:lang w:eastAsia="zh-CN"/>
              </w:rPr>
              <w:t>社保证明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复印件加盖公章。</w:t>
            </w:r>
            <w:r>
              <w:rPr>
                <w:rFonts w:hint="eastAsia" w:ascii="宋体" w:hAnsi="宋体" w:eastAsia="宋体" w:cs="宋体"/>
                <w:bCs/>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color w:val="000000"/>
                <w:kern w:val="0"/>
                <w:sz w:val="21"/>
                <w:szCs w:val="21"/>
                <w:highlight w:val="none"/>
              </w:rPr>
            </w:pPr>
          </w:p>
        </w:tc>
        <w:tc>
          <w:tcPr>
            <w:tcW w:w="6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拟投入本项目的人员配备</w:t>
            </w:r>
            <w:r>
              <w:rPr>
                <w:rFonts w:hint="eastAsia" w:ascii="宋体" w:hAnsi="宋体" w:eastAsia="宋体" w:cs="宋体"/>
                <w:color w:val="auto"/>
                <w:sz w:val="21"/>
                <w:szCs w:val="21"/>
                <w:highlight w:val="none"/>
                <w:lang w:val="en-US" w:eastAsia="zh-CN"/>
              </w:rPr>
              <w:t>及管理进行综合评议（</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各类人员配备完全合理，能完全契合项目实际情况，完全符合采购人需求的得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各类人员配备较为合理，能充分契合项目实际情况，较为符合采购人需求的得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各类人员配备基本完整，与项目实际情况不够贴合，但基本符合采购人需求的得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各类人员配备不够完整，与项目实际情况存在出入，不能有效满足采购人需求的得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分；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auto"/>
                <w:sz w:val="21"/>
                <w:szCs w:val="21"/>
                <w:highlight w:val="none"/>
              </w:rPr>
              <w:t>人员配备</w:t>
            </w:r>
            <w:r>
              <w:rPr>
                <w:rFonts w:hint="eastAsia" w:ascii="宋体" w:hAnsi="宋体" w:eastAsia="宋体" w:cs="宋体"/>
                <w:color w:val="auto"/>
                <w:sz w:val="21"/>
                <w:szCs w:val="21"/>
                <w:highlight w:val="none"/>
                <w:lang w:val="en-US" w:eastAsia="zh-CN"/>
              </w:rPr>
              <w:t>及管理相关内容的不得分。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0"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lang w:eastAsia="zh-CN"/>
              </w:rPr>
              <w:t>人员</w:t>
            </w:r>
            <w:r>
              <w:rPr>
                <w:rFonts w:hint="eastAsia" w:ascii="宋体" w:hAnsi="宋体" w:eastAsia="宋体" w:cs="宋体"/>
                <w:bCs/>
                <w:color w:val="000000"/>
                <w:sz w:val="21"/>
                <w:szCs w:val="21"/>
                <w:highlight w:val="none"/>
              </w:rPr>
              <w:t>培训与管理</w:t>
            </w:r>
            <w:r>
              <w:rPr>
                <w:rFonts w:hint="eastAsia" w:ascii="宋体" w:hAnsi="宋体" w:eastAsia="宋体" w:cs="宋体"/>
                <w:bCs/>
                <w:color w:val="000000"/>
                <w:sz w:val="21"/>
                <w:szCs w:val="21"/>
                <w:highlight w:val="none"/>
                <w:lang w:val="en-US" w:eastAsia="zh-CN"/>
              </w:rPr>
              <w:t>方案</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5分</w:t>
            </w:r>
            <w:r>
              <w:rPr>
                <w:rFonts w:hint="eastAsia" w:ascii="宋体" w:hAnsi="宋体" w:eastAsia="宋体" w:cs="宋体"/>
                <w:bCs/>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p>
        </w:tc>
        <w:tc>
          <w:tcPr>
            <w:tcW w:w="6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color w:val="000000"/>
                <w:sz w:val="21"/>
                <w:szCs w:val="21"/>
                <w:highlight w:val="none"/>
              </w:rPr>
              <w:t>根据投标人提供的</w:t>
            </w:r>
            <w:r>
              <w:rPr>
                <w:rFonts w:hint="eastAsia" w:ascii="宋体" w:hAnsi="宋体" w:eastAsia="宋体" w:cs="宋体"/>
                <w:bCs/>
                <w:color w:val="000000"/>
                <w:sz w:val="21"/>
                <w:szCs w:val="21"/>
                <w:highlight w:val="none"/>
                <w:lang w:eastAsia="zh-CN"/>
              </w:rPr>
              <w:t>人员</w:t>
            </w:r>
            <w:r>
              <w:rPr>
                <w:rFonts w:hint="eastAsia" w:ascii="宋体" w:hAnsi="宋体" w:eastAsia="宋体" w:cs="宋体"/>
                <w:bCs/>
                <w:color w:val="000000"/>
                <w:sz w:val="21"/>
                <w:szCs w:val="21"/>
                <w:highlight w:val="none"/>
              </w:rPr>
              <w:t>培训与管理</w:t>
            </w:r>
            <w:r>
              <w:rPr>
                <w:rFonts w:hint="eastAsia" w:ascii="宋体" w:hAnsi="宋体" w:eastAsia="宋体" w:cs="宋体"/>
                <w:bCs/>
                <w:color w:val="000000"/>
                <w:sz w:val="21"/>
                <w:szCs w:val="21"/>
                <w:highlight w:val="none"/>
                <w:lang w:val="en-US" w:eastAsia="zh-CN"/>
              </w:rPr>
              <w:t>方案进行综合评议（5分）：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方案内容编制全面，能很好契合项目实际情况，完全符合采购人需求的得5分；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方案内容编制合理、基本契合项目情况，较为符合采购人需求的得4分；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方案基本完整，但存在一定瑕疵，基本符合采购人需求的得3分；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方案内容编制存在瑕疵，与项目实际情况存在出入，操作性一般的得2分； </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方案内容编制存在较大瑕疵，与项目实际情况存在较大出入，较难操作的得1分；</w:t>
            </w:r>
          </w:p>
          <w:p>
            <w:pPr>
              <w:keepNext w:val="0"/>
              <w:keepLines w:val="0"/>
              <w:pageBreakBefore w:val="0"/>
              <w:tabs>
                <w:tab w:val="left" w:pos="4915"/>
              </w:tabs>
              <w:kinsoku/>
              <w:wordWrap/>
              <w:overflowPunct/>
              <w:topLinePunct w:val="0"/>
              <w:autoSpaceDE/>
              <w:autoSpaceDN/>
              <w:bidi w:val="0"/>
              <w:snapToGrid/>
              <w:spacing w:line="440" w:lineRule="exac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bCs/>
                <w:color w:val="000000"/>
                <w:sz w:val="21"/>
                <w:szCs w:val="21"/>
                <w:highlight w:val="none"/>
                <w:lang w:eastAsia="zh-CN"/>
              </w:rPr>
              <w:t>人员</w:t>
            </w:r>
            <w:r>
              <w:rPr>
                <w:rFonts w:hint="eastAsia" w:ascii="宋体" w:hAnsi="宋体" w:eastAsia="宋体" w:cs="宋体"/>
                <w:bCs/>
                <w:color w:val="000000"/>
                <w:sz w:val="21"/>
                <w:szCs w:val="21"/>
                <w:highlight w:val="none"/>
              </w:rPr>
              <w:t>培训与管理</w:t>
            </w:r>
            <w:r>
              <w:rPr>
                <w:rFonts w:hint="eastAsia" w:ascii="宋体" w:hAnsi="宋体" w:eastAsia="宋体" w:cs="宋体"/>
                <w:bCs/>
                <w:color w:val="000000"/>
                <w:sz w:val="21"/>
                <w:szCs w:val="21"/>
                <w:highlight w:val="none"/>
                <w:lang w:val="en-US" w:eastAsia="zh-CN"/>
              </w:rPr>
              <w:t>方案</w:t>
            </w:r>
            <w:r>
              <w:rPr>
                <w:rFonts w:hint="eastAsia" w:ascii="宋体" w:hAnsi="宋体" w:eastAsia="宋体" w:cs="宋体"/>
                <w:color w:val="000000"/>
                <w:sz w:val="21"/>
                <w:szCs w:val="21"/>
                <w:highlight w:val="none"/>
                <w:lang w:val="en-US" w:eastAsia="zh-CN"/>
              </w:rPr>
              <w:t>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000000"/>
                <w:kern w:val="0"/>
                <w:sz w:val="21"/>
                <w:szCs w:val="21"/>
                <w:highlight w:val="none"/>
              </w:rPr>
            </w:pPr>
            <w:bookmarkStart w:id="50" w:name="OLE_LINK41"/>
            <w:r>
              <w:rPr>
                <w:rFonts w:hint="eastAsia" w:ascii="宋体" w:hAnsi="宋体" w:eastAsia="宋体" w:cs="宋体"/>
                <w:color w:val="auto"/>
                <w:sz w:val="21"/>
                <w:szCs w:val="21"/>
                <w:highlight w:val="none"/>
                <w:lang w:val="en-US" w:eastAsia="zh-CN"/>
              </w:rPr>
              <w:t>服务承诺</w:t>
            </w:r>
            <w:bookmarkEnd w:id="50"/>
            <w:r>
              <w:rPr>
                <w:rFonts w:hint="eastAsia" w:ascii="宋体" w:hAnsi="宋体" w:eastAsia="宋体" w:cs="宋体"/>
                <w:color w:val="auto"/>
                <w:sz w:val="21"/>
                <w:szCs w:val="21"/>
                <w:highlight w:val="none"/>
                <w:lang w:val="en-US" w:eastAsia="zh-CN"/>
              </w:rPr>
              <w:t>（3分）</w:t>
            </w:r>
          </w:p>
        </w:tc>
        <w:tc>
          <w:tcPr>
            <w:tcW w:w="6740" w:type="dxa"/>
            <w:tcBorders>
              <w:top w:val="single" w:color="000000" w:sz="8" w:space="0"/>
              <w:left w:val="single" w:color="000000" w:sz="8" w:space="0"/>
              <w:bottom w:val="single" w:color="auto" w:sz="4" w:space="0"/>
              <w:right w:val="single" w:color="000000" w:sz="8" w:space="0"/>
            </w:tcBorders>
            <w:shd w:val="clear" w:color="auto" w:fill="FFFFFF"/>
            <w:vAlign w:val="center"/>
          </w:tcPr>
          <w:p>
            <w:pPr>
              <w:pStyle w:val="3"/>
              <w:keepNext w:val="0"/>
              <w:keepLines w:val="0"/>
              <w:pageBreakBefore w:val="0"/>
              <w:widowControl w:val="0"/>
              <w:kinsoku/>
              <w:wordWrap/>
              <w:overflowPunct/>
              <w:topLinePunct w:val="0"/>
              <w:bidi w:val="0"/>
              <w:adjustRightInd/>
              <w:snapToGrid/>
              <w:spacing w:after="0" w:line="44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3"/>
              <w:keepNext w:val="0"/>
              <w:keepLines w:val="0"/>
              <w:pageBreakBefore w:val="0"/>
              <w:widowControl w:val="0"/>
              <w:kinsoku/>
              <w:wordWrap/>
              <w:overflowPunct/>
              <w:topLinePunct w:val="0"/>
              <w:autoSpaceDE w:val="0"/>
              <w:autoSpaceDN w:val="0"/>
              <w:bidi w:val="0"/>
              <w:adjustRightInd/>
              <w:snapToGrid/>
              <w:spacing w:after="0"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服务承诺的服务的便捷性高、服务响应及时性快、人员</w:t>
            </w:r>
            <w:r>
              <w:rPr>
                <w:rFonts w:hint="eastAsia" w:ascii="宋体" w:hAnsi="宋体" w:eastAsia="宋体" w:cs="宋体"/>
                <w:color w:val="auto"/>
                <w:sz w:val="21"/>
                <w:szCs w:val="21"/>
                <w:highlight w:val="none"/>
              </w:rPr>
              <w:t>素质保障承诺</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、资料保障承诺</w:t>
            </w:r>
            <w:r>
              <w:rPr>
                <w:rFonts w:hint="eastAsia" w:ascii="宋体" w:hAnsi="宋体" w:eastAsia="宋体" w:cs="宋体"/>
                <w:color w:val="auto"/>
                <w:sz w:val="21"/>
                <w:szCs w:val="21"/>
                <w:highlight w:val="none"/>
                <w:lang w:eastAsia="zh-CN"/>
              </w:rPr>
              <w:t>完整，能很好契合项目实际情况，完全符合采购人需求的得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val="en-US" w:eastAsia="zh-CN"/>
              </w:rPr>
              <w:t>服务承诺的服务的便捷性较高、服务响应及时性较快、人员</w:t>
            </w:r>
            <w:r>
              <w:rPr>
                <w:rFonts w:hint="eastAsia" w:ascii="宋体" w:hAnsi="宋体" w:eastAsia="宋体" w:cs="宋体"/>
                <w:color w:val="auto"/>
                <w:sz w:val="21"/>
                <w:szCs w:val="21"/>
                <w:highlight w:val="none"/>
              </w:rPr>
              <w:t>素质保障承诺</w:t>
            </w:r>
            <w:r>
              <w:rPr>
                <w:rFonts w:hint="eastAsia" w:ascii="宋体" w:hAnsi="宋体" w:eastAsia="宋体" w:cs="宋体"/>
                <w:color w:val="auto"/>
                <w:sz w:val="21"/>
                <w:szCs w:val="21"/>
                <w:highlight w:val="none"/>
                <w:lang w:eastAsia="zh-CN"/>
              </w:rPr>
              <w:t>较为完整</w:t>
            </w:r>
            <w:r>
              <w:rPr>
                <w:rFonts w:hint="eastAsia" w:ascii="宋体" w:hAnsi="宋体" w:eastAsia="宋体" w:cs="宋体"/>
                <w:color w:val="auto"/>
                <w:sz w:val="21"/>
                <w:szCs w:val="21"/>
                <w:highlight w:val="none"/>
              </w:rPr>
              <w:t>、资料保障承诺</w:t>
            </w:r>
            <w:r>
              <w:rPr>
                <w:rFonts w:hint="eastAsia" w:ascii="宋体" w:hAnsi="宋体" w:eastAsia="宋体" w:cs="宋体"/>
                <w:color w:val="auto"/>
                <w:sz w:val="21"/>
                <w:szCs w:val="21"/>
                <w:highlight w:val="none"/>
                <w:lang w:eastAsia="zh-CN"/>
              </w:rPr>
              <w:t>较为完整，基本契合项目情况，较为符合采购人需求的得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val="en-US" w:eastAsia="zh-CN"/>
              </w:rPr>
              <w:t>服务承诺的服务的便捷性一般、服务响应及时性一般、人员</w:t>
            </w:r>
            <w:r>
              <w:rPr>
                <w:rFonts w:hint="eastAsia" w:ascii="宋体" w:hAnsi="宋体" w:eastAsia="宋体" w:cs="宋体"/>
                <w:color w:val="auto"/>
                <w:sz w:val="21"/>
                <w:szCs w:val="21"/>
                <w:highlight w:val="none"/>
              </w:rPr>
              <w:t>素质保障承诺</w:t>
            </w:r>
            <w:r>
              <w:rPr>
                <w:rFonts w:hint="eastAsia" w:ascii="宋体" w:hAnsi="宋体" w:eastAsia="宋体" w:cs="宋体"/>
                <w:color w:val="auto"/>
                <w:sz w:val="21"/>
                <w:szCs w:val="21"/>
                <w:highlight w:val="none"/>
                <w:lang w:eastAsia="zh-CN"/>
              </w:rPr>
              <w:t>基本完整</w:t>
            </w:r>
            <w:r>
              <w:rPr>
                <w:rFonts w:hint="eastAsia" w:ascii="宋体" w:hAnsi="宋体" w:eastAsia="宋体" w:cs="宋体"/>
                <w:color w:val="auto"/>
                <w:sz w:val="21"/>
                <w:szCs w:val="21"/>
                <w:highlight w:val="none"/>
              </w:rPr>
              <w:t>、资料保障承诺</w:t>
            </w:r>
            <w:r>
              <w:rPr>
                <w:rFonts w:hint="eastAsia" w:ascii="宋体" w:hAnsi="宋体" w:eastAsia="宋体" w:cs="宋体"/>
                <w:color w:val="auto"/>
                <w:sz w:val="21"/>
                <w:szCs w:val="21"/>
                <w:highlight w:val="none"/>
                <w:lang w:eastAsia="zh-CN"/>
              </w:rPr>
              <w:t xml:space="preserve">基本完整，但存在瑕疵，与项目实际情况存在出入，操作性一般的得1分；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未提供服务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38"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解决措施</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lang w:val="en-US" w:eastAsia="zh-CN"/>
              </w:rPr>
              <w:t>（5分）</w:t>
            </w:r>
          </w:p>
        </w:tc>
        <w:tc>
          <w:tcPr>
            <w:tcW w:w="6740" w:type="dxa"/>
            <w:tcBorders>
              <w:top w:val="single" w:color="auto" w:sz="4"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3"/>
              <w:keepNext w:val="0"/>
              <w:keepLines w:val="0"/>
              <w:pageBreakBefore w:val="0"/>
              <w:widowControl w:val="0"/>
              <w:kinsoku/>
              <w:wordWrap/>
              <w:overflowPunct/>
              <w:topLinePunct w:val="0"/>
              <w:autoSpaceDE w:val="0"/>
              <w:autoSpaceDN w:val="0"/>
              <w:bidi w:val="0"/>
              <w:adjustRightInd/>
              <w:snapToGrid/>
              <w:spacing w:after="0" w:line="44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准确到位，</w:t>
            </w:r>
            <w:r>
              <w:rPr>
                <w:rFonts w:hint="eastAsia" w:ascii="宋体" w:hAnsi="宋体" w:eastAsia="宋体" w:cs="宋体"/>
                <w:color w:val="auto"/>
                <w:sz w:val="21"/>
                <w:szCs w:val="21"/>
                <w:highlight w:val="none"/>
                <w:lang w:val="en-US" w:eastAsia="zh-CN"/>
              </w:rPr>
              <w:t>解决措施具有很强的针对性、可行性、全面性，能很好</w:t>
            </w:r>
            <w:r>
              <w:rPr>
                <w:rFonts w:hint="eastAsia" w:ascii="宋体" w:hAnsi="宋体" w:cs="宋体"/>
                <w:color w:val="auto"/>
                <w:sz w:val="21"/>
                <w:szCs w:val="21"/>
                <w:highlight w:val="none"/>
                <w:lang w:val="en-US" w:eastAsia="zh-CN"/>
              </w:rPr>
              <w:t>地</w:t>
            </w:r>
            <w:r>
              <w:rPr>
                <w:rFonts w:hint="eastAsia" w:ascii="宋体" w:hAnsi="宋体" w:eastAsia="宋体" w:cs="宋体"/>
                <w:color w:val="auto"/>
                <w:sz w:val="21"/>
                <w:szCs w:val="21"/>
                <w:highlight w:val="none"/>
                <w:lang w:val="en-US" w:eastAsia="zh-CN"/>
              </w:rPr>
              <w:t>解决重点、难点的得5分；</w:t>
            </w:r>
          </w:p>
          <w:p>
            <w:pPr>
              <w:pStyle w:val="23"/>
              <w:keepNext w:val="0"/>
              <w:keepLines w:val="0"/>
              <w:pageBreakBefore w:val="0"/>
              <w:widowControl w:val="0"/>
              <w:kinsoku/>
              <w:wordWrap/>
              <w:overflowPunct/>
              <w:topLinePunct w:val="0"/>
              <w:autoSpaceDE w:val="0"/>
              <w:autoSpaceDN w:val="0"/>
              <w:bidi w:val="0"/>
              <w:adjustRightInd/>
              <w:snapToGrid/>
              <w:spacing w:after="0" w:line="44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较为准确，</w:t>
            </w:r>
            <w:r>
              <w:rPr>
                <w:rFonts w:hint="eastAsia" w:ascii="宋体" w:hAnsi="宋体" w:eastAsia="宋体" w:cs="宋体"/>
                <w:color w:val="auto"/>
                <w:sz w:val="21"/>
                <w:szCs w:val="21"/>
                <w:highlight w:val="none"/>
                <w:lang w:val="en-US" w:eastAsia="zh-CN"/>
              </w:rPr>
              <w:t>解决措施具有较强的针对性、可行性、全面性，能较好</w:t>
            </w:r>
            <w:r>
              <w:rPr>
                <w:rFonts w:hint="eastAsia" w:ascii="宋体" w:hAnsi="宋体" w:cs="宋体"/>
                <w:color w:val="auto"/>
                <w:sz w:val="21"/>
                <w:szCs w:val="21"/>
                <w:highlight w:val="none"/>
                <w:lang w:val="en-US" w:eastAsia="zh-CN"/>
              </w:rPr>
              <w:t>地</w:t>
            </w:r>
            <w:r>
              <w:rPr>
                <w:rFonts w:hint="eastAsia" w:ascii="宋体" w:hAnsi="宋体" w:eastAsia="宋体" w:cs="宋体"/>
                <w:color w:val="auto"/>
                <w:sz w:val="21"/>
                <w:szCs w:val="21"/>
                <w:highlight w:val="none"/>
                <w:lang w:val="en-US" w:eastAsia="zh-CN"/>
              </w:rPr>
              <w:t>解决重点、难点的得4分；</w:t>
            </w:r>
          </w:p>
          <w:p>
            <w:pPr>
              <w:pStyle w:val="23"/>
              <w:keepNext w:val="0"/>
              <w:keepLines w:val="0"/>
              <w:pageBreakBefore w:val="0"/>
              <w:widowControl w:val="0"/>
              <w:kinsoku/>
              <w:wordWrap/>
              <w:overflowPunct/>
              <w:topLinePunct w:val="0"/>
              <w:autoSpaceDE w:val="0"/>
              <w:autoSpaceDN w:val="0"/>
              <w:bidi w:val="0"/>
              <w:adjustRightInd/>
              <w:snapToGrid/>
              <w:spacing w:after="0" w:line="44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基本准确，</w:t>
            </w:r>
            <w:r>
              <w:rPr>
                <w:rFonts w:hint="eastAsia" w:ascii="宋体" w:hAnsi="宋体" w:eastAsia="宋体" w:cs="宋体"/>
                <w:color w:val="auto"/>
                <w:sz w:val="21"/>
                <w:szCs w:val="21"/>
                <w:highlight w:val="none"/>
                <w:lang w:val="en-US" w:eastAsia="zh-CN"/>
              </w:rPr>
              <w:t>解决措施的针对性、可行性、全面性基本完整，基本解决重点、难点的得3分；</w:t>
            </w:r>
          </w:p>
          <w:p>
            <w:pPr>
              <w:pStyle w:val="23"/>
              <w:keepNext w:val="0"/>
              <w:keepLines w:val="0"/>
              <w:pageBreakBefore w:val="0"/>
              <w:widowControl w:val="0"/>
              <w:kinsoku/>
              <w:wordWrap/>
              <w:overflowPunct/>
              <w:topLinePunct w:val="0"/>
              <w:autoSpaceDE w:val="0"/>
              <w:autoSpaceDN w:val="0"/>
              <w:bidi w:val="0"/>
              <w:adjustRightInd/>
              <w:snapToGrid/>
              <w:spacing w:after="0" w:line="44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不</w:t>
            </w:r>
            <w:r>
              <w:rPr>
                <w:rFonts w:hint="eastAsia" w:ascii="宋体" w:hAnsi="宋体" w:cs="宋体"/>
                <w:color w:val="auto"/>
                <w:sz w:val="21"/>
                <w:szCs w:val="21"/>
                <w:highlight w:val="none"/>
                <w:lang w:val="en-US" w:eastAsia="zh-CN"/>
              </w:rPr>
              <w:t>够</w:t>
            </w:r>
            <w:r>
              <w:rPr>
                <w:rFonts w:hint="eastAsia" w:ascii="宋体" w:hAnsi="宋体" w:eastAsia="宋体" w:cs="宋体"/>
                <w:color w:val="auto"/>
                <w:sz w:val="21"/>
                <w:szCs w:val="21"/>
                <w:highlight w:val="none"/>
                <w:lang w:eastAsia="zh-CN"/>
              </w:rPr>
              <w:t>全面，</w:t>
            </w:r>
            <w:r>
              <w:rPr>
                <w:rFonts w:hint="eastAsia" w:ascii="宋体" w:hAnsi="宋体" w:eastAsia="宋体" w:cs="宋体"/>
                <w:color w:val="auto"/>
                <w:sz w:val="21"/>
                <w:szCs w:val="21"/>
                <w:highlight w:val="none"/>
                <w:lang w:val="en-US" w:eastAsia="zh-CN"/>
              </w:rPr>
              <w:t>解决措施的针对性、可行性、全面性存在瑕疵，无法全面解决重点、难点的得2分；</w:t>
            </w:r>
          </w:p>
          <w:p>
            <w:pPr>
              <w:pStyle w:val="23"/>
              <w:keepNext w:val="0"/>
              <w:keepLines w:val="0"/>
              <w:pageBreakBefore w:val="0"/>
              <w:widowControl w:val="0"/>
              <w:kinsoku/>
              <w:wordWrap/>
              <w:overflowPunct/>
              <w:topLinePunct w:val="0"/>
              <w:autoSpaceDE w:val="0"/>
              <w:autoSpaceDN w:val="0"/>
              <w:bidi w:val="0"/>
              <w:adjustRightInd/>
              <w:snapToGrid/>
              <w:spacing w:after="0" w:line="44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不</w:t>
            </w:r>
            <w:r>
              <w:rPr>
                <w:rFonts w:hint="eastAsia" w:ascii="宋体" w:hAnsi="宋体" w:cs="宋体"/>
                <w:color w:val="auto"/>
                <w:sz w:val="21"/>
                <w:szCs w:val="21"/>
                <w:highlight w:val="none"/>
                <w:lang w:val="en-US" w:eastAsia="zh-CN"/>
              </w:rPr>
              <w:t>够</w:t>
            </w:r>
            <w:r>
              <w:rPr>
                <w:rFonts w:hint="eastAsia" w:ascii="宋体" w:hAnsi="宋体" w:eastAsia="宋体" w:cs="宋体"/>
                <w:color w:val="auto"/>
                <w:sz w:val="21"/>
                <w:szCs w:val="21"/>
                <w:highlight w:val="none"/>
                <w:lang w:eastAsia="zh-CN"/>
              </w:rPr>
              <w:t>准确，</w:t>
            </w:r>
            <w:r>
              <w:rPr>
                <w:rFonts w:hint="eastAsia" w:ascii="宋体" w:hAnsi="宋体" w:eastAsia="宋体" w:cs="宋体"/>
                <w:color w:val="auto"/>
                <w:sz w:val="21"/>
                <w:szCs w:val="21"/>
                <w:highlight w:val="none"/>
                <w:lang w:val="en-US" w:eastAsia="zh-CN"/>
              </w:rPr>
              <w:t>解决措施的针对性、可行性、全面性存在较大瑕疵，无法解决重点、难点的得1分；</w:t>
            </w:r>
          </w:p>
          <w:p>
            <w:pPr>
              <w:pStyle w:val="97"/>
              <w:keepNext w:val="0"/>
              <w:keepLines w:val="0"/>
              <w:pageBreakBefore w:val="0"/>
              <w:widowControl/>
              <w:tabs>
                <w:tab w:val="left" w:pos="1260"/>
              </w:tabs>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bidi="zh-CN"/>
              </w:rPr>
              <w:t>未提供</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en-US" w:eastAsia="zh-CN" w:bidi="zh-CN"/>
              </w:rPr>
              <w:t>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highlight w:val="none"/>
                <w:lang w:val="zh-CN"/>
              </w:rPr>
            </w:pPr>
            <w:bookmarkStart w:id="51" w:name="OLE_LINK42"/>
            <w:r>
              <w:rPr>
                <w:rFonts w:hint="eastAsia" w:ascii="宋体" w:hAnsi="宋体" w:eastAsia="宋体" w:cs="宋体"/>
                <w:b w:val="0"/>
                <w:bCs/>
                <w:color w:val="000000"/>
                <w:sz w:val="21"/>
                <w:szCs w:val="21"/>
                <w:highlight w:val="none"/>
                <w:lang w:val="zh-CN"/>
              </w:rPr>
              <w:t>综合实力</w:t>
            </w:r>
            <w:bookmarkEnd w:id="51"/>
          </w:p>
          <w:p>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b w:val="0"/>
                <w:bCs/>
                <w:color w:val="000000"/>
                <w:sz w:val="21"/>
                <w:szCs w:val="21"/>
                <w:highlight w:val="none"/>
                <w:lang w:val="zh-CN"/>
              </w:rPr>
              <w:t>（</w:t>
            </w: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zh-CN"/>
              </w:rPr>
              <w:t>分）</w:t>
            </w:r>
          </w:p>
        </w:tc>
        <w:tc>
          <w:tcPr>
            <w:tcW w:w="6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en-US" w:eastAsia="zh-CN"/>
              </w:rPr>
              <w:t>投标人具</w:t>
            </w: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质量管理体系</w:t>
            </w:r>
            <w:r>
              <w:rPr>
                <w:rFonts w:hint="eastAsia" w:ascii="宋体" w:hAnsi="宋体" w:eastAsia="宋体" w:cs="宋体"/>
                <w:color w:val="auto"/>
                <w:sz w:val="21"/>
                <w:szCs w:val="21"/>
                <w:highlight w:val="none"/>
                <w:vertAlign w:val="baseline"/>
              </w:rPr>
              <w:t>认证证书</w:t>
            </w:r>
            <w:r>
              <w:rPr>
                <w:rFonts w:hint="eastAsia" w:ascii="宋体" w:hAnsi="宋体" w:eastAsia="宋体" w:cs="宋体"/>
                <w:color w:val="auto"/>
                <w:sz w:val="21"/>
                <w:szCs w:val="21"/>
                <w:highlight w:val="none"/>
              </w:rPr>
              <w:t>、环境管理体系</w:t>
            </w:r>
            <w:r>
              <w:rPr>
                <w:rFonts w:hint="eastAsia" w:ascii="宋体" w:hAnsi="宋体" w:eastAsia="宋体" w:cs="宋体"/>
                <w:color w:val="auto"/>
                <w:sz w:val="21"/>
                <w:szCs w:val="21"/>
                <w:highlight w:val="none"/>
                <w:vertAlign w:val="baseline"/>
              </w:rPr>
              <w:t>认证证书</w:t>
            </w:r>
            <w:r>
              <w:rPr>
                <w:rFonts w:hint="eastAsia" w:ascii="宋体" w:hAnsi="宋体" w:eastAsia="宋体" w:cs="宋体"/>
                <w:color w:val="auto"/>
                <w:sz w:val="21"/>
                <w:szCs w:val="21"/>
                <w:highlight w:val="none"/>
              </w:rPr>
              <w:t>、职业健康安全管理体系</w:t>
            </w:r>
            <w:r>
              <w:rPr>
                <w:rFonts w:hint="eastAsia" w:ascii="宋体" w:hAnsi="宋体" w:eastAsia="宋体" w:cs="宋体"/>
                <w:color w:val="auto"/>
                <w:sz w:val="21"/>
                <w:szCs w:val="21"/>
                <w:highlight w:val="none"/>
                <w:vertAlign w:val="baseline"/>
              </w:rPr>
              <w:t>认证证书</w:t>
            </w:r>
            <w:r>
              <w:rPr>
                <w:rFonts w:hint="eastAsia" w:ascii="宋体" w:hAnsi="宋体" w:eastAsia="宋体" w:cs="宋体"/>
                <w:color w:val="auto"/>
                <w:sz w:val="21"/>
                <w:szCs w:val="21"/>
                <w:highlight w:val="none"/>
              </w:rPr>
              <w:t>，</w:t>
            </w:r>
            <w:r>
              <w:rPr>
                <w:rFonts w:hint="eastAsia" w:ascii="宋体" w:hAnsi="宋体" w:eastAsia="宋体" w:cs="宋体"/>
                <w:bCs/>
                <w:color w:val="000000"/>
                <w:sz w:val="21"/>
                <w:szCs w:val="21"/>
                <w:highlight w:val="none"/>
              </w:rPr>
              <w:t>每提供一个证书得1分，最高得</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分。（提供有效的证书复印件加盖公章）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bookmarkStart w:id="52" w:name="OLE_LINK43"/>
            <w:r>
              <w:rPr>
                <w:rFonts w:hint="eastAsia" w:ascii="宋体" w:hAnsi="宋体" w:eastAsia="宋体" w:cs="宋体"/>
                <w:i w:val="0"/>
                <w:iCs w:val="0"/>
                <w:color w:val="000000"/>
                <w:kern w:val="0"/>
                <w:sz w:val="21"/>
                <w:szCs w:val="21"/>
                <w:highlight w:val="none"/>
                <w:u w:val="none"/>
                <w:lang w:val="en-US" w:eastAsia="zh-CN" w:bidi="ar"/>
              </w:rPr>
              <w:t>业绩</w:t>
            </w:r>
          </w:p>
          <w:bookmarkEnd w:id="52"/>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（2分）</w:t>
            </w:r>
          </w:p>
        </w:tc>
        <w:tc>
          <w:tcPr>
            <w:tcW w:w="6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440" w:lineRule="exact"/>
              <w:jc w:val="both"/>
              <w:textAlignment w:val="center"/>
              <w:rPr>
                <w:rFonts w:hint="eastAsia" w:ascii="宋体" w:hAnsi="宋体" w:eastAsia="宋体" w:cs="宋体"/>
                <w:color w:val="000000"/>
                <w:kern w:val="0"/>
                <w:sz w:val="21"/>
                <w:szCs w:val="21"/>
                <w:highlight w:val="none"/>
              </w:rPr>
            </w:pPr>
            <w:bookmarkStart w:id="53" w:name="OLE_LINK51"/>
            <w:r>
              <w:rPr>
                <w:rFonts w:hint="eastAsia" w:ascii="宋体" w:hAnsi="宋体" w:eastAsia="宋体" w:cs="宋体"/>
                <w:i w:val="0"/>
                <w:iCs w:val="0"/>
                <w:color w:val="auto"/>
                <w:kern w:val="0"/>
                <w:sz w:val="21"/>
                <w:szCs w:val="21"/>
                <w:highlight w:val="none"/>
                <w:u w:val="none"/>
                <w:lang w:val="en-US" w:eastAsia="zh-CN" w:bidi="ar"/>
              </w:rPr>
              <w:t>投标人自2022年1月1日以来（以合同签订时间为准）具有类似项目业绩（服务内容须包含：</w:t>
            </w:r>
            <w:r>
              <w:rPr>
                <w:rFonts w:hint="eastAsia" w:ascii="宋体" w:hAnsi="宋体" w:cs="宋体"/>
                <w:i w:val="0"/>
                <w:iCs w:val="0"/>
                <w:color w:val="auto"/>
                <w:kern w:val="0"/>
                <w:sz w:val="21"/>
                <w:szCs w:val="21"/>
                <w:highlight w:val="none"/>
                <w:u w:val="none"/>
                <w:lang w:val="en-US" w:eastAsia="zh-CN" w:bidi="ar"/>
              </w:rPr>
              <w:t>安检服务</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的得</w:t>
            </w:r>
            <w:r>
              <w:rPr>
                <w:rFonts w:hint="eastAsia" w:ascii="宋体" w:hAnsi="宋体" w:eastAsia="宋体" w:cs="宋体"/>
                <w:i w:val="0"/>
                <w:iCs w:val="0"/>
                <w:color w:val="auto"/>
                <w:kern w:val="0"/>
                <w:sz w:val="21"/>
                <w:szCs w:val="21"/>
                <w:highlight w:val="none"/>
                <w:u w:val="none"/>
                <w:lang w:val="en-US" w:eastAsia="zh-CN" w:bidi="ar"/>
              </w:rPr>
              <w:t>2分。（提供合同及中标通知书复印件加盖公章</w:t>
            </w:r>
            <w:r>
              <w:rPr>
                <w:rFonts w:hint="eastAsia" w:ascii="宋体" w:hAnsi="宋体" w:cs="宋体"/>
                <w:i w:val="0"/>
                <w:iCs w:val="0"/>
                <w:color w:val="auto"/>
                <w:kern w:val="0"/>
                <w:sz w:val="21"/>
                <w:szCs w:val="21"/>
                <w:highlight w:val="none"/>
                <w:u w:val="none"/>
                <w:lang w:val="en-US" w:eastAsia="zh-CN" w:bidi="ar"/>
              </w:rPr>
              <w:t>，如合同中无法体现安检服务内容，需提供业主证明。</w:t>
            </w:r>
            <w:r>
              <w:rPr>
                <w:rFonts w:hint="eastAsia" w:ascii="宋体" w:hAnsi="宋体" w:eastAsia="宋体" w:cs="宋体"/>
                <w:i w:val="0"/>
                <w:iCs w:val="0"/>
                <w:color w:val="auto"/>
                <w:kern w:val="0"/>
                <w:sz w:val="21"/>
                <w:szCs w:val="21"/>
                <w:highlight w:val="none"/>
                <w:u w:val="none"/>
                <w:lang w:val="en-US" w:eastAsia="zh-CN" w:bidi="ar"/>
              </w:rPr>
              <w:t>）</w:t>
            </w:r>
            <w:bookmarkEnd w:id="53"/>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000000"/>
                <w:sz w:val="21"/>
                <w:szCs w:val="21"/>
                <w:highlight w:val="none"/>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kern w:val="0"/>
                <w:sz w:val="21"/>
                <w:szCs w:val="21"/>
                <w:highlight w:val="none"/>
                <w:u w:val="none"/>
                <w:lang w:val="en-US" w:eastAsia="zh-CN" w:bidi="ar"/>
              </w:rPr>
            </w:pPr>
            <w:bookmarkStart w:id="54" w:name="OLE_LINK44"/>
            <w:r>
              <w:rPr>
                <w:rFonts w:hint="eastAsia" w:ascii="宋体" w:hAnsi="宋体" w:eastAsia="宋体" w:cs="宋体"/>
                <w:color w:val="000000"/>
                <w:sz w:val="21"/>
                <w:szCs w:val="21"/>
                <w:highlight w:val="none"/>
              </w:rPr>
              <w:t>政府采购政策加分</w:t>
            </w:r>
            <w:bookmarkEnd w:id="54"/>
            <w:r>
              <w:rPr>
                <w:rFonts w:hint="eastAsia" w:ascii="宋体" w:hAnsi="宋体" w:eastAsia="宋体" w:cs="宋体"/>
                <w:color w:val="000000"/>
                <w:sz w:val="21"/>
                <w:szCs w:val="21"/>
                <w:highlight w:val="none"/>
              </w:rPr>
              <w:t>（1分）</w:t>
            </w:r>
          </w:p>
        </w:tc>
        <w:tc>
          <w:tcPr>
            <w:tcW w:w="6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投标人是国家认定的少数民族地区企业的加1分。</w:t>
            </w:r>
          </w:p>
        </w:tc>
      </w:tr>
    </w:tbl>
    <w:p>
      <w:pPr>
        <w:pStyle w:val="9"/>
        <w:spacing w:after="0" w:line="400" w:lineRule="exact"/>
        <w:rPr>
          <w:rFonts w:asciiTheme="minorEastAsia" w:hAnsiTheme="minorEastAsia" w:eastAsiaTheme="minorEastAsia"/>
          <w:color w:val="auto"/>
          <w:szCs w:val="21"/>
          <w:highlight w:val="none"/>
        </w:rPr>
      </w:pPr>
    </w:p>
    <w:p>
      <w:pPr>
        <w:pStyle w:val="9"/>
        <w:spacing w:after="0" w:line="400" w:lineRule="exact"/>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12"/>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2"/>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2"/>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pStyle w:val="12"/>
        <w:keepNext w:val="0"/>
        <w:keepLines w:val="0"/>
        <w:pageBreakBefore w:val="0"/>
        <w:kinsoku/>
        <w:wordWrap/>
        <w:overflowPunct/>
        <w:topLinePunct w:val="0"/>
        <w:autoSpaceDE/>
        <w:autoSpaceDN/>
        <w:bidi w:val="0"/>
        <w:adjustRightInd/>
        <w:snapToGrid w:val="0"/>
        <w:spacing w:beforeLines="0" w:afterLines="0"/>
        <w:textAlignment w:val="auto"/>
        <w:outlineLvl w:val="0"/>
        <w:rPr>
          <w:rFonts w:ascii="黑体" w:hAnsi="宋体" w:eastAsia="黑体"/>
          <w:b/>
          <w:bCs/>
          <w:color w:val="auto"/>
          <w:sz w:val="28"/>
          <w:szCs w:val="28"/>
          <w:highlight w:val="none"/>
        </w:rPr>
      </w:pPr>
    </w:p>
    <w:p>
      <w:pPr>
        <w:pStyle w:val="12"/>
        <w:snapToGrid w:val="0"/>
        <w:spacing w:beforeLines="0" w:afterLines="0"/>
        <w:outlineLvl w:val="0"/>
        <w:rPr>
          <w:rFonts w:ascii="黑体" w:hAnsi="宋体" w:eastAsia="黑体"/>
          <w:b/>
          <w:bCs/>
          <w:color w:val="auto"/>
          <w:sz w:val="28"/>
          <w:szCs w:val="28"/>
          <w:highlight w:val="none"/>
        </w:rPr>
      </w:pPr>
    </w:p>
    <w:p>
      <w:pPr>
        <w:spacing w:line="400" w:lineRule="exact"/>
        <w:jc w:val="center"/>
        <w:rPr>
          <w:color w:val="auto"/>
          <w:highlight w:val="none"/>
        </w:rPr>
      </w:pPr>
      <w:r>
        <w:rPr>
          <w:rFonts w:hint="eastAsia" w:ascii="黑体" w:hAnsi="宋体" w:eastAsia="黑体"/>
          <w:b/>
          <w:bCs/>
          <w:color w:val="auto"/>
          <w:sz w:val="28"/>
          <w:szCs w:val="28"/>
          <w:highlight w:val="none"/>
        </w:rPr>
        <w:t>第六章  投标文件格式</w:t>
      </w:r>
    </w:p>
    <w:p>
      <w:pPr>
        <w:snapToGrid w:val="0"/>
        <w:spacing w:line="400" w:lineRule="exact"/>
        <w:ind w:left="645"/>
        <w:rPr>
          <w:rFonts w:ascii="宋体" w:hAnsi="宋体"/>
          <w:bCs/>
          <w:color w:val="auto"/>
          <w:szCs w:val="21"/>
          <w:highlight w:val="none"/>
        </w:rPr>
      </w:pPr>
    </w:p>
    <w:p>
      <w:pPr>
        <w:snapToGrid w:val="0"/>
        <w:spacing w:line="400" w:lineRule="exact"/>
        <w:ind w:firstLine="420" w:firstLineChars="200"/>
        <w:jc w:val="center"/>
        <w:outlineLvl w:val="1"/>
        <w:rPr>
          <w:rFonts w:ascii="宋体" w:hAnsi="宋体"/>
          <w:bCs/>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技术商务文件格式</w:t>
      </w: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1.技术商务文件封面格式：</w:t>
      </w:r>
    </w:p>
    <w:p>
      <w:pPr>
        <w:snapToGrid w:val="0"/>
        <w:spacing w:line="400" w:lineRule="exact"/>
        <w:ind w:firstLine="5985" w:firstLineChars="285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bCs/>
          <w:color w:val="auto"/>
          <w:szCs w:val="21"/>
          <w:highlight w:val="none"/>
        </w:rPr>
        <w:t>技术商务文件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snapToGrid w:val="0"/>
        <w:spacing w:line="40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2.评分索引表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具体内容参见招标文件的评审内容和标准，格式如下：</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考核项目</w:t>
            </w:r>
          </w:p>
        </w:tc>
        <w:tc>
          <w:tcPr>
            <w:tcW w:w="57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评标标准</w:t>
            </w:r>
          </w:p>
        </w:tc>
        <w:tc>
          <w:tcPr>
            <w:tcW w:w="131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bl>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3.技术商务文件的内容组成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附件一</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资格条件自查表</w:t>
      </w:r>
    </w:p>
    <w:tbl>
      <w:tblPr>
        <w:tblStyle w:val="2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pacing w:line="400" w:lineRule="exact"/>
        <w:rPr>
          <w:rFonts w:ascii="宋体" w:hAnsi="宋体"/>
          <w:b/>
          <w:color w:val="auto"/>
          <w:szCs w:val="21"/>
          <w:highlight w:val="none"/>
        </w:rPr>
      </w:pPr>
      <w:r>
        <w:rPr>
          <w:rFonts w:hint="eastAsia" w:ascii="宋体" w:hAnsi="宋体"/>
          <w:b/>
          <w:color w:val="auto"/>
          <w:szCs w:val="21"/>
          <w:highlight w:val="none"/>
        </w:rPr>
        <w:t>备注：资格条件自查表将作为</w:t>
      </w:r>
      <w:r>
        <w:rPr>
          <w:rFonts w:hint="eastAsia" w:ascii="宋体" w:hAnsi="宋体"/>
          <w:b/>
          <w:bCs/>
          <w:color w:val="auto"/>
          <w:szCs w:val="21"/>
          <w:highlight w:val="none"/>
        </w:rPr>
        <w:t>投标人</w:t>
      </w:r>
      <w:r>
        <w:rPr>
          <w:rFonts w:hint="eastAsia" w:ascii="宋体" w:hAnsi="宋体"/>
          <w:b/>
          <w:color w:val="auto"/>
          <w:szCs w:val="21"/>
          <w:highlight w:val="none"/>
        </w:rPr>
        <w:t>有效性审查的重要内容之一，</w:t>
      </w:r>
      <w:r>
        <w:rPr>
          <w:rFonts w:hint="eastAsia" w:ascii="宋体" w:hAnsi="宋体"/>
          <w:b/>
          <w:bCs/>
          <w:color w:val="auto"/>
          <w:szCs w:val="21"/>
          <w:highlight w:val="none"/>
        </w:rPr>
        <w:t>投标人</w:t>
      </w:r>
      <w:r>
        <w:rPr>
          <w:rFonts w:hint="eastAsia" w:ascii="宋体" w:hAnsi="宋体"/>
          <w:b/>
          <w:color w:val="auto"/>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spacing w:line="400" w:lineRule="exact"/>
        <w:jc w:val="center"/>
        <w:rPr>
          <w:rFonts w:ascii="宋体" w:hAnsi="宋体"/>
          <w:b/>
          <w:color w:val="auto"/>
          <w:sz w:val="24"/>
          <w:highlight w:val="none"/>
        </w:rPr>
      </w:pPr>
      <w:r>
        <w:rPr>
          <w:rFonts w:hint="eastAsia" w:ascii="宋体" w:hAnsi="宋体"/>
          <w:b/>
          <w:color w:val="auto"/>
          <w:sz w:val="24"/>
          <w:highlight w:val="none"/>
        </w:rPr>
        <w:t>满足《中华人民共和国政府采购法》第二十二条规定的投标人承诺书</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我公司/单位满足《中华人民共和国政府采购法》第二十二条规定的投标人资格条件：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 xml:space="preserve">投标人（盖章）：        </w:t>
      </w:r>
    </w:p>
    <w:p>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rPr>
        <w:t xml:space="preserve">投标人的法定代表人／负责人或其授权代表(签字或盖章)：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pPr>
        <w:spacing w:line="400" w:lineRule="exact"/>
        <w:ind w:firstLine="420" w:firstLineChars="200"/>
        <w:rPr>
          <w:rFonts w:ascii="宋体" w:hAnsi="宋体"/>
          <w:color w:val="auto"/>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r>
        <w:rPr>
          <w:rFonts w:hint="eastAsia" w:ascii="宋体" w:hAnsi="宋体"/>
          <w:b/>
          <w:color w:val="auto"/>
          <w:sz w:val="24"/>
          <w:highlight w:val="none"/>
        </w:rPr>
        <w:t>承 诺 函</w:t>
      </w:r>
    </w:p>
    <w:p>
      <w:pPr>
        <w:widowControl/>
        <w:spacing w:line="600" w:lineRule="exact"/>
        <w:ind w:right="159"/>
        <w:jc w:val="center"/>
        <w:rPr>
          <w:rFonts w:ascii="宋体" w:hAnsi="宋体"/>
          <w:b/>
          <w:color w:val="auto"/>
          <w:sz w:val="24"/>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eastAsia="zh-CN"/>
        </w:rPr>
        <w:t>宁海县政务服务中心</w:t>
      </w:r>
      <w:r>
        <w:rPr>
          <w:rFonts w:hint="eastAsia" w:ascii="宋体" w:hAnsi="宋体"/>
          <w:color w:val="auto"/>
          <w:szCs w:val="21"/>
          <w:highlight w:val="none"/>
        </w:rPr>
        <w:br w:type="textWrapping"/>
      </w:r>
      <w:r>
        <w:rPr>
          <w:rFonts w:hint="eastAsia" w:ascii="宋体" w:hAnsi="宋体"/>
          <w:color w:val="auto"/>
          <w:szCs w:val="21"/>
          <w:highlight w:val="none"/>
        </w:rPr>
        <w:t xml:space="preserve">    我公司/单位承诺未被“信用中国”（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宋体" w:hAnsi="宋体"/>
          <w:color w:val="auto"/>
          <w:highlight w:val="none"/>
        </w:rPr>
        <w:t>www.creditchina.gov.cn)、中国政府采购网（www.ccgp.gov.cn）列入失信被执行人、重大税收违法案件当事人名单、政府采购严重违法失信行为记录名单</w:t>
      </w:r>
      <w:r>
        <w:rPr>
          <w:rFonts w:hint="eastAsia" w:ascii="宋体" w:hAnsi="宋体"/>
          <w:color w:val="auto"/>
          <w:highlight w:val="none"/>
        </w:rPr>
        <w:fldChar w:fldCharType="end"/>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br w:type="textWrapping"/>
      </w:r>
      <w:r>
        <w:rPr>
          <w:rFonts w:hint="eastAsia" w:ascii="宋体" w:hAnsi="宋体"/>
          <w:color w:val="auto"/>
          <w:szCs w:val="21"/>
          <w:highlight w:val="none"/>
        </w:rPr>
        <w:t xml:space="preserve">    针对上述承诺，我司保证严格遵守！如有违反，愿无条件放弃中标，并接受处理，承担相应的责任。 </w:t>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t>投标人（盖章）：</w:t>
      </w:r>
      <w:r>
        <w:rPr>
          <w:rFonts w:hint="eastAsia" w:ascii="宋体" w:hAnsi="宋体"/>
          <w:color w:val="auto"/>
          <w:szCs w:val="21"/>
          <w:highlight w:val="none"/>
        </w:rPr>
        <w:br w:type="textWrapping"/>
      </w:r>
      <w:r>
        <w:rPr>
          <w:rFonts w:hint="eastAsia" w:ascii="宋体" w:hAnsi="宋体"/>
          <w:color w:val="auto"/>
          <w:szCs w:val="21"/>
          <w:highlight w:val="none"/>
        </w:rPr>
        <w:t>法定代表人／负责人或授权代表（签字或盖章）：</w:t>
      </w:r>
      <w:r>
        <w:rPr>
          <w:rFonts w:hint="eastAsia" w:ascii="宋体" w:hAnsi="宋体"/>
          <w:color w:val="auto"/>
          <w:szCs w:val="21"/>
          <w:highlight w:val="none"/>
        </w:rPr>
        <w:br w:type="textWrapping"/>
      </w:r>
      <w:r>
        <w:rPr>
          <w:rFonts w:hint="eastAsia" w:ascii="宋体" w:hAnsi="宋体"/>
          <w:color w:val="auto"/>
          <w:szCs w:val="21"/>
          <w:highlight w:val="none"/>
        </w:rPr>
        <w:t>日期：</w:t>
      </w:r>
    </w:p>
    <w:p>
      <w:pPr>
        <w:snapToGrid w:val="0"/>
        <w:spacing w:line="600" w:lineRule="exact"/>
        <w:ind w:firstLine="420" w:firstLineChars="200"/>
        <w:jc w:val="left"/>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500" w:lineRule="exact"/>
        <w:jc w:val="center"/>
        <w:rPr>
          <w:rFonts w:asciiTheme="minorEastAsia" w:hAnsiTheme="minorEastAsia"/>
          <w:color w:val="auto"/>
          <w:szCs w:val="21"/>
          <w:highlight w:val="none"/>
        </w:rPr>
      </w:pPr>
    </w:p>
    <w:p>
      <w:pPr>
        <w:spacing w:line="500" w:lineRule="exact"/>
        <w:jc w:val="center"/>
        <w:rPr>
          <w:rFonts w:asciiTheme="minorEastAsia" w:hAnsiTheme="minorEastAsia"/>
          <w:color w:val="auto"/>
          <w:szCs w:val="21"/>
          <w:highlight w:val="none"/>
        </w:rPr>
      </w:pPr>
      <w:r>
        <w:rPr>
          <w:rFonts w:asciiTheme="minorEastAsia" w:hAnsiTheme="minorEastAsia"/>
          <w:color w:val="auto"/>
          <w:szCs w:val="21"/>
          <w:highlight w:val="none"/>
        </w:rPr>
        <w:t>中小企业声明函（服务）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日 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3.项目专门面向中小企业采购的，投标人必须按要求提供本表，且投标货物或服务必须全部由中小企业制造或者承接。如有虚假，将对投标人按虚假材料谋取中标论处。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napToGrid w:val="0"/>
        <w:spacing w:line="600" w:lineRule="exact"/>
        <w:jc w:val="center"/>
        <w:rPr>
          <w:rFonts w:ascii="宋体" w:hAnsi="宋体"/>
          <w:color w:val="auto"/>
          <w:szCs w:val="21"/>
          <w:highlight w:val="none"/>
        </w:rPr>
      </w:pPr>
      <w:r>
        <w:rPr>
          <w:rFonts w:hint="eastAsia" w:ascii="宋体" w:hAnsi="宋体"/>
          <w:color w:val="auto"/>
          <w:szCs w:val="21"/>
          <w:highlight w:val="none"/>
        </w:rPr>
        <w:t>残疾人福利性单位声明函</w:t>
      </w:r>
    </w:p>
    <w:p>
      <w:pPr>
        <w:snapToGrid w:val="0"/>
        <w:spacing w:line="600" w:lineRule="exact"/>
        <w:ind w:firstLine="420" w:firstLineChars="200"/>
        <w:jc w:val="left"/>
        <w:rPr>
          <w:rFonts w:ascii="宋体" w:hAnsi="宋体"/>
          <w:color w:val="auto"/>
          <w:szCs w:val="21"/>
          <w:highlight w:val="none"/>
        </w:rPr>
      </w:pPr>
    </w:p>
    <w:p>
      <w:pPr>
        <w:snapToGrid w:val="0"/>
        <w:spacing w:line="600" w:lineRule="exact"/>
        <w:ind w:firstLine="420" w:firstLineChars="200"/>
        <w:jc w:val="left"/>
        <w:rPr>
          <w:rFonts w:ascii="宋体" w:hAnsi="宋体"/>
          <w:color w:val="auto"/>
          <w:szCs w:val="21"/>
          <w:highlight w:val="none"/>
        </w:rPr>
      </w:pP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Ansi="宋体"/>
          <w:color w:val="auto"/>
          <w:szCs w:val="21"/>
          <w:highlight w:val="none"/>
        </w:rPr>
      </w:pPr>
      <w:r>
        <w:rPr>
          <w:rFonts w:hint="eastAsia" w:hAnsi="宋体"/>
          <w:color w:val="auto"/>
          <w:szCs w:val="21"/>
          <w:highlight w:val="none"/>
        </w:rPr>
        <w:t>单位名称（盖章）：</w:t>
      </w:r>
    </w:p>
    <w:p>
      <w:pPr>
        <w:pStyle w:val="3"/>
        <w:spacing w:after="0" w:line="600" w:lineRule="exact"/>
        <w:ind w:leftChars="0" w:firstLine="3570" w:firstLineChars="1700"/>
        <w:rPr>
          <w:rFonts w:hAnsi="宋体"/>
          <w:color w:val="auto"/>
          <w:szCs w:val="21"/>
          <w:highlight w:val="none"/>
        </w:rPr>
      </w:pPr>
      <w:r>
        <w:rPr>
          <w:rFonts w:hint="eastAsia" w:hAnsi="宋体"/>
          <w:color w:val="auto"/>
          <w:szCs w:val="21"/>
          <w:highlight w:val="none"/>
        </w:rPr>
        <w:t>日期：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600" w:lineRule="exact"/>
        <w:jc w:val="left"/>
        <w:rPr>
          <w:rFonts w:hint="eastAsia" w:ascii="宋体" w:hAnsi="宋体"/>
          <w:color w:val="auto"/>
          <w:szCs w:val="21"/>
          <w:highlight w:val="none"/>
        </w:rPr>
      </w:pPr>
    </w:p>
    <w:p>
      <w:pPr>
        <w:snapToGrid w:val="0"/>
        <w:spacing w:line="600" w:lineRule="exact"/>
        <w:jc w:val="left"/>
        <w:rPr>
          <w:rFonts w:ascii="宋体" w:hAnsi="宋体"/>
          <w:color w:val="auto"/>
          <w:szCs w:val="21"/>
          <w:highlight w:val="none"/>
        </w:rPr>
      </w:pPr>
      <w:r>
        <w:rPr>
          <w:rFonts w:hint="eastAsia" w:ascii="宋体" w:hAnsi="宋体"/>
          <w:color w:val="auto"/>
          <w:szCs w:val="21"/>
          <w:highlight w:val="none"/>
        </w:rPr>
        <w:t>省级以上监狱管理局、戒毒管理局（含新疆生产建设兵团）出具的属于监狱企业的证明文件。</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4"/>
        <w:rPr>
          <w:rFonts w:ascii="宋体" w:hAnsi="宋体"/>
          <w:color w:val="auto"/>
          <w:szCs w:val="21"/>
          <w:highlight w:val="none"/>
        </w:rPr>
      </w:pPr>
    </w:p>
    <w:p>
      <w:pPr>
        <w:rPr>
          <w:rFonts w:ascii="宋体" w:hAnsi="宋体"/>
          <w:color w:val="auto"/>
          <w:szCs w:val="21"/>
          <w:highlight w:val="none"/>
        </w:rPr>
      </w:pPr>
    </w:p>
    <w:p>
      <w:pPr>
        <w:pStyle w:val="4"/>
        <w:rPr>
          <w:rFonts w:ascii="宋体" w:hAnsi="宋体"/>
          <w:color w:val="auto"/>
          <w:szCs w:val="21"/>
          <w:highlight w:val="none"/>
        </w:rPr>
      </w:pPr>
    </w:p>
    <w:p>
      <w:pPr>
        <w:rPr>
          <w:rFonts w:ascii="宋体" w:hAnsi="宋体"/>
          <w:color w:val="auto"/>
          <w:szCs w:val="21"/>
          <w:highlight w:val="none"/>
        </w:rPr>
      </w:pPr>
    </w:p>
    <w:p>
      <w:pPr>
        <w:pStyle w:val="4"/>
        <w:rPr>
          <w:color w:val="auto"/>
          <w:highlight w:val="none"/>
        </w:rPr>
      </w:pPr>
    </w:p>
    <w:p>
      <w:pPr>
        <w:spacing w:line="400" w:lineRule="exact"/>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附件二</w:t>
      </w:r>
    </w:p>
    <w:p>
      <w:pPr>
        <w:spacing w:line="400" w:lineRule="exact"/>
        <w:jc w:val="center"/>
        <w:rPr>
          <w:rFonts w:ascii="宋体" w:hAnsi="宋体"/>
          <w:color w:val="auto"/>
          <w:szCs w:val="21"/>
          <w:highlight w:val="none"/>
        </w:rPr>
      </w:pPr>
      <w:r>
        <w:rPr>
          <w:rFonts w:hint="eastAsia" w:ascii="宋体" w:hAnsi="宋体"/>
          <w:color w:val="auto"/>
          <w:szCs w:val="21"/>
          <w:highlight w:val="none"/>
        </w:rPr>
        <w:t>符合性自查表</w:t>
      </w:r>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5398"/>
        <w:gridCol w:w="127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6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自查结论</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证明资料</w:t>
            </w:r>
          </w:p>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restart"/>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539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1.投标函已提交并符合招标文件要求的；（格式见附件）</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2.《法定代表人／负责人身份证明书</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已提交的；（格式见附件）</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3.投标文件按招标文件要求签署、盖章的；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4.具备招标文件中规定的资格要求的</w:t>
            </w:r>
            <w:r>
              <w:rPr>
                <w:rFonts w:hint="eastAsia" w:ascii="宋体" w:hAnsi="宋体" w:eastAsia="宋体" w:cs="宋体"/>
                <w:color w:val="auto"/>
                <w:sz w:val="21"/>
                <w:szCs w:val="21"/>
                <w:highlight w:val="none"/>
              </w:rPr>
              <w:t>；</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5.不存在投标有效期不足的；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shd w:val="clear" w:color="auto" w:fill="FFFFFF"/>
              </w:rPr>
              <w:t>授权代表有《法定代表人／负责人授权委托书》的；（格式见附件）</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7.投标文件不含有采购人不能接受的附加条件的；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8.不存在提供虚假材料投标的；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9.与招标文件无重大偏离、满足带“★”号实质性指标的投标文件；</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10.投标服务方案明确，不存在一个或一个以上备选（替代）投标方案的；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.技术商务文件中未出现投标报价内容的；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.投标人未被视为串通投标的；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.不存在仅提交电子备份投标文件的；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.不存在法律、法规和招标文件规定的其他无效情形。</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restart"/>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w:t>
            </w: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营业执照副本复印件、组织机构代码证复印件（如果已经换取证照合一的，可仅提供合一后的营业执照副本）。</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三年(具体时间以合同为准)合同一年一签，采购人根据中标人在上一年度合同履约、考核情况及财政资金审批情况等决定是否续签。</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bookmarkStart w:id="55" w:name="OLE_LINK45" w:colFirst="2" w:colLast="3"/>
          </w:p>
        </w:tc>
        <w:tc>
          <w:tcPr>
            <w:tcW w:w="5398" w:type="dxa"/>
            <w:vAlign w:val="center"/>
          </w:tcPr>
          <w:p>
            <w:pPr>
              <w:keepNext w:val="0"/>
              <w:keepLines w:val="0"/>
              <w:pageBreakBefore w:val="0"/>
              <w:widowControl w:val="0"/>
              <w:kinsoku/>
              <w:wordWrap/>
              <w:overflowPunct/>
              <w:topLinePunct w:val="0"/>
              <w:autoSpaceDE/>
              <w:autoSpaceDN/>
              <w:bidi w:val="0"/>
              <w:adjustRightInd w:val="0"/>
              <w:snapToGrid/>
              <w:spacing w:line="330" w:lineRule="exac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30" w:lineRule="exac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年度合同签订之日</w:t>
            </w:r>
            <w:r>
              <w:rPr>
                <w:rFonts w:hint="eastAsia" w:ascii="宋体" w:hAnsi="宋体" w:eastAsia="宋体" w:cs="宋体"/>
                <w:color w:val="auto"/>
                <w:sz w:val="21"/>
                <w:szCs w:val="21"/>
                <w:highlight w:val="none"/>
                <w:lang w:val="en-US" w:eastAsia="zh-CN"/>
              </w:rPr>
              <w:t>起</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日内支付年度合同总价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作为</w:t>
            </w:r>
            <w:r>
              <w:rPr>
                <w:rFonts w:hint="eastAsia" w:ascii="宋体" w:hAnsi="宋体" w:eastAsia="宋体" w:cs="宋体"/>
                <w:color w:val="auto"/>
                <w:sz w:val="21"/>
                <w:szCs w:val="21"/>
                <w:highlight w:val="none"/>
              </w:rPr>
              <w:t>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合同签订时中标人主动要求不需要预付款的采购人可以不支付</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lang w:eastAsia="zh-CN"/>
              </w:rPr>
              <w:t>经采购人考核评定后，结合考核</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lang w:eastAsia="zh-CN"/>
              </w:rPr>
              <w:t>确定应付服务费，中标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按应收款总额开具正式发票，采购人于次月20日前支付，如遇节假日则自动顺延（先从预付款中扣除相应金额，待预付款支付完后再另行按实支付）</w:t>
            </w:r>
            <w:r>
              <w:rPr>
                <w:rFonts w:hint="eastAsia" w:ascii="宋体" w:hAnsi="宋体" w:eastAsia="宋体" w:cs="宋体"/>
                <w:color w:val="auto"/>
                <w:sz w:val="21"/>
                <w:szCs w:val="21"/>
                <w:highlight w:val="none"/>
                <w:lang w:val="en-US" w:eastAsia="zh-CN"/>
              </w:rPr>
              <w:t>。</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lang w:val="en-US" w:eastAsia="zh-CN"/>
              </w:rPr>
              <w:t>4.本次招标采用按中标价格一次性包干的方式。但在合同执行期间，投标人在进行投标报价时要充分考虑未来三年价格因素的变化，合同中的人员工资部分必须符合当地劳动部门有关规定，遇到社保缴费基数、比例及最低工资标准上调，则按实际情况予以调整，确保用工合法，由此增加的费用，由投标人负责，合同价格不作调整。</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restart"/>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1.投标文件按招标文件要求签署、盖章的；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2.投标文件不含有采购人不能接受的附加条件的；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3.不存在提供虚假材料投标的；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4.与招标文件无重大偏离、满足带“★”号实质性指标的投标文件；</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5.采用人民币报价或者按照招标文件标明的币种报价的；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6.报价不超过招标文件中规定的预算金额或者最高限价的；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7.投标报价不具有选择性；</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9.投标人对根据修正原则修正后的报价确认的；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tabs>
                <w:tab w:val="left" w:pos="612"/>
              </w:tabs>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10.投标人未被视为串通投标的；</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9" w:type="dxa"/>
            <w:vMerge w:val="continue"/>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p>
        </w:tc>
        <w:tc>
          <w:tcPr>
            <w:tcW w:w="5398" w:type="dxa"/>
            <w:vAlign w:val="center"/>
          </w:tcPr>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11.不存在法律、法规和招标文件规定的其他无效情形。</w:t>
            </w:r>
          </w:p>
        </w:tc>
        <w:tc>
          <w:tcPr>
            <w:tcW w:w="1273"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1238" w:type="dxa"/>
            <w:vAlign w:val="center"/>
          </w:tcPr>
          <w:p>
            <w:pPr>
              <w:keepNext w:val="0"/>
              <w:keepLines w:val="0"/>
              <w:pageBreakBefore w:val="0"/>
              <w:widowControl w:val="0"/>
              <w:kinsoku/>
              <w:wordWrap/>
              <w:overflowPunct/>
              <w:topLinePunct w:val="0"/>
              <w:autoSpaceDE/>
              <w:autoSpaceDN/>
              <w:bidi w:val="0"/>
              <w:spacing w:line="33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bl>
    <w:p>
      <w:pPr>
        <w:snapToGrid w:val="0"/>
        <w:spacing w:line="400" w:lineRule="exact"/>
        <w:outlineLvl w:val="1"/>
        <w:rPr>
          <w:rFonts w:ascii="宋体" w:hAnsi="宋体"/>
          <w:color w:val="auto"/>
          <w:szCs w:val="21"/>
          <w:highlight w:val="none"/>
        </w:rPr>
      </w:pPr>
      <w:r>
        <w:rPr>
          <w:rFonts w:hint="eastAsia" w:ascii="宋体" w:hAnsi="宋体"/>
          <w:b/>
          <w:color w:val="auto"/>
          <w:szCs w:val="21"/>
          <w:highlight w:val="none"/>
        </w:rPr>
        <w:t>备注：符合性自查表将作为投标人有效性审查的重要内容之一，投标人必须严格按照其内容及序列要求在投标文件中对应如实提供，对</w:t>
      </w:r>
      <w:r>
        <w:rPr>
          <w:rFonts w:hint="eastAsia" w:ascii="宋体" w:hAnsi="宋体"/>
          <w:b/>
          <w:color w:val="auto"/>
          <w:szCs w:val="21"/>
          <w:highlight w:val="none"/>
          <w:lang w:val="en-US" w:eastAsia="zh-CN"/>
        </w:rPr>
        <w:t>符合</w:t>
      </w:r>
      <w:r>
        <w:rPr>
          <w:rFonts w:hint="eastAsia" w:ascii="宋体" w:hAnsi="宋体"/>
          <w:b/>
          <w:color w:val="auto"/>
          <w:szCs w:val="21"/>
          <w:highlight w:val="none"/>
        </w:rPr>
        <w:t>性证明文件的任何缺漏和不符合项将会直接导致投标无效！</w:t>
      </w:r>
      <w:bookmarkStart w:id="56" w:name="_Toc372547187"/>
    </w:p>
    <w:p>
      <w:pPr>
        <w:snapToGrid w:val="0"/>
        <w:spacing w:line="400" w:lineRule="exact"/>
        <w:outlineLvl w:val="1"/>
        <w:rPr>
          <w:rFonts w:hint="eastAsia" w:ascii="宋体" w:hAnsi="宋体"/>
          <w:color w:val="auto"/>
          <w:szCs w:val="21"/>
          <w:highlight w:val="none"/>
        </w:rPr>
      </w:pPr>
    </w:p>
    <w:p>
      <w:pPr>
        <w:pStyle w:val="2"/>
        <w:rPr>
          <w:rFonts w:hint="eastAsia"/>
          <w:highlight w:val="none"/>
        </w:rPr>
      </w:pPr>
    </w:p>
    <w:p>
      <w:pPr>
        <w:snapToGrid w:val="0"/>
        <w:spacing w:line="400" w:lineRule="exact"/>
        <w:outlineLvl w:val="1"/>
        <w:rPr>
          <w:rFonts w:ascii="宋体" w:hAnsi="宋体"/>
          <w:color w:val="auto"/>
          <w:szCs w:val="21"/>
          <w:highlight w:val="none"/>
        </w:rPr>
      </w:pPr>
      <w:r>
        <w:rPr>
          <w:rFonts w:hint="eastAsia" w:ascii="宋体" w:hAnsi="宋体"/>
          <w:color w:val="auto"/>
          <w:szCs w:val="21"/>
          <w:highlight w:val="none"/>
        </w:rPr>
        <w:t>（1）投标函格式</w:t>
      </w:r>
    </w:p>
    <w:p>
      <w:pPr>
        <w:pStyle w:val="49"/>
        <w:snapToGrid w:val="0"/>
        <w:spacing w:line="400" w:lineRule="exact"/>
        <w:ind w:left="720" w:firstLine="0" w:firstLineChars="0"/>
        <w:jc w:val="left"/>
        <w:rPr>
          <w:rFonts w:ascii="宋体" w:hAnsi="宋体"/>
          <w:b/>
          <w:color w:val="auto"/>
          <w:sz w:val="24"/>
          <w:highlight w:val="none"/>
        </w:rPr>
      </w:pPr>
    </w:p>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400" w:lineRule="exact"/>
        <w:jc w:val="center"/>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（供应商名称）提交投标文件。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个日历天。</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.如中标，本投标文件至本项目合同履行完毕止均保持有效，本供应商将按“招标文件”及政府采购法律、法规的规定履行合同责任和义务。</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.供应商同意按照贵方要求提供与投标有关的一切数据或资料。</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7.与本投标有关的一切正式往来信函请寄：</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地址：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邮编：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投标单位</w:t>
      </w:r>
      <w:r>
        <w:rPr>
          <w:rFonts w:ascii="宋体" w:hAnsi="宋体"/>
          <w:color w:val="auto"/>
          <w:szCs w:val="21"/>
          <w:highlight w:val="none"/>
        </w:rPr>
        <w:t>名称（盖章）:</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法定代表人／负责人或授权代表（签字或盖章）</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beforeLines="50" w:after="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Lines="50" w:after="50" w:line="400" w:lineRule="exact"/>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p>
    <w:p>
      <w:pPr>
        <w:snapToGrid w:val="0"/>
        <w:spacing w:beforeLines="50" w:after="50"/>
        <w:jc w:val="left"/>
        <w:rPr>
          <w:rFonts w:ascii="宋体" w:hAnsi="宋体"/>
          <w:color w:val="auto"/>
          <w:spacing w:val="-4"/>
          <w:szCs w:val="21"/>
          <w:highlight w:val="none"/>
        </w:rPr>
      </w:pPr>
      <w:r>
        <w:rPr>
          <w:rFonts w:ascii="宋体" w:hAnsi="宋体"/>
          <w:color w:val="auto"/>
          <w:spacing w:val="-4"/>
          <w:szCs w:val="21"/>
          <w:highlight w:val="none"/>
        </w:rPr>
        <w:t>（</w:t>
      </w:r>
      <w:r>
        <w:rPr>
          <w:rFonts w:hint="eastAsia" w:ascii="宋体" w:hAnsi="宋体"/>
          <w:color w:val="auto"/>
          <w:spacing w:val="-4"/>
          <w:szCs w:val="21"/>
          <w:highlight w:val="none"/>
        </w:rPr>
        <w:t>2</w:t>
      </w:r>
      <w:r>
        <w:rPr>
          <w:rFonts w:ascii="宋体" w:hAnsi="宋体"/>
          <w:color w:val="auto"/>
          <w:spacing w:val="-4"/>
          <w:szCs w:val="21"/>
          <w:highlight w:val="none"/>
        </w:rPr>
        <w:t>）法定代表人</w:t>
      </w:r>
      <w:r>
        <w:rPr>
          <w:rFonts w:hint="eastAsia" w:ascii="宋体" w:hAnsi="宋体"/>
          <w:color w:val="auto"/>
          <w:spacing w:val="-4"/>
          <w:szCs w:val="21"/>
          <w:highlight w:val="none"/>
        </w:rPr>
        <w:t>/负责人身份证明书格式</w:t>
      </w:r>
    </w:p>
    <w:p>
      <w:pPr>
        <w:snapToGrid w:val="0"/>
        <w:spacing w:beforeLines="50" w:after="50"/>
        <w:jc w:val="left"/>
        <w:rPr>
          <w:rFonts w:ascii="宋体" w:hAnsi="宋体"/>
          <w:b/>
          <w:color w:val="auto"/>
          <w:spacing w:val="-4"/>
          <w:sz w:val="18"/>
          <w:szCs w:val="20"/>
          <w:highlight w:val="none"/>
        </w:rPr>
      </w:pPr>
    </w:p>
    <w:p>
      <w:pPr>
        <w:pStyle w:val="3"/>
        <w:spacing w:line="400" w:lineRule="exact"/>
        <w:jc w:val="center"/>
        <w:rPr>
          <w:rFonts w:hAnsi="宋体"/>
          <w:b/>
          <w:color w:val="auto"/>
          <w:sz w:val="24"/>
          <w:highlight w:val="none"/>
          <w:lang w:val="zh-CN"/>
        </w:rPr>
      </w:pPr>
      <w:r>
        <w:rPr>
          <w:rFonts w:hint="eastAsia" w:ascii="宋体" w:hAnsi="宋体"/>
          <w:b/>
          <w:color w:val="auto"/>
          <w:sz w:val="24"/>
          <w:highlight w:val="none"/>
          <w:lang w:val="zh-CN"/>
        </w:rPr>
        <w:t>法定代表人／负责</w:t>
      </w:r>
      <w:r>
        <w:rPr>
          <w:rFonts w:hint="eastAsia" w:hAnsi="宋体"/>
          <w:b/>
          <w:color w:val="auto"/>
          <w:sz w:val="24"/>
          <w:highlight w:val="none"/>
          <w:lang w:val="zh-CN"/>
        </w:rPr>
        <w:t>人身份证明书</w:t>
      </w:r>
    </w:p>
    <w:p>
      <w:pPr>
        <w:spacing w:line="400" w:lineRule="exact"/>
        <w:jc w:val="cente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系 </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的法定代表人／负责人。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ind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(盖章)      </w:t>
      </w:r>
    </w:p>
    <w:p>
      <w:pPr>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jc w:val="left"/>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hAnsi="宋体"/>
          <w:b/>
          <w:color w:val="auto"/>
          <w:szCs w:val="21"/>
          <w:highlight w:val="none"/>
          <w:lang w:val="zh-CN"/>
        </w:rPr>
        <w:t>法定代表人／负责人身份证复印件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hAnsi="宋体" w:cs="宋体"/>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pStyle w:val="9"/>
        <w:rPr>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hAnsi="宋体"/>
          <w:color w:val="auto"/>
          <w:szCs w:val="21"/>
          <w:highlight w:val="none"/>
        </w:rPr>
        <w:t>法定代表人／负责人授权委托书格式</w:t>
      </w:r>
    </w:p>
    <w:p>
      <w:pPr>
        <w:snapToGrid w:val="0"/>
        <w:spacing w:beforeLines="50" w:after="50"/>
        <w:jc w:val="left"/>
        <w:rPr>
          <w:rFonts w:ascii="宋体" w:hAnsi="宋体"/>
          <w:b/>
          <w:color w:val="auto"/>
          <w:spacing w:val="-4"/>
          <w:sz w:val="18"/>
          <w:highlight w:val="none"/>
        </w:rPr>
      </w:pPr>
    </w:p>
    <w:p>
      <w:pPr>
        <w:pStyle w:val="3"/>
        <w:spacing w:line="400" w:lineRule="exact"/>
        <w:jc w:val="center"/>
        <w:rPr>
          <w:rFonts w:ascii="宋体" w:hAnsi="宋体"/>
          <w:b/>
          <w:color w:val="auto"/>
          <w:sz w:val="24"/>
          <w:highlight w:val="none"/>
        </w:rPr>
      </w:pPr>
      <w:r>
        <w:rPr>
          <w:rFonts w:hint="eastAsia" w:ascii="宋体" w:hAnsi="宋体"/>
          <w:b/>
          <w:color w:val="auto"/>
          <w:sz w:val="24"/>
          <w:highlight w:val="none"/>
        </w:rPr>
        <w:t>法定代表人／负责人授权委托书</w:t>
      </w:r>
    </w:p>
    <w:p>
      <w:pPr>
        <w:snapToGrid w:val="0"/>
        <w:spacing w:line="400" w:lineRule="exact"/>
        <w:jc w:val="center"/>
        <w:rPr>
          <w:rFonts w:ascii="宋体" w:hAnsi="宋体"/>
          <w:color w:val="auto"/>
          <w:spacing w:val="-4"/>
          <w:szCs w:val="21"/>
          <w:highlight w:val="none"/>
        </w:rPr>
      </w:pPr>
    </w:p>
    <w:p>
      <w:pPr>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我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（投标人名称）的法定代表人／负责人，现授权委托本单位在职职工</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我方对授权代表的签名事项负全部责任。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授权代表无转委托权，特此委托。</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授权代表（签字或盖章）：</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法定代表人／负责人（签字或盖章）：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410" w:firstLineChars="21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ascii="宋体" w:hAnsi="宋体"/>
          <w:b/>
          <w:color w:val="auto"/>
          <w:szCs w:val="21"/>
          <w:highlight w:val="none"/>
        </w:rPr>
        <w:t>授权代表身份证</w:t>
      </w:r>
      <w:r>
        <w:rPr>
          <w:rFonts w:hint="eastAsia" w:hAnsi="宋体"/>
          <w:b/>
          <w:color w:val="auto"/>
          <w:szCs w:val="21"/>
          <w:highlight w:val="none"/>
          <w:lang w:val="zh-CN"/>
        </w:rPr>
        <w:t>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ascii="宋体" w:hAnsi="宋体"/>
          <w:color w:val="auto"/>
          <w:szCs w:val="21"/>
          <w:highlight w:val="none"/>
        </w:rPr>
      </w:pPr>
    </w:p>
    <w:p>
      <w:pPr>
        <w:pStyle w:val="12"/>
        <w:snapToGrid w:val="0"/>
        <w:spacing w:beforeLines="0" w:afterLines="0"/>
        <w:jc w:val="left"/>
        <w:rPr>
          <w:color w:val="auto"/>
          <w:sz w:val="21"/>
          <w:szCs w:val="21"/>
          <w:highlight w:val="none"/>
        </w:rPr>
      </w:pPr>
    </w:p>
    <w:p>
      <w:pPr>
        <w:pStyle w:val="12"/>
        <w:snapToGrid w:val="0"/>
        <w:spacing w:beforeLines="0" w:afterLines="0"/>
        <w:jc w:val="left"/>
        <w:rPr>
          <w:rFonts w:hint="eastAsia"/>
          <w:color w:val="auto"/>
          <w:sz w:val="21"/>
          <w:szCs w:val="21"/>
          <w:highlight w:val="none"/>
        </w:rPr>
      </w:pPr>
    </w:p>
    <w:p>
      <w:pPr>
        <w:pStyle w:val="12"/>
        <w:snapToGrid w:val="0"/>
        <w:spacing w:beforeLines="0" w:afterLines="0"/>
        <w:jc w:val="left"/>
        <w:rPr>
          <w:rFonts w:hAnsi="宋体"/>
          <w:color w:val="auto"/>
          <w:sz w:val="21"/>
          <w:szCs w:val="21"/>
          <w:highlight w:val="none"/>
        </w:rPr>
      </w:pPr>
      <w:r>
        <w:rPr>
          <w:rFonts w:hint="eastAsia"/>
          <w:color w:val="auto"/>
          <w:sz w:val="21"/>
          <w:szCs w:val="21"/>
          <w:highlight w:val="none"/>
        </w:rPr>
        <w:t>附件三</w:t>
      </w:r>
    </w:p>
    <w:p>
      <w:pPr>
        <w:spacing w:line="400" w:lineRule="exact"/>
        <w:jc w:val="center"/>
        <w:rPr>
          <w:rFonts w:ascii="宋体" w:hAnsi="宋体"/>
          <w:color w:val="auto"/>
          <w:szCs w:val="21"/>
          <w:highlight w:val="none"/>
        </w:rPr>
      </w:pPr>
      <w:r>
        <w:rPr>
          <w:rFonts w:hint="eastAsia" w:ascii="宋体"/>
          <w:color w:val="auto"/>
          <w:szCs w:val="21"/>
          <w:highlight w:val="none"/>
        </w:rPr>
        <w:t>服务指标</w:t>
      </w:r>
      <w:r>
        <w:rPr>
          <w:rFonts w:hint="eastAsia" w:ascii="宋体" w:hAnsi="宋体"/>
          <w:color w:val="auto"/>
          <w:szCs w:val="21"/>
          <w:highlight w:val="none"/>
        </w:rPr>
        <w:t>偏离表</w:t>
      </w:r>
    </w:p>
    <w:p>
      <w:pPr>
        <w:spacing w:line="400" w:lineRule="exact"/>
        <w:rPr>
          <w:rFonts w:ascii="宋体" w:hAnsi="宋体"/>
          <w:color w:val="auto"/>
          <w:szCs w:val="21"/>
          <w:highlight w:val="none"/>
        </w:rPr>
      </w:pPr>
    </w:p>
    <w:tbl>
      <w:tblPr>
        <w:tblStyle w:val="24"/>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264"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w:t>
            </w:r>
          </w:p>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服务指标要求</w:t>
            </w:r>
          </w:p>
        </w:tc>
        <w:tc>
          <w:tcPr>
            <w:tcW w:w="282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响应情况</w:t>
            </w:r>
          </w:p>
        </w:tc>
        <w:tc>
          <w:tcPr>
            <w:tcW w:w="153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3"/>
        <w:spacing w:after="0" w:line="400" w:lineRule="exact"/>
        <w:rPr>
          <w:rFonts w:hAnsi="宋体"/>
          <w:color w:val="auto"/>
          <w:szCs w:val="21"/>
          <w:highlight w:val="none"/>
        </w:rPr>
      </w:pPr>
      <w:r>
        <w:rPr>
          <w:rFonts w:hint="eastAsia" w:hAnsi="宋体"/>
          <w:color w:val="auto"/>
          <w:szCs w:val="21"/>
          <w:highlight w:val="none"/>
        </w:rPr>
        <w:t>投标人（盖章）：</w:t>
      </w:r>
    </w:p>
    <w:p>
      <w:pPr>
        <w:pStyle w:val="3"/>
        <w:spacing w:after="0"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3"/>
        <w:spacing w:after="0" w:line="400" w:lineRule="exact"/>
        <w:rPr>
          <w:rFonts w:hAnsi="宋体"/>
          <w:color w:val="auto"/>
          <w:szCs w:val="21"/>
          <w:highlight w:val="none"/>
        </w:rPr>
      </w:pPr>
      <w:r>
        <w:rPr>
          <w:rFonts w:hint="eastAsia" w:hAnsi="宋体"/>
          <w:color w:val="auto"/>
          <w:szCs w:val="21"/>
          <w:highlight w:val="none"/>
        </w:rPr>
        <w:t>日期：</w:t>
      </w:r>
      <w:bookmarkEnd w:id="56"/>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附件四 </w:t>
      </w:r>
    </w:p>
    <w:p>
      <w:pPr>
        <w:spacing w:line="400" w:lineRule="exact"/>
        <w:ind w:left="3696"/>
        <w:rPr>
          <w:rFonts w:ascii="宋体" w:hAnsi="宋体"/>
          <w:color w:val="auto"/>
          <w:szCs w:val="21"/>
          <w:highlight w:val="none"/>
        </w:rPr>
      </w:pPr>
      <w:r>
        <w:rPr>
          <w:rFonts w:hint="eastAsia" w:ascii="宋体" w:hAnsi="宋体"/>
          <w:color w:val="auto"/>
          <w:szCs w:val="21"/>
          <w:highlight w:val="none"/>
        </w:rPr>
        <w:t>商务条款偏离表</w:t>
      </w:r>
    </w:p>
    <w:p>
      <w:pPr>
        <w:spacing w:line="400" w:lineRule="exact"/>
        <w:rPr>
          <w:rFonts w:ascii="宋体" w:hAnsi="宋体"/>
          <w:color w:val="auto"/>
          <w:szCs w:val="21"/>
          <w:highlight w:val="none"/>
        </w:rPr>
      </w:pPr>
    </w:p>
    <w:tbl>
      <w:tblPr>
        <w:tblStyle w:val="24"/>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招标文件的商务条款</w:t>
            </w:r>
          </w:p>
        </w:tc>
        <w:tc>
          <w:tcPr>
            <w:tcW w:w="269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投标文件的响应情况</w:t>
            </w:r>
          </w:p>
        </w:tc>
        <w:tc>
          <w:tcPr>
            <w:tcW w:w="15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bl>
    <w:p>
      <w:pPr>
        <w:spacing w:line="400" w:lineRule="exact"/>
        <w:ind w:firstLine="420" w:firstLineChars="200"/>
        <w:rPr>
          <w:rFonts w:ascii="宋体" w:hAnsi="宋体"/>
          <w:color w:val="auto"/>
          <w:szCs w:val="21"/>
          <w:highlight w:val="none"/>
        </w:rPr>
      </w:pPr>
      <w:r>
        <w:rPr>
          <w:rFonts w:ascii="宋体" w:hAnsi="宋体"/>
          <w:color w:val="auto"/>
          <w:szCs w:val="21"/>
          <w:highlight w:val="none"/>
        </w:rPr>
        <w:t>按第二章《采购需求》“商务条款”逐项填写，供应商可自行补充。</w:t>
      </w:r>
    </w:p>
    <w:p>
      <w:pPr>
        <w:pStyle w:val="3"/>
        <w:spacing w:after="0" w:line="400" w:lineRule="exact"/>
        <w:ind w:firstLine="420" w:firstLineChars="200"/>
        <w:rPr>
          <w:rFonts w:hAnsi="宋体"/>
          <w:color w:val="auto"/>
          <w:szCs w:val="21"/>
          <w:highlight w:val="none"/>
        </w:rPr>
      </w:pPr>
    </w:p>
    <w:p>
      <w:pPr>
        <w:pStyle w:val="3"/>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3"/>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3"/>
        <w:spacing w:after="0" w:line="400" w:lineRule="exact"/>
        <w:ind w:firstLine="420" w:firstLineChars="200"/>
        <w:rPr>
          <w:rFonts w:hint="eastAsia" w:hAnsi="宋体"/>
          <w:color w:val="auto"/>
          <w:szCs w:val="21"/>
          <w:highlight w:val="none"/>
        </w:rPr>
      </w:pPr>
      <w:r>
        <w:rPr>
          <w:rFonts w:hint="eastAsia" w:hAnsi="宋体"/>
          <w:color w:val="auto"/>
          <w:szCs w:val="21"/>
          <w:highlight w:val="none"/>
        </w:rPr>
        <w:t>日期：</w:t>
      </w:r>
    </w:p>
    <w:p>
      <w:pPr>
        <w:pStyle w:val="3"/>
        <w:spacing w:after="0" w:line="400" w:lineRule="exact"/>
        <w:ind w:left="0" w:leftChars="0" w:firstLine="0" w:firstLineChars="0"/>
        <w:rPr>
          <w:rFonts w:hint="eastAsia"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二、报价</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7"/>
        <w:snapToGrid w:val="0"/>
        <w:spacing w:line="400" w:lineRule="exact"/>
        <w:ind w:firstLine="0"/>
        <w:rPr>
          <w:rFonts w:ascii="宋体" w:hAnsi="宋体"/>
          <w:bCs/>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1.报价文件封面格式：</w:t>
      </w:r>
    </w:p>
    <w:p>
      <w:pPr>
        <w:snapToGrid w:val="0"/>
        <w:spacing w:line="400" w:lineRule="exact"/>
        <w:ind w:firstLine="6090" w:firstLineChars="29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报价</w:t>
      </w:r>
      <w:r>
        <w:rPr>
          <w:rFonts w:hint="eastAsia" w:ascii="宋体" w:hAnsi="宋体"/>
          <w:bCs/>
          <w:color w:val="auto"/>
          <w:szCs w:val="21"/>
          <w:highlight w:val="none"/>
        </w:rPr>
        <w:t>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7"/>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pStyle w:val="3"/>
        <w:spacing w:line="400" w:lineRule="exact"/>
        <w:ind w:firstLine="420" w:firstLineChars="200"/>
        <w:rPr>
          <w:rFonts w:hAnsi="宋体"/>
          <w:color w:val="auto"/>
          <w:szCs w:val="21"/>
          <w:highlight w:val="none"/>
        </w:rPr>
      </w:pPr>
    </w:p>
    <w:p>
      <w:pPr>
        <w:pStyle w:val="3"/>
        <w:spacing w:line="400" w:lineRule="exact"/>
        <w:ind w:firstLine="420" w:firstLineChars="200"/>
        <w:rPr>
          <w:rFonts w:hAnsi="宋体"/>
          <w:color w:val="auto"/>
          <w:szCs w:val="21"/>
          <w:highlight w:val="none"/>
        </w:rPr>
      </w:pPr>
    </w:p>
    <w:p>
      <w:pPr>
        <w:spacing w:line="400" w:lineRule="exact"/>
        <w:ind w:firstLine="420" w:firstLineChars="200"/>
        <w:rPr>
          <w:rFonts w:ascii="宋体" w:hAnsi="宋体"/>
          <w:color w:val="auto"/>
          <w:szCs w:val="21"/>
          <w:highlight w:val="none"/>
        </w:rPr>
      </w:pPr>
    </w:p>
    <w:p>
      <w:pPr>
        <w:pStyle w:val="7"/>
        <w:snapToGrid w:val="0"/>
        <w:spacing w:line="400" w:lineRule="exact"/>
        <w:ind w:firstLineChars="200"/>
        <w:rPr>
          <w:rFonts w:ascii="宋体" w:hAnsi="宋体"/>
          <w:color w:val="auto"/>
          <w:szCs w:val="21"/>
          <w:highlight w:val="none"/>
        </w:rPr>
      </w:pPr>
    </w:p>
    <w:p>
      <w:pPr>
        <w:pStyle w:val="7"/>
        <w:snapToGrid w:val="0"/>
        <w:spacing w:line="400" w:lineRule="exact"/>
        <w:ind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附件1</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开标一览表</w:t>
      </w:r>
    </w:p>
    <w:p>
      <w:pPr>
        <w:tabs>
          <w:tab w:val="left" w:pos="1418"/>
        </w:tabs>
        <w:snapToGrid w:val="0"/>
        <w:spacing w:line="400" w:lineRule="exact"/>
        <w:jc w:val="center"/>
        <w:rPr>
          <w:rFonts w:ascii="宋体" w:hAnsi="宋体"/>
          <w:color w:val="auto"/>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5985" w:firstLineChars="2850"/>
        <w:rPr>
          <w:color w:val="auto"/>
          <w:highlight w:val="none"/>
        </w:rPr>
      </w:pPr>
      <w:r>
        <w:rPr>
          <w:rFonts w:hint="eastAsia"/>
          <w:color w:val="auto"/>
          <w:highlight w:val="none"/>
        </w:rPr>
        <w:t>单位：人民币元</w:t>
      </w:r>
    </w:p>
    <w:tbl>
      <w:tblPr>
        <w:tblStyle w:val="24"/>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850"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993"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w:t>
            </w:r>
          </w:p>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总价</w:t>
            </w:r>
          </w:p>
        </w:tc>
        <w:tc>
          <w:tcPr>
            <w:tcW w:w="137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宋体" w:hAnsi="宋体"/>
                <w:color w:val="auto"/>
                <w:szCs w:val="21"/>
                <w:highlight w:val="none"/>
                <w:lang w:eastAsia="zh-CN"/>
              </w:rPr>
              <w:t>宁海法院安保等综合服务</w:t>
            </w:r>
          </w:p>
        </w:tc>
        <w:tc>
          <w:tcPr>
            <w:tcW w:w="85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993" w:type="dxa"/>
            <w:vAlign w:val="center"/>
          </w:tcPr>
          <w:p>
            <w:pPr>
              <w:spacing w:line="400" w:lineRule="exact"/>
              <w:jc w:val="center"/>
              <w:rPr>
                <w:rFonts w:asciiTheme="minorEastAsia" w:hAnsiTheme="minorEastAsia" w:eastAsiaTheme="minorEastAsia"/>
                <w:color w:val="auto"/>
                <w:szCs w:val="21"/>
                <w:highlight w:val="none"/>
              </w:rPr>
            </w:pPr>
          </w:p>
        </w:tc>
        <w:tc>
          <w:tcPr>
            <w:tcW w:w="1417" w:type="dxa"/>
            <w:vAlign w:val="center"/>
          </w:tcPr>
          <w:p>
            <w:pPr>
              <w:spacing w:line="400" w:lineRule="exact"/>
              <w:jc w:val="center"/>
              <w:rPr>
                <w:rFonts w:asciiTheme="minorEastAsia" w:hAnsiTheme="minorEastAsia" w:eastAsiaTheme="minorEastAsia"/>
                <w:color w:val="auto"/>
                <w:szCs w:val="21"/>
                <w:highlight w:val="none"/>
              </w:rPr>
            </w:pPr>
          </w:p>
        </w:tc>
        <w:tc>
          <w:tcPr>
            <w:tcW w:w="1370"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color w:val="auto"/>
                <w:szCs w:val="21"/>
                <w:highlight w:val="none"/>
              </w:rPr>
            </w:pPr>
          </w:p>
          <w:p>
            <w:pPr>
              <w:widowControl/>
              <w:spacing w:line="400" w:lineRule="exact"/>
              <w:jc w:val="left"/>
              <w:rPr>
                <w:rFonts w:asciiTheme="minorEastAsia" w:hAnsiTheme="minorEastAsia" w:eastAsiaTheme="minorEastAsia"/>
                <w:color w:val="auto"/>
                <w:szCs w:val="21"/>
                <w:highlight w:val="none"/>
              </w:rPr>
            </w:pPr>
          </w:p>
          <w:p>
            <w:pPr>
              <w:spacing w:line="400" w:lineRule="exact"/>
              <w:jc w:val="center"/>
              <w:rPr>
                <w:rFonts w:asciiTheme="minorEastAsia" w:hAnsiTheme="minorEastAsia" w:eastAsiaTheme="minorEastAsia"/>
                <w:color w:val="auto"/>
                <w:szCs w:val="21"/>
                <w:highlight w:val="none"/>
              </w:rPr>
            </w:pPr>
          </w:p>
        </w:tc>
      </w:tr>
    </w:tbl>
    <w:p>
      <w:pPr>
        <w:pStyle w:val="3"/>
        <w:spacing w:after="0"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w:t>
      </w:r>
    </w:p>
    <w:p>
      <w:pPr>
        <w:pStyle w:val="3"/>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有关本项目实施所涉及的一切费用均计入报价。</w:t>
      </w:r>
    </w:p>
    <w:p>
      <w:pPr>
        <w:pStyle w:val="3"/>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2.“三年投标总价”应与“投标分项报价表”中“三年投标总价”一致。</w:t>
      </w:r>
    </w:p>
    <w:p>
      <w:pPr>
        <w:pStyle w:val="3"/>
        <w:spacing w:line="400" w:lineRule="exact"/>
        <w:rPr>
          <w:rFonts w:hAnsi="宋体"/>
          <w:color w:val="auto"/>
          <w:szCs w:val="21"/>
          <w:highlight w:val="none"/>
        </w:rPr>
      </w:pPr>
    </w:p>
    <w:p>
      <w:pPr>
        <w:pStyle w:val="3"/>
        <w:spacing w:line="400" w:lineRule="exact"/>
        <w:rPr>
          <w:rFonts w:hAnsi="宋体"/>
          <w:color w:val="auto"/>
          <w:szCs w:val="21"/>
          <w:highlight w:val="none"/>
        </w:rPr>
      </w:pPr>
      <w:r>
        <w:rPr>
          <w:rFonts w:hint="eastAsia" w:hAnsi="宋体"/>
          <w:color w:val="auto"/>
          <w:szCs w:val="21"/>
          <w:highlight w:val="none"/>
        </w:rPr>
        <w:t>投标人（盖章）：</w:t>
      </w:r>
    </w:p>
    <w:p>
      <w:pPr>
        <w:pStyle w:val="3"/>
        <w:spacing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pPr>
        <w:snapToGrid w:val="0"/>
        <w:spacing w:line="400" w:lineRule="exact"/>
        <w:jc w:val="left"/>
        <w:rPr>
          <w:rFonts w:ascii="宋体" w:hAnsi="宋体"/>
          <w:color w:val="auto"/>
          <w:szCs w:val="21"/>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附件2</w:t>
      </w:r>
    </w:p>
    <w:p>
      <w:pPr>
        <w:pStyle w:val="12"/>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2"/>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4"/>
        <w:tblW w:w="8590" w:type="dxa"/>
        <w:jc w:val="center"/>
        <w:tblLayout w:type="fixed"/>
        <w:tblCellMar>
          <w:top w:w="15" w:type="dxa"/>
          <w:left w:w="15" w:type="dxa"/>
          <w:bottom w:w="15" w:type="dxa"/>
          <w:right w:w="15" w:type="dxa"/>
        </w:tblCellMar>
      </w:tblPr>
      <w:tblGrid>
        <w:gridCol w:w="692"/>
        <w:gridCol w:w="2322"/>
        <w:gridCol w:w="2519"/>
        <w:gridCol w:w="1490"/>
        <w:gridCol w:w="1567"/>
      </w:tblGrid>
      <w:tr>
        <w:tblPrEx>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322"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2519"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人工费用(工资、福利、社保、奖金、津贴等)</w:t>
            </w: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综合费用（行政办公费用、服装费、培训费、食宿与交通费等）</w:t>
            </w: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管理费用</w:t>
            </w: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税金</w:t>
            </w: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工具、器材以及保洁耗材费用</w:t>
            </w: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其他相关费用</w:t>
            </w: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3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3"/>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3"/>
        <w:spacing w:after="0" w:line="400" w:lineRule="exact"/>
        <w:ind w:firstLine="420" w:firstLineChars="200"/>
        <w:rPr>
          <w:rFonts w:asciiTheme="minorEastAsia" w:hAnsiTheme="minorEastAsia" w:eastAsiaTheme="minorEastAsia"/>
          <w:color w:val="auto"/>
          <w:szCs w:val="21"/>
          <w:highlight w:val="none"/>
        </w:rPr>
      </w:pPr>
    </w:p>
    <w:p>
      <w:pPr>
        <w:pStyle w:val="3"/>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投标人（盖章）：</w:t>
      </w:r>
    </w:p>
    <w:p>
      <w:pPr>
        <w:pStyle w:val="3"/>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法定代表人／负责人或授权代表（签字</w:t>
      </w:r>
      <w:r>
        <w:rPr>
          <w:rFonts w:hint="eastAsia" w:ascii="宋体" w:hAnsi="宋体"/>
          <w:color w:val="auto"/>
          <w:szCs w:val="21"/>
          <w:highlight w:val="none"/>
        </w:rPr>
        <w:t>或盖章</w:t>
      </w:r>
      <w:r>
        <w:rPr>
          <w:rFonts w:hint="eastAsia" w:asciiTheme="minorEastAsia" w:hAnsiTheme="minorEastAsia" w:eastAsiaTheme="minorEastAsia"/>
          <w:color w:val="auto"/>
          <w:szCs w:val="21"/>
          <w:highlight w:val="none"/>
        </w:rPr>
        <w:t>）：</w:t>
      </w:r>
    </w:p>
    <w:p>
      <w:pPr>
        <w:spacing w:line="400" w:lineRule="exact"/>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p>
      <w:pPr>
        <w:pStyle w:val="9"/>
        <w:rPr>
          <w:color w:val="auto"/>
          <w:highlight w:val="none"/>
        </w:rPr>
      </w:pPr>
    </w:p>
    <w:p>
      <w:pPr>
        <w:pStyle w:val="9"/>
        <w:rPr>
          <w:color w:val="auto"/>
          <w:highlight w:val="none"/>
        </w:rPr>
      </w:pPr>
    </w:p>
    <w:p>
      <w:pPr>
        <w:pStyle w:val="33"/>
        <w:rPr>
          <w:color w:val="auto"/>
          <w:highlight w:val="none"/>
        </w:rPr>
      </w:pPr>
    </w:p>
    <w:p>
      <w:pPr>
        <w:pStyle w:val="33"/>
        <w:rPr>
          <w:color w:val="auto"/>
          <w:highlight w:val="none"/>
        </w:rPr>
      </w:pPr>
    </w:p>
    <w:p>
      <w:pPr>
        <w:pStyle w:val="33"/>
        <w:rPr>
          <w:color w:val="auto"/>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三、电子备份投标</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文件的外包装封面格式：</w:t>
      </w: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w:t>
      </w:r>
    </w:p>
    <w:p>
      <w:pPr>
        <w:snapToGrid w:val="0"/>
        <w:spacing w:line="400" w:lineRule="exact"/>
        <w:ind w:firstLine="420" w:firstLineChars="200"/>
        <w:jc w:val="center"/>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7"/>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360" w:lineRule="auto"/>
        <w:ind w:firstLine="420" w:firstLineChars="200"/>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color w:val="auto"/>
          <w:highlight w:val="none"/>
        </w:rPr>
      </w:pPr>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eGklUCAgAAEwQAAA4AAABkcnMvZTJvRG9jLnhtbK1TQW7bMBC8F+gf&#10;CN5rWbZTtILlII3hokDaFEjyAJqiLKIil1jSltzXd0lJbppccuhFWJHL2ZnhcH3dm5adFHoNtuT5&#10;bM6ZshIqbQ8lf3rcffjEmQ/CVqIFq0p+Vp5fb96/W3euUAtooK0UMgKxvuhcyZsQXJFlXjbKCD8D&#10;pyxt1oBGBPrFQ1ah6AjdtNliPv+YdYCVQ5DKe1rdDpt8RMS3AEJda6m2II9G2TCgompFIEm+0c7z&#10;TWJb10qG+7r2KrC25KQ0pC8NoXofv9lmLYoDCtdoOVIQb6HwQpMR2tLQC9RWBMGOqF9BGS0RPNRh&#10;JsFkg5DkCKnI5y+8eWiEU0kLWe3dxXT//2Dlj9NPZLoq+XLJmRWGbvxR9YF9gZ7l88VVdKhzvqDG&#10;B0etoacdyk1S690dyF+eWbhthD2oG0ToGiUqYpjHk9mzowOOjyD77jtUNEkcAySgvkYT7SNDGKHT&#10;7ZwvtxPZyDgyX31eXnEmaStf5qtV4paJYjrs0IevCgyLRcmRLj+Bi9OdD5GMKKaWOMvCTrdtCkBr&#10;/1mgxmFFpQSNp6OUyH7QEfp9P1qzh+pMohCGdNHboqIB/M1ZR8kquaWHxFn7zZItMYRTgVOxnwph&#10;JR0seeBsKG/DENajQ31oCHcy/oas2+kkKxIbOIyGU1aS2jHXMYzP/1PX37e8+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d4aSVQICAAATBAAADgAAAAAAAAABACAAAAAfAQAAZHJzL2Uyb0Rv&#10;Yy54bWxQSwUGAAAAAAYABgBZAQAAkwUAAAAA&#10;">
              <v:fill on="f" focussize="0,0"/>
              <v:stroke on="f"/>
              <v:imagedata o:title=""/>
              <o:lock v:ext="edit" aspectratio="f"/>
              <v:textbox inset="0mm,0mm,0mm,0mm" style="mso-fit-shape-to-text:t;">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JB6QDAgAAEgQAAA4AAABkcnMvZTJvRG9jLnhtbK1TTW/bMAy9D9h/&#10;EHRfHKdNWxhxiq5BhgHdB9D2ByiyHAuzRIFSYme/fpRsZ1176WEXg5bIR77Hp9Vtb1p2VOg12JLn&#10;szlnykqotN2X/Plp++mGMx+ErUQLVpX8pDy/XX/8sOpcoRbQQFspZARifdG5kjchuCLLvGyUEX4G&#10;Tlm6rAGNCPSL+6xC0RG6abPFfH6VdYCVQ5DKezrdDJd8RMT3AEJda6k2IA9G2TCgompFIEq+0c7z&#10;dZq2rpUMP+raq8DakhPTkL7UhOJd/GbrlSj2KFyj5TiCeM8IrzgZoS01PUNtRBDsgPoNlNESwUMd&#10;ZhJMNhBJihCLfP5Km8dGOJW4kNTenUX3/w9Wfj/+RKarkl8sOLPC0MafVB/YZ+hZPl9cRYU65wtK&#10;fHSUGnq6Id8ktt49gPzlmYX7Rti9ukOErlGiognzWJm9KB1wfATZdd+gok7iECAB9TWaKB8Jwgid&#10;tnM6bydOI+lweX19s+RM0k1+kV9eLlMDUUy1Dn34osCwGJQcafcJWxwffIiziGJKia0sbHXbpv23&#10;9p8DShxOVDLQWB2ZxOEHGqHf9aMyO6hOxAlhMBc9LQoawN+cdWSsklt6R5y1Xy2pEj04BTgFuykQ&#10;VlJhyQNnQ3gfBq8eHOp9Q7iT7nek3FYnWnGwYYZRb7JKYjvaOnrx5X/K+vuU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4vdRNAAAAACAQAADwAAAAAAAAABACAAAAAiAAAAZHJzL2Rvd25yZXYu&#10;eG1sUEsBAhQAFAAAAAgAh07iQFdJB6QDAgAAEgQAAA4AAAAAAAAAAQAgAAAAHwEAAGRycy9lMm9E&#10;b2MueG1sUEsFBgAAAAAGAAYAWQEAAJQ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zBlMGYzM2IyYTRmNWNkYTUxNjg1MWNmMjlmYTMifQ=="/>
    <w:docVar w:name="KSO_WPS_MARK_KEY" w:val="bf5ca4e2-a895-4f3f-a114-24e99c3fb05f"/>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7B3"/>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739"/>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92"/>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171"/>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0AFC"/>
    <w:rsid w:val="00441D5D"/>
    <w:rsid w:val="00442A0C"/>
    <w:rsid w:val="00442DC9"/>
    <w:rsid w:val="004442C8"/>
    <w:rsid w:val="0044437F"/>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425"/>
    <w:rsid w:val="00452A8F"/>
    <w:rsid w:val="00452C7B"/>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6"/>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80F"/>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5DB6"/>
    <w:rsid w:val="00AA6AFC"/>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34"/>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5BD2"/>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1D14"/>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3D21"/>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5E12"/>
    <w:rsid w:val="00EB61EB"/>
    <w:rsid w:val="00EB620E"/>
    <w:rsid w:val="00EB658E"/>
    <w:rsid w:val="00EB67C3"/>
    <w:rsid w:val="00EB7D5A"/>
    <w:rsid w:val="00EC0E56"/>
    <w:rsid w:val="00EC2644"/>
    <w:rsid w:val="00EC3340"/>
    <w:rsid w:val="00EC36D9"/>
    <w:rsid w:val="00EC3893"/>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548E7"/>
    <w:rsid w:val="011B2F48"/>
    <w:rsid w:val="0132473D"/>
    <w:rsid w:val="013C7DE3"/>
    <w:rsid w:val="014A5E2B"/>
    <w:rsid w:val="01555F71"/>
    <w:rsid w:val="015C15C8"/>
    <w:rsid w:val="016A6360"/>
    <w:rsid w:val="016B0CA7"/>
    <w:rsid w:val="017311EE"/>
    <w:rsid w:val="017E0197"/>
    <w:rsid w:val="018C4316"/>
    <w:rsid w:val="019B4B84"/>
    <w:rsid w:val="01C32C79"/>
    <w:rsid w:val="01DA25C2"/>
    <w:rsid w:val="01E65CA9"/>
    <w:rsid w:val="01EF65B9"/>
    <w:rsid w:val="020F6CE6"/>
    <w:rsid w:val="021D3C05"/>
    <w:rsid w:val="023A7385"/>
    <w:rsid w:val="024C1A38"/>
    <w:rsid w:val="025B6F6D"/>
    <w:rsid w:val="02607B71"/>
    <w:rsid w:val="026466E8"/>
    <w:rsid w:val="0265787C"/>
    <w:rsid w:val="0289555D"/>
    <w:rsid w:val="02C15698"/>
    <w:rsid w:val="02D149AD"/>
    <w:rsid w:val="02DC2D3E"/>
    <w:rsid w:val="02E071C6"/>
    <w:rsid w:val="02EB2811"/>
    <w:rsid w:val="02F52A77"/>
    <w:rsid w:val="03051441"/>
    <w:rsid w:val="0308543F"/>
    <w:rsid w:val="030959CF"/>
    <w:rsid w:val="03095F3E"/>
    <w:rsid w:val="030E1DA6"/>
    <w:rsid w:val="03142DFF"/>
    <w:rsid w:val="032128ED"/>
    <w:rsid w:val="03235854"/>
    <w:rsid w:val="03276536"/>
    <w:rsid w:val="032853BC"/>
    <w:rsid w:val="032C149E"/>
    <w:rsid w:val="0333594B"/>
    <w:rsid w:val="03382D5E"/>
    <w:rsid w:val="033C405D"/>
    <w:rsid w:val="03601DDD"/>
    <w:rsid w:val="037733E8"/>
    <w:rsid w:val="03847CD4"/>
    <w:rsid w:val="03C02BF1"/>
    <w:rsid w:val="03CE13CD"/>
    <w:rsid w:val="042C75C9"/>
    <w:rsid w:val="04556D28"/>
    <w:rsid w:val="04624632"/>
    <w:rsid w:val="046A3988"/>
    <w:rsid w:val="046C21D0"/>
    <w:rsid w:val="047E366C"/>
    <w:rsid w:val="04877AE2"/>
    <w:rsid w:val="0498052C"/>
    <w:rsid w:val="04A57DAB"/>
    <w:rsid w:val="04A967B2"/>
    <w:rsid w:val="04B270C1"/>
    <w:rsid w:val="04CA4768"/>
    <w:rsid w:val="04DC0AA0"/>
    <w:rsid w:val="04E919FC"/>
    <w:rsid w:val="05064C8F"/>
    <w:rsid w:val="050B6856"/>
    <w:rsid w:val="05163E45"/>
    <w:rsid w:val="05367809"/>
    <w:rsid w:val="05420F2F"/>
    <w:rsid w:val="054322E7"/>
    <w:rsid w:val="056501EA"/>
    <w:rsid w:val="056D3386"/>
    <w:rsid w:val="05712B5F"/>
    <w:rsid w:val="05723C7C"/>
    <w:rsid w:val="05775EA5"/>
    <w:rsid w:val="057C458C"/>
    <w:rsid w:val="05883C21"/>
    <w:rsid w:val="058B5DD3"/>
    <w:rsid w:val="058E35AC"/>
    <w:rsid w:val="059915A8"/>
    <w:rsid w:val="059953A6"/>
    <w:rsid w:val="05997B94"/>
    <w:rsid w:val="05A012C8"/>
    <w:rsid w:val="05C1021C"/>
    <w:rsid w:val="05CC0A76"/>
    <w:rsid w:val="05D04016"/>
    <w:rsid w:val="05E4320E"/>
    <w:rsid w:val="05EB5EC4"/>
    <w:rsid w:val="05F23C16"/>
    <w:rsid w:val="05F2778F"/>
    <w:rsid w:val="05F60EC7"/>
    <w:rsid w:val="05FD1662"/>
    <w:rsid w:val="06073EC7"/>
    <w:rsid w:val="06095474"/>
    <w:rsid w:val="06111547"/>
    <w:rsid w:val="0611359C"/>
    <w:rsid w:val="06202231"/>
    <w:rsid w:val="0623601E"/>
    <w:rsid w:val="063D3AC6"/>
    <w:rsid w:val="063F7B4D"/>
    <w:rsid w:val="068B030C"/>
    <w:rsid w:val="068E0F51"/>
    <w:rsid w:val="068E4E62"/>
    <w:rsid w:val="06984953"/>
    <w:rsid w:val="06AC5F82"/>
    <w:rsid w:val="06B30D89"/>
    <w:rsid w:val="06B6300F"/>
    <w:rsid w:val="06B73614"/>
    <w:rsid w:val="06C10448"/>
    <w:rsid w:val="06C46FE2"/>
    <w:rsid w:val="06D445F2"/>
    <w:rsid w:val="06E95DE7"/>
    <w:rsid w:val="06EC4F1C"/>
    <w:rsid w:val="06F253F2"/>
    <w:rsid w:val="07251A70"/>
    <w:rsid w:val="072520FE"/>
    <w:rsid w:val="07361E17"/>
    <w:rsid w:val="074C2609"/>
    <w:rsid w:val="074F12A8"/>
    <w:rsid w:val="07545496"/>
    <w:rsid w:val="076A75F1"/>
    <w:rsid w:val="076B1838"/>
    <w:rsid w:val="07705CC0"/>
    <w:rsid w:val="07786950"/>
    <w:rsid w:val="07B51593"/>
    <w:rsid w:val="07B66435"/>
    <w:rsid w:val="07CA2ED7"/>
    <w:rsid w:val="07CD0C9A"/>
    <w:rsid w:val="07DD4AA8"/>
    <w:rsid w:val="07E0507A"/>
    <w:rsid w:val="07E865DE"/>
    <w:rsid w:val="07EC690F"/>
    <w:rsid w:val="082F287B"/>
    <w:rsid w:val="083C30F8"/>
    <w:rsid w:val="0842189C"/>
    <w:rsid w:val="086014A7"/>
    <w:rsid w:val="08631DD0"/>
    <w:rsid w:val="088B3E7D"/>
    <w:rsid w:val="08977FB7"/>
    <w:rsid w:val="08AC34C9"/>
    <w:rsid w:val="08CF2201"/>
    <w:rsid w:val="08DE171A"/>
    <w:rsid w:val="08EF56CF"/>
    <w:rsid w:val="08FA57C7"/>
    <w:rsid w:val="09112EF5"/>
    <w:rsid w:val="0969023C"/>
    <w:rsid w:val="096D0C98"/>
    <w:rsid w:val="09706A8B"/>
    <w:rsid w:val="09735491"/>
    <w:rsid w:val="0974768F"/>
    <w:rsid w:val="09960EC9"/>
    <w:rsid w:val="09AE6D95"/>
    <w:rsid w:val="09B74913"/>
    <w:rsid w:val="09BE680A"/>
    <w:rsid w:val="09E544CB"/>
    <w:rsid w:val="09EC3E56"/>
    <w:rsid w:val="0A126294"/>
    <w:rsid w:val="0A166AF3"/>
    <w:rsid w:val="0A2F408A"/>
    <w:rsid w:val="0A3C3B3A"/>
    <w:rsid w:val="0A664CA1"/>
    <w:rsid w:val="0A96210D"/>
    <w:rsid w:val="0AAC0A11"/>
    <w:rsid w:val="0AB737A6"/>
    <w:rsid w:val="0ABA4594"/>
    <w:rsid w:val="0AC82CA4"/>
    <w:rsid w:val="0AD61855"/>
    <w:rsid w:val="0B087AA5"/>
    <w:rsid w:val="0B0C1D2F"/>
    <w:rsid w:val="0B0E19AF"/>
    <w:rsid w:val="0B1011F5"/>
    <w:rsid w:val="0B197F9D"/>
    <w:rsid w:val="0B1E1C49"/>
    <w:rsid w:val="0B2E3E77"/>
    <w:rsid w:val="0B482C05"/>
    <w:rsid w:val="0B5843AD"/>
    <w:rsid w:val="0B664C64"/>
    <w:rsid w:val="0B7536CE"/>
    <w:rsid w:val="0B822768"/>
    <w:rsid w:val="0BB337C2"/>
    <w:rsid w:val="0BE23D67"/>
    <w:rsid w:val="0BF873AE"/>
    <w:rsid w:val="0C0B4721"/>
    <w:rsid w:val="0C155CCC"/>
    <w:rsid w:val="0C1F4078"/>
    <w:rsid w:val="0C2A0E82"/>
    <w:rsid w:val="0C2D14E2"/>
    <w:rsid w:val="0C493935"/>
    <w:rsid w:val="0C5C5D16"/>
    <w:rsid w:val="0C795920"/>
    <w:rsid w:val="0C815114"/>
    <w:rsid w:val="0C92509C"/>
    <w:rsid w:val="0C9D33BF"/>
    <w:rsid w:val="0CB61912"/>
    <w:rsid w:val="0CD10396"/>
    <w:rsid w:val="0CD12914"/>
    <w:rsid w:val="0CE44B2C"/>
    <w:rsid w:val="0CE8783F"/>
    <w:rsid w:val="0CED4443"/>
    <w:rsid w:val="0CFF215F"/>
    <w:rsid w:val="0D0F23F9"/>
    <w:rsid w:val="0D130CF3"/>
    <w:rsid w:val="0D173089"/>
    <w:rsid w:val="0D19658C"/>
    <w:rsid w:val="0D223618"/>
    <w:rsid w:val="0D2D19A9"/>
    <w:rsid w:val="0D4C225E"/>
    <w:rsid w:val="0D5D4119"/>
    <w:rsid w:val="0D5D595B"/>
    <w:rsid w:val="0D7B432E"/>
    <w:rsid w:val="0D7C082F"/>
    <w:rsid w:val="0D814CB6"/>
    <w:rsid w:val="0D8D504D"/>
    <w:rsid w:val="0DB03869"/>
    <w:rsid w:val="0DBB3B97"/>
    <w:rsid w:val="0DE51158"/>
    <w:rsid w:val="0E010A88"/>
    <w:rsid w:val="0E037AA8"/>
    <w:rsid w:val="0E10493D"/>
    <w:rsid w:val="0E10535F"/>
    <w:rsid w:val="0E204CC0"/>
    <w:rsid w:val="0E220FBD"/>
    <w:rsid w:val="0E234932"/>
    <w:rsid w:val="0E236A3E"/>
    <w:rsid w:val="0E3361E9"/>
    <w:rsid w:val="0E4E5304"/>
    <w:rsid w:val="0E6A78AA"/>
    <w:rsid w:val="0E873CF8"/>
    <w:rsid w:val="0E8954E9"/>
    <w:rsid w:val="0E946D26"/>
    <w:rsid w:val="0E985F9A"/>
    <w:rsid w:val="0EA8251A"/>
    <w:rsid w:val="0EB25028"/>
    <w:rsid w:val="0EBC51AD"/>
    <w:rsid w:val="0EEC359C"/>
    <w:rsid w:val="0F080FE5"/>
    <w:rsid w:val="0F0C5ECF"/>
    <w:rsid w:val="0F144965"/>
    <w:rsid w:val="0F454036"/>
    <w:rsid w:val="0F491D4B"/>
    <w:rsid w:val="0F581039"/>
    <w:rsid w:val="0F650C9A"/>
    <w:rsid w:val="0F671654"/>
    <w:rsid w:val="0F6E5A6E"/>
    <w:rsid w:val="0F7B2D94"/>
    <w:rsid w:val="0F8F5336"/>
    <w:rsid w:val="0FAF1A48"/>
    <w:rsid w:val="0FB01169"/>
    <w:rsid w:val="0FB107CE"/>
    <w:rsid w:val="0FB55A32"/>
    <w:rsid w:val="0FC3637E"/>
    <w:rsid w:val="0FC62F12"/>
    <w:rsid w:val="0FE9679C"/>
    <w:rsid w:val="0FE968B1"/>
    <w:rsid w:val="100214D2"/>
    <w:rsid w:val="10067ED8"/>
    <w:rsid w:val="1014046D"/>
    <w:rsid w:val="101471EE"/>
    <w:rsid w:val="101C6709"/>
    <w:rsid w:val="101F6E5F"/>
    <w:rsid w:val="102D5B9A"/>
    <w:rsid w:val="10324220"/>
    <w:rsid w:val="10352FA6"/>
    <w:rsid w:val="103C4B2F"/>
    <w:rsid w:val="105411CD"/>
    <w:rsid w:val="10662AD3"/>
    <w:rsid w:val="10942FBF"/>
    <w:rsid w:val="10AC3D11"/>
    <w:rsid w:val="10AC3EE9"/>
    <w:rsid w:val="10B21753"/>
    <w:rsid w:val="10B81EFA"/>
    <w:rsid w:val="10C72EDC"/>
    <w:rsid w:val="10CF01F1"/>
    <w:rsid w:val="10E152D6"/>
    <w:rsid w:val="10EF7E56"/>
    <w:rsid w:val="10F46325"/>
    <w:rsid w:val="10FB4DE0"/>
    <w:rsid w:val="1106587D"/>
    <w:rsid w:val="11277FB0"/>
    <w:rsid w:val="113450C7"/>
    <w:rsid w:val="11471B69"/>
    <w:rsid w:val="11483D68"/>
    <w:rsid w:val="11527EFA"/>
    <w:rsid w:val="11831993"/>
    <w:rsid w:val="118D1B11"/>
    <w:rsid w:val="118E44DC"/>
    <w:rsid w:val="11A879A5"/>
    <w:rsid w:val="11B768E9"/>
    <w:rsid w:val="11CC653F"/>
    <w:rsid w:val="11D93657"/>
    <w:rsid w:val="121534BC"/>
    <w:rsid w:val="121E6363"/>
    <w:rsid w:val="124C406A"/>
    <w:rsid w:val="1250459A"/>
    <w:rsid w:val="12976F0D"/>
    <w:rsid w:val="12992410"/>
    <w:rsid w:val="12A32D1F"/>
    <w:rsid w:val="12CB089D"/>
    <w:rsid w:val="12CF28EA"/>
    <w:rsid w:val="12DB7CC1"/>
    <w:rsid w:val="12FC674E"/>
    <w:rsid w:val="130378C1"/>
    <w:rsid w:val="130762C7"/>
    <w:rsid w:val="130F3CB5"/>
    <w:rsid w:val="131348FC"/>
    <w:rsid w:val="131D6F95"/>
    <w:rsid w:val="132F6187"/>
    <w:rsid w:val="1330168A"/>
    <w:rsid w:val="133C62D2"/>
    <w:rsid w:val="136E7AA6"/>
    <w:rsid w:val="13717C62"/>
    <w:rsid w:val="13935EAB"/>
    <w:rsid w:val="13C40CC2"/>
    <w:rsid w:val="13C66D4B"/>
    <w:rsid w:val="13C8392B"/>
    <w:rsid w:val="13D55610"/>
    <w:rsid w:val="13DC3D21"/>
    <w:rsid w:val="13DD54DC"/>
    <w:rsid w:val="13E573B2"/>
    <w:rsid w:val="13F14BB2"/>
    <w:rsid w:val="13F42C2C"/>
    <w:rsid w:val="13FA095B"/>
    <w:rsid w:val="14150A03"/>
    <w:rsid w:val="14193B86"/>
    <w:rsid w:val="141D5E0F"/>
    <w:rsid w:val="14326E99"/>
    <w:rsid w:val="14412639"/>
    <w:rsid w:val="1469268B"/>
    <w:rsid w:val="14732F9B"/>
    <w:rsid w:val="148235B5"/>
    <w:rsid w:val="1491254B"/>
    <w:rsid w:val="149434CF"/>
    <w:rsid w:val="149C635D"/>
    <w:rsid w:val="14B64E13"/>
    <w:rsid w:val="14B727C7"/>
    <w:rsid w:val="14BA590D"/>
    <w:rsid w:val="14BD1BF8"/>
    <w:rsid w:val="14C64FA3"/>
    <w:rsid w:val="14C776A7"/>
    <w:rsid w:val="14E754D8"/>
    <w:rsid w:val="14EA1CE0"/>
    <w:rsid w:val="14F831F4"/>
    <w:rsid w:val="14FD5B82"/>
    <w:rsid w:val="151F4826"/>
    <w:rsid w:val="15204A01"/>
    <w:rsid w:val="152704C0"/>
    <w:rsid w:val="152B2749"/>
    <w:rsid w:val="15403B7C"/>
    <w:rsid w:val="154C2C7E"/>
    <w:rsid w:val="154F23C7"/>
    <w:rsid w:val="156F1F39"/>
    <w:rsid w:val="15975D56"/>
    <w:rsid w:val="15B73B7F"/>
    <w:rsid w:val="15C47445"/>
    <w:rsid w:val="15CB4851"/>
    <w:rsid w:val="15CE1F52"/>
    <w:rsid w:val="15E70978"/>
    <w:rsid w:val="15F70B98"/>
    <w:rsid w:val="1635647F"/>
    <w:rsid w:val="163E130D"/>
    <w:rsid w:val="165A53BA"/>
    <w:rsid w:val="167A58EE"/>
    <w:rsid w:val="16816872"/>
    <w:rsid w:val="16876DE7"/>
    <w:rsid w:val="168B5B89"/>
    <w:rsid w:val="169961A3"/>
    <w:rsid w:val="16B75579"/>
    <w:rsid w:val="16C911D0"/>
    <w:rsid w:val="16CF2DFA"/>
    <w:rsid w:val="16E16232"/>
    <w:rsid w:val="16F220B5"/>
    <w:rsid w:val="170A1E86"/>
    <w:rsid w:val="171C7676"/>
    <w:rsid w:val="172B3D02"/>
    <w:rsid w:val="17697775"/>
    <w:rsid w:val="17710405"/>
    <w:rsid w:val="17731485"/>
    <w:rsid w:val="17816085"/>
    <w:rsid w:val="17853822"/>
    <w:rsid w:val="178A0EBF"/>
    <w:rsid w:val="178D44B2"/>
    <w:rsid w:val="17BE0623"/>
    <w:rsid w:val="17DA31D5"/>
    <w:rsid w:val="17DD2EF8"/>
    <w:rsid w:val="18052E77"/>
    <w:rsid w:val="18096085"/>
    <w:rsid w:val="18235CAA"/>
    <w:rsid w:val="182511AD"/>
    <w:rsid w:val="183F63D6"/>
    <w:rsid w:val="1858623C"/>
    <w:rsid w:val="185C3885"/>
    <w:rsid w:val="185E5126"/>
    <w:rsid w:val="18745DE3"/>
    <w:rsid w:val="18767CB3"/>
    <w:rsid w:val="188710D5"/>
    <w:rsid w:val="18897AEF"/>
    <w:rsid w:val="18B65219"/>
    <w:rsid w:val="18B67417"/>
    <w:rsid w:val="18BA3C1F"/>
    <w:rsid w:val="18D925EB"/>
    <w:rsid w:val="18DA1F55"/>
    <w:rsid w:val="18ED3174"/>
    <w:rsid w:val="18EE0BF6"/>
    <w:rsid w:val="18EF11A3"/>
    <w:rsid w:val="19011E15"/>
    <w:rsid w:val="19037516"/>
    <w:rsid w:val="19314B62"/>
    <w:rsid w:val="1941226E"/>
    <w:rsid w:val="194E1F14"/>
    <w:rsid w:val="19566481"/>
    <w:rsid w:val="19567321"/>
    <w:rsid w:val="195A7F25"/>
    <w:rsid w:val="196F4647"/>
    <w:rsid w:val="197D395D"/>
    <w:rsid w:val="19855C73"/>
    <w:rsid w:val="19CE5CE6"/>
    <w:rsid w:val="19E96663"/>
    <w:rsid w:val="1A0A69F8"/>
    <w:rsid w:val="1A281629"/>
    <w:rsid w:val="1A322D7A"/>
    <w:rsid w:val="1A3B73DE"/>
    <w:rsid w:val="1A3F729E"/>
    <w:rsid w:val="1A460949"/>
    <w:rsid w:val="1A5439C0"/>
    <w:rsid w:val="1A6159BF"/>
    <w:rsid w:val="1A620757"/>
    <w:rsid w:val="1A7673F8"/>
    <w:rsid w:val="1A7F2286"/>
    <w:rsid w:val="1A8E623B"/>
    <w:rsid w:val="1A940301"/>
    <w:rsid w:val="1AB52760"/>
    <w:rsid w:val="1AED6A14"/>
    <w:rsid w:val="1B192484"/>
    <w:rsid w:val="1B19339B"/>
    <w:rsid w:val="1B202304"/>
    <w:rsid w:val="1B235B63"/>
    <w:rsid w:val="1B294C9D"/>
    <w:rsid w:val="1B2D36A3"/>
    <w:rsid w:val="1B2E2686"/>
    <w:rsid w:val="1B322F1D"/>
    <w:rsid w:val="1B3D393E"/>
    <w:rsid w:val="1B47424D"/>
    <w:rsid w:val="1B4B06D5"/>
    <w:rsid w:val="1B5416AC"/>
    <w:rsid w:val="1B5E3E72"/>
    <w:rsid w:val="1B5F7CE2"/>
    <w:rsid w:val="1B7E43A7"/>
    <w:rsid w:val="1B926781"/>
    <w:rsid w:val="1B9C0707"/>
    <w:rsid w:val="1BAC50AB"/>
    <w:rsid w:val="1BC90FA3"/>
    <w:rsid w:val="1BE2639E"/>
    <w:rsid w:val="1BEC4AE5"/>
    <w:rsid w:val="1C0E75F5"/>
    <w:rsid w:val="1C232937"/>
    <w:rsid w:val="1C2D3246"/>
    <w:rsid w:val="1C3928DC"/>
    <w:rsid w:val="1C3C749B"/>
    <w:rsid w:val="1C5A2B21"/>
    <w:rsid w:val="1C850F94"/>
    <w:rsid w:val="1CA05783"/>
    <w:rsid w:val="1CC267D0"/>
    <w:rsid w:val="1CEA30CD"/>
    <w:rsid w:val="1D022E50"/>
    <w:rsid w:val="1D043B14"/>
    <w:rsid w:val="1D0B1D55"/>
    <w:rsid w:val="1D194148"/>
    <w:rsid w:val="1D263E54"/>
    <w:rsid w:val="1D644C50"/>
    <w:rsid w:val="1D8E540C"/>
    <w:rsid w:val="1D947BB1"/>
    <w:rsid w:val="1DAE3742"/>
    <w:rsid w:val="1DBA647C"/>
    <w:rsid w:val="1DC2630C"/>
    <w:rsid w:val="1DC53ABB"/>
    <w:rsid w:val="1DC71073"/>
    <w:rsid w:val="1DF425E1"/>
    <w:rsid w:val="1E0C0259"/>
    <w:rsid w:val="1E233042"/>
    <w:rsid w:val="1E233701"/>
    <w:rsid w:val="1E2B053A"/>
    <w:rsid w:val="1E4516B7"/>
    <w:rsid w:val="1E501C47"/>
    <w:rsid w:val="1E574D9E"/>
    <w:rsid w:val="1E703800"/>
    <w:rsid w:val="1E753B0D"/>
    <w:rsid w:val="1E9B1054"/>
    <w:rsid w:val="1E9E6358"/>
    <w:rsid w:val="1EAF5CA8"/>
    <w:rsid w:val="1EB109E6"/>
    <w:rsid w:val="1ECE292C"/>
    <w:rsid w:val="1ED056AE"/>
    <w:rsid w:val="1EDA58B6"/>
    <w:rsid w:val="1EE00167"/>
    <w:rsid w:val="1EE3035C"/>
    <w:rsid w:val="1EE976B7"/>
    <w:rsid w:val="1EF458E1"/>
    <w:rsid w:val="1F160235"/>
    <w:rsid w:val="1F1E1F67"/>
    <w:rsid w:val="1F1F489E"/>
    <w:rsid w:val="1F2205F8"/>
    <w:rsid w:val="1F240D25"/>
    <w:rsid w:val="1F271CAA"/>
    <w:rsid w:val="1F382199"/>
    <w:rsid w:val="1F387EDB"/>
    <w:rsid w:val="1F5C3CF8"/>
    <w:rsid w:val="1F5E4382"/>
    <w:rsid w:val="1F5F1E04"/>
    <w:rsid w:val="1F7746BA"/>
    <w:rsid w:val="1F7A0173"/>
    <w:rsid w:val="1F842044"/>
    <w:rsid w:val="1F905E56"/>
    <w:rsid w:val="1F907D26"/>
    <w:rsid w:val="1F9138D8"/>
    <w:rsid w:val="1FB50614"/>
    <w:rsid w:val="1FC66330"/>
    <w:rsid w:val="1FD27BC4"/>
    <w:rsid w:val="1FD72BAD"/>
    <w:rsid w:val="1FE76865"/>
    <w:rsid w:val="1FEE4F17"/>
    <w:rsid w:val="1FFF545F"/>
    <w:rsid w:val="200C6AA5"/>
    <w:rsid w:val="202171B0"/>
    <w:rsid w:val="202B3AD6"/>
    <w:rsid w:val="202D1408"/>
    <w:rsid w:val="20304E7B"/>
    <w:rsid w:val="203301E6"/>
    <w:rsid w:val="20397F58"/>
    <w:rsid w:val="203E4AFA"/>
    <w:rsid w:val="204E29B3"/>
    <w:rsid w:val="20633BF6"/>
    <w:rsid w:val="206F54C4"/>
    <w:rsid w:val="207451CF"/>
    <w:rsid w:val="20A12F09"/>
    <w:rsid w:val="20AA2072"/>
    <w:rsid w:val="20D74591"/>
    <w:rsid w:val="20FD4CF0"/>
    <w:rsid w:val="21032BA5"/>
    <w:rsid w:val="213F3AD7"/>
    <w:rsid w:val="214F03B6"/>
    <w:rsid w:val="216962D3"/>
    <w:rsid w:val="216B1A34"/>
    <w:rsid w:val="216B4463"/>
    <w:rsid w:val="217A6C7B"/>
    <w:rsid w:val="217D752C"/>
    <w:rsid w:val="21A76846"/>
    <w:rsid w:val="21AA19C9"/>
    <w:rsid w:val="21AA5CBA"/>
    <w:rsid w:val="21BA5753"/>
    <w:rsid w:val="21D37ACA"/>
    <w:rsid w:val="21F6437F"/>
    <w:rsid w:val="22177DFE"/>
    <w:rsid w:val="2240793E"/>
    <w:rsid w:val="22616BF8"/>
    <w:rsid w:val="22796138"/>
    <w:rsid w:val="228D583F"/>
    <w:rsid w:val="229F0FDC"/>
    <w:rsid w:val="22F225D1"/>
    <w:rsid w:val="22FE6756"/>
    <w:rsid w:val="23085188"/>
    <w:rsid w:val="23342746"/>
    <w:rsid w:val="23444735"/>
    <w:rsid w:val="23626B1C"/>
    <w:rsid w:val="23975CF1"/>
    <w:rsid w:val="23AA0427"/>
    <w:rsid w:val="23AA6F10"/>
    <w:rsid w:val="23BA71AA"/>
    <w:rsid w:val="23BB589A"/>
    <w:rsid w:val="23BF3632"/>
    <w:rsid w:val="23C04937"/>
    <w:rsid w:val="23D35B56"/>
    <w:rsid w:val="23D8675A"/>
    <w:rsid w:val="240927AD"/>
    <w:rsid w:val="241635B9"/>
    <w:rsid w:val="241E26D8"/>
    <w:rsid w:val="241F2752"/>
    <w:rsid w:val="243954FA"/>
    <w:rsid w:val="24554E2A"/>
    <w:rsid w:val="245E3C68"/>
    <w:rsid w:val="24770489"/>
    <w:rsid w:val="249835C2"/>
    <w:rsid w:val="24B23DB5"/>
    <w:rsid w:val="24D30737"/>
    <w:rsid w:val="24D334FA"/>
    <w:rsid w:val="24DC4817"/>
    <w:rsid w:val="24FA7B37"/>
    <w:rsid w:val="25145278"/>
    <w:rsid w:val="253D2D16"/>
    <w:rsid w:val="254D7B4C"/>
    <w:rsid w:val="255067CB"/>
    <w:rsid w:val="255A11A7"/>
    <w:rsid w:val="25732701"/>
    <w:rsid w:val="25733F7D"/>
    <w:rsid w:val="25846724"/>
    <w:rsid w:val="258A19A4"/>
    <w:rsid w:val="25910B92"/>
    <w:rsid w:val="25B53AED"/>
    <w:rsid w:val="25F068A6"/>
    <w:rsid w:val="26035DEB"/>
    <w:rsid w:val="2606757C"/>
    <w:rsid w:val="261301D0"/>
    <w:rsid w:val="2615738A"/>
    <w:rsid w:val="263C353A"/>
    <w:rsid w:val="26671392"/>
    <w:rsid w:val="268A7935"/>
    <w:rsid w:val="268F47C7"/>
    <w:rsid w:val="268F69D3"/>
    <w:rsid w:val="2697098A"/>
    <w:rsid w:val="2697665E"/>
    <w:rsid w:val="2699463F"/>
    <w:rsid w:val="26A53771"/>
    <w:rsid w:val="26A91DFC"/>
    <w:rsid w:val="26AE6283"/>
    <w:rsid w:val="26B53690"/>
    <w:rsid w:val="26B959DC"/>
    <w:rsid w:val="26C54199"/>
    <w:rsid w:val="26CB60AC"/>
    <w:rsid w:val="26D45556"/>
    <w:rsid w:val="271649AE"/>
    <w:rsid w:val="27277162"/>
    <w:rsid w:val="272F4EEF"/>
    <w:rsid w:val="274B1605"/>
    <w:rsid w:val="274B6DFA"/>
    <w:rsid w:val="27551F14"/>
    <w:rsid w:val="27693877"/>
    <w:rsid w:val="276F3F10"/>
    <w:rsid w:val="278F7368"/>
    <w:rsid w:val="27AA3DA8"/>
    <w:rsid w:val="27AB0725"/>
    <w:rsid w:val="27AC11E5"/>
    <w:rsid w:val="27AE6158"/>
    <w:rsid w:val="27B04BAD"/>
    <w:rsid w:val="27B2482C"/>
    <w:rsid w:val="27B66AB6"/>
    <w:rsid w:val="27BF3F2A"/>
    <w:rsid w:val="27C877A6"/>
    <w:rsid w:val="27D200A4"/>
    <w:rsid w:val="27D3456F"/>
    <w:rsid w:val="27E4381A"/>
    <w:rsid w:val="27E9484A"/>
    <w:rsid w:val="27E94ECF"/>
    <w:rsid w:val="27ED6C10"/>
    <w:rsid w:val="27F71058"/>
    <w:rsid w:val="28176278"/>
    <w:rsid w:val="282A473C"/>
    <w:rsid w:val="282A50D7"/>
    <w:rsid w:val="28312B7C"/>
    <w:rsid w:val="28604DA6"/>
    <w:rsid w:val="286956B4"/>
    <w:rsid w:val="28842606"/>
    <w:rsid w:val="288549AC"/>
    <w:rsid w:val="288A4F7E"/>
    <w:rsid w:val="28A500F5"/>
    <w:rsid w:val="28A605BD"/>
    <w:rsid w:val="28A94DC4"/>
    <w:rsid w:val="28D30187"/>
    <w:rsid w:val="28D83D0F"/>
    <w:rsid w:val="28DA3395"/>
    <w:rsid w:val="29016751"/>
    <w:rsid w:val="290179D1"/>
    <w:rsid w:val="290B1CED"/>
    <w:rsid w:val="291A246E"/>
    <w:rsid w:val="29231FDE"/>
    <w:rsid w:val="293541AB"/>
    <w:rsid w:val="29464AE4"/>
    <w:rsid w:val="294E3354"/>
    <w:rsid w:val="294E5343"/>
    <w:rsid w:val="295B6DE6"/>
    <w:rsid w:val="29726A0C"/>
    <w:rsid w:val="29817026"/>
    <w:rsid w:val="29911087"/>
    <w:rsid w:val="29992CBC"/>
    <w:rsid w:val="29AD5CB6"/>
    <w:rsid w:val="29AE0DEF"/>
    <w:rsid w:val="29AF308B"/>
    <w:rsid w:val="29B23078"/>
    <w:rsid w:val="29BC3988"/>
    <w:rsid w:val="29C53DA5"/>
    <w:rsid w:val="29FB0EEE"/>
    <w:rsid w:val="2A0917CA"/>
    <w:rsid w:val="2A1C39DF"/>
    <w:rsid w:val="2A260CB8"/>
    <w:rsid w:val="2A280AB9"/>
    <w:rsid w:val="2A2E3C29"/>
    <w:rsid w:val="2A3E085C"/>
    <w:rsid w:val="2A472250"/>
    <w:rsid w:val="2A557025"/>
    <w:rsid w:val="2A6C5D2A"/>
    <w:rsid w:val="2A6D37AC"/>
    <w:rsid w:val="2A770838"/>
    <w:rsid w:val="2A7825AA"/>
    <w:rsid w:val="2A7B06BD"/>
    <w:rsid w:val="2A7F08DD"/>
    <w:rsid w:val="2A7F6BA7"/>
    <w:rsid w:val="2A8A159C"/>
    <w:rsid w:val="2A9226E6"/>
    <w:rsid w:val="2AA4630E"/>
    <w:rsid w:val="2AB53BA0"/>
    <w:rsid w:val="2AB803F1"/>
    <w:rsid w:val="2AB869CE"/>
    <w:rsid w:val="2AC97400"/>
    <w:rsid w:val="2ACB48D4"/>
    <w:rsid w:val="2AD875D8"/>
    <w:rsid w:val="2AE46B6C"/>
    <w:rsid w:val="2AE71DF0"/>
    <w:rsid w:val="2AF8590E"/>
    <w:rsid w:val="2B0011EE"/>
    <w:rsid w:val="2B043FAB"/>
    <w:rsid w:val="2B060E26"/>
    <w:rsid w:val="2B394179"/>
    <w:rsid w:val="2B3B54FB"/>
    <w:rsid w:val="2B5A6874"/>
    <w:rsid w:val="2B5B639F"/>
    <w:rsid w:val="2B6D4E6A"/>
    <w:rsid w:val="2B7608AE"/>
    <w:rsid w:val="2B7B6DE1"/>
    <w:rsid w:val="2B8E0E5D"/>
    <w:rsid w:val="2B967FCB"/>
    <w:rsid w:val="2BA769AB"/>
    <w:rsid w:val="2BB04507"/>
    <w:rsid w:val="2BD30EA7"/>
    <w:rsid w:val="2BD63C77"/>
    <w:rsid w:val="2BFA427E"/>
    <w:rsid w:val="2C01033F"/>
    <w:rsid w:val="2C0A1586"/>
    <w:rsid w:val="2C202325"/>
    <w:rsid w:val="2C31308C"/>
    <w:rsid w:val="2C33146F"/>
    <w:rsid w:val="2C570D4D"/>
    <w:rsid w:val="2C592CD0"/>
    <w:rsid w:val="2C5E06D8"/>
    <w:rsid w:val="2C7248B0"/>
    <w:rsid w:val="2C8D1227"/>
    <w:rsid w:val="2C995EE9"/>
    <w:rsid w:val="2CD65A95"/>
    <w:rsid w:val="2CE167BB"/>
    <w:rsid w:val="2CE9283B"/>
    <w:rsid w:val="2CEB5D3E"/>
    <w:rsid w:val="2CED4AC4"/>
    <w:rsid w:val="2CEF7FC7"/>
    <w:rsid w:val="2CFE27E0"/>
    <w:rsid w:val="2D1218DA"/>
    <w:rsid w:val="2D126BAA"/>
    <w:rsid w:val="2D1816F4"/>
    <w:rsid w:val="2D283690"/>
    <w:rsid w:val="2D2C0D79"/>
    <w:rsid w:val="2D2E50A9"/>
    <w:rsid w:val="2D3F104B"/>
    <w:rsid w:val="2D406ACD"/>
    <w:rsid w:val="2D504CCB"/>
    <w:rsid w:val="2D5E7586"/>
    <w:rsid w:val="2D763723"/>
    <w:rsid w:val="2D9A3C70"/>
    <w:rsid w:val="2DA54900"/>
    <w:rsid w:val="2DB66E70"/>
    <w:rsid w:val="2DC412A4"/>
    <w:rsid w:val="2DE836CF"/>
    <w:rsid w:val="2DF1306D"/>
    <w:rsid w:val="2DF63245"/>
    <w:rsid w:val="2DFD23C1"/>
    <w:rsid w:val="2E3005D3"/>
    <w:rsid w:val="2E3D1E67"/>
    <w:rsid w:val="2E53763A"/>
    <w:rsid w:val="2E650E2E"/>
    <w:rsid w:val="2E7632C6"/>
    <w:rsid w:val="2E7D1258"/>
    <w:rsid w:val="2E997EC6"/>
    <w:rsid w:val="2EC4672C"/>
    <w:rsid w:val="2EE85B84"/>
    <w:rsid w:val="2F0C123B"/>
    <w:rsid w:val="2F0D2540"/>
    <w:rsid w:val="2F6915D5"/>
    <w:rsid w:val="2F7061E9"/>
    <w:rsid w:val="2F7268D5"/>
    <w:rsid w:val="2F7E4D1E"/>
    <w:rsid w:val="2F991BD3"/>
    <w:rsid w:val="2F9C59CE"/>
    <w:rsid w:val="2F9E1E2F"/>
    <w:rsid w:val="2FB53C52"/>
    <w:rsid w:val="2FC32F68"/>
    <w:rsid w:val="2FC367EB"/>
    <w:rsid w:val="2FCB0375"/>
    <w:rsid w:val="2FE2381D"/>
    <w:rsid w:val="2FE81AC0"/>
    <w:rsid w:val="2FEC412C"/>
    <w:rsid w:val="300E33E8"/>
    <w:rsid w:val="30155DE3"/>
    <w:rsid w:val="30344521"/>
    <w:rsid w:val="30372F27"/>
    <w:rsid w:val="303C5A11"/>
    <w:rsid w:val="30471013"/>
    <w:rsid w:val="30515E85"/>
    <w:rsid w:val="3068716B"/>
    <w:rsid w:val="306C12F6"/>
    <w:rsid w:val="307E04E7"/>
    <w:rsid w:val="308D5EB4"/>
    <w:rsid w:val="309676E3"/>
    <w:rsid w:val="309B0A4D"/>
    <w:rsid w:val="309E3BD0"/>
    <w:rsid w:val="30A46638"/>
    <w:rsid w:val="30C1262D"/>
    <w:rsid w:val="30C20A9D"/>
    <w:rsid w:val="30CF5E22"/>
    <w:rsid w:val="30D5076A"/>
    <w:rsid w:val="30F50041"/>
    <w:rsid w:val="30F658E4"/>
    <w:rsid w:val="311E044B"/>
    <w:rsid w:val="3138634D"/>
    <w:rsid w:val="31526E70"/>
    <w:rsid w:val="31703F28"/>
    <w:rsid w:val="3177633A"/>
    <w:rsid w:val="31B35C97"/>
    <w:rsid w:val="31C14D13"/>
    <w:rsid w:val="31EA3BF2"/>
    <w:rsid w:val="31F8678B"/>
    <w:rsid w:val="32002203"/>
    <w:rsid w:val="32090C24"/>
    <w:rsid w:val="321C1E43"/>
    <w:rsid w:val="32293AA9"/>
    <w:rsid w:val="322B6518"/>
    <w:rsid w:val="323030F3"/>
    <w:rsid w:val="32491A0D"/>
    <w:rsid w:val="324C0413"/>
    <w:rsid w:val="32601298"/>
    <w:rsid w:val="3265353C"/>
    <w:rsid w:val="326B5445"/>
    <w:rsid w:val="327360D5"/>
    <w:rsid w:val="328C11FD"/>
    <w:rsid w:val="329E2976"/>
    <w:rsid w:val="32A27B1D"/>
    <w:rsid w:val="32A40180"/>
    <w:rsid w:val="32D373F3"/>
    <w:rsid w:val="32D415F1"/>
    <w:rsid w:val="32F9638D"/>
    <w:rsid w:val="33082946"/>
    <w:rsid w:val="330F053B"/>
    <w:rsid w:val="33483B2E"/>
    <w:rsid w:val="335E3241"/>
    <w:rsid w:val="33851415"/>
    <w:rsid w:val="33930EF5"/>
    <w:rsid w:val="33933FAE"/>
    <w:rsid w:val="33A62D97"/>
    <w:rsid w:val="33B02259"/>
    <w:rsid w:val="33C36CFB"/>
    <w:rsid w:val="33CA2E03"/>
    <w:rsid w:val="33CF312D"/>
    <w:rsid w:val="33D00590"/>
    <w:rsid w:val="33D0278E"/>
    <w:rsid w:val="33D7599C"/>
    <w:rsid w:val="33DC1E24"/>
    <w:rsid w:val="33E81E5A"/>
    <w:rsid w:val="33EE55C1"/>
    <w:rsid w:val="340F4E7A"/>
    <w:rsid w:val="341C738A"/>
    <w:rsid w:val="34406A29"/>
    <w:rsid w:val="344A0B3B"/>
    <w:rsid w:val="345215EE"/>
    <w:rsid w:val="345B0173"/>
    <w:rsid w:val="34646885"/>
    <w:rsid w:val="347C3F2B"/>
    <w:rsid w:val="34834C6B"/>
    <w:rsid w:val="348E4EAC"/>
    <w:rsid w:val="349725CB"/>
    <w:rsid w:val="349F3360"/>
    <w:rsid w:val="34A20B41"/>
    <w:rsid w:val="34A22AE6"/>
    <w:rsid w:val="34B1099D"/>
    <w:rsid w:val="34B67588"/>
    <w:rsid w:val="34B80D40"/>
    <w:rsid w:val="34CA0D4C"/>
    <w:rsid w:val="34CB766D"/>
    <w:rsid w:val="34E42656"/>
    <w:rsid w:val="3523213B"/>
    <w:rsid w:val="353F6237"/>
    <w:rsid w:val="358D4799"/>
    <w:rsid w:val="35A24A3E"/>
    <w:rsid w:val="35BB6E36"/>
    <w:rsid w:val="35E05641"/>
    <w:rsid w:val="35E96976"/>
    <w:rsid w:val="35EA4102"/>
    <w:rsid w:val="35F9471D"/>
    <w:rsid w:val="363A5186"/>
    <w:rsid w:val="36430FFC"/>
    <w:rsid w:val="364C655A"/>
    <w:rsid w:val="3665171B"/>
    <w:rsid w:val="36896D51"/>
    <w:rsid w:val="369E4EAA"/>
    <w:rsid w:val="36AF7E58"/>
    <w:rsid w:val="36B20636"/>
    <w:rsid w:val="36C02E61"/>
    <w:rsid w:val="36CF5679"/>
    <w:rsid w:val="36D41B01"/>
    <w:rsid w:val="36D60888"/>
    <w:rsid w:val="36DC6F0E"/>
    <w:rsid w:val="36DD25F0"/>
    <w:rsid w:val="36F67AB7"/>
    <w:rsid w:val="36F8081D"/>
    <w:rsid w:val="36F95C21"/>
    <w:rsid w:val="36FB1D8D"/>
    <w:rsid w:val="37196592"/>
    <w:rsid w:val="373E384B"/>
    <w:rsid w:val="374D7724"/>
    <w:rsid w:val="374F0D67"/>
    <w:rsid w:val="376C0CD3"/>
    <w:rsid w:val="376C0D7B"/>
    <w:rsid w:val="377820EC"/>
    <w:rsid w:val="377F0E97"/>
    <w:rsid w:val="378D25B5"/>
    <w:rsid w:val="37B93B20"/>
    <w:rsid w:val="37BA0AFA"/>
    <w:rsid w:val="37C96EC2"/>
    <w:rsid w:val="37CE50AB"/>
    <w:rsid w:val="37D32D2B"/>
    <w:rsid w:val="37DE5AA2"/>
    <w:rsid w:val="37FC066A"/>
    <w:rsid w:val="38085973"/>
    <w:rsid w:val="381E081F"/>
    <w:rsid w:val="38244B3F"/>
    <w:rsid w:val="382D1EAA"/>
    <w:rsid w:val="38394D67"/>
    <w:rsid w:val="38487464"/>
    <w:rsid w:val="38494EE6"/>
    <w:rsid w:val="384D75D2"/>
    <w:rsid w:val="385122F2"/>
    <w:rsid w:val="38735D2A"/>
    <w:rsid w:val="3888024E"/>
    <w:rsid w:val="388D46D6"/>
    <w:rsid w:val="38D3171A"/>
    <w:rsid w:val="38D3786E"/>
    <w:rsid w:val="38E329E9"/>
    <w:rsid w:val="38F855D9"/>
    <w:rsid w:val="392B54D9"/>
    <w:rsid w:val="396725EE"/>
    <w:rsid w:val="396E7247"/>
    <w:rsid w:val="398228A1"/>
    <w:rsid w:val="398F777C"/>
    <w:rsid w:val="39917588"/>
    <w:rsid w:val="3997040B"/>
    <w:rsid w:val="399F3299"/>
    <w:rsid w:val="39C127A0"/>
    <w:rsid w:val="39EA2567"/>
    <w:rsid w:val="39EC6A75"/>
    <w:rsid w:val="39F868C9"/>
    <w:rsid w:val="39F871AB"/>
    <w:rsid w:val="3A0045B7"/>
    <w:rsid w:val="3A014237"/>
    <w:rsid w:val="3A0D38CD"/>
    <w:rsid w:val="3A3047B5"/>
    <w:rsid w:val="3A3052F0"/>
    <w:rsid w:val="3A33658F"/>
    <w:rsid w:val="3A3804F5"/>
    <w:rsid w:val="3A4A5930"/>
    <w:rsid w:val="3A5D5058"/>
    <w:rsid w:val="3A65337B"/>
    <w:rsid w:val="3A7711E5"/>
    <w:rsid w:val="3A7E4E86"/>
    <w:rsid w:val="3A826072"/>
    <w:rsid w:val="3A880EB6"/>
    <w:rsid w:val="3B0A24EB"/>
    <w:rsid w:val="3B2024DF"/>
    <w:rsid w:val="3B281A9B"/>
    <w:rsid w:val="3B2F1426"/>
    <w:rsid w:val="3B2F4CA9"/>
    <w:rsid w:val="3B387B37"/>
    <w:rsid w:val="3B484F53"/>
    <w:rsid w:val="3B7D5230"/>
    <w:rsid w:val="3B7F48FF"/>
    <w:rsid w:val="3B8920F0"/>
    <w:rsid w:val="3B923BE8"/>
    <w:rsid w:val="3B965952"/>
    <w:rsid w:val="3B9E2D5F"/>
    <w:rsid w:val="3BCA3823"/>
    <w:rsid w:val="3BD05A6E"/>
    <w:rsid w:val="3C042703"/>
    <w:rsid w:val="3C13079F"/>
    <w:rsid w:val="3C2C38C7"/>
    <w:rsid w:val="3C3D77DB"/>
    <w:rsid w:val="3C487974"/>
    <w:rsid w:val="3C6C0E2E"/>
    <w:rsid w:val="3C716172"/>
    <w:rsid w:val="3C7E7E4E"/>
    <w:rsid w:val="3C825373"/>
    <w:rsid w:val="3CAA0A65"/>
    <w:rsid w:val="3CAC7699"/>
    <w:rsid w:val="3CB713E2"/>
    <w:rsid w:val="3CC43FFA"/>
    <w:rsid w:val="3CD839E0"/>
    <w:rsid w:val="3CED7033"/>
    <w:rsid w:val="3D382B00"/>
    <w:rsid w:val="3D47065A"/>
    <w:rsid w:val="3D5C3FB9"/>
    <w:rsid w:val="3D78139C"/>
    <w:rsid w:val="3D7E7427"/>
    <w:rsid w:val="3DCA324C"/>
    <w:rsid w:val="3DCA67EC"/>
    <w:rsid w:val="3DE73B9D"/>
    <w:rsid w:val="3E0C4E93"/>
    <w:rsid w:val="3E191147"/>
    <w:rsid w:val="3E197BF0"/>
    <w:rsid w:val="3E4613F4"/>
    <w:rsid w:val="3E5E28E2"/>
    <w:rsid w:val="3E6F285E"/>
    <w:rsid w:val="3E833A1C"/>
    <w:rsid w:val="3E83685E"/>
    <w:rsid w:val="3E8C780E"/>
    <w:rsid w:val="3E9957DC"/>
    <w:rsid w:val="3E9C4A5C"/>
    <w:rsid w:val="3EAE1978"/>
    <w:rsid w:val="3ED80377"/>
    <w:rsid w:val="3EDA442A"/>
    <w:rsid w:val="3EDB572F"/>
    <w:rsid w:val="3EF41E2E"/>
    <w:rsid w:val="3F2B7A74"/>
    <w:rsid w:val="3F4F7C6C"/>
    <w:rsid w:val="3F7B3FB4"/>
    <w:rsid w:val="3F7D0A8E"/>
    <w:rsid w:val="3F9910C6"/>
    <w:rsid w:val="3F9A4869"/>
    <w:rsid w:val="3FB05B36"/>
    <w:rsid w:val="3FC63600"/>
    <w:rsid w:val="3FF461FC"/>
    <w:rsid w:val="40047F17"/>
    <w:rsid w:val="401157AC"/>
    <w:rsid w:val="40265A2A"/>
    <w:rsid w:val="403149DC"/>
    <w:rsid w:val="403D71B3"/>
    <w:rsid w:val="40413169"/>
    <w:rsid w:val="40543C97"/>
    <w:rsid w:val="40686ED3"/>
    <w:rsid w:val="406A5E3B"/>
    <w:rsid w:val="40713247"/>
    <w:rsid w:val="40804202"/>
    <w:rsid w:val="409B38E3"/>
    <w:rsid w:val="40CB4BDA"/>
    <w:rsid w:val="40DE1970"/>
    <w:rsid w:val="40E81F8C"/>
    <w:rsid w:val="40E902F5"/>
    <w:rsid w:val="40F222BC"/>
    <w:rsid w:val="40F94425"/>
    <w:rsid w:val="40FC24E5"/>
    <w:rsid w:val="40FC3D8C"/>
    <w:rsid w:val="4119774B"/>
    <w:rsid w:val="411E6BE3"/>
    <w:rsid w:val="41225AE8"/>
    <w:rsid w:val="41277BDE"/>
    <w:rsid w:val="413C1A16"/>
    <w:rsid w:val="414A569D"/>
    <w:rsid w:val="41566D3D"/>
    <w:rsid w:val="417A14FB"/>
    <w:rsid w:val="417B6F7C"/>
    <w:rsid w:val="417E3DFD"/>
    <w:rsid w:val="41973694"/>
    <w:rsid w:val="41A249C5"/>
    <w:rsid w:val="41B4596F"/>
    <w:rsid w:val="41D81894"/>
    <w:rsid w:val="41DD5D1C"/>
    <w:rsid w:val="41EF1584"/>
    <w:rsid w:val="41FB5B69"/>
    <w:rsid w:val="4204145F"/>
    <w:rsid w:val="420B2562"/>
    <w:rsid w:val="420F3F6D"/>
    <w:rsid w:val="4232304C"/>
    <w:rsid w:val="42332EA8"/>
    <w:rsid w:val="424703D0"/>
    <w:rsid w:val="427250E0"/>
    <w:rsid w:val="427A5366"/>
    <w:rsid w:val="42840A3A"/>
    <w:rsid w:val="42883C37"/>
    <w:rsid w:val="428A5470"/>
    <w:rsid w:val="429C30A7"/>
    <w:rsid w:val="42B325B5"/>
    <w:rsid w:val="42B92207"/>
    <w:rsid w:val="42BE088D"/>
    <w:rsid w:val="42C6151D"/>
    <w:rsid w:val="42D72D86"/>
    <w:rsid w:val="42E42CCB"/>
    <w:rsid w:val="42F951EF"/>
    <w:rsid w:val="43200984"/>
    <w:rsid w:val="434165C5"/>
    <w:rsid w:val="435A2BEA"/>
    <w:rsid w:val="43820A84"/>
    <w:rsid w:val="43993A74"/>
    <w:rsid w:val="43A13048"/>
    <w:rsid w:val="43BC4F2D"/>
    <w:rsid w:val="43C42339"/>
    <w:rsid w:val="43C50FDA"/>
    <w:rsid w:val="43F01F04"/>
    <w:rsid w:val="43F153B2"/>
    <w:rsid w:val="44064ECA"/>
    <w:rsid w:val="44112953"/>
    <w:rsid w:val="442578C8"/>
    <w:rsid w:val="443F5506"/>
    <w:rsid w:val="44410466"/>
    <w:rsid w:val="4457512C"/>
    <w:rsid w:val="446012BE"/>
    <w:rsid w:val="44711559"/>
    <w:rsid w:val="44744B34"/>
    <w:rsid w:val="447E4FEB"/>
    <w:rsid w:val="44DA22E4"/>
    <w:rsid w:val="44E346B1"/>
    <w:rsid w:val="44E70442"/>
    <w:rsid w:val="44EC0EA2"/>
    <w:rsid w:val="44F45672"/>
    <w:rsid w:val="4510235C"/>
    <w:rsid w:val="45341597"/>
    <w:rsid w:val="453F6D2F"/>
    <w:rsid w:val="45433AAF"/>
    <w:rsid w:val="454873C2"/>
    <w:rsid w:val="454B4204"/>
    <w:rsid w:val="455340E3"/>
    <w:rsid w:val="458732AE"/>
    <w:rsid w:val="45893BE1"/>
    <w:rsid w:val="45931C14"/>
    <w:rsid w:val="45AF31CB"/>
    <w:rsid w:val="45B3561E"/>
    <w:rsid w:val="45CE1495"/>
    <w:rsid w:val="45CF6F16"/>
    <w:rsid w:val="45EB58BB"/>
    <w:rsid w:val="45EE77CB"/>
    <w:rsid w:val="460A33A0"/>
    <w:rsid w:val="4619280E"/>
    <w:rsid w:val="46572F41"/>
    <w:rsid w:val="46621D09"/>
    <w:rsid w:val="4666070F"/>
    <w:rsid w:val="46683C12"/>
    <w:rsid w:val="467F664E"/>
    <w:rsid w:val="468C3210"/>
    <w:rsid w:val="469730DC"/>
    <w:rsid w:val="469965DF"/>
    <w:rsid w:val="46B630BC"/>
    <w:rsid w:val="46B86E94"/>
    <w:rsid w:val="46C26210"/>
    <w:rsid w:val="46D851CA"/>
    <w:rsid w:val="47107984"/>
    <w:rsid w:val="47440F4D"/>
    <w:rsid w:val="47585719"/>
    <w:rsid w:val="47630472"/>
    <w:rsid w:val="476E3D34"/>
    <w:rsid w:val="47705844"/>
    <w:rsid w:val="4785419B"/>
    <w:rsid w:val="478A45D2"/>
    <w:rsid w:val="478D1B02"/>
    <w:rsid w:val="47910B8A"/>
    <w:rsid w:val="47D7186A"/>
    <w:rsid w:val="47E64083"/>
    <w:rsid w:val="47F6431D"/>
    <w:rsid w:val="47FB336E"/>
    <w:rsid w:val="47FD4DEA"/>
    <w:rsid w:val="47FF4FBB"/>
    <w:rsid w:val="48123C4D"/>
    <w:rsid w:val="48150707"/>
    <w:rsid w:val="48205C65"/>
    <w:rsid w:val="48310C7F"/>
    <w:rsid w:val="48326701"/>
    <w:rsid w:val="48513523"/>
    <w:rsid w:val="485C5346"/>
    <w:rsid w:val="487A2F3C"/>
    <w:rsid w:val="489473BA"/>
    <w:rsid w:val="48A650B3"/>
    <w:rsid w:val="48B20B9D"/>
    <w:rsid w:val="48C56AD5"/>
    <w:rsid w:val="48EA4EE8"/>
    <w:rsid w:val="48F32F3B"/>
    <w:rsid w:val="48F55BF9"/>
    <w:rsid w:val="492A6C99"/>
    <w:rsid w:val="492E26B6"/>
    <w:rsid w:val="492F3120"/>
    <w:rsid w:val="49365273"/>
    <w:rsid w:val="493D4449"/>
    <w:rsid w:val="494E5BD4"/>
    <w:rsid w:val="495A5625"/>
    <w:rsid w:val="496140BF"/>
    <w:rsid w:val="496D2572"/>
    <w:rsid w:val="497F41A4"/>
    <w:rsid w:val="498443C0"/>
    <w:rsid w:val="498446D0"/>
    <w:rsid w:val="49943BD0"/>
    <w:rsid w:val="49A068D7"/>
    <w:rsid w:val="49A64064"/>
    <w:rsid w:val="49B43282"/>
    <w:rsid w:val="49BD5045"/>
    <w:rsid w:val="49C254CC"/>
    <w:rsid w:val="49CB0A20"/>
    <w:rsid w:val="49E55E60"/>
    <w:rsid w:val="4A180C71"/>
    <w:rsid w:val="4A1A6283"/>
    <w:rsid w:val="4A1A7F09"/>
    <w:rsid w:val="4A323C48"/>
    <w:rsid w:val="4A3F508D"/>
    <w:rsid w:val="4A4C47F2"/>
    <w:rsid w:val="4A5B19B3"/>
    <w:rsid w:val="4A7459B6"/>
    <w:rsid w:val="4AA1777F"/>
    <w:rsid w:val="4AB553D8"/>
    <w:rsid w:val="4ABF1148"/>
    <w:rsid w:val="4AC21892"/>
    <w:rsid w:val="4AF463D6"/>
    <w:rsid w:val="4AF64C8A"/>
    <w:rsid w:val="4AF81574"/>
    <w:rsid w:val="4B0460FF"/>
    <w:rsid w:val="4B0C6E2E"/>
    <w:rsid w:val="4B1B12D4"/>
    <w:rsid w:val="4B251F56"/>
    <w:rsid w:val="4B2637A6"/>
    <w:rsid w:val="4B55391F"/>
    <w:rsid w:val="4B57229C"/>
    <w:rsid w:val="4B5F3132"/>
    <w:rsid w:val="4B621FEB"/>
    <w:rsid w:val="4B691746"/>
    <w:rsid w:val="4B926E60"/>
    <w:rsid w:val="4BB040B9"/>
    <w:rsid w:val="4BB53DC4"/>
    <w:rsid w:val="4BB949C8"/>
    <w:rsid w:val="4BBC751F"/>
    <w:rsid w:val="4BC46339"/>
    <w:rsid w:val="4BD56877"/>
    <w:rsid w:val="4BF46806"/>
    <w:rsid w:val="4C1F216E"/>
    <w:rsid w:val="4C27558D"/>
    <w:rsid w:val="4C28386A"/>
    <w:rsid w:val="4C547266"/>
    <w:rsid w:val="4C5E1B04"/>
    <w:rsid w:val="4C6A1103"/>
    <w:rsid w:val="4C9E3D41"/>
    <w:rsid w:val="4CD3679A"/>
    <w:rsid w:val="4CDC470D"/>
    <w:rsid w:val="4CE43AA3"/>
    <w:rsid w:val="4CF124C7"/>
    <w:rsid w:val="4CF93156"/>
    <w:rsid w:val="4CFA6659"/>
    <w:rsid w:val="4D0C4375"/>
    <w:rsid w:val="4D1A110D"/>
    <w:rsid w:val="4D1C7E93"/>
    <w:rsid w:val="4D463256"/>
    <w:rsid w:val="4D53256B"/>
    <w:rsid w:val="4D5D7F57"/>
    <w:rsid w:val="4D6C2657"/>
    <w:rsid w:val="4D72759D"/>
    <w:rsid w:val="4D7814A6"/>
    <w:rsid w:val="4D8F10CB"/>
    <w:rsid w:val="4D9E3092"/>
    <w:rsid w:val="4D9F4BE9"/>
    <w:rsid w:val="4DBE7A85"/>
    <w:rsid w:val="4DC0189A"/>
    <w:rsid w:val="4DCD4433"/>
    <w:rsid w:val="4DE465D7"/>
    <w:rsid w:val="4E007CED"/>
    <w:rsid w:val="4E0A4298"/>
    <w:rsid w:val="4E1454A5"/>
    <w:rsid w:val="4E2D6C46"/>
    <w:rsid w:val="4E4A0881"/>
    <w:rsid w:val="4E5A77F7"/>
    <w:rsid w:val="4E7339BC"/>
    <w:rsid w:val="4E7B601F"/>
    <w:rsid w:val="4E8807E9"/>
    <w:rsid w:val="4E8D0FEE"/>
    <w:rsid w:val="4E921BF3"/>
    <w:rsid w:val="4EA34CFF"/>
    <w:rsid w:val="4EAB756E"/>
    <w:rsid w:val="4EB3122E"/>
    <w:rsid w:val="4ED70169"/>
    <w:rsid w:val="4ED85BEA"/>
    <w:rsid w:val="4ED9366C"/>
    <w:rsid w:val="4EE87ADC"/>
    <w:rsid w:val="4EEC1008"/>
    <w:rsid w:val="4EF00E0E"/>
    <w:rsid w:val="4F083D82"/>
    <w:rsid w:val="4F190A03"/>
    <w:rsid w:val="4F1B40D5"/>
    <w:rsid w:val="4F354C7F"/>
    <w:rsid w:val="4F365F84"/>
    <w:rsid w:val="4F5678BA"/>
    <w:rsid w:val="4F5F1347"/>
    <w:rsid w:val="4F674399"/>
    <w:rsid w:val="4F6A76D8"/>
    <w:rsid w:val="4F822D0B"/>
    <w:rsid w:val="4F891D97"/>
    <w:rsid w:val="4F9D65A9"/>
    <w:rsid w:val="4FA80021"/>
    <w:rsid w:val="4FAC5BC3"/>
    <w:rsid w:val="4FAD65DD"/>
    <w:rsid w:val="4FBA772B"/>
    <w:rsid w:val="4FEC40D6"/>
    <w:rsid w:val="50062DD9"/>
    <w:rsid w:val="50147B70"/>
    <w:rsid w:val="50334BA2"/>
    <w:rsid w:val="503A38B2"/>
    <w:rsid w:val="5079771B"/>
    <w:rsid w:val="50AD6A6A"/>
    <w:rsid w:val="50CE2822"/>
    <w:rsid w:val="50E214C3"/>
    <w:rsid w:val="50E720C7"/>
    <w:rsid w:val="50F607A5"/>
    <w:rsid w:val="51140415"/>
    <w:rsid w:val="511502B1"/>
    <w:rsid w:val="51236F6A"/>
    <w:rsid w:val="512F57EF"/>
    <w:rsid w:val="51515D19"/>
    <w:rsid w:val="516A3B30"/>
    <w:rsid w:val="51935A63"/>
    <w:rsid w:val="519A31F0"/>
    <w:rsid w:val="51A87A94"/>
    <w:rsid w:val="51B6149B"/>
    <w:rsid w:val="51C83262"/>
    <w:rsid w:val="51E46AE7"/>
    <w:rsid w:val="51E754ED"/>
    <w:rsid w:val="51F93209"/>
    <w:rsid w:val="51FD071D"/>
    <w:rsid w:val="52054A9D"/>
    <w:rsid w:val="520F53AD"/>
    <w:rsid w:val="522B2ADE"/>
    <w:rsid w:val="52301165"/>
    <w:rsid w:val="52306627"/>
    <w:rsid w:val="52466FD1"/>
    <w:rsid w:val="5250417D"/>
    <w:rsid w:val="525C0D2F"/>
    <w:rsid w:val="527B179A"/>
    <w:rsid w:val="5281408C"/>
    <w:rsid w:val="528A263B"/>
    <w:rsid w:val="52902483"/>
    <w:rsid w:val="52BC45CC"/>
    <w:rsid w:val="52C051D0"/>
    <w:rsid w:val="52C64593"/>
    <w:rsid w:val="530D52D0"/>
    <w:rsid w:val="53137FF5"/>
    <w:rsid w:val="53485083"/>
    <w:rsid w:val="534B7333"/>
    <w:rsid w:val="534F5D39"/>
    <w:rsid w:val="536E65EE"/>
    <w:rsid w:val="536F406F"/>
    <w:rsid w:val="537A4E07"/>
    <w:rsid w:val="537C6C08"/>
    <w:rsid w:val="53951A51"/>
    <w:rsid w:val="53A235C5"/>
    <w:rsid w:val="53D870D1"/>
    <w:rsid w:val="53FF00DB"/>
    <w:rsid w:val="5408507F"/>
    <w:rsid w:val="540E4D71"/>
    <w:rsid w:val="54105DF7"/>
    <w:rsid w:val="542A2BCC"/>
    <w:rsid w:val="542E17C6"/>
    <w:rsid w:val="54366037"/>
    <w:rsid w:val="5443534C"/>
    <w:rsid w:val="544A667D"/>
    <w:rsid w:val="54540E6A"/>
    <w:rsid w:val="5462237E"/>
    <w:rsid w:val="54782323"/>
    <w:rsid w:val="54846A8C"/>
    <w:rsid w:val="54A330ED"/>
    <w:rsid w:val="54C05F9B"/>
    <w:rsid w:val="54D06235"/>
    <w:rsid w:val="54D13CB7"/>
    <w:rsid w:val="54FF2675"/>
    <w:rsid w:val="550D2817"/>
    <w:rsid w:val="550E0298"/>
    <w:rsid w:val="55253D42"/>
    <w:rsid w:val="554716F7"/>
    <w:rsid w:val="55537607"/>
    <w:rsid w:val="55563E5A"/>
    <w:rsid w:val="558746DF"/>
    <w:rsid w:val="558D1E6B"/>
    <w:rsid w:val="55D81A86"/>
    <w:rsid w:val="55DE130B"/>
    <w:rsid w:val="55EF6684"/>
    <w:rsid w:val="55FC3F29"/>
    <w:rsid w:val="55FE5622"/>
    <w:rsid w:val="560143A9"/>
    <w:rsid w:val="560939B3"/>
    <w:rsid w:val="56102C33"/>
    <w:rsid w:val="561F538D"/>
    <w:rsid w:val="56253751"/>
    <w:rsid w:val="56284268"/>
    <w:rsid w:val="56563AB2"/>
    <w:rsid w:val="56692AD3"/>
    <w:rsid w:val="56730E64"/>
    <w:rsid w:val="56833F70"/>
    <w:rsid w:val="5683587B"/>
    <w:rsid w:val="56877B05"/>
    <w:rsid w:val="56A47ABC"/>
    <w:rsid w:val="56A90D1C"/>
    <w:rsid w:val="56AE2FF9"/>
    <w:rsid w:val="56B34671"/>
    <w:rsid w:val="56BB705A"/>
    <w:rsid w:val="56C7506B"/>
    <w:rsid w:val="56D26326"/>
    <w:rsid w:val="56D44381"/>
    <w:rsid w:val="570C7D5E"/>
    <w:rsid w:val="571C2577"/>
    <w:rsid w:val="57327F9E"/>
    <w:rsid w:val="573B5DD9"/>
    <w:rsid w:val="57420238"/>
    <w:rsid w:val="574E404B"/>
    <w:rsid w:val="57677173"/>
    <w:rsid w:val="57742B5F"/>
    <w:rsid w:val="577D4B9A"/>
    <w:rsid w:val="578F4319"/>
    <w:rsid w:val="57936D3D"/>
    <w:rsid w:val="57A54A59"/>
    <w:rsid w:val="57B51470"/>
    <w:rsid w:val="57B66EF2"/>
    <w:rsid w:val="57BE279A"/>
    <w:rsid w:val="57DF393A"/>
    <w:rsid w:val="57ED4887"/>
    <w:rsid w:val="582A2734"/>
    <w:rsid w:val="58456DC6"/>
    <w:rsid w:val="5849511E"/>
    <w:rsid w:val="58594131"/>
    <w:rsid w:val="58701BA4"/>
    <w:rsid w:val="5870373F"/>
    <w:rsid w:val="588F2458"/>
    <w:rsid w:val="589E4C71"/>
    <w:rsid w:val="58AC5CE9"/>
    <w:rsid w:val="58BF7568"/>
    <w:rsid w:val="592A33CF"/>
    <w:rsid w:val="5941447A"/>
    <w:rsid w:val="59593AC0"/>
    <w:rsid w:val="595B08A7"/>
    <w:rsid w:val="59867460"/>
    <w:rsid w:val="598A7F12"/>
    <w:rsid w:val="598E2EF7"/>
    <w:rsid w:val="59943F04"/>
    <w:rsid w:val="59A975A4"/>
    <w:rsid w:val="59B469B8"/>
    <w:rsid w:val="59C37BED"/>
    <w:rsid w:val="59C87B1C"/>
    <w:rsid w:val="59D038F6"/>
    <w:rsid w:val="59DE0E81"/>
    <w:rsid w:val="59FB29AF"/>
    <w:rsid w:val="5A0C4E48"/>
    <w:rsid w:val="5A170C5A"/>
    <w:rsid w:val="5A2703CF"/>
    <w:rsid w:val="5A3E4DB1"/>
    <w:rsid w:val="5A4A1FB4"/>
    <w:rsid w:val="5A6E746B"/>
    <w:rsid w:val="5A6F67BF"/>
    <w:rsid w:val="5A754877"/>
    <w:rsid w:val="5A8335B2"/>
    <w:rsid w:val="5A964DAC"/>
    <w:rsid w:val="5A9802AF"/>
    <w:rsid w:val="5A9D3C05"/>
    <w:rsid w:val="5AD73066"/>
    <w:rsid w:val="5AEF02E7"/>
    <w:rsid w:val="5B01445B"/>
    <w:rsid w:val="5B106C74"/>
    <w:rsid w:val="5B14334D"/>
    <w:rsid w:val="5B195385"/>
    <w:rsid w:val="5B1D4EF7"/>
    <w:rsid w:val="5B324C2A"/>
    <w:rsid w:val="5B417443"/>
    <w:rsid w:val="5B5176DD"/>
    <w:rsid w:val="5B6466FE"/>
    <w:rsid w:val="5B6E700E"/>
    <w:rsid w:val="5B7C3DA5"/>
    <w:rsid w:val="5B952750"/>
    <w:rsid w:val="5B987E52"/>
    <w:rsid w:val="5BC73735"/>
    <w:rsid w:val="5BD27BAC"/>
    <w:rsid w:val="5BD60FBC"/>
    <w:rsid w:val="5BE851AE"/>
    <w:rsid w:val="5BF0118F"/>
    <w:rsid w:val="5BF2464B"/>
    <w:rsid w:val="5BF93998"/>
    <w:rsid w:val="5BFC33FA"/>
    <w:rsid w:val="5C160720"/>
    <w:rsid w:val="5C1F35AE"/>
    <w:rsid w:val="5C320050"/>
    <w:rsid w:val="5C45470C"/>
    <w:rsid w:val="5C463A79"/>
    <w:rsid w:val="5C55730B"/>
    <w:rsid w:val="5C56150A"/>
    <w:rsid w:val="5C700B17"/>
    <w:rsid w:val="5CD34356"/>
    <w:rsid w:val="5CE744E5"/>
    <w:rsid w:val="5CE964FA"/>
    <w:rsid w:val="5CF01708"/>
    <w:rsid w:val="5CF3268D"/>
    <w:rsid w:val="5CFD0A1E"/>
    <w:rsid w:val="5D135140"/>
    <w:rsid w:val="5D142BC1"/>
    <w:rsid w:val="5D196F19"/>
    <w:rsid w:val="5D1E02B8"/>
    <w:rsid w:val="5D211ED7"/>
    <w:rsid w:val="5D3540EC"/>
    <w:rsid w:val="5D3778FE"/>
    <w:rsid w:val="5D502A26"/>
    <w:rsid w:val="5D5546B9"/>
    <w:rsid w:val="5D562DC6"/>
    <w:rsid w:val="5D7B525F"/>
    <w:rsid w:val="5D7D7744"/>
    <w:rsid w:val="5D926D13"/>
    <w:rsid w:val="5D9C214D"/>
    <w:rsid w:val="5DAB0C20"/>
    <w:rsid w:val="5DB062C3"/>
    <w:rsid w:val="5DBD1701"/>
    <w:rsid w:val="5DF41277"/>
    <w:rsid w:val="5E1B3A56"/>
    <w:rsid w:val="5E207FB8"/>
    <w:rsid w:val="5E3F0130"/>
    <w:rsid w:val="5E440D35"/>
    <w:rsid w:val="5E5E5162"/>
    <w:rsid w:val="5E7824C9"/>
    <w:rsid w:val="5E812D98"/>
    <w:rsid w:val="5E9D1053"/>
    <w:rsid w:val="5E9F014A"/>
    <w:rsid w:val="5EA64F3B"/>
    <w:rsid w:val="5EA842DD"/>
    <w:rsid w:val="5ED12557"/>
    <w:rsid w:val="5EDD7C2F"/>
    <w:rsid w:val="5EE34480"/>
    <w:rsid w:val="5EE441AD"/>
    <w:rsid w:val="5EEE1FA5"/>
    <w:rsid w:val="5F011031"/>
    <w:rsid w:val="5F0223ED"/>
    <w:rsid w:val="5F064676"/>
    <w:rsid w:val="5F195895"/>
    <w:rsid w:val="5F441A26"/>
    <w:rsid w:val="5F592A0A"/>
    <w:rsid w:val="5F62370B"/>
    <w:rsid w:val="5F6F0BD8"/>
    <w:rsid w:val="5F93775D"/>
    <w:rsid w:val="5F9C0CD4"/>
    <w:rsid w:val="5F9D1EC6"/>
    <w:rsid w:val="5FBD065C"/>
    <w:rsid w:val="5FDB6AF1"/>
    <w:rsid w:val="5FE33B7B"/>
    <w:rsid w:val="60021F8F"/>
    <w:rsid w:val="600B289F"/>
    <w:rsid w:val="604307FB"/>
    <w:rsid w:val="60441AFF"/>
    <w:rsid w:val="604B148A"/>
    <w:rsid w:val="604B3CC4"/>
    <w:rsid w:val="606122A2"/>
    <w:rsid w:val="606A3F3D"/>
    <w:rsid w:val="60725AC7"/>
    <w:rsid w:val="60792ED3"/>
    <w:rsid w:val="60852569"/>
    <w:rsid w:val="60937300"/>
    <w:rsid w:val="60DA7F88"/>
    <w:rsid w:val="60E50004"/>
    <w:rsid w:val="611A085E"/>
    <w:rsid w:val="61297D5E"/>
    <w:rsid w:val="61326F92"/>
    <w:rsid w:val="61651BD7"/>
    <w:rsid w:val="619D55B4"/>
    <w:rsid w:val="61B23ED4"/>
    <w:rsid w:val="61B31956"/>
    <w:rsid w:val="61BB5003"/>
    <w:rsid w:val="61C1372F"/>
    <w:rsid w:val="61C75237"/>
    <w:rsid w:val="61C83E7A"/>
    <w:rsid w:val="62022090"/>
    <w:rsid w:val="620A2365"/>
    <w:rsid w:val="620E64B4"/>
    <w:rsid w:val="621020BF"/>
    <w:rsid w:val="62142748"/>
    <w:rsid w:val="62693A03"/>
    <w:rsid w:val="62694A8B"/>
    <w:rsid w:val="62767495"/>
    <w:rsid w:val="628766E4"/>
    <w:rsid w:val="629422C9"/>
    <w:rsid w:val="62BB1B2D"/>
    <w:rsid w:val="62C45016"/>
    <w:rsid w:val="62D96BBE"/>
    <w:rsid w:val="62E1287D"/>
    <w:rsid w:val="62ED1D08"/>
    <w:rsid w:val="62ED61DB"/>
    <w:rsid w:val="63282B3C"/>
    <w:rsid w:val="63351AF5"/>
    <w:rsid w:val="63357787"/>
    <w:rsid w:val="63375355"/>
    <w:rsid w:val="63490AF3"/>
    <w:rsid w:val="634F29FC"/>
    <w:rsid w:val="6353387F"/>
    <w:rsid w:val="63862779"/>
    <w:rsid w:val="63896E25"/>
    <w:rsid w:val="638A3ADA"/>
    <w:rsid w:val="63973F0B"/>
    <w:rsid w:val="63A60894"/>
    <w:rsid w:val="63A60C43"/>
    <w:rsid w:val="63A7308B"/>
    <w:rsid w:val="63A90A0B"/>
    <w:rsid w:val="63D227C6"/>
    <w:rsid w:val="63D30A57"/>
    <w:rsid w:val="63ED728E"/>
    <w:rsid w:val="63FC0596"/>
    <w:rsid w:val="63FD189B"/>
    <w:rsid w:val="6412273A"/>
    <w:rsid w:val="642A55C5"/>
    <w:rsid w:val="6430556D"/>
    <w:rsid w:val="64350C27"/>
    <w:rsid w:val="64415165"/>
    <w:rsid w:val="6446675C"/>
    <w:rsid w:val="64470CB0"/>
    <w:rsid w:val="64482C14"/>
    <w:rsid w:val="645038A3"/>
    <w:rsid w:val="645E2BB9"/>
    <w:rsid w:val="646464DE"/>
    <w:rsid w:val="648065F1"/>
    <w:rsid w:val="64837576"/>
    <w:rsid w:val="64913E49"/>
    <w:rsid w:val="649E6FEC"/>
    <w:rsid w:val="64A1578A"/>
    <w:rsid w:val="64AC4D44"/>
    <w:rsid w:val="64BE0654"/>
    <w:rsid w:val="64C115D9"/>
    <w:rsid w:val="64CE4172"/>
    <w:rsid w:val="64D07675"/>
    <w:rsid w:val="65007F96"/>
    <w:rsid w:val="652E1C0D"/>
    <w:rsid w:val="65316493"/>
    <w:rsid w:val="653C0F22"/>
    <w:rsid w:val="65453DB0"/>
    <w:rsid w:val="6546764A"/>
    <w:rsid w:val="655065BD"/>
    <w:rsid w:val="65544EC0"/>
    <w:rsid w:val="65652284"/>
    <w:rsid w:val="656C4695"/>
    <w:rsid w:val="656D4F75"/>
    <w:rsid w:val="65960337"/>
    <w:rsid w:val="65A26140"/>
    <w:rsid w:val="65B06CE3"/>
    <w:rsid w:val="65D27D1B"/>
    <w:rsid w:val="65D66F23"/>
    <w:rsid w:val="65D8629F"/>
    <w:rsid w:val="65F45BD4"/>
    <w:rsid w:val="661717FA"/>
    <w:rsid w:val="661754BB"/>
    <w:rsid w:val="66281856"/>
    <w:rsid w:val="66293129"/>
    <w:rsid w:val="66495BDD"/>
    <w:rsid w:val="667B76B0"/>
    <w:rsid w:val="668B220A"/>
    <w:rsid w:val="66912F06"/>
    <w:rsid w:val="669427D9"/>
    <w:rsid w:val="66A20184"/>
    <w:rsid w:val="66B36B3A"/>
    <w:rsid w:val="66CC6FAC"/>
    <w:rsid w:val="66DD330F"/>
    <w:rsid w:val="66F57DCC"/>
    <w:rsid w:val="6700790A"/>
    <w:rsid w:val="67173425"/>
    <w:rsid w:val="67244646"/>
    <w:rsid w:val="675C1913"/>
    <w:rsid w:val="6760755B"/>
    <w:rsid w:val="677E3A5B"/>
    <w:rsid w:val="67857B63"/>
    <w:rsid w:val="67963F4B"/>
    <w:rsid w:val="679900D4"/>
    <w:rsid w:val="67A96A9E"/>
    <w:rsid w:val="67BE0894"/>
    <w:rsid w:val="67CC69EB"/>
    <w:rsid w:val="67DA1203"/>
    <w:rsid w:val="67DE6387"/>
    <w:rsid w:val="67E74384"/>
    <w:rsid w:val="681F6BCA"/>
    <w:rsid w:val="682A60F2"/>
    <w:rsid w:val="68382E89"/>
    <w:rsid w:val="6838670D"/>
    <w:rsid w:val="683B0720"/>
    <w:rsid w:val="684A392F"/>
    <w:rsid w:val="685427BA"/>
    <w:rsid w:val="6858593D"/>
    <w:rsid w:val="685E30C9"/>
    <w:rsid w:val="686A4B26"/>
    <w:rsid w:val="68947D20"/>
    <w:rsid w:val="68950E03"/>
    <w:rsid w:val="68A747C2"/>
    <w:rsid w:val="68B50F84"/>
    <w:rsid w:val="68C74C2C"/>
    <w:rsid w:val="68CD6C00"/>
    <w:rsid w:val="68D11952"/>
    <w:rsid w:val="68D7221A"/>
    <w:rsid w:val="68DD3EDE"/>
    <w:rsid w:val="68DF6B1A"/>
    <w:rsid w:val="68F86E29"/>
    <w:rsid w:val="691D4401"/>
    <w:rsid w:val="6924760F"/>
    <w:rsid w:val="693252F2"/>
    <w:rsid w:val="6936054A"/>
    <w:rsid w:val="694F30D8"/>
    <w:rsid w:val="69680FB6"/>
    <w:rsid w:val="696D60A7"/>
    <w:rsid w:val="697E1A0C"/>
    <w:rsid w:val="699243C0"/>
    <w:rsid w:val="6998089C"/>
    <w:rsid w:val="699D3ABD"/>
    <w:rsid w:val="69A83335"/>
    <w:rsid w:val="69D61631"/>
    <w:rsid w:val="69DA0037"/>
    <w:rsid w:val="6A0A3F7F"/>
    <w:rsid w:val="6A0B4530"/>
    <w:rsid w:val="6A16241A"/>
    <w:rsid w:val="6A2A2C89"/>
    <w:rsid w:val="6A366D95"/>
    <w:rsid w:val="6A421AF3"/>
    <w:rsid w:val="6A481C33"/>
    <w:rsid w:val="6A565AC1"/>
    <w:rsid w:val="6A71241A"/>
    <w:rsid w:val="6AA33303"/>
    <w:rsid w:val="6AAC5B78"/>
    <w:rsid w:val="6AB6657A"/>
    <w:rsid w:val="6AB8181F"/>
    <w:rsid w:val="6AE12DE8"/>
    <w:rsid w:val="6AEB2E5A"/>
    <w:rsid w:val="6AF07B7F"/>
    <w:rsid w:val="6AF50401"/>
    <w:rsid w:val="6B113937"/>
    <w:rsid w:val="6B2931DC"/>
    <w:rsid w:val="6B2A53A5"/>
    <w:rsid w:val="6B4B4A16"/>
    <w:rsid w:val="6B4D720A"/>
    <w:rsid w:val="6B5B4CB0"/>
    <w:rsid w:val="6B67236B"/>
    <w:rsid w:val="6B6B3F10"/>
    <w:rsid w:val="6B714C55"/>
    <w:rsid w:val="6B7C2AF5"/>
    <w:rsid w:val="6B9051ED"/>
    <w:rsid w:val="6B92518A"/>
    <w:rsid w:val="6BBA2ACB"/>
    <w:rsid w:val="6BBB054D"/>
    <w:rsid w:val="6BD805A3"/>
    <w:rsid w:val="6BDA4B23"/>
    <w:rsid w:val="6BDF49BE"/>
    <w:rsid w:val="6BF419AB"/>
    <w:rsid w:val="6C12315A"/>
    <w:rsid w:val="6C27567D"/>
    <w:rsid w:val="6C3D6FDE"/>
    <w:rsid w:val="6C585E4D"/>
    <w:rsid w:val="6C60590E"/>
    <w:rsid w:val="6C642F64"/>
    <w:rsid w:val="6C76177A"/>
    <w:rsid w:val="6C845A17"/>
    <w:rsid w:val="6C8F23ED"/>
    <w:rsid w:val="6CA32A49"/>
    <w:rsid w:val="6CBC13F4"/>
    <w:rsid w:val="6CDE15A9"/>
    <w:rsid w:val="6CF644F8"/>
    <w:rsid w:val="6D415DCA"/>
    <w:rsid w:val="6D441ECE"/>
    <w:rsid w:val="6D7029B4"/>
    <w:rsid w:val="6D721E1C"/>
    <w:rsid w:val="6D7F36B1"/>
    <w:rsid w:val="6D9013CC"/>
    <w:rsid w:val="6D9754E1"/>
    <w:rsid w:val="6DA20D9B"/>
    <w:rsid w:val="6DC61A61"/>
    <w:rsid w:val="6DD540BF"/>
    <w:rsid w:val="6DDC3A4A"/>
    <w:rsid w:val="6DF67E77"/>
    <w:rsid w:val="6E0141C3"/>
    <w:rsid w:val="6E087D91"/>
    <w:rsid w:val="6E0E1C9B"/>
    <w:rsid w:val="6E2E7FD1"/>
    <w:rsid w:val="6E35571D"/>
    <w:rsid w:val="6E3653DD"/>
    <w:rsid w:val="6E3B72E7"/>
    <w:rsid w:val="6E3D27EA"/>
    <w:rsid w:val="6E480033"/>
    <w:rsid w:val="6E4C7F75"/>
    <w:rsid w:val="6E4D6B76"/>
    <w:rsid w:val="6E955259"/>
    <w:rsid w:val="6EA35A11"/>
    <w:rsid w:val="6EB23262"/>
    <w:rsid w:val="6EB35C70"/>
    <w:rsid w:val="6EDC4CE6"/>
    <w:rsid w:val="6EE861C4"/>
    <w:rsid w:val="6EEC07DF"/>
    <w:rsid w:val="6EF66AD2"/>
    <w:rsid w:val="6F0D5441"/>
    <w:rsid w:val="6F491A22"/>
    <w:rsid w:val="6F5E4EA6"/>
    <w:rsid w:val="6F601648"/>
    <w:rsid w:val="6F6B2453"/>
    <w:rsid w:val="6F7C6A57"/>
    <w:rsid w:val="6F8B7F0D"/>
    <w:rsid w:val="6F8D1212"/>
    <w:rsid w:val="6F9F69C8"/>
    <w:rsid w:val="6FA556EE"/>
    <w:rsid w:val="6FB15A3A"/>
    <w:rsid w:val="6FE029F3"/>
    <w:rsid w:val="6FE518A1"/>
    <w:rsid w:val="6FF26D31"/>
    <w:rsid w:val="700F26E5"/>
    <w:rsid w:val="700F38B8"/>
    <w:rsid w:val="701A4279"/>
    <w:rsid w:val="701B1D7B"/>
    <w:rsid w:val="70254F60"/>
    <w:rsid w:val="7028360F"/>
    <w:rsid w:val="703204C7"/>
    <w:rsid w:val="703D7D31"/>
    <w:rsid w:val="705047D3"/>
    <w:rsid w:val="706A537D"/>
    <w:rsid w:val="707520CA"/>
    <w:rsid w:val="70845F27"/>
    <w:rsid w:val="709D48D3"/>
    <w:rsid w:val="70A20D5A"/>
    <w:rsid w:val="70B14F4F"/>
    <w:rsid w:val="71083F82"/>
    <w:rsid w:val="711B771F"/>
    <w:rsid w:val="712A3909"/>
    <w:rsid w:val="712C4375"/>
    <w:rsid w:val="713B43D1"/>
    <w:rsid w:val="714F696B"/>
    <w:rsid w:val="716E3C04"/>
    <w:rsid w:val="716F13A8"/>
    <w:rsid w:val="71710A75"/>
    <w:rsid w:val="71782C84"/>
    <w:rsid w:val="718F7D5F"/>
    <w:rsid w:val="719802C0"/>
    <w:rsid w:val="71994237"/>
    <w:rsid w:val="719E6674"/>
    <w:rsid w:val="71A6120E"/>
    <w:rsid w:val="71AB656F"/>
    <w:rsid w:val="71BB3A25"/>
    <w:rsid w:val="71C61DB6"/>
    <w:rsid w:val="71C938C1"/>
    <w:rsid w:val="71DC3F5A"/>
    <w:rsid w:val="71EC1FF6"/>
    <w:rsid w:val="72047601"/>
    <w:rsid w:val="720E5A2E"/>
    <w:rsid w:val="721852F9"/>
    <w:rsid w:val="72204641"/>
    <w:rsid w:val="722E4373"/>
    <w:rsid w:val="72442685"/>
    <w:rsid w:val="72496FD9"/>
    <w:rsid w:val="72592EFF"/>
    <w:rsid w:val="72612386"/>
    <w:rsid w:val="727C303A"/>
    <w:rsid w:val="728F637A"/>
    <w:rsid w:val="72B1118B"/>
    <w:rsid w:val="72B461BC"/>
    <w:rsid w:val="72E81551"/>
    <w:rsid w:val="72EB1075"/>
    <w:rsid w:val="72FF2DB8"/>
    <w:rsid w:val="73077A4A"/>
    <w:rsid w:val="730D5951"/>
    <w:rsid w:val="73180F7E"/>
    <w:rsid w:val="733337C8"/>
    <w:rsid w:val="73437495"/>
    <w:rsid w:val="7348547B"/>
    <w:rsid w:val="734C1F39"/>
    <w:rsid w:val="73532842"/>
    <w:rsid w:val="73553B3B"/>
    <w:rsid w:val="735D7EA8"/>
    <w:rsid w:val="736153DB"/>
    <w:rsid w:val="73890EAB"/>
    <w:rsid w:val="73A171F0"/>
    <w:rsid w:val="73DD49A4"/>
    <w:rsid w:val="74027CCB"/>
    <w:rsid w:val="74123008"/>
    <w:rsid w:val="74445FEC"/>
    <w:rsid w:val="74512765"/>
    <w:rsid w:val="74556642"/>
    <w:rsid w:val="746A689B"/>
    <w:rsid w:val="746F6ABF"/>
    <w:rsid w:val="74747C81"/>
    <w:rsid w:val="747E6AAC"/>
    <w:rsid w:val="748677F4"/>
    <w:rsid w:val="749B1C51"/>
    <w:rsid w:val="74C0081A"/>
    <w:rsid w:val="74DD0898"/>
    <w:rsid w:val="74E83C2C"/>
    <w:rsid w:val="74F53273"/>
    <w:rsid w:val="75131B69"/>
    <w:rsid w:val="75180F2F"/>
    <w:rsid w:val="75244CBB"/>
    <w:rsid w:val="75394C61"/>
    <w:rsid w:val="75465EF4"/>
    <w:rsid w:val="75493652"/>
    <w:rsid w:val="7556678F"/>
    <w:rsid w:val="756A5430"/>
    <w:rsid w:val="75812E57"/>
    <w:rsid w:val="759D1102"/>
    <w:rsid w:val="75A00D0D"/>
    <w:rsid w:val="75A2588B"/>
    <w:rsid w:val="75AD719E"/>
    <w:rsid w:val="75B7241E"/>
    <w:rsid w:val="75C77D48"/>
    <w:rsid w:val="75E64D79"/>
    <w:rsid w:val="762A586E"/>
    <w:rsid w:val="763933D7"/>
    <w:rsid w:val="76442B95"/>
    <w:rsid w:val="765D5CBD"/>
    <w:rsid w:val="76637BC6"/>
    <w:rsid w:val="76645648"/>
    <w:rsid w:val="766A10E0"/>
    <w:rsid w:val="766B0105"/>
    <w:rsid w:val="76903014"/>
    <w:rsid w:val="769A0719"/>
    <w:rsid w:val="769B35A3"/>
    <w:rsid w:val="769F132D"/>
    <w:rsid w:val="76AA3C32"/>
    <w:rsid w:val="76F16531"/>
    <w:rsid w:val="76F64BC9"/>
    <w:rsid w:val="76FB48C2"/>
    <w:rsid w:val="76FD3648"/>
    <w:rsid w:val="77101C49"/>
    <w:rsid w:val="77384726"/>
    <w:rsid w:val="774849C1"/>
    <w:rsid w:val="7751784F"/>
    <w:rsid w:val="77571758"/>
    <w:rsid w:val="775C3661"/>
    <w:rsid w:val="775C3EE3"/>
    <w:rsid w:val="777A2C11"/>
    <w:rsid w:val="77850FA2"/>
    <w:rsid w:val="778A0CAD"/>
    <w:rsid w:val="77C4430A"/>
    <w:rsid w:val="77E9454A"/>
    <w:rsid w:val="77F17D12"/>
    <w:rsid w:val="77FC7CE8"/>
    <w:rsid w:val="780D5A03"/>
    <w:rsid w:val="780D6FA2"/>
    <w:rsid w:val="78121F73"/>
    <w:rsid w:val="78217CF6"/>
    <w:rsid w:val="782E39BA"/>
    <w:rsid w:val="7832223B"/>
    <w:rsid w:val="783D0751"/>
    <w:rsid w:val="784B54E8"/>
    <w:rsid w:val="784C0D6B"/>
    <w:rsid w:val="784D67ED"/>
    <w:rsid w:val="785B7D01"/>
    <w:rsid w:val="787034D3"/>
    <w:rsid w:val="787B4A5A"/>
    <w:rsid w:val="78807F41"/>
    <w:rsid w:val="788479DD"/>
    <w:rsid w:val="7887642F"/>
    <w:rsid w:val="78905D4D"/>
    <w:rsid w:val="78972AD3"/>
    <w:rsid w:val="789D7871"/>
    <w:rsid w:val="78A4749A"/>
    <w:rsid w:val="78A60180"/>
    <w:rsid w:val="78EC60C3"/>
    <w:rsid w:val="790117FE"/>
    <w:rsid w:val="791474DA"/>
    <w:rsid w:val="7922554C"/>
    <w:rsid w:val="79314EE8"/>
    <w:rsid w:val="79373B18"/>
    <w:rsid w:val="79662FDD"/>
    <w:rsid w:val="796E4346"/>
    <w:rsid w:val="79992C0C"/>
    <w:rsid w:val="79AC1C2C"/>
    <w:rsid w:val="79C922CD"/>
    <w:rsid w:val="79CC7F63"/>
    <w:rsid w:val="79D46762"/>
    <w:rsid w:val="79FF03B2"/>
    <w:rsid w:val="79FF507B"/>
    <w:rsid w:val="7A056A71"/>
    <w:rsid w:val="7A2931FE"/>
    <w:rsid w:val="7A3A6520"/>
    <w:rsid w:val="7A4430A5"/>
    <w:rsid w:val="7A4773C4"/>
    <w:rsid w:val="7A824B17"/>
    <w:rsid w:val="7A831FB1"/>
    <w:rsid w:val="7A864F99"/>
    <w:rsid w:val="7A8928DD"/>
    <w:rsid w:val="7A9863B2"/>
    <w:rsid w:val="7AA159BD"/>
    <w:rsid w:val="7AA52A09"/>
    <w:rsid w:val="7AD752BA"/>
    <w:rsid w:val="7AD81433"/>
    <w:rsid w:val="7B0C506C"/>
    <w:rsid w:val="7B256A92"/>
    <w:rsid w:val="7B2A76EA"/>
    <w:rsid w:val="7B2A7E9F"/>
    <w:rsid w:val="7B5F28F8"/>
    <w:rsid w:val="7B6334FC"/>
    <w:rsid w:val="7B8B33BC"/>
    <w:rsid w:val="7BC703CE"/>
    <w:rsid w:val="7BE75CD4"/>
    <w:rsid w:val="7BEA167F"/>
    <w:rsid w:val="7BEF1933"/>
    <w:rsid w:val="7C0307BC"/>
    <w:rsid w:val="7C1830A2"/>
    <w:rsid w:val="7C453E0E"/>
    <w:rsid w:val="7C5B14A4"/>
    <w:rsid w:val="7C6565A2"/>
    <w:rsid w:val="7C682DAA"/>
    <w:rsid w:val="7C694FA8"/>
    <w:rsid w:val="7C8C66DD"/>
    <w:rsid w:val="7CB334F6"/>
    <w:rsid w:val="7CB41BA4"/>
    <w:rsid w:val="7CB65BDA"/>
    <w:rsid w:val="7CCA4E08"/>
    <w:rsid w:val="7CD5595C"/>
    <w:rsid w:val="7CEB7B00"/>
    <w:rsid w:val="7D034920"/>
    <w:rsid w:val="7D0D5738"/>
    <w:rsid w:val="7D156746"/>
    <w:rsid w:val="7D225826"/>
    <w:rsid w:val="7D233B36"/>
    <w:rsid w:val="7D3D20C1"/>
    <w:rsid w:val="7D3D4087"/>
    <w:rsid w:val="7D4023B4"/>
    <w:rsid w:val="7D417DE5"/>
    <w:rsid w:val="7D466F9B"/>
    <w:rsid w:val="7D842909"/>
    <w:rsid w:val="7DA87168"/>
    <w:rsid w:val="7DAE699B"/>
    <w:rsid w:val="7DD2457A"/>
    <w:rsid w:val="7DD32A6D"/>
    <w:rsid w:val="7DDC070D"/>
    <w:rsid w:val="7DFD6E51"/>
    <w:rsid w:val="7DFE31CB"/>
    <w:rsid w:val="7DFE8CC6"/>
    <w:rsid w:val="7E041453"/>
    <w:rsid w:val="7E140867"/>
    <w:rsid w:val="7E3002D4"/>
    <w:rsid w:val="7E375323"/>
    <w:rsid w:val="7E474530"/>
    <w:rsid w:val="7E4F05D8"/>
    <w:rsid w:val="7E535DCD"/>
    <w:rsid w:val="7E541651"/>
    <w:rsid w:val="7E6305E6"/>
    <w:rsid w:val="7EA6398F"/>
    <w:rsid w:val="7EAF2C64"/>
    <w:rsid w:val="7EBE327E"/>
    <w:rsid w:val="7EFB52E1"/>
    <w:rsid w:val="7EFF3E52"/>
    <w:rsid w:val="7F0D0A7F"/>
    <w:rsid w:val="7F162659"/>
    <w:rsid w:val="7F182693"/>
    <w:rsid w:val="7F25162F"/>
    <w:rsid w:val="7F294B2C"/>
    <w:rsid w:val="7F3818C3"/>
    <w:rsid w:val="7F402553"/>
    <w:rsid w:val="7F566A0E"/>
    <w:rsid w:val="7F652792"/>
    <w:rsid w:val="7F7A251D"/>
    <w:rsid w:val="7F7D695E"/>
    <w:rsid w:val="7F830620"/>
    <w:rsid w:val="7F8B38CC"/>
    <w:rsid w:val="7F971F31"/>
    <w:rsid w:val="7FA73739"/>
    <w:rsid w:val="7FAD4754"/>
    <w:rsid w:val="7FB86DEC"/>
    <w:rsid w:val="7FBB0538"/>
    <w:rsid w:val="7FC13DA6"/>
    <w:rsid w:val="7FC71C2E"/>
    <w:rsid w:val="7FDC63E8"/>
    <w:rsid w:val="7FE83C65"/>
    <w:rsid w:val="7FEA29EC"/>
    <w:rsid w:val="7FFD6189"/>
    <w:rsid w:val="EDEA7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5"/>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link w:val="69"/>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2"/>
    <w:unhideWhenUsed/>
    <w:qFormat/>
    <w:uiPriority w:val="99"/>
    <w:pPr>
      <w:ind w:firstLine="420" w:firstLineChars="200"/>
    </w:pPr>
    <w:rPr>
      <w:rFonts w:ascii="Times New Roman" w:hAnsi="Times New Roman"/>
    </w:rPr>
  </w:style>
  <w:style w:type="paragraph" w:styleId="3">
    <w:name w:val="Body Text Indent"/>
    <w:basedOn w:val="1"/>
    <w:next w:val="1"/>
    <w:link w:val="37"/>
    <w:qFormat/>
    <w:uiPriority w:val="0"/>
    <w:pPr>
      <w:spacing w:after="120"/>
      <w:ind w:left="420" w:leftChars="200"/>
    </w:pPr>
    <w:rPr>
      <w:rFonts w:ascii="Calibri" w:hAnsi="Calibri"/>
    </w:rPr>
  </w:style>
  <w:style w:type="paragraph" w:styleId="7">
    <w:name w:val="Normal Indent"/>
    <w:basedOn w:val="1"/>
    <w:next w:val="1"/>
    <w:link w:val="47"/>
    <w:qFormat/>
    <w:uiPriority w:val="0"/>
    <w:pPr>
      <w:ind w:firstLine="420"/>
    </w:pPr>
    <w:rPr>
      <w:szCs w:val="20"/>
    </w:rPr>
  </w:style>
  <w:style w:type="paragraph" w:styleId="8">
    <w:name w:val="annotation text"/>
    <w:basedOn w:val="1"/>
    <w:link w:val="66"/>
    <w:qFormat/>
    <w:uiPriority w:val="0"/>
    <w:pPr>
      <w:jc w:val="left"/>
    </w:pPr>
    <w:rPr>
      <w:rFonts w:ascii="Tahoma" w:hAnsi="Tahoma"/>
    </w:rPr>
  </w:style>
  <w:style w:type="paragraph" w:styleId="9">
    <w:name w:val="Body Text"/>
    <w:basedOn w:val="1"/>
    <w:next w:val="1"/>
    <w:link w:val="36"/>
    <w:qFormat/>
    <w:uiPriority w:val="0"/>
    <w:pPr>
      <w:spacing w:after="12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8"/>
    <w:qFormat/>
    <w:uiPriority w:val="99"/>
    <w:pPr>
      <w:spacing w:beforeLines="50" w:afterLines="50" w:line="400" w:lineRule="exact"/>
    </w:pPr>
    <w:rPr>
      <w:rFonts w:ascii="宋体" w:hAnsi="Courier New"/>
      <w:sz w:val="24"/>
    </w:rPr>
  </w:style>
  <w:style w:type="paragraph" w:styleId="13">
    <w:name w:val="Date"/>
    <w:basedOn w:val="1"/>
    <w:next w:val="1"/>
    <w:qFormat/>
    <w:uiPriority w:val="0"/>
    <w:pPr>
      <w:ind w:leftChars="2500"/>
    </w:pPr>
    <w:rPr>
      <w:rFonts w:ascii="Times New Roman" w:hAnsi="Times New Roman" w:eastAsia="楷体_GB2312" w:cs="Times New Roman"/>
      <w:sz w:val="32"/>
      <w:szCs w:val="20"/>
    </w:rPr>
  </w:style>
  <w:style w:type="paragraph" w:styleId="14">
    <w:name w:val="Body Text Indent 2"/>
    <w:basedOn w:val="1"/>
    <w:link w:val="61"/>
    <w:unhideWhenUsed/>
    <w:qFormat/>
    <w:uiPriority w:val="99"/>
    <w:pPr>
      <w:spacing w:after="120" w:line="480" w:lineRule="auto"/>
      <w:ind w:left="420" w:leftChars="200"/>
    </w:pPr>
  </w:style>
  <w:style w:type="paragraph" w:styleId="15">
    <w:name w:val="Balloon Text"/>
    <w:basedOn w:val="1"/>
    <w:link w:val="45"/>
    <w:unhideWhenUsed/>
    <w:qFormat/>
    <w:uiPriority w:val="0"/>
    <w:rPr>
      <w:sz w:val="18"/>
      <w:szCs w:val="18"/>
    </w:rPr>
  </w:style>
  <w:style w:type="paragraph" w:styleId="16">
    <w:name w:val="footer"/>
    <w:basedOn w:val="1"/>
    <w:link w:val="39"/>
    <w:unhideWhenUsed/>
    <w:qFormat/>
    <w:uiPriority w:val="0"/>
    <w:pPr>
      <w:tabs>
        <w:tab w:val="center" w:pos="4153"/>
        <w:tab w:val="right" w:pos="8306"/>
      </w:tabs>
      <w:snapToGrid w:val="0"/>
      <w:jc w:val="left"/>
    </w:pPr>
    <w:rPr>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w:basedOn w:val="9"/>
    <w:next w:val="2"/>
    <w:qFormat/>
    <w:uiPriority w:val="0"/>
    <w:pPr>
      <w:ind w:firstLine="420" w:firstLineChars="1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List Paragraph"/>
    <w:basedOn w:val="1"/>
    <w:qFormat/>
    <w:uiPriority w:val="0"/>
    <w:pPr>
      <w:spacing w:line="360" w:lineRule="auto"/>
      <w:ind w:firstLine="420" w:firstLineChars="200"/>
    </w:pPr>
    <w:rPr>
      <w:rFonts w:ascii="Calibri" w:hAnsi="Calibri"/>
      <w:szCs w:val="22"/>
    </w:rPr>
  </w:style>
  <w:style w:type="character" w:customStyle="1" w:styleId="35">
    <w:name w:val="标题 2 Char"/>
    <w:basedOn w:val="26"/>
    <w:link w:val="5"/>
    <w:qFormat/>
    <w:uiPriority w:val="0"/>
    <w:rPr>
      <w:rFonts w:ascii="宋体" w:hAnsi="宋体" w:eastAsia="宋体" w:cs="Times New Roman"/>
      <w:b/>
      <w:bCs/>
      <w:sz w:val="24"/>
      <w:szCs w:val="24"/>
    </w:rPr>
  </w:style>
  <w:style w:type="character" w:customStyle="1" w:styleId="36">
    <w:name w:val="正文文本 Char"/>
    <w:basedOn w:val="26"/>
    <w:link w:val="9"/>
    <w:qFormat/>
    <w:uiPriority w:val="0"/>
    <w:rPr>
      <w:rFonts w:ascii="Calibri" w:hAnsi="Calibri" w:eastAsia="宋体" w:cs="Times New Roman"/>
      <w:szCs w:val="24"/>
    </w:rPr>
  </w:style>
  <w:style w:type="character" w:customStyle="1" w:styleId="37">
    <w:name w:val="正文文本缩进 Char"/>
    <w:basedOn w:val="26"/>
    <w:link w:val="3"/>
    <w:qFormat/>
    <w:uiPriority w:val="0"/>
    <w:rPr>
      <w:rFonts w:ascii="Calibri" w:hAnsi="Calibri" w:eastAsia="宋体" w:cs="Times New Roman"/>
      <w:szCs w:val="24"/>
    </w:rPr>
  </w:style>
  <w:style w:type="character" w:customStyle="1" w:styleId="38">
    <w:name w:val="纯文本 Char"/>
    <w:basedOn w:val="26"/>
    <w:link w:val="12"/>
    <w:qFormat/>
    <w:uiPriority w:val="99"/>
    <w:rPr>
      <w:rFonts w:ascii="宋体" w:hAnsi="Courier New" w:eastAsia="宋体" w:cs="Times New Roman"/>
      <w:sz w:val="24"/>
      <w:szCs w:val="24"/>
    </w:rPr>
  </w:style>
  <w:style w:type="character" w:customStyle="1" w:styleId="39">
    <w:name w:val="页脚 Char"/>
    <w:basedOn w:val="26"/>
    <w:link w:val="16"/>
    <w:qFormat/>
    <w:uiPriority w:val="0"/>
    <w:rPr>
      <w:rFonts w:ascii="Times New Roman" w:hAnsi="Times New Roman" w:eastAsia="宋体" w:cs="Times New Roman"/>
      <w:sz w:val="18"/>
      <w:szCs w:val="18"/>
    </w:rPr>
  </w:style>
  <w:style w:type="character" w:customStyle="1" w:styleId="40">
    <w:name w:val="页眉 Char"/>
    <w:basedOn w:val="26"/>
    <w:link w:val="17"/>
    <w:qFormat/>
    <w:uiPriority w:val="0"/>
    <w:rPr>
      <w:rFonts w:ascii="Times New Roman" w:hAnsi="Times New Roman" w:eastAsia="宋体" w:cs="Times New Roman"/>
      <w:sz w:val="18"/>
      <w:szCs w:val="18"/>
    </w:rPr>
  </w:style>
  <w:style w:type="character" w:customStyle="1" w:styleId="41">
    <w:name w:val="正文文本 2 Char"/>
    <w:basedOn w:val="26"/>
    <w:link w:val="20"/>
    <w:qFormat/>
    <w:uiPriority w:val="0"/>
    <w:rPr>
      <w:rFonts w:ascii="宋体" w:hAnsi="宋体" w:eastAsia="宋体" w:cs="Times New Roman"/>
      <w:color w:val="000000"/>
      <w:sz w:val="24"/>
      <w:szCs w:val="24"/>
    </w:rPr>
  </w:style>
  <w:style w:type="character" w:customStyle="1" w:styleId="42">
    <w:name w:val="正文首行缩进 2 Char"/>
    <w:basedOn w:val="37"/>
    <w:link w:val="2"/>
    <w:semiHidden/>
    <w:qFormat/>
    <w:uiPriority w:val="99"/>
    <w:rPr>
      <w:rFonts w:ascii="Times New Roman" w:hAnsi="Times New Roman" w:eastAsia="宋体" w:cs="Times New Roman"/>
      <w:szCs w:val="24"/>
    </w:rPr>
  </w:style>
  <w:style w:type="paragraph" w:customStyle="1" w:styleId="43">
    <w:name w:val="*正文"/>
    <w:basedOn w:val="1"/>
    <w:link w:val="92"/>
    <w:qFormat/>
    <w:uiPriority w:val="0"/>
    <w:pPr>
      <w:spacing w:line="360" w:lineRule="auto"/>
      <w:ind w:firstLine="200" w:firstLineChars="200"/>
    </w:pPr>
    <w:rPr>
      <w:rFonts w:ascii="宋体" w:hAnsi="宋体" w:cstheme="minorBidi"/>
      <w:sz w:val="22"/>
    </w:rPr>
  </w:style>
  <w:style w:type="character" w:customStyle="1" w:styleId="44">
    <w:name w:val="font61"/>
    <w:basedOn w:val="26"/>
    <w:qFormat/>
    <w:uiPriority w:val="0"/>
    <w:rPr>
      <w:rFonts w:hint="eastAsia" w:ascii="宋体" w:hAnsi="宋体" w:eastAsia="宋体" w:cs="宋体"/>
      <w:color w:val="000000"/>
      <w:sz w:val="22"/>
      <w:szCs w:val="22"/>
      <w:u w:val="none"/>
    </w:rPr>
  </w:style>
  <w:style w:type="character" w:customStyle="1" w:styleId="45">
    <w:name w:val="批注框文本 Char"/>
    <w:basedOn w:val="26"/>
    <w:link w:val="15"/>
    <w:qFormat/>
    <w:uiPriority w:val="0"/>
    <w:rPr>
      <w:rFonts w:ascii="Times New Roman" w:hAnsi="Times New Roman" w:eastAsia="宋体" w:cs="Times New Roman"/>
      <w:sz w:val="18"/>
      <w:szCs w:val="18"/>
    </w:rPr>
  </w:style>
  <w:style w:type="character" w:customStyle="1" w:styleId="46">
    <w:name w:val="纯文本 Char1"/>
    <w:basedOn w:val="26"/>
    <w:qFormat/>
    <w:uiPriority w:val="0"/>
    <w:rPr>
      <w:rFonts w:ascii="宋体" w:hAnsi="Courier New" w:eastAsia="宋体" w:cs="Times New Roman"/>
      <w:sz w:val="24"/>
      <w:szCs w:val="24"/>
    </w:rPr>
  </w:style>
  <w:style w:type="character" w:customStyle="1" w:styleId="47">
    <w:name w:val="正文缩进 Char"/>
    <w:basedOn w:val="26"/>
    <w:link w:val="7"/>
    <w:qFormat/>
    <w:uiPriority w:val="0"/>
    <w:rPr>
      <w:rFonts w:ascii="Times New Roman" w:hAnsi="Times New Roman" w:eastAsia="宋体" w:cs="Times New Roman"/>
      <w:szCs w:val="20"/>
    </w:rPr>
  </w:style>
  <w:style w:type="character" w:customStyle="1" w:styleId="48">
    <w:name w:val="正文文本缩进 Char1"/>
    <w:basedOn w:val="26"/>
    <w:qFormat/>
    <w:uiPriority w:val="0"/>
    <w:rPr>
      <w:rFonts w:ascii="Calibri" w:hAnsi="Calibri" w:eastAsia="宋体" w:cs="Times New Roman"/>
      <w:szCs w:val="24"/>
    </w:rPr>
  </w:style>
  <w:style w:type="paragraph" w:customStyle="1" w:styleId="49">
    <w:name w:val="列出段落1"/>
    <w:basedOn w:val="1"/>
    <w:link w:val="93"/>
    <w:qFormat/>
    <w:uiPriority w:val="34"/>
    <w:pPr>
      <w:ind w:firstLine="420" w:firstLineChars="200"/>
    </w:pPr>
    <w:rPr>
      <w:rFonts w:ascii="Calibri" w:hAnsi="Calibri" w:cs="黑体"/>
    </w:rPr>
  </w:style>
  <w:style w:type="character" w:customStyle="1" w:styleId="50">
    <w:name w:val="font41"/>
    <w:basedOn w:val="26"/>
    <w:qFormat/>
    <w:uiPriority w:val="0"/>
    <w:rPr>
      <w:rFonts w:hint="eastAsia" w:ascii="宋体" w:hAnsi="宋体" w:eastAsia="宋体" w:cs="宋体"/>
      <w:b/>
      <w:color w:val="000000"/>
      <w:sz w:val="20"/>
      <w:szCs w:val="20"/>
      <w:u w:val="none"/>
    </w:rPr>
  </w:style>
  <w:style w:type="character" w:customStyle="1" w:styleId="51">
    <w:name w:val="标题 1 Char"/>
    <w:basedOn w:val="26"/>
    <w:link w:val="4"/>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6"/>
    <w:link w:val="14"/>
    <w:semiHidden/>
    <w:qFormat/>
    <w:uiPriority w:val="99"/>
    <w:rPr>
      <w:rFonts w:ascii="Times New Roman" w:hAnsi="Times New Roman" w:eastAsia="宋体" w:cs="Times New Roman"/>
      <w:szCs w:val="24"/>
    </w:rPr>
  </w:style>
  <w:style w:type="paragraph" w:customStyle="1" w:styleId="62">
    <w:name w:val="正文1"/>
    <w:basedOn w:val="1"/>
    <w:next w:val="63"/>
    <w:qFormat/>
    <w:uiPriority w:val="0"/>
    <w:pPr>
      <w:adjustRightInd w:val="0"/>
      <w:spacing w:line="318" w:lineRule="atLeast"/>
      <w:ind w:left="369" w:firstLine="369"/>
      <w:textAlignment w:val="baseline"/>
    </w:pPr>
    <w:rPr>
      <w:rFonts w:ascii="宋体"/>
      <w:szCs w:val="20"/>
    </w:rPr>
  </w:style>
  <w:style w:type="paragraph" w:customStyle="1" w:styleId="63">
    <w:name w:val="正文文本1"/>
    <w:basedOn w:val="62"/>
    <w:next w:val="64"/>
    <w:qFormat/>
    <w:uiPriority w:val="0"/>
    <w:rPr>
      <w:rFonts w:ascii="Tahoma" w:hAnsi="Tahoma"/>
      <w:sz w:val="28"/>
    </w:rPr>
  </w:style>
  <w:style w:type="paragraph" w:customStyle="1" w:styleId="64">
    <w:name w:val="正文缩进1"/>
    <w:basedOn w:val="63"/>
    <w:qFormat/>
    <w:uiPriority w:val="0"/>
    <w:pPr>
      <w:ind w:firstLine="0"/>
    </w:pPr>
  </w:style>
  <w:style w:type="paragraph" w:customStyle="1" w:styleId="65">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6">
    <w:name w:val="批注文字 Char"/>
    <w:basedOn w:val="26"/>
    <w:link w:val="8"/>
    <w:qFormat/>
    <w:uiPriority w:val="0"/>
    <w:rPr>
      <w:rFonts w:ascii="Tahoma" w:hAnsi="Tahoma" w:eastAsia="宋体" w:cs="Times New Roman"/>
      <w:szCs w:val="24"/>
    </w:rPr>
  </w:style>
  <w:style w:type="character" w:customStyle="1" w:styleId="67">
    <w:name w:val="font11"/>
    <w:basedOn w:val="26"/>
    <w:qFormat/>
    <w:uiPriority w:val="0"/>
    <w:rPr>
      <w:rFonts w:hint="eastAsia" w:ascii="宋体" w:hAnsi="宋体" w:eastAsia="宋体" w:cs="宋体"/>
      <w:color w:val="000000"/>
      <w:sz w:val="23"/>
      <w:szCs w:val="23"/>
      <w:u w:val="none"/>
    </w:rPr>
  </w:style>
  <w:style w:type="character" w:customStyle="1" w:styleId="68">
    <w:name w:val="font31"/>
    <w:basedOn w:val="26"/>
    <w:qFormat/>
    <w:uiPriority w:val="0"/>
    <w:rPr>
      <w:rFonts w:hint="default" w:ascii="Times New Roman" w:hAnsi="Times New Roman" w:cs="Times New Roman"/>
      <w:color w:val="000000"/>
      <w:sz w:val="23"/>
      <w:szCs w:val="23"/>
      <w:u w:val="none"/>
    </w:rPr>
  </w:style>
  <w:style w:type="character" w:customStyle="1" w:styleId="69">
    <w:name w:val="标题 3 Char"/>
    <w:link w:val="6"/>
    <w:qFormat/>
    <w:locked/>
    <w:uiPriority w:val="0"/>
    <w:rPr>
      <w:rFonts w:eastAsia="楷体_GB2312"/>
      <w:b/>
      <w:bCs/>
      <w:szCs w:val="32"/>
    </w:rPr>
  </w:style>
  <w:style w:type="character" w:customStyle="1" w:styleId="70">
    <w:name w:val="font21"/>
    <w:basedOn w:val="26"/>
    <w:qFormat/>
    <w:uiPriority w:val="0"/>
    <w:rPr>
      <w:rFonts w:hint="eastAsia" w:ascii="宋体" w:hAnsi="宋体" w:eastAsia="宋体" w:cs="宋体"/>
      <w:color w:val="000000"/>
      <w:sz w:val="23"/>
      <w:szCs w:val="23"/>
      <w:u w:val="none"/>
    </w:rPr>
  </w:style>
  <w:style w:type="character" w:customStyle="1" w:styleId="71">
    <w:name w:val="font51"/>
    <w:basedOn w:val="26"/>
    <w:qFormat/>
    <w:uiPriority w:val="0"/>
    <w:rPr>
      <w:rFonts w:hint="default" w:ascii="Times New Roman" w:hAnsi="Times New Roman" w:cs="Times New Roman"/>
      <w:color w:val="000000"/>
      <w:sz w:val="23"/>
      <w:szCs w:val="23"/>
      <w:u w:val="none"/>
    </w:rPr>
  </w:style>
  <w:style w:type="character" w:customStyle="1" w:styleId="72">
    <w:name w:val="font81"/>
    <w:basedOn w:val="26"/>
    <w:qFormat/>
    <w:uiPriority w:val="0"/>
    <w:rPr>
      <w:rFonts w:hint="default" w:ascii="Times New Roman" w:hAnsi="Times New Roman" w:cs="Times New Roman"/>
      <w:b/>
      <w:color w:val="000000"/>
      <w:sz w:val="23"/>
      <w:szCs w:val="23"/>
      <w:u w:val="none"/>
    </w:rPr>
  </w:style>
  <w:style w:type="paragraph" w:customStyle="1" w:styleId="73">
    <w:name w:val="_Style 2"/>
    <w:basedOn w:val="1"/>
    <w:qFormat/>
    <w:uiPriority w:val="34"/>
    <w:pPr>
      <w:autoSpaceDE w:val="0"/>
      <w:autoSpaceDN w:val="0"/>
      <w:adjustRightInd w:val="0"/>
      <w:ind w:firstLine="420" w:firstLineChars="200"/>
    </w:pPr>
    <w:rPr>
      <w:color w:val="000000"/>
      <w:kern w:val="0"/>
      <w:szCs w:val="21"/>
    </w:rPr>
  </w:style>
  <w:style w:type="paragraph" w:customStyle="1" w:styleId="74">
    <w:name w:val="00正文"/>
    <w:basedOn w:val="1"/>
    <w:qFormat/>
    <w:uiPriority w:val="0"/>
    <w:pPr>
      <w:snapToGrid w:val="0"/>
      <w:spacing w:line="360" w:lineRule="exact"/>
      <w:ind w:firstLine="200" w:firstLineChars="200"/>
    </w:pPr>
    <w:rPr>
      <w:szCs w:val="22"/>
    </w:rPr>
  </w:style>
  <w:style w:type="character" w:customStyle="1" w:styleId="75">
    <w:name w:val="HTML 预设格式 Char"/>
    <w:basedOn w:val="26"/>
    <w:link w:val="21"/>
    <w:semiHidden/>
    <w:qFormat/>
    <w:uiPriority w:val="99"/>
    <w:rPr>
      <w:rFonts w:ascii="宋体" w:hAnsi="宋体"/>
      <w:sz w:val="24"/>
      <w:szCs w:val="24"/>
    </w:rPr>
  </w:style>
  <w:style w:type="character" w:customStyle="1" w:styleId="76">
    <w:name w:val="font01"/>
    <w:basedOn w:val="26"/>
    <w:qFormat/>
    <w:uiPriority w:val="0"/>
    <w:rPr>
      <w:rFonts w:hint="eastAsia" w:ascii="宋体" w:hAnsi="宋体" w:eastAsia="宋体" w:cs="宋体"/>
      <w:b/>
      <w:color w:val="000000"/>
      <w:sz w:val="36"/>
      <w:szCs w:val="36"/>
      <w:u w:val="none"/>
      <w:vertAlign w:val="subscript"/>
    </w:rPr>
  </w:style>
  <w:style w:type="character" w:customStyle="1" w:styleId="77">
    <w:name w:val="font122"/>
    <w:basedOn w:val="26"/>
    <w:qFormat/>
    <w:uiPriority w:val="0"/>
    <w:rPr>
      <w:rFonts w:hint="eastAsia" w:ascii="宋体" w:hAnsi="宋体" w:eastAsia="宋体" w:cs="宋体"/>
      <w:color w:val="000000"/>
      <w:sz w:val="24"/>
      <w:szCs w:val="24"/>
      <w:u w:val="none"/>
    </w:rPr>
  </w:style>
  <w:style w:type="paragraph" w:customStyle="1" w:styleId="78">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81">
    <w:name w:val="列出段落111"/>
    <w:basedOn w:val="1"/>
    <w:qFormat/>
    <w:uiPriority w:val="34"/>
    <w:pPr>
      <w:ind w:firstLine="420" w:firstLineChars="200"/>
    </w:pPr>
    <w:rPr>
      <w:rFonts w:ascii="Calibri" w:hAnsi="Calibri"/>
    </w:rPr>
  </w:style>
  <w:style w:type="paragraph" w:customStyle="1" w:styleId="82">
    <w:name w:val="Table Paragraph"/>
    <w:basedOn w:val="1"/>
    <w:qFormat/>
    <w:uiPriority w:val="1"/>
    <w:rPr>
      <w:rFonts w:ascii="仿宋" w:hAnsi="仿宋" w:eastAsia="仿宋" w:cs="仿宋"/>
      <w:lang w:val="zh-CN" w:bidi="zh-CN"/>
    </w:rPr>
  </w:style>
  <w:style w:type="character" w:customStyle="1" w:styleId="83">
    <w:name w:val="font71"/>
    <w:basedOn w:val="26"/>
    <w:qFormat/>
    <w:uiPriority w:val="0"/>
    <w:rPr>
      <w:rFonts w:hint="eastAsia" w:ascii="微软雅黑" w:hAnsi="微软雅黑" w:eastAsia="微软雅黑" w:cs="微软雅黑"/>
      <w:color w:val="000000"/>
      <w:sz w:val="18"/>
      <w:szCs w:val="18"/>
      <w:u w:val="none"/>
    </w:rPr>
  </w:style>
  <w:style w:type="character" w:customStyle="1" w:styleId="84">
    <w:name w:val="font91"/>
    <w:basedOn w:val="26"/>
    <w:qFormat/>
    <w:uiPriority w:val="0"/>
    <w:rPr>
      <w:rFonts w:ascii="Arial" w:hAnsi="Arial" w:cs="Arial"/>
      <w:color w:val="000000"/>
      <w:sz w:val="22"/>
      <w:szCs w:val="22"/>
      <w:u w:val="none"/>
    </w:rPr>
  </w:style>
  <w:style w:type="paragraph" w:customStyle="1" w:styleId="85">
    <w:name w:val="段落样式"/>
    <w:basedOn w:val="1"/>
    <w:next w:val="49"/>
    <w:qFormat/>
    <w:uiPriority w:val="0"/>
    <w:pPr>
      <w:ind w:firstLine="420" w:firstLineChars="200"/>
    </w:pPr>
    <w:rPr>
      <w:rFonts w:ascii="Calibri" w:hAnsi="Calibri" w:cs="Calibri"/>
      <w:sz w:val="20"/>
      <w:szCs w:val="20"/>
    </w:rPr>
  </w:style>
  <w:style w:type="paragraph" w:customStyle="1" w:styleId="86">
    <w:name w:val="列出段落11"/>
    <w:basedOn w:val="1"/>
    <w:qFormat/>
    <w:uiPriority w:val="34"/>
    <w:pPr>
      <w:ind w:firstLine="420" w:firstLineChars="200"/>
    </w:pPr>
    <w:rPr>
      <w:rFonts w:ascii="宋体" w:hAnsi="宋体" w:cs="Calibri"/>
      <w:sz w:val="24"/>
    </w:rPr>
  </w:style>
  <w:style w:type="paragraph" w:customStyle="1" w:styleId="87">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8">
    <w:name w:val="正文360首行缩进"/>
    <w:basedOn w:val="1"/>
    <w:qFormat/>
    <w:uiPriority w:val="0"/>
    <w:pPr>
      <w:widowControl/>
      <w:spacing w:before="120" w:line="300" w:lineRule="auto"/>
      <w:ind w:firstLine="200" w:firstLineChars="200"/>
      <w:jc w:val="left"/>
    </w:pPr>
    <w:rPr>
      <w:sz w:val="24"/>
      <w:szCs w:val="20"/>
    </w:rPr>
  </w:style>
  <w:style w:type="paragraph" w:customStyle="1" w:styleId="89">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90">
    <w:name w:val="Table Normal"/>
    <w:qFormat/>
    <w:uiPriority w:val="0"/>
    <w:tblPr>
      <w:tblCellMar>
        <w:top w:w="0" w:type="dxa"/>
        <w:left w:w="0" w:type="dxa"/>
        <w:bottom w:w="0" w:type="dxa"/>
        <w:right w:w="0" w:type="dxa"/>
      </w:tblCellMar>
    </w:tblPr>
  </w:style>
  <w:style w:type="character" w:customStyle="1" w:styleId="91">
    <w:name w:val="列表段落 字符"/>
    <w:qFormat/>
    <w:uiPriority w:val="34"/>
    <w:rPr>
      <w:rFonts w:ascii="Calibri" w:hAnsi="Calibri" w:eastAsia="宋体" w:cs="Times New Roman"/>
      <w:szCs w:val="22"/>
    </w:rPr>
  </w:style>
  <w:style w:type="character" w:customStyle="1" w:styleId="92">
    <w:name w:val="*正文 Char"/>
    <w:link w:val="43"/>
    <w:qFormat/>
    <w:uiPriority w:val="0"/>
    <w:rPr>
      <w:rFonts w:ascii="宋体" w:hAnsi="宋体" w:cstheme="minorBidi"/>
      <w:kern w:val="2"/>
      <w:sz w:val="22"/>
      <w:szCs w:val="24"/>
    </w:rPr>
  </w:style>
  <w:style w:type="character" w:customStyle="1" w:styleId="93">
    <w:name w:val="列出段落 Char"/>
    <w:link w:val="49"/>
    <w:qFormat/>
    <w:uiPriority w:val="34"/>
    <w:rPr>
      <w:rFonts w:ascii="Calibri" w:hAnsi="Calibri" w:cs="黑体"/>
      <w:kern w:val="2"/>
      <w:sz w:val="21"/>
      <w:szCs w:val="24"/>
    </w:rPr>
  </w:style>
  <w:style w:type="character" w:customStyle="1" w:styleId="94">
    <w:name w:val="ant-form-item-children"/>
    <w:basedOn w:val="26"/>
    <w:qFormat/>
    <w:uiPriority w:val="0"/>
  </w:style>
  <w:style w:type="paragraph" w:customStyle="1" w:styleId="95">
    <w:name w:val="表格文字"/>
    <w:basedOn w:val="1"/>
    <w:next w:val="9"/>
    <w:qFormat/>
    <w:uiPriority w:val="0"/>
    <w:pPr>
      <w:adjustRightInd w:val="0"/>
      <w:spacing w:line="420" w:lineRule="atLeast"/>
      <w:jc w:val="left"/>
      <w:textAlignment w:val="baseline"/>
    </w:pPr>
    <w:rPr>
      <w:rFonts w:ascii="Times New Roman" w:hAnsi="Times New Roman"/>
      <w:kern w:val="0"/>
    </w:rPr>
  </w:style>
  <w:style w:type="paragraph" w:customStyle="1" w:styleId="96">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97">
    <w:name w:val="_Style 3"/>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48122</Words>
  <Characters>49635</Characters>
  <Lines>247</Lines>
  <Paragraphs>69</Paragraphs>
  <TotalTime>47</TotalTime>
  <ScaleCrop>false</ScaleCrop>
  <LinksUpToDate>false</LinksUpToDate>
  <CharactersWithSpaces>51872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2020-10-14T07:13:00Z</dcterms:created>
  <dc:creator>gf</dc:creator>
  <cp:lastModifiedBy>Administrator</cp:lastModifiedBy>
  <cp:lastPrinted>2025-01-08T05:55:00Z</cp:lastPrinted>
  <dcterms:modified xsi:type="dcterms:W3CDTF">2025-03-04T07:02:06Z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21326CB0C09B7688E0BA7D63A875C0BC</vt:lpwstr>
  </property>
  <property fmtid="{D5CDD505-2E9C-101B-9397-08002B2CF9AE}" pid="4" name="KSOTemplateDocerSaveRecord">
    <vt:lpwstr>eyJoZGlkIjoiZjUwZjYzN2VmMDNjMzFiYTAxMmMyMjZhNWViYTFhYmIiLCJ1c2VySWQiOiI4MzI5ODEyNjgifQ==</vt:lpwstr>
  </property>
</Properties>
</file>