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5D8AC">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hanging="1606" w:hangingChars="500"/>
        <w:jc w:val="center"/>
        <w:textAlignment w:val="auto"/>
        <w:rPr>
          <w:rFonts w:hint="eastAsia" w:ascii="宋体" w:hAnsi="宋体" w:eastAsia="宋体" w:cs="宋体"/>
          <w:b/>
          <w:bCs w:val="0"/>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鄞州区新一代全民健康信息平台重构项目</w:t>
      </w:r>
    </w:p>
    <w:p w14:paraId="60792EB3">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hanging="1606" w:hangingChars="500"/>
        <w:jc w:val="center"/>
        <w:textAlignment w:val="auto"/>
        <w:rPr>
          <w:rFonts w:hint="eastAsia" w:ascii="宋体" w:hAnsi="宋体" w:eastAsia="宋体" w:cs="宋体"/>
          <w:b/>
          <w:bCs w:val="0"/>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采购需求征求意见公示</w:t>
      </w:r>
    </w:p>
    <w:p w14:paraId="3A591D51">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1111" w:leftChars="228" w:hanging="632" w:hangingChars="300"/>
        <w:jc w:val="both"/>
        <w:textAlignment w:val="auto"/>
        <w:rPr>
          <w:rFonts w:hint="default" w:ascii="Arial" w:hAnsi="Arial" w:cs="Arial"/>
          <w:b/>
          <w:bCs w:val="0"/>
          <w:color w:val="auto"/>
          <w:kern w:val="2"/>
          <w:sz w:val="21"/>
          <w:szCs w:val="21"/>
          <w:highlight w:val="none"/>
          <w:lang w:val="en-US" w:eastAsia="zh-CN" w:bidi="ar"/>
        </w:rPr>
      </w:pPr>
    </w:p>
    <w:p w14:paraId="6851515D">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left="1111" w:leftChars="228" w:hanging="632" w:hangingChars="300"/>
        <w:jc w:val="both"/>
        <w:textAlignment w:val="auto"/>
        <w:rPr>
          <w:rFonts w:hint="default" w:ascii="Arial" w:hAnsi="Arial" w:cs="Arial"/>
          <w:b/>
          <w:bCs w:val="0"/>
          <w:color w:val="auto"/>
          <w:kern w:val="2"/>
          <w:sz w:val="21"/>
          <w:szCs w:val="21"/>
          <w:highlight w:val="none"/>
          <w:lang w:val="en-US" w:eastAsia="zh-CN" w:bidi="ar"/>
        </w:rPr>
      </w:pPr>
      <w:r>
        <w:rPr>
          <w:rFonts w:hint="default" w:ascii="Arial" w:hAnsi="Arial" w:cs="Arial"/>
          <w:b/>
          <w:bCs w:val="0"/>
          <w:color w:val="auto"/>
          <w:kern w:val="2"/>
          <w:sz w:val="21"/>
          <w:szCs w:val="21"/>
          <w:highlight w:val="none"/>
          <w:lang w:val="en-US" w:eastAsia="zh-CN" w:bidi="ar"/>
        </w:rPr>
        <w:t>一、项目基本情况</w:t>
      </w:r>
    </w:p>
    <w:p w14:paraId="7B1F79DA">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left="1600" w:hanging="1050" w:hangingChars="500"/>
        <w:jc w:val="both"/>
        <w:textAlignment w:val="auto"/>
        <w:rPr>
          <w:rFonts w:hint="default" w:ascii="Arial" w:hAnsi="Arial" w:cs="Arial"/>
          <w:bCs/>
          <w:color w:val="auto"/>
          <w:kern w:val="2"/>
          <w:sz w:val="21"/>
          <w:szCs w:val="21"/>
          <w:highlight w:val="none"/>
          <w:lang w:val="en-US" w:eastAsia="zh-CN" w:bidi="ar"/>
        </w:rPr>
      </w:pPr>
      <w:r>
        <w:rPr>
          <w:rFonts w:hint="default" w:ascii="Arial" w:hAnsi="Arial" w:cs="Arial"/>
          <w:bCs/>
          <w:color w:val="auto"/>
          <w:kern w:val="2"/>
          <w:sz w:val="21"/>
          <w:szCs w:val="21"/>
          <w:highlight w:val="none"/>
          <w:lang w:val="en-US" w:eastAsia="zh-CN" w:bidi="ar"/>
        </w:rPr>
        <w:t xml:space="preserve">    项目名称：</w:t>
      </w:r>
      <w:r>
        <w:rPr>
          <w:rFonts w:hint="eastAsia" w:ascii="Arial" w:hAnsi="Arial" w:cs="Arial"/>
          <w:color w:val="auto"/>
          <w:sz w:val="21"/>
          <w:szCs w:val="21"/>
          <w:highlight w:val="none"/>
          <w:lang w:eastAsia="zh-CN"/>
        </w:rPr>
        <w:t>鄞州区新一代全民健康信息平台重构项目</w:t>
      </w:r>
    </w:p>
    <w:p w14:paraId="6CBEF8A4">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left="1600" w:hanging="1050" w:hangingChars="500"/>
        <w:jc w:val="both"/>
        <w:textAlignment w:val="auto"/>
        <w:rPr>
          <w:rFonts w:hint="default" w:ascii="Arial" w:hAnsi="Arial" w:cs="Arial"/>
          <w:bCs/>
          <w:color w:val="auto"/>
          <w:kern w:val="2"/>
          <w:sz w:val="21"/>
          <w:szCs w:val="21"/>
          <w:highlight w:val="none"/>
          <w:lang w:val="en-US" w:eastAsia="zh-CN" w:bidi="ar"/>
        </w:rPr>
      </w:pPr>
      <w:r>
        <w:rPr>
          <w:rFonts w:hint="default" w:ascii="Arial" w:hAnsi="Arial" w:cs="Arial"/>
          <w:bCs/>
          <w:color w:val="auto"/>
          <w:kern w:val="2"/>
          <w:sz w:val="21"/>
          <w:szCs w:val="21"/>
          <w:highlight w:val="none"/>
          <w:lang w:val="en-US" w:eastAsia="zh-CN" w:bidi="ar"/>
        </w:rPr>
        <w:t xml:space="preserve">    交易方式：政府采购</w:t>
      </w:r>
    </w:p>
    <w:p w14:paraId="31C733A2">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left="1600" w:hanging="1050" w:hangingChars="500"/>
        <w:jc w:val="both"/>
        <w:textAlignment w:val="auto"/>
        <w:rPr>
          <w:rFonts w:hint="default" w:ascii="Arial" w:hAnsi="Arial" w:cs="Arial"/>
          <w:bCs/>
          <w:color w:val="auto"/>
          <w:kern w:val="2"/>
          <w:sz w:val="21"/>
          <w:szCs w:val="21"/>
          <w:highlight w:val="none"/>
          <w:lang w:val="en-US" w:eastAsia="zh-CN" w:bidi="ar"/>
        </w:rPr>
      </w:pPr>
      <w:r>
        <w:rPr>
          <w:rFonts w:hint="default" w:ascii="Arial" w:hAnsi="Arial" w:cs="Arial"/>
          <w:bCs/>
          <w:color w:val="auto"/>
          <w:kern w:val="2"/>
          <w:sz w:val="21"/>
          <w:szCs w:val="21"/>
          <w:highlight w:val="none"/>
          <w:lang w:val="en-US" w:eastAsia="zh-CN" w:bidi="ar"/>
        </w:rPr>
        <w:t xml:space="preserve">    采购方式：公开招标</w:t>
      </w:r>
    </w:p>
    <w:p w14:paraId="06C4E110">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left="1600" w:hanging="1050" w:hangingChars="500"/>
        <w:jc w:val="both"/>
        <w:textAlignment w:val="auto"/>
        <w:rPr>
          <w:rFonts w:hint="default" w:ascii="Arial" w:hAnsi="Arial" w:cs="Arial"/>
          <w:bCs/>
          <w:color w:val="auto"/>
          <w:kern w:val="2"/>
          <w:sz w:val="21"/>
          <w:szCs w:val="21"/>
          <w:highlight w:val="none"/>
          <w:lang w:val="en-US" w:eastAsia="zh-CN" w:bidi="ar"/>
        </w:rPr>
      </w:pPr>
      <w:r>
        <w:rPr>
          <w:rFonts w:hint="default" w:ascii="Arial" w:hAnsi="Arial" w:cs="Arial"/>
          <w:bCs/>
          <w:color w:val="auto"/>
          <w:kern w:val="2"/>
          <w:sz w:val="21"/>
          <w:szCs w:val="21"/>
          <w:highlight w:val="none"/>
          <w:lang w:val="en-US" w:eastAsia="zh-CN" w:bidi="ar"/>
        </w:rPr>
        <w:t xml:space="preserve">    采购组织形式：分散采购</w:t>
      </w:r>
    </w:p>
    <w:p w14:paraId="39F8DF27">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left="1109" w:leftChars="228" w:hanging="630" w:hangingChars="300"/>
        <w:jc w:val="both"/>
        <w:textAlignment w:val="auto"/>
        <w:rPr>
          <w:rFonts w:hint="default" w:ascii="Arial" w:hAnsi="Arial" w:cs="Arial"/>
          <w:bCs/>
          <w:color w:val="auto"/>
          <w:kern w:val="2"/>
          <w:sz w:val="21"/>
          <w:szCs w:val="21"/>
          <w:highlight w:val="none"/>
          <w:lang w:val="en-US" w:eastAsia="zh-CN" w:bidi="ar"/>
        </w:rPr>
      </w:pPr>
      <w:r>
        <w:rPr>
          <w:rFonts w:hint="default" w:ascii="Arial" w:hAnsi="Arial" w:cs="Arial"/>
          <w:bCs/>
          <w:color w:val="auto"/>
          <w:kern w:val="2"/>
          <w:sz w:val="21"/>
          <w:szCs w:val="21"/>
          <w:highlight w:val="none"/>
          <w:lang w:val="en-US" w:eastAsia="zh-CN" w:bidi="ar"/>
        </w:rPr>
        <w:t>采购类别：</w:t>
      </w:r>
      <w:r>
        <w:rPr>
          <w:rFonts w:hint="eastAsia" w:ascii="Arial" w:hAnsi="Arial" w:cs="Arial"/>
          <w:bCs/>
          <w:color w:val="auto"/>
          <w:kern w:val="2"/>
          <w:sz w:val="21"/>
          <w:szCs w:val="21"/>
          <w:highlight w:val="none"/>
          <w:lang w:val="en-US" w:eastAsia="zh-CN" w:bidi="ar"/>
        </w:rPr>
        <w:t>货物</w:t>
      </w:r>
      <w:r>
        <w:rPr>
          <w:rFonts w:hint="default" w:ascii="Arial" w:hAnsi="Arial" w:cs="Arial"/>
          <w:bCs/>
          <w:color w:val="auto"/>
          <w:kern w:val="2"/>
          <w:sz w:val="21"/>
          <w:szCs w:val="21"/>
          <w:highlight w:val="none"/>
          <w:lang w:val="en-US" w:eastAsia="zh-CN" w:bidi="ar"/>
        </w:rPr>
        <w:t>类</w:t>
      </w:r>
    </w:p>
    <w:p w14:paraId="4D7E6CB1">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00" w:lineRule="exact"/>
        <w:ind w:firstLine="420" w:firstLineChars="200"/>
        <w:jc w:val="both"/>
        <w:textAlignment w:val="auto"/>
        <w:rPr>
          <w:rFonts w:hint="eastAsia" w:ascii="Arial" w:hAnsi="Arial" w:cs="Arial"/>
          <w:color w:val="auto"/>
          <w:sz w:val="21"/>
          <w:szCs w:val="21"/>
          <w:highlight w:val="none"/>
          <w:lang w:val="en-US" w:eastAsia="zh-CN"/>
        </w:rPr>
      </w:pPr>
      <w:r>
        <w:rPr>
          <w:rFonts w:hint="default" w:ascii="Arial" w:hAnsi="Arial" w:cs="Arial"/>
          <w:b w:val="0"/>
          <w:bCs/>
          <w:color w:val="auto"/>
          <w:kern w:val="2"/>
          <w:sz w:val="21"/>
          <w:szCs w:val="21"/>
          <w:highlight w:val="none"/>
          <w:lang w:val="en-US" w:eastAsia="zh-CN" w:bidi="ar"/>
        </w:rPr>
        <w:t>预算金额：</w:t>
      </w:r>
      <w:r>
        <w:rPr>
          <w:rFonts w:hint="eastAsia" w:ascii="Arial" w:hAnsi="Arial" w:cs="Arial"/>
          <w:color w:val="auto"/>
          <w:sz w:val="21"/>
          <w:szCs w:val="21"/>
          <w:highlight w:val="none"/>
          <w:lang w:val="en-US" w:eastAsia="zh-CN"/>
        </w:rPr>
        <w:t>47533600元</w:t>
      </w:r>
    </w:p>
    <w:p w14:paraId="5C5044A4">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00" w:lineRule="exact"/>
        <w:ind w:firstLine="420" w:firstLineChars="200"/>
        <w:jc w:val="both"/>
        <w:textAlignment w:val="auto"/>
        <w:rPr>
          <w:rFonts w:hint="default" w:ascii="Arial" w:hAnsi="Arial" w:cs="Arial"/>
          <w:b w:val="0"/>
          <w:bCs/>
          <w:color w:val="auto"/>
          <w:kern w:val="2"/>
          <w:sz w:val="21"/>
          <w:szCs w:val="21"/>
          <w:highlight w:val="none"/>
          <w:lang w:val="en-US" w:eastAsia="zh-CN" w:bidi="ar"/>
        </w:rPr>
      </w:pPr>
      <w:r>
        <w:rPr>
          <w:rFonts w:hint="default" w:ascii="Arial" w:hAnsi="Arial" w:cs="Arial"/>
          <w:b w:val="0"/>
          <w:bCs/>
          <w:color w:val="auto"/>
          <w:kern w:val="2"/>
          <w:sz w:val="21"/>
          <w:szCs w:val="21"/>
          <w:highlight w:val="none"/>
          <w:lang w:val="en-US" w:eastAsia="zh-CN" w:bidi="ar"/>
        </w:rPr>
        <w:t>最高限价：</w:t>
      </w:r>
      <w:r>
        <w:rPr>
          <w:rFonts w:hint="eastAsia" w:ascii="Arial" w:hAnsi="Arial" w:cs="Arial"/>
          <w:color w:val="auto"/>
          <w:sz w:val="21"/>
          <w:szCs w:val="21"/>
          <w:highlight w:val="none"/>
          <w:lang w:val="en-US" w:eastAsia="zh-CN"/>
        </w:rPr>
        <w:t>47533600元</w:t>
      </w:r>
    </w:p>
    <w:p w14:paraId="720591A3">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default" w:ascii="Arial" w:hAnsi="Arial" w:cs="Arial"/>
          <w:color w:val="auto"/>
          <w:sz w:val="21"/>
          <w:szCs w:val="21"/>
          <w:highlight w:val="none"/>
          <w:lang w:val="en-US" w:eastAsia="zh-CN"/>
        </w:rPr>
      </w:pPr>
      <w:r>
        <w:rPr>
          <w:rFonts w:hint="default" w:ascii="Arial" w:hAnsi="Arial" w:cs="Arial"/>
          <w:color w:val="auto"/>
          <w:sz w:val="21"/>
          <w:szCs w:val="21"/>
          <w:highlight w:val="none"/>
        </w:rPr>
        <w:t>简要规格描述或项目基本概况介绍、用途：</w:t>
      </w:r>
      <w:r>
        <w:rPr>
          <w:rFonts w:hint="eastAsia" w:ascii="Arial" w:hAnsi="Arial" w:cs="Arial"/>
          <w:color w:val="auto"/>
          <w:sz w:val="21"/>
          <w:szCs w:val="21"/>
          <w:highlight w:val="none"/>
          <w:lang w:val="en-US" w:eastAsia="zh-CN"/>
        </w:rPr>
        <w:t>包括</w:t>
      </w:r>
      <w:r>
        <w:rPr>
          <w:rFonts w:hint="default" w:ascii="Arial" w:hAnsi="Arial" w:cs="Arial"/>
          <w:color w:val="auto"/>
          <w:sz w:val="21"/>
          <w:szCs w:val="21"/>
          <w:highlight w:val="none"/>
        </w:rPr>
        <w:t>全民健康平台的升级建设、信创基础环境建设</w:t>
      </w:r>
      <w:r>
        <w:rPr>
          <w:rFonts w:hint="default" w:ascii="Arial" w:hAnsi="Arial" w:cs="Arial"/>
          <w:color w:val="auto"/>
          <w:sz w:val="21"/>
          <w:szCs w:val="21"/>
          <w:highlight w:val="none"/>
          <w:lang w:val="en-US" w:eastAsia="zh-CN"/>
        </w:rPr>
        <w:t>等</w:t>
      </w:r>
      <w:r>
        <w:rPr>
          <w:rFonts w:hint="eastAsia" w:ascii="Arial" w:hAnsi="Arial" w:cs="Arial"/>
          <w:color w:val="auto"/>
          <w:sz w:val="21"/>
          <w:szCs w:val="21"/>
          <w:highlight w:val="none"/>
          <w:lang w:val="en-US" w:eastAsia="zh-CN"/>
        </w:rPr>
        <w:t>，具体详见采购文件第二章采购需求</w:t>
      </w:r>
      <w:r>
        <w:rPr>
          <w:rFonts w:hint="default" w:ascii="Arial" w:hAnsi="Arial" w:cs="Arial"/>
          <w:color w:val="auto"/>
          <w:sz w:val="21"/>
          <w:szCs w:val="21"/>
          <w:highlight w:val="none"/>
          <w:lang w:val="en-US" w:eastAsia="zh-CN"/>
        </w:rPr>
        <w:t xml:space="preserve">。 </w:t>
      </w:r>
    </w:p>
    <w:p w14:paraId="6FCB35A4">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firstLine="420" w:firstLineChars="200"/>
        <w:jc w:val="both"/>
        <w:textAlignment w:val="auto"/>
        <w:rPr>
          <w:rFonts w:hint="default" w:ascii="Arial" w:hAnsi="Arial" w:cs="Arial"/>
          <w:bCs/>
          <w:color w:val="auto"/>
          <w:kern w:val="2"/>
          <w:sz w:val="21"/>
          <w:szCs w:val="21"/>
          <w:highlight w:val="none"/>
          <w:lang w:val="en-US" w:eastAsia="zh-CN" w:bidi="ar"/>
        </w:rPr>
      </w:pPr>
      <w:r>
        <w:rPr>
          <w:rFonts w:hint="default" w:ascii="Arial" w:hAnsi="Arial" w:cs="Arial"/>
          <w:bCs/>
          <w:color w:val="auto"/>
          <w:kern w:val="2"/>
          <w:sz w:val="21"/>
          <w:szCs w:val="21"/>
          <w:highlight w:val="none"/>
          <w:lang w:val="en-US" w:eastAsia="zh-CN" w:bidi="ar"/>
        </w:rPr>
        <w:t>合同履行期限：本项目总体工期为18个月，要求中标人合同签订之日起2个月内完成设备到货安装，开始系统联调。13个月内完成全部系统开发，实施及部署，通过初验。初验通过且试运行申请通过之日起进入为期三个月的试运行。试运行结束后⼀个月内通过项目终验；试运行期内若出现较大或重大问题的，应延长试运行时间，直至系统稳定试运行 1 个月，试运行结束后 1 个月内通过项目终验。</w:t>
      </w:r>
    </w:p>
    <w:p w14:paraId="665133AE">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firstLine="420" w:firstLineChars="200"/>
        <w:jc w:val="both"/>
        <w:textAlignment w:val="auto"/>
        <w:rPr>
          <w:rFonts w:hint="default" w:ascii="Arial" w:hAnsi="Arial" w:cs="Arial"/>
          <w:b w:val="0"/>
          <w:bCs/>
          <w:color w:val="auto"/>
          <w:kern w:val="2"/>
          <w:sz w:val="21"/>
          <w:szCs w:val="21"/>
          <w:highlight w:val="none"/>
          <w:lang w:val="en-US" w:eastAsia="zh-CN" w:bidi="ar"/>
        </w:rPr>
      </w:pPr>
      <w:r>
        <w:rPr>
          <w:rFonts w:hint="default" w:ascii="Arial" w:hAnsi="Arial" w:cs="Arial"/>
          <w:b w:val="0"/>
          <w:bCs/>
          <w:color w:val="auto"/>
          <w:kern w:val="2"/>
          <w:sz w:val="21"/>
          <w:szCs w:val="21"/>
          <w:highlight w:val="none"/>
          <w:lang w:val="en-US" w:eastAsia="zh-CN" w:bidi="ar"/>
        </w:rPr>
        <w:t>本项目（是）接受联合体投标，组成联合体的总成员数量不超过2个。</w:t>
      </w:r>
    </w:p>
    <w:p w14:paraId="05C5DE50">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firstLine="420" w:firstLineChars="200"/>
        <w:jc w:val="both"/>
        <w:textAlignment w:val="auto"/>
        <w:rPr>
          <w:rFonts w:hint="default" w:ascii="Arial" w:hAnsi="Arial" w:cs="Arial"/>
          <w:b w:val="0"/>
          <w:bCs/>
          <w:color w:val="auto"/>
          <w:kern w:val="2"/>
          <w:sz w:val="21"/>
          <w:szCs w:val="21"/>
          <w:highlight w:val="none"/>
          <w:lang w:val="en-US" w:eastAsia="zh-CN" w:bidi="ar"/>
        </w:rPr>
      </w:pPr>
      <w:r>
        <w:rPr>
          <w:rFonts w:hint="default" w:ascii="Arial" w:hAnsi="Arial" w:cs="Arial"/>
          <w:b w:val="0"/>
          <w:bCs/>
          <w:color w:val="auto"/>
          <w:kern w:val="2"/>
          <w:sz w:val="21"/>
          <w:szCs w:val="21"/>
          <w:highlight w:val="none"/>
          <w:lang w:val="en-US" w:eastAsia="zh-CN" w:bidi="ar"/>
        </w:rPr>
        <w:t>采购人：宁波市鄞州区卫生健康局</w:t>
      </w:r>
    </w:p>
    <w:p w14:paraId="731AACF3">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00" w:lineRule="exact"/>
        <w:ind w:firstLine="422" w:firstLineChars="200"/>
        <w:jc w:val="both"/>
        <w:textAlignment w:val="auto"/>
        <w:rPr>
          <w:rFonts w:hint="default" w:ascii="Arial" w:hAnsi="Arial" w:cs="Arial"/>
          <w:b/>
          <w:bCs w:val="0"/>
          <w:color w:val="auto"/>
          <w:kern w:val="2"/>
          <w:sz w:val="21"/>
          <w:szCs w:val="21"/>
          <w:highlight w:val="none"/>
          <w:lang w:val="en-US" w:eastAsia="zh-CN" w:bidi="ar"/>
        </w:rPr>
      </w:pPr>
      <w:r>
        <w:rPr>
          <w:rFonts w:hint="default" w:ascii="Arial" w:hAnsi="Arial" w:cs="Arial"/>
          <w:b/>
          <w:bCs w:val="0"/>
          <w:color w:val="auto"/>
          <w:kern w:val="2"/>
          <w:sz w:val="21"/>
          <w:szCs w:val="21"/>
          <w:highlight w:val="none"/>
          <w:lang w:val="en-US" w:eastAsia="zh-CN" w:bidi="ar"/>
        </w:rPr>
        <w:t>二、投标人的资格要求：</w:t>
      </w:r>
    </w:p>
    <w:p w14:paraId="07682635">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default" w:ascii="Arial" w:hAnsi="Arial" w:eastAsia="宋体" w:cs="Arial"/>
          <w:color w:val="auto"/>
          <w:sz w:val="21"/>
          <w:szCs w:val="21"/>
          <w:highlight w:val="none"/>
          <w:lang w:eastAsia="zh-CN"/>
        </w:rPr>
      </w:pPr>
      <w:bookmarkStart w:id="0" w:name="_Toc35393623"/>
      <w:bookmarkStart w:id="1" w:name="_Toc35393792"/>
      <w:bookmarkStart w:id="2" w:name="_Toc28359004"/>
      <w:bookmarkStart w:id="3" w:name="_Toc28359081"/>
      <w:r>
        <w:rPr>
          <w:rFonts w:hint="default" w:ascii="Arial" w:hAnsi="Arial" w:eastAsia="宋体" w:cs="Arial"/>
          <w:color w:val="auto"/>
          <w:sz w:val="21"/>
          <w:szCs w:val="21"/>
          <w:highlight w:val="none"/>
          <w:lang w:eastAsia="zh-CN"/>
        </w:rPr>
        <w:t>1.满足《中华人民共和国政府采购法》第二十二条第一款规定；未被“信用中国”（www.creditchina.gov.cn）、中国政府采购网（www.ccgp.gov.cn）列入失信被执行人、重大税收违法案件当事人名单、政府采购严重违法失信行为记录名单。</w:t>
      </w:r>
    </w:p>
    <w:p w14:paraId="09A3B359">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default" w:ascii="Arial" w:hAnsi="Arial" w:eastAsia="宋体" w:cs="Arial"/>
          <w:color w:val="auto"/>
          <w:sz w:val="21"/>
          <w:szCs w:val="21"/>
          <w:highlight w:val="none"/>
          <w:u w:val="single"/>
        </w:rPr>
      </w:pPr>
      <w:r>
        <w:rPr>
          <w:rFonts w:hint="default" w:ascii="Arial" w:hAnsi="Arial" w:eastAsia="宋体" w:cs="Arial"/>
          <w:color w:val="auto"/>
          <w:sz w:val="21"/>
          <w:szCs w:val="21"/>
          <w:highlight w:val="none"/>
        </w:rPr>
        <w:t>2.落实政府采购政策需满足的资格要求：</w:t>
      </w:r>
      <w:r>
        <w:rPr>
          <w:rFonts w:hint="default" w:ascii="Arial" w:hAnsi="Arial" w:eastAsia="宋体" w:cs="Arial"/>
          <w:color w:val="auto"/>
          <w:sz w:val="21"/>
          <w:szCs w:val="21"/>
          <w:highlight w:val="none"/>
          <w:u w:val="single"/>
          <w:lang w:val="en-US" w:eastAsia="zh-CN"/>
        </w:rPr>
        <w:t>无</w:t>
      </w:r>
      <w:r>
        <w:rPr>
          <w:rFonts w:hint="default" w:ascii="Arial" w:hAnsi="Arial" w:eastAsia="宋体" w:cs="Arial"/>
          <w:color w:val="auto"/>
          <w:sz w:val="21"/>
          <w:szCs w:val="21"/>
          <w:u w:val="single"/>
        </w:rPr>
        <w:t>。</w:t>
      </w:r>
    </w:p>
    <w:p w14:paraId="7AD2F60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default" w:ascii="Arial" w:hAnsi="Arial" w:eastAsia="宋体" w:cs="Arial"/>
          <w:color w:val="auto"/>
          <w:sz w:val="21"/>
          <w:szCs w:val="21"/>
          <w:highlight w:val="none"/>
          <w:lang w:val="en-US" w:eastAsia="zh-CN"/>
        </w:rPr>
      </w:pPr>
      <w:r>
        <w:rPr>
          <w:rFonts w:hint="default" w:ascii="Arial" w:hAnsi="Arial" w:eastAsia="宋体" w:cs="Arial"/>
          <w:bCs/>
          <w:color w:val="auto"/>
          <w:sz w:val="21"/>
          <w:szCs w:val="21"/>
          <w:highlight w:val="none"/>
        </w:rPr>
        <w:t>3.本项目的特定资格要求：</w:t>
      </w:r>
      <w:r>
        <w:rPr>
          <w:rFonts w:hint="default" w:ascii="Arial" w:hAnsi="Arial" w:eastAsia="宋体" w:cs="Arial"/>
          <w:color w:val="auto"/>
          <w:sz w:val="21"/>
          <w:szCs w:val="21"/>
          <w:highlight w:val="none"/>
          <w:lang w:val="en-US" w:eastAsia="zh-CN"/>
        </w:rPr>
        <w:t>无。</w:t>
      </w:r>
    </w:p>
    <w:bookmarkEnd w:id="0"/>
    <w:bookmarkEnd w:id="1"/>
    <w:bookmarkEnd w:id="2"/>
    <w:bookmarkEnd w:id="3"/>
    <w:p w14:paraId="75F3BAC8">
      <w:pPr>
        <w:pStyle w:val="11"/>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00" w:lineRule="exact"/>
        <w:ind w:firstLine="422" w:firstLineChars="200"/>
        <w:jc w:val="both"/>
        <w:textAlignment w:val="auto"/>
        <w:rPr>
          <w:rFonts w:hint="default" w:ascii="Arial" w:hAnsi="Arial" w:cs="Arial"/>
          <w:b/>
          <w:bCs/>
          <w:color w:val="auto"/>
          <w:kern w:val="0"/>
          <w:sz w:val="21"/>
          <w:szCs w:val="21"/>
        </w:rPr>
      </w:pPr>
      <w:r>
        <w:rPr>
          <w:rFonts w:hint="eastAsia" w:ascii="Arial" w:hAnsi="Arial" w:eastAsia="宋体" w:cs="Arial"/>
          <w:b/>
          <w:bCs w:val="0"/>
          <w:color w:val="auto"/>
          <w:kern w:val="2"/>
          <w:sz w:val="21"/>
          <w:szCs w:val="21"/>
          <w:highlight w:val="none"/>
          <w:lang w:val="en-US" w:eastAsia="zh-CN" w:bidi="ar"/>
        </w:rPr>
        <w:t>三、</w:t>
      </w:r>
      <w:r>
        <w:rPr>
          <w:rFonts w:hint="default" w:ascii="Arial" w:hAnsi="Arial" w:eastAsia="宋体" w:cs="Arial"/>
          <w:b/>
          <w:bCs w:val="0"/>
          <w:color w:val="auto"/>
          <w:kern w:val="2"/>
          <w:sz w:val="21"/>
          <w:szCs w:val="21"/>
          <w:highlight w:val="none"/>
          <w:lang w:val="en-US" w:eastAsia="zh-CN" w:bidi="ar"/>
        </w:rPr>
        <w:t>采购需求</w:t>
      </w:r>
      <w:bookmarkStart w:id="4" w:name="_Toc436330182"/>
      <w:bookmarkStart w:id="5" w:name="_Toc304292171"/>
      <w:bookmarkStart w:id="6" w:name="_Toc317685547"/>
      <w:bookmarkStart w:id="7" w:name="_Toc436330181"/>
    </w:p>
    <w:bookmarkEnd w:id="4"/>
    <w:bookmarkEnd w:id="5"/>
    <w:bookmarkEnd w:id="6"/>
    <w:bookmarkEnd w:id="7"/>
    <w:p w14:paraId="1967E5F8">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cs="Arial"/>
          <w:b/>
          <w:bCs/>
          <w:color w:val="auto"/>
          <w:kern w:val="0"/>
          <w:sz w:val="21"/>
          <w:szCs w:val="21"/>
        </w:rPr>
      </w:pPr>
    </w:p>
    <w:p w14:paraId="600AD624">
      <w:pPr>
        <w:keepNext/>
        <w:keepLines/>
        <w:widowControl w:val="0"/>
        <w:numPr>
          <w:ilvl w:val="0"/>
          <w:numId w:val="2"/>
        </w:numPr>
        <w:bidi w:val="0"/>
        <w:spacing w:before="240" w:beforeLines="0" w:beforeAutospacing="0" w:after="240" w:afterLines="0" w:afterAutospacing="0" w:line="360" w:lineRule="auto"/>
        <w:ind w:left="432" w:leftChars="0" w:hanging="432" w:firstLineChars="0"/>
        <w:jc w:val="both"/>
        <w:outlineLvl w:val="0"/>
        <w:rPr>
          <w:rFonts w:ascii="Calibri" w:hAnsi="Calibri" w:eastAsia="微软雅黑" w:cs="Times New Roman"/>
          <w:b/>
          <w:color w:val="auto"/>
          <w:kern w:val="44"/>
          <w:sz w:val="21"/>
          <w:szCs w:val="21"/>
          <w:lang w:val="en-US" w:eastAsia="zh-CN" w:bidi="ar-SA"/>
        </w:rPr>
      </w:pPr>
      <w:bookmarkStart w:id="8" w:name="_Toc28088"/>
      <w:r>
        <w:rPr>
          <w:rFonts w:ascii="Calibri" w:hAnsi="Calibri" w:eastAsia="微软雅黑" w:cs="Times New Roman"/>
          <w:b/>
          <w:color w:val="auto"/>
          <w:kern w:val="44"/>
          <w:sz w:val="21"/>
          <w:szCs w:val="21"/>
          <w:lang w:val="en-US" w:eastAsia="zh-CN" w:bidi="ar-SA"/>
        </w:rPr>
        <w:t>项目概况</w:t>
      </w:r>
    </w:p>
    <w:p w14:paraId="32817245">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建设背景</w:t>
      </w:r>
    </w:p>
    <w:p w14:paraId="3186E4FA">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信创建设相关背景</w:t>
      </w:r>
    </w:p>
    <w:p w14:paraId="58BD6DB5">
      <w:pPr>
        <w:widowControl/>
        <w:spacing w:line="360" w:lineRule="auto"/>
        <w:ind w:firstLine="420" w:firstLineChars="20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信创发展不仅是国家经济数字化转型和提升产业链发展的关键环节，更是科技创新发展的核心基石。在我国推动“数字经济”发展的进程中，信创占据了举足轻重的地位，是推动经济社会数字化转型、实现高水平科技自立自强的必然趋势。</w:t>
      </w:r>
    </w:p>
    <w:p w14:paraId="2900A58B">
      <w:pPr>
        <w:widowControl/>
        <w:spacing w:line="360" w:lineRule="auto"/>
        <w:ind w:firstLine="420" w:firstLineChars="20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中华人民共和国国民经济和社会发展第十四个五年规划和2035年远景目标纲要》指出：展望2035年，我国科技实力将大幅跃升，关键核心技术实现重大突破，进入创新型国家前列。信创产业，即信息技术应用创新产业，旨在用我国自主研发的基础软硬件产品实现对国外产品的替代。</w:t>
      </w:r>
    </w:p>
    <w:p w14:paraId="22A6E3E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新一代全民健康信息平台建设相关背景</w:t>
      </w:r>
    </w:p>
    <w:p w14:paraId="3FDDE753">
      <w:pPr>
        <w:widowControl/>
        <w:spacing w:line="360" w:lineRule="auto"/>
        <w:ind w:firstLine="420" w:firstLineChars="20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十四五”全民健康信息化规划》（国卫规划发〔2022〕30号）提出：要集约建设信息化基础设施支撑体系，鼓励医院信息系统云上部署，推进医学影像数据存储、互联网服务和应用信息系统分步上云，同时加强健康医疗大数据创新应用与行业治理。到2025年，初步建设形成统一权威、互联互通的全民健康信息平台支撑保障体系，基本实现公立医疗卫生机构与全民健康信息平台联通全覆盖。加速推进高速泛在、云网融合、智能敏捷、集约共享、安全可控的全民健康信息化基础设施建设。提高全民健康信息平台业务支撑能力。发挥平台作为卫生健康政务服务的枢纽作用，提高全民健康信息平台决策支撑能力，发挥平台“健康大脑”作用，强化决策支撑。</w:t>
      </w:r>
    </w:p>
    <w:p w14:paraId="02DE9C2E">
      <w:pPr>
        <w:widowControl/>
        <w:spacing w:line="360" w:lineRule="auto"/>
        <w:ind w:firstLine="420" w:firstLineChars="200"/>
        <w:jc w:val="left"/>
        <w:rPr>
          <w:rFonts w:hint="eastAsia"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关于加强全民健康信息标准化体系建设的意见》（国卫办规划发〔2020〕14号）提出：加快全民健康信息平台标准化建设。推进基于电子健康档案的区域全民健康信息平台标准化建设，公共卫生、基本医疗、慢病管理、健康促进、家庭医生签约等方面要严格遵循已经发布系列数据集、区域信息平台技术规范等强制性信息标准，以及全民健康信息平台功能指引等文件。积极推进公共卫生、基层医疗卫生等信息系统与区域全民健康信息平台规范连接，实现区域内数据整合共享</w:t>
      </w:r>
      <w:r>
        <w:rPr>
          <w:rFonts w:hint="eastAsia" w:cs="Times New Roman"/>
          <w:color w:val="auto"/>
          <w:kern w:val="0"/>
          <w:sz w:val="21"/>
          <w:szCs w:val="21"/>
          <w:highlight w:val="none"/>
          <w:lang w:val="en-US" w:eastAsia="zh-CN" w:bidi="ar-SA"/>
        </w:rPr>
        <w:t>。</w:t>
      </w:r>
    </w:p>
    <w:p w14:paraId="434FDD2D">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bidi="ar-SA"/>
        </w:rPr>
        <w:t>全民健康平台相关配套应用建设背景</w:t>
      </w:r>
    </w:p>
    <w:p w14:paraId="617E3DC8">
      <w:pPr>
        <w:widowControl/>
        <w:spacing w:line="360" w:lineRule="auto"/>
        <w:ind w:firstLine="420" w:firstLineChars="20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《关于推进浙江省卫生健康现代化建设的实施意见》（浙政办发〔2023〕25号）提出推广普及人工智能临床辅助决策支持应用；发展 Ｂ２Ｃ 模式的“互联网 ＋ ”医疗健康服务；完善慢性病早筛早诊早治制度；改革完善家庭医生制度；实施县域医疗卫生提升行动。建立基层首诊、双向转诊、急慢分治、上下联动、线上线下结合的县域分级诊疗制度。建预防、治疗、康复、健康促进一体连续的县域健康服务新模式。</w:t>
      </w:r>
    </w:p>
    <w:p w14:paraId="14B48459">
      <w:pPr>
        <w:widowControl/>
        <w:spacing w:line="360" w:lineRule="auto"/>
        <w:ind w:firstLine="420" w:firstLineChars="20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本项目通过对现有全民健康信息平台及配套应用进行重构，兼容适配信创环境，并建设信创架构的基础设施体系，打造信创产业技术生态环境，使信创技术应用得以落地，促进医疗健康产业的发展。</w:t>
      </w:r>
    </w:p>
    <w:p w14:paraId="6D9901AD">
      <w:pPr>
        <w:widowControl w:val="0"/>
        <w:spacing w:after="120" w:afterLines="0" w:afterAutospacing="0"/>
        <w:jc w:val="both"/>
        <w:rPr>
          <w:rFonts w:hint="eastAsia" w:ascii="Calibri" w:hAnsi="Calibri" w:eastAsia="宋体" w:cs="Times New Roman"/>
          <w:color w:val="auto"/>
          <w:kern w:val="2"/>
          <w:sz w:val="21"/>
          <w:szCs w:val="21"/>
          <w:lang w:val="en-US" w:eastAsia="zh-CN" w:bidi="ar-SA"/>
        </w:rPr>
      </w:pPr>
    </w:p>
    <w:p w14:paraId="32950DCC">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建设目标</w:t>
      </w:r>
    </w:p>
    <w:p w14:paraId="143BC068">
      <w:pPr>
        <w:widowControl/>
        <w:spacing w:line="360" w:lineRule="auto"/>
        <w:ind w:firstLine="420" w:firstLineChars="20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highlight w:val="none"/>
          <w:lang w:val="en-US" w:eastAsia="zh-CN" w:bidi="ar-SA"/>
        </w:rPr>
        <w:t>探索区域卫生信息化信创建设的经验，打造卫生健康信创信息化建设标志性成果，全面推进信创产品在基础设施的应用，采购信创服务器、信创网络安全等硬件和信创操作系统、数据库，打造基于全信创架构的资源池，满足信创应用的测试、部署和运行需要。从设备设施安全防护、业务系统防护、数据防护、网络安全防护等多个维度提供完整、端到端、全流程、自主可控的安全防护体系。</w:t>
      </w:r>
      <w:r>
        <w:rPr>
          <w:rFonts w:hint="eastAsia" w:cs="Times New Roman"/>
          <w:color w:val="auto"/>
          <w:kern w:val="0"/>
          <w:sz w:val="21"/>
          <w:szCs w:val="21"/>
          <w:highlight w:val="none"/>
          <w:lang w:val="en-US" w:eastAsia="zh-CN" w:bidi="ar-SA"/>
        </w:rPr>
        <w:t>通过</w:t>
      </w:r>
      <w:r>
        <w:rPr>
          <w:rFonts w:hint="eastAsia" w:ascii="Times New Roman" w:hAnsi="Times New Roman" w:eastAsia="宋体" w:cs="Times New Roman"/>
          <w:color w:val="auto"/>
          <w:kern w:val="0"/>
          <w:sz w:val="21"/>
          <w:szCs w:val="21"/>
          <w:highlight w:val="none"/>
          <w:lang w:val="en-US" w:eastAsia="zh-CN" w:bidi="ar-SA"/>
        </w:rPr>
        <w:t>对标国家区域全民健康信息互联互通标准化成熟度最高等级五级甲等测评要求，打造新一代、一体化、智能化、安全可靠的全民健康信息平台，全面提升鄞州区全面健康信息平台互联互通水平，打造国内数字健康高地。通过构建高质量的数据资源，为后续的医疗数据要素应用打下良好的基础，推动医疗资源、信息技术创新性配置，全面塑造惠民应用、行业监管和公立医院高质量发展等领域发展新路径、新模式。面向居民群体、医护群体、管理群体，提供更方便、更快捷、更高效的医疗健康服务。</w:t>
      </w:r>
    </w:p>
    <w:p w14:paraId="1B5CAE1A">
      <w:pPr>
        <w:keepNext/>
        <w:keepLines/>
        <w:widowControl w:val="0"/>
        <w:numPr>
          <w:ilvl w:val="0"/>
          <w:numId w:val="2"/>
        </w:numPr>
        <w:bidi w:val="0"/>
        <w:spacing w:before="240" w:beforeLines="0" w:beforeAutospacing="0" w:after="240" w:afterLines="0" w:afterAutospacing="0" w:line="360" w:lineRule="auto"/>
        <w:ind w:left="432" w:leftChars="0" w:hanging="432" w:firstLineChars="0"/>
        <w:jc w:val="both"/>
        <w:outlineLvl w:val="0"/>
        <w:rPr>
          <w:rFonts w:ascii="Calibri" w:hAnsi="Calibri" w:eastAsia="微软雅黑" w:cs="Times New Roman"/>
          <w:b/>
          <w:color w:val="auto"/>
          <w:kern w:val="44"/>
          <w:sz w:val="21"/>
          <w:szCs w:val="21"/>
          <w:lang w:val="en-US" w:eastAsia="zh-CN" w:bidi="ar-SA"/>
        </w:rPr>
      </w:pPr>
      <w:r>
        <w:rPr>
          <w:rFonts w:ascii="Calibri" w:hAnsi="Calibri" w:eastAsia="微软雅黑" w:cs="Times New Roman"/>
          <w:b/>
          <w:color w:val="auto"/>
          <w:kern w:val="44"/>
          <w:sz w:val="21"/>
          <w:szCs w:val="21"/>
          <w:lang w:val="en-US" w:eastAsia="zh-CN" w:bidi="ar-SA"/>
        </w:rPr>
        <w:t>采购清单</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4449"/>
        <w:gridCol w:w="753"/>
        <w:gridCol w:w="828"/>
        <w:gridCol w:w="1739"/>
      </w:tblGrid>
      <w:tr w14:paraId="7D5E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9"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5CFF72B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611"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0A9C9EE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采购内容</w:t>
            </w:r>
          </w:p>
        </w:tc>
        <w:tc>
          <w:tcPr>
            <w:tcW w:w="442"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73563D7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486"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27FE15A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018"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52EE1DF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需求</w:t>
            </w:r>
          </w:p>
        </w:tc>
      </w:tr>
      <w:tr w14:paraId="1ABC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377198E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一、鄞州区新一代全民健康信息平台</w:t>
            </w:r>
          </w:p>
        </w:tc>
      </w:tr>
      <w:tr w14:paraId="000C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19E9AE39">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1.1业务协同</w:t>
            </w:r>
          </w:p>
        </w:tc>
      </w:tr>
      <w:tr w14:paraId="1FB3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C7BB1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9F529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区域检验</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8ABD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FDB1F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F223D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51F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336DF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9F8A8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区域眼底</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DBA5E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6319D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C463E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ABA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A168E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8E110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区域血压监测</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6B6C2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C745E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57351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3F4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E4C159A">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2568A4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精康补助</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EECF4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08456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76F372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详见采购需求</w:t>
            </w:r>
          </w:p>
        </w:tc>
      </w:tr>
      <w:tr w14:paraId="07CE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36C3F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6804C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居民电子健康档案浏览器</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3890F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C4BDF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B8155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98E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36383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1CB0034">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系统集成</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6F8A2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2386E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8CE1B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E2C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265C917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1.2连续性医疗卫生服务</w:t>
            </w:r>
          </w:p>
        </w:tc>
      </w:tr>
      <w:tr w14:paraId="3BC4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34A80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3AB0F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健康画像</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979B5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E1176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97DEB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DB0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589F1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A44AB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分级诊疗</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AAB80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949EF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E3E9C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835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8F1E6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53BB7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一体化学科</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A46CA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D31A5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BAFFE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E91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54046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94EEA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区域医后付</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B4202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213E8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58991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7DF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8F5E2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3B513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远程门诊</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4BB14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A0C35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E1296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ACD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6C70F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DB3CC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鄞领健康</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811F2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0A3EC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93C3E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934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29EB5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14E56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鄞领妇幼</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C8EAA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99F83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1EBB1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83E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850B4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FD322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导诊数字人</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E318A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C98F5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E920A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D56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DD617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C7442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家医数字人</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B24FE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E7A78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9A5CE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A887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3710BCE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1.3医政医管</w:t>
            </w:r>
          </w:p>
        </w:tc>
      </w:tr>
      <w:tr w14:paraId="32BE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6E74345D">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1.3.1综合管理</w:t>
            </w:r>
          </w:p>
        </w:tc>
      </w:tr>
      <w:tr w14:paraId="6469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78778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3B6ABA6">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健康大脑主题展示集成</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2EA21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A0CEA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D6E75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DA0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AFA36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001EE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医院运行管理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7C127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27ED9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3236B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24F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22CF3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7600C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医疗行为监管</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3995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8A9FD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C024B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C5D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79C90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481F8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专题应用展现</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5FD13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B04A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C12A7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443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160E754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1.3.2医疗质控</w:t>
            </w:r>
          </w:p>
        </w:tc>
      </w:tr>
      <w:tr w14:paraId="5E61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09E06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A5DDF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电子病历质控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B483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7617D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7801F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562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46ADC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67AD0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AI影像质控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E48EC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C902A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41164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208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BDE29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B91BD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8697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5C74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F7BB8D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D14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A2180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F3696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药事质控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3A572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655D7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C0020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3FC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38395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E2555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耗材质控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8766F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257CD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7378D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268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4D7F6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7578C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5B21B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CE307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9AD20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C66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FB8C5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4BB43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医务社工质控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85E6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35AE7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367B6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90C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6537F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AAECF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E8367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DF0B8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52E39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4D2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C241C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01735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透析质控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6C5E5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67D49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7E4F7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8F6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51" w:type="pct"/>
            <w:gridSpan w:val="2"/>
            <w:tcBorders>
              <w:top w:val="single" w:color="000000" w:sz="4" w:space="0"/>
              <w:left w:val="single" w:color="000000" w:sz="4" w:space="0"/>
              <w:bottom w:val="single" w:color="000000" w:sz="4" w:space="0"/>
              <w:right w:val="single" w:color="000000" w:sz="4" w:space="0"/>
            </w:tcBorders>
            <w:noWrap w:val="0"/>
            <w:vAlign w:val="center"/>
          </w:tcPr>
          <w:p w14:paraId="3A95FA45">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1.3.3学科与科研管理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50B04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7AD23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2CDDD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20A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nil"/>
              <w:left w:val="nil"/>
              <w:bottom w:val="nil"/>
              <w:right w:val="nil"/>
            </w:tcBorders>
            <w:noWrap/>
            <w:vAlign w:val="center"/>
          </w:tcPr>
          <w:p w14:paraId="105EF7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0E1D2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学科与科研管理平台</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66BB8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A45EE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C46B7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333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50FF0A0B">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1.4公共卫生管理</w:t>
            </w:r>
          </w:p>
        </w:tc>
      </w:tr>
      <w:tr w14:paraId="07EE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E255D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2F78B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家庭医生管理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25E82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0B095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BA78F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527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3DDE6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7271B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传染病监测预警</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64CF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219F1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D04C0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02D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EF3DE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3CD94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疾病管理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E2CED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36F85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7DA06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1D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C3D48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BE6B6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伤害监测</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94661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FAA77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74913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26E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99FE2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17682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学生健康护航</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C964C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9527B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D7741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7AC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B9CEC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68E1A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复课(工)开具证明系统</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A4D51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35A5D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DEEE2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77D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28F03909">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1.5行政管理</w:t>
            </w:r>
          </w:p>
        </w:tc>
      </w:tr>
      <w:tr w14:paraId="33B6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4A5A6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F1095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基层机构补偿机制改革绩效考核评价系统</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2EC78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83834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942E6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5E7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61DB5833">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1.6基础组件</w:t>
            </w:r>
          </w:p>
        </w:tc>
      </w:tr>
      <w:tr w14:paraId="5E2F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40DE7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2EF3B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标准规范</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25337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5ED3C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D3C0E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A9A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D5222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D600E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主数据管理（MDM）</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E7A60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6804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BE51C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D85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F5609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73119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主索引管理（EMPI）</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A638C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19AE6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96220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FED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EF918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A3B12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统一门户管理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1725E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DEF6A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B0192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92E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A0A26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F5244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大模型组件</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12F5B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A535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10317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FF8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D3E0E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1AF1D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短信中转平台</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F42B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50207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C7904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93D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3BF1CCF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1.7交换中心</w:t>
            </w:r>
          </w:p>
        </w:tc>
      </w:tr>
      <w:tr w14:paraId="7927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8ED7F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F4E41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数据资源管理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6D728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9B59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BBE47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68B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AC2B0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175B4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API服务资源管理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0E961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A8880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04917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D8E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F4C8B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7BAC6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互联互通交互服务</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F4B01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40CAB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2CCA7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02C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A85AF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ED1A5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集成引擎</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3E72A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95538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1D95B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A20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49B13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FC46B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共享文档管理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A331C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F5819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526D6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A65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48B2972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1.8运维监控</w:t>
            </w:r>
          </w:p>
        </w:tc>
      </w:tr>
      <w:tr w14:paraId="0581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C1F49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C7ECE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运维监控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895D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27DEE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5B1C6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723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27764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051B4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一体化发布</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38811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83B56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275EA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AE5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3DCCD663">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1.9平台对接</w:t>
            </w:r>
          </w:p>
        </w:tc>
      </w:tr>
      <w:tr w14:paraId="79EA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51FA1FC4">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1.10医疗卫生机构升级改造</w:t>
            </w:r>
          </w:p>
        </w:tc>
      </w:tr>
      <w:tr w14:paraId="5E4B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16AD8640">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1.10.1基层卫生医疗机构升级改造</w:t>
            </w:r>
          </w:p>
        </w:tc>
      </w:tr>
      <w:tr w14:paraId="6BD8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B4A52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38C25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一体化门诊升级</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485A2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5835C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15269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448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8F6C2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ABD9C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智能辅助诊断</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CF5A6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B82DA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6CACC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4CC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39F74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A152A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数据采集改造</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89130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0B397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026E3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1A5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0A649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D1FE5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协同应用对接</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FCCA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187CA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4B71F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A40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0622A78F">
            <w:pPr>
              <w:keepNext w:val="0"/>
              <w:keepLines w:val="0"/>
              <w:widowControl/>
              <w:suppressLineNumbers w:val="0"/>
              <w:jc w:val="left"/>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1.10.2区级医疗卫生机构升级改造对接及配合</w:t>
            </w:r>
          </w:p>
        </w:tc>
      </w:tr>
      <w:tr w14:paraId="3A95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0D367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B610C38">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数据采集改造对接及配合</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ACB33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CE02F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42044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08B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E6A18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7FBA7A4">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协同应用对接及配合</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696AA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EB9AB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716AF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095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610A6BDE">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1.11数据资源建设</w:t>
            </w:r>
          </w:p>
        </w:tc>
      </w:tr>
      <w:tr w14:paraId="4770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49237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233F1F9">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数据采集治理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24013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9EBAC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15585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D57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5AB81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D2939DD">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中心交换库</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539BC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F3E25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892E1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E1E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4E5B0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2C96A58">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数据中心</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4F33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3EB8F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B98EF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7A4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03C0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9651AE3">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数据仓库</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6E6F9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C67E0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D5D86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CAE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E1E18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32FC316">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数据迁移及平台切换</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D4801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5F24E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5719C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ECC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94FF6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680B70F">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数据采集</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323ED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2A33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3787A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41E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2F1C62A">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8E984CD">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省、市数据回流</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5B9AF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4958B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F1FFD8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3B2E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4C17BE0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二、配套基础设施</w:t>
            </w:r>
          </w:p>
        </w:tc>
      </w:tr>
      <w:tr w14:paraId="7C2A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59C9B33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2.1对接市卫健委卫生专网设备</w:t>
            </w:r>
          </w:p>
        </w:tc>
      </w:tr>
      <w:tr w14:paraId="5A3E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B70D8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7EAEC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链路</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3AAE8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7D1E53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条/年</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3C83B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C7B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FC59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B70D5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网络设备</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E59DB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588554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DDE1E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113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D3693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13D86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防火墙</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92A89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44731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D6A87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CCD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0C7C6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2B102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国密IPSEC</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4E71F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5474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DE5C7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DA3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CFBBE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B6AEE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超融合服务器（前置服务器）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775AB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38628B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66F6C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A76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2623BF22">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2.2全民健康信息平台相关配套设备</w:t>
            </w:r>
          </w:p>
        </w:tc>
      </w:tr>
      <w:tr w14:paraId="2015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69AB5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A1EB1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D10C9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566B0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D3766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B64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ADB1C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5EA87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超融合服务器（外网发布）</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B8EC4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6AB255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A806B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AFB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E56F83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F95B884">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外网发布交换机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3D5EBB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60AA6A1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40343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详见采购需求</w:t>
            </w:r>
          </w:p>
        </w:tc>
      </w:tr>
      <w:tr w14:paraId="2ED0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94B52D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9DCFE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WAF</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785C2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F6C61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A650D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17B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BC2BA6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64429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网闸</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8F69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5A5F27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AEC8A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324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EFC6C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9EB7E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负载均衡</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A7A22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29D8F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70C20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969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199D15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BBC5A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前置交换平台数据库服务器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FE75F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05BCDB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2B968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9E9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89B89D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590F1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全民健康信息平台主数据库服务器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0778C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B1BD4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EA544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8C0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9F0A71E">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E643E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备集群数据库服务器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625F8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763889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1C8EF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E2A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25BBD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2E997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数据库软件</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0DF3A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36199A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E1CB0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763F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648E91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FA522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云管平台</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FB543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B0DB2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7E374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9EC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2BB8C4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77CC9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操作系统软件</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8498E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1B445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44F1A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9EC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45A865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092B3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IDC核心交换机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2FE85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905DE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D0415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DD3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48B5EF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ADFCB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服务器区汇聚交换机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24F43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0F2AF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A321B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0B0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BC6808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56F82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超融合服务器（容灾备份）</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D3605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3F4B00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C1964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674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A4AB37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51FB7E3">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容灾备份交换机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CC0E08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5F197F4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F2F4F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详见采购需求</w:t>
            </w:r>
          </w:p>
        </w:tc>
      </w:tr>
      <w:tr w14:paraId="0784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C38004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87924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机柜租赁</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5F469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B30FE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3年/个</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7A561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ADF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0D298A2">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45988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新链路租赁</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489C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D9741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条/年</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04E6A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B8C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569C7F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35B41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杀毒软件</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E64E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3E50F9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689AD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367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77B2B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696F2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IDC出口防火墙</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871E2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7D00B0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9D931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AED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6E048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7770A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运维系统</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EF5FB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061E5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4D036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F81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3CFAD6FF">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2.3区卫健局商用密码应用改造</w:t>
            </w:r>
          </w:p>
        </w:tc>
      </w:tr>
      <w:tr w14:paraId="554F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4D7CF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FB744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国密服务器密码机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B89BD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71ED84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C22D4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2DC8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1ED48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DBD39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国密浏览器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2B732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09596B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CA610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346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D9A4A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F1453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国密门禁系统</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74FE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501271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2B226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01F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BD6C2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78A0A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SSL VPN安全网关</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A315A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C3B51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C6EAB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0D5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1B5B9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8D5AE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国密IPsec/SSL VPN综合网关</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3FC74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3C251A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A82C1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8A6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B9B6A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F74DA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国密视频监控系统</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54676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EEC86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9D68D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299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6D363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F177D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智能密码钥匙</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8B4ED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47D6B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89EAB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620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2C491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5A35D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个人数字证书</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8A1D7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6B0AD0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个/年</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8F532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42D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5B19835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2.4区卫健局网络安全改造</w:t>
            </w:r>
          </w:p>
        </w:tc>
      </w:tr>
      <w:tr w14:paraId="09B4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A7BDD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DBAEE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公卫网核心交换机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F4CD6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E388F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E4700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B61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A120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50E83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公卫网防火墙</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FB3A0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A68D7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DF4FA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71FE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DCE5A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68098A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准入设备</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15EC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39EB01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1DA0D6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048C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65501E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908FA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外网防火墙</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4B5C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DE5F0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3FAB4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300E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0CEE4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45C8AD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IPS</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2239E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1E9F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52E93F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C1D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29719F1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2.5智算系统</w:t>
            </w:r>
          </w:p>
        </w:tc>
      </w:tr>
      <w:tr w14:paraId="0EA2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6BBDA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C6DD1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AI训练服务器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F500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DD429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214969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662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F0AFA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5A56D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AI推理服务器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62BC41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5F7369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7C5FB7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DB3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EFD5D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48229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AI管理服务器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2CF936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E3FA1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5BA44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5CF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016DD3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4EA6DFF">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AI安全服务器（配套安全软件）</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893ED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7FAC1E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48CF5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1B24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2F4777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F2D5D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AI集群互联交换机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4592EA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77543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238C2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270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EE6EB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7925D5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AI业务交换机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0E3EEB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57EAA3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0D1699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3FA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6AFD8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008248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AI带外管理交换机</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02F7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647C37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DE583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498E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6560B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31A26D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AI业务防火墙</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7B9597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04F374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090DC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C33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315305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276450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AI分布式存储</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34A777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4B48F6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311128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5939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73DD87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1E71A0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AI算力资源调度平台</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558757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1C68F8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64E276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r w14:paraId="6CE0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48BF46B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2.6其他</w:t>
            </w:r>
          </w:p>
        </w:tc>
      </w:tr>
      <w:tr w14:paraId="0BC9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4E01B9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611" w:type="pct"/>
            <w:tcBorders>
              <w:top w:val="single" w:color="000000" w:sz="4" w:space="0"/>
              <w:left w:val="single" w:color="000000" w:sz="4" w:space="0"/>
              <w:bottom w:val="single" w:color="000000" w:sz="4" w:space="0"/>
              <w:right w:val="single" w:color="000000" w:sz="4" w:space="0"/>
            </w:tcBorders>
            <w:noWrap w:val="0"/>
            <w:vAlign w:val="center"/>
          </w:tcPr>
          <w:p w14:paraId="5372C44A">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系统集成及运维</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14:paraId="12E30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0DDCE6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1018" w:type="pct"/>
            <w:tcBorders>
              <w:top w:val="single" w:color="000000" w:sz="4" w:space="0"/>
              <w:left w:val="single" w:color="000000" w:sz="4" w:space="0"/>
              <w:bottom w:val="single" w:color="000000" w:sz="4" w:space="0"/>
              <w:right w:val="single" w:color="000000" w:sz="4" w:space="0"/>
            </w:tcBorders>
            <w:noWrap/>
            <w:vAlign w:val="center"/>
          </w:tcPr>
          <w:p w14:paraId="4D715A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详见采购需求</w:t>
            </w:r>
          </w:p>
        </w:tc>
      </w:tr>
    </w:tbl>
    <w:p w14:paraId="1738F995">
      <w:pPr>
        <w:widowControl/>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p>
    <w:p w14:paraId="45BB421F">
      <w:pPr>
        <w:keepNext/>
        <w:keepLines/>
        <w:widowControl w:val="0"/>
        <w:numPr>
          <w:ilvl w:val="0"/>
          <w:numId w:val="2"/>
        </w:numPr>
        <w:bidi w:val="0"/>
        <w:spacing w:before="240" w:beforeLines="0" w:beforeAutospacing="0" w:after="240" w:afterLines="0" w:afterAutospacing="0" w:line="360" w:lineRule="auto"/>
        <w:ind w:left="432" w:leftChars="0" w:hanging="432" w:firstLineChars="0"/>
        <w:jc w:val="both"/>
        <w:outlineLvl w:val="0"/>
        <w:rPr>
          <w:rFonts w:hint="default" w:ascii="Calibri" w:hAnsi="Calibri" w:eastAsia="微软雅黑" w:cs="Times New Roman"/>
          <w:b/>
          <w:color w:val="auto"/>
          <w:kern w:val="44"/>
          <w:sz w:val="21"/>
          <w:szCs w:val="21"/>
          <w:lang w:val="en-US" w:eastAsia="zh-CN" w:bidi="ar-SA"/>
        </w:rPr>
      </w:pPr>
      <w:r>
        <w:rPr>
          <w:rFonts w:hint="eastAsia" w:ascii="Calibri" w:hAnsi="Calibri" w:eastAsia="微软雅黑" w:cs="Times New Roman"/>
          <w:b/>
          <w:color w:val="auto"/>
          <w:kern w:val="44"/>
          <w:sz w:val="21"/>
          <w:szCs w:val="21"/>
          <w:lang w:val="en-US" w:eastAsia="zh-CN" w:bidi="ar-SA"/>
        </w:rPr>
        <w:t>总体要求</w:t>
      </w:r>
    </w:p>
    <w:p w14:paraId="1CDAFB0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系统应基于鄞州区</w:t>
      </w:r>
      <w:r>
        <w:rPr>
          <w:rFonts w:hint="eastAsia" w:ascii="宋体" w:hAnsi="宋体" w:eastAsia="宋体" w:cs="Times New Roman"/>
          <w:color w:val="auto"/>
          <w:kern w:val="2"/>
          <w:sz w:val="21"/>
          <w:szCs w:val="21"/>
          <w:lang w:val="en-US" w:eastAsia="zh-CN"/>
        </w:rPr>
        <w:t>原全民健康信息平台</w:t>
      </w:r>
      <w:r>
        <w:rPr>
          <w:rFonts w:hint="eastAsia" w:ascii="宋体" w:hAnsi="宋体" w:eastAsia="宋体" w:cs="Times New Roman"/>
          <w:color w:val="auto"/>
          <w:kern w:val="2"/>
          <w:sz w:val="21"/>
          <w:szCs w:val="21"/>
        </w:rPr>
        <w:t>建设基础，包括：硬件、网络、软件系统平台和数据库环境等，结合建设目标实现本次项目的升级改造。</w:t>
      </w:r>
    </w:p>
    <w:p w14:paraId="7E76E93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软件设计严格执行国家有关软件工程的标准，保证系统质量，提供完整、准确、详细的产品说明书，应用设计符合国际、国家、医疗卫生行业有关标准、规范和区域的发展规划。</w:t>
      </w:r>
    </w:p>
    <w:p w14:paraId="3B93BE4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中标人提供的所有产品所涉及到的知识产权和所提供的软件、技术资料是合法取得，不会因为采购人的使用而被责令停止使用、追偿或者要求赔偿，如出现上述问题，一切经济损失和法律责任均由中标人承担。</w:t>
      </w:r>
    </w:p>
    <w:p w14:paraId="61FFBC7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采购人</w:t>
      </w:r>
      <w:r>
        <w:rPr>
          <w:rFonts w:hint="eastAsia" w:ascii="宋体" w:hAnsi="宋体" w:eastAsia="宋体" w:cs="Times New Roman"/>
          <w:color w:val="auto"/>
          <w:kern w:val="2"/>
          <w:sz w:val="21"/>
          <w:szCs w:val="21"/>
        </w:rPr>
        <w:t>人有权监督和管理投标项目的测试、安装、调试、故障诊断、系统开发和验收等各项工作，投标人必须接受并服从招标人的监督、管理要求，无条件提供中间过程工作成果。</w:t>
      </w:r>
    </w:p>
    <w:p w14:paraId="57354DF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投标人提供的资信文件、证明等材料应在法律规定的有效期内。在整个采购过程中，由采购</w:t>
      </w:r>
      <w:r>
        <w:rPr>
          <w:rFonts w:hint="eastAsia" w:ascii="宋体" w:hAnsi="宋体" w:eastAsia="宋体" w:cs="Times New Roman"/>
          <w:color w:val="auto"/>
          <w:kern w:val="2"/>
          <w:sz w:val="21"/>
          <w:szCs w:val="21"/>
          <w:lang w:val="en-US" w:eastAsia="zh-CN"/>
        </w:rPr>
        <w:t>人</w:t>
      </w:r>
      <w:r>
        <w:rPr>
          <w:rFonts w:hint="eastAsia" w:ascii="宋体" w:hAnsi="宋体" w:eastAsia="宋体" w:cs="Times New Roman"/>
          <w:color w:val="auto"/>
          <w:kern w:val="2"/>
          <w:sz w:val="21"/>
          <w:szCs w:val="21"/>
        </w:rPr>
        <w:t>组织评委会将对投标人的资质进行审查，若发现投标人的资质条件不符合招标文件要求，可随时取消其投标或中标资格。</w:t>
      </w:r>
    </w:p>
    <w:p w14:paraId="615FA6A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投标人应了解、熟悉鄞州区卫生健康局以及</w:t>
      </w:r>
      <w:r>
        <w:rPr>
          <w:rFonts w:hint="eastAsia" w:ascii="宋体" w:hAnsi="宋体" w:eastAsia="宋体" w:cs="Times New Roman"/>
          <w:color w:val="auto"/>
          <w:kern w:val="2"/>
          <w:sz w:val="21"/>
          <w:szCs w:val="21"/>
          <w:lang w:val="en-US" w:eastAsia="zh-CN"/>
        </w:rPr>
        <w:t>相关</w:t>
      </w:r>
      <w:r>
        <w:rPr>
          <w:rFonts w:hint="eastAsia" w:ascii="宋体" w:hAnsi="宋体" w:eastAsia="宋体" w:cs="Times New Roman"/>
          <w:color w:val="auto"/>
          <w:kern w:val="2"/>
          <w:sz w:val="21"/>
          <w:szCs w:val="21"/>
        </w:rPr>
        <w:t>医疗机构的信息化建设现状，最大限度地利用鄞州区原有信息体系资源，为医疗信息化建设提供长久、稳定、先进的信息化规划及解决方案。</w:t>
      </w:r>
    </w:p>
    <w:p w14:paraId="383B518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中标人必须保证解决项目所涉及的技术问题，如因技术原因无法满足采购人需求，由此产生的风险由中标人承担。</w:t>
      </w:r>
    </w:p>
    <w:p w14:paraId="5DA8B614">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default"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总体技术需求</w:t>
      </w:r>
    </w:p>
    <w:p w14:paraId="640A1312">
      <w:pPr>
        <w:keepNext/>
        <w:keepLines/>
        <w:widowControl w:val="0"/>
        <w:numPr>
          <w:ilvl w:val="2"/>
          <w:numId w:val="2"/>
        </w:numPr>
        <w:bidi w:val="0"/>
        <w:spacing w:before="260" w:beforeLines="0" w:beforeAutospacing="0" w:after="260" w:afterLines="0" w:afterAutospacing="0" w:line="413" w:lineRule="auto"/>
        <w:ind w:left="720" w:leftChars="0" w:hanging="720" w:firstLineChars="0"/>
        <w:jc w:val="both"/>
        <w:outlineLvl w:val="2"/>
        <w:rPr>
          <w:rFonts w:hint="eastAsia" w:ascii="宋体" w:hAnsi="宋体" w:eastAsia="宋体" w:cs="宋体"/>
          <w:b/>
          <w:color w:val="auto"/>
          <w:kern w:val="2"/>
          <w:sz w:val="21"/>
          <w:szCs w:val="21"/>
          <w:highlight w:val="none"/>
          <w:lang w:val="en-US" w:eastAsia="zh-CN" w:bidi="ar-SA"/>
        </w:rPr>
      </w:pPr>
      <w:r>
        <w:rPr>
          <w:rFonts w:hint="eastAsia" w:ascii="Arial" w:hAnsi="Arial" w:eastAsia="黑体" w:cs="Times New Roman"/>
          <w:b/>
          <w:color w:val="auto"/>
          <w:kern w:val="2"/>
          <w:sz w:val="21"/>
          <w:szCs w:val="21"/>
          <w:lang w:val="en-US" w:eastAsia="zh-CN" w:bidi="ar-SA"/>
        </w:rPr>
        <w:t>软件总体需求</w:t>
      </w:r>
    </w:p>
    <w:p w14:paraId="06954502">
      <w:pPr>
        <w:numPr>
          <w:ilvl w:val="0"/>
          <w:numId w:val="5"/>
        </w:numPr>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将汇聚涵盖区内各业务系统的医疗卫生健康数据，投标人需在数据标准、数据治理、数据应用、数据安全、数据质量等多个方面具备一定的管理能力和专业技能，以确保能够提供基于大数据技术的医疗健康领域场景化应用。</w:t>
      </w:r>
    </w:p>
    <w:p w14:paraId="6B9D891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本项目系统技术架构需采用高可用的微服务架构体系，充分保证业务灵活性和服务弹性拓展；微服务框架及技术组件应采用Spring Cloud等框架，应具备可视化熔断体系增加服务可用性；整体使用CSS、js、html等前端开发语言，支持跨栈接入；其中全民健康信息平台需基于Java/OpenESB/OGSI/SOA的灵活、可扩展的架构，不但要实现与项目内的应用系统的集成，也要实现与今后新建应用系统的集成。</w:t>
      </w:r>
    </w:p>
    <w:p w14:paraId="4AE2E95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用系统需支持在本次采购的基础软硬件的环境下运行，特别是对数据库的支持，要求支持传统关系型数据库和分布式数据库（包括TiDB、OceanBase等）混合部署架构，支持数据并行处理技术，能在不影响数据库正常运行的情况下更新系统；支持分布式处理；支持备份服务器和数据库集群技术，支持负载均衡；支持基于行业标准的数据库存储加密、传输加密及完整性校验；支持超大规模的数据库设计和存储，支持TB级大容量数据在线访问和处理。</w:t>
      </w:r>
    </w:p>
    <w:p w14:paraId="4B6A63E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应用系统研发须做好业务数据的分类分级访问。</w:t>
      </w:r>
    </w:p>
    <w:p w14:paraId="19EE1EC9">
      <w:pPr>
        <w:keepNext/>
        <w:keepLines/>
        <w:widowControl w:val="0"/>
        <w:numPr>
          <w:ilvl w:val="2"/>
          <w:numId w:val="2"/>
        </w:numPr>
        <w:bidi w:val="0"/>
        <w:spacing w:before="260" w:beforeLines="0" w:beforeAutospacing="0" w:after="260" w:afterLines="0" w:afterAutospacing="0" w:line="413" w:lineRule="auto"/>
        <w:ind w:left="720" w:leftChars="0" w:hanging="720" w:firstLineChars="0"/>
        <w:jc w:val="both"/>
        <w:outlineLvl w:val="2"/>
        <w:rPr>
          <w:rFonts w:hint="default"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基础设施总体需求</w:t>
      </w:r>
    </w:p>
    <w:p w14:paraId="1E273BB3">
      <w:p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1.本项目建设的基础设施要满足网络安全等级保护三级关于基础设施的相关要求及商用密码应用安全性评估三级要求，满足国家信创相关要求，满足</w:t>
      </w:r>
      <w:r>
        <w:rPr>
          <w:rFonts w:hint="eastAsia" w:ascii="宋体" w:hAnsi="宋体" w:eastAsia="宋体" w:cs="宋体"/>
          <w:color w:val="auto"/>
          <w:sz w:val="21"/>
          <w:szCs w:val="21"/>
          <w:highlight w:val="none"/>
        </w:rPr>
        <w:t>区域卫生信息互联互通标准化成熟度</w:t>
      </w:r>
      <w:r>
        <w:rPr>
          <w:rFonts w:hint="eastAsia" w:ascii="宋体" w:hAnsi="宋体" w:eastAsia="宋体" w:cs="宋体"/>
          <w:color w:val="auto"/>
          <w:sz w:val="21"/>
          <w:szCs w:val="21"/>
          <w:highlight w:val="none"/>
          <w:lang w:val="en-US" w:eastAsia="zh-CN"/>
        </w:rPr>
        <w:t>五级相关要求。</w:t>
      </w:r>
    </w:p>
    <w:p w14:paraId="1FEF2991">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2.本项目优先在安全可靠测评结果公告中进行选型，主要选型原则如下：</w:t>
      </w:r>
    </w:p>
    <w:p w14:paraId="7EDB83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（1）在满足信创要求的前提下，优先选择成熟度高、适配性强的产品，确保系统的稳定性、可靠性；</w:t>
      </w:r>
    </w:p>
    <w:p w14:paraId="506148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（2）选择符合相关标准协议的产品，确保产品间可互联互通及今后的可扩展；</w:t>
      </w:r>
    </w:p>
    <w:p w14:paraId="3131EB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（3）相关安全设备选择需符合国家信息安全部门和密码管理部门有关要求；</w:t>
      </w:r>
    </w:p>
    <w:p w14:paraId="26062343">
      <w:pPr>
        <w:keepNext/>
        <w:keepLines/>
        <w:widowControl w:val="0"/>
        <w:numPr>
          <w:ilvl w:val="1"/>
          <w:numId w:val="2"/>
        </w:numPr>
        <w:bidi w:val="0"/>
        <w:spacing w:before="120" w:beforeLines="0" w:beforeAutospacing="0" w:after="120" w:afterLines="0" w:afterAutospacing="0" w:line="360" w:lineRule="auto"/>
        <w:ind w:left="0" w:leftChars="0" w:firstLine="0" w:firstLineChars="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性能要求</w:t>
      </w:r>
    </w:p>
    <w:p w14:paraId="30BBA4C4">
      <w:pPr>
        <w:numPr>
          <w:ilvl w:val="0"/>
          <w:numId w:val="6"/>
        </w:numPr>
        <w:spacing w:line="360" w:lineRule="auto"/>
        <w:ind w:left="0" w:leftChars="0" w:firstLine="420" w:firstLineChars="0"/>
        <w:jc w:val="both"/>
        <w:rPr>
          <w:rFonts w:hint="eastAsia" w:ascii="宋体" w:hAnsi="宋体" w:eastAsia="宋体" w:cs="宋体"/>
          <w:b/>
          <w:bCs/>
          <w:color w:val="auto"/>
          <w:kern w:val="2"/>
          <w:sz w:val="21"/>
          <w:szCs w:val="21"/>
          <w:lang w:val="en-US" w:eastAsia="zh-CN" w:bidi="ar-SA"/>
        </w:rPr>
      </w:pPr>
      <w:bookmarkStart w:id="9" w:name="_Toc30108"/>
      <w:r>
        <w:rPr>
          <w:rFonts w:hint="eastAsia" w:ascii="宋体" w:hAnsi="宋体" w:eastAsia="宋体" w:cs="宋体"/>
          <w:b/>
          <w:bCs/>
          <w:color w:val="auto"/>
          <w:kern w:val="2"/>
          <w:sz w:val="21"/>
          <w:szCs w:val="21"/>
          <w:lang w:val="en-US" w:eastAsia="zh-CN" w:bidi="ar-SA"/>
        </w:rPr>
        <w:t>系统响应时间需求</w:t>
      </w:r>
      <w:bookmarkEnd w:id="9"/>
    </w:p>
    <w:p w14:paraId="328124F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数据查询分析和业务处理要求速度快、反应及时，在静态页面并发2000用户时业务操作响应时间小于2秒(不考虑带宽限制）；</w:t>
      </w:r>
    </w:p>
    <w:p w14:paraId="05D0CF1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简单业务(小于3个线程）动态页面在并发100用户时其响应速度应小于3秒，复杂业务(大于3个线程）动态页面在并发100用户时其响应速度应小于5秒；</w:t>
      </w:r>
    </w:p>
    <w:p w14:paraId="18FF53F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实时</w:t>
      </w:r>
      <w:r>
        <w:rPr>
          <w:rFonts w:hint="eastAsia" w:ascii="宋体" w:hAnsi="宋体" w:eastAsia="宋体" w:cs="宋体"/>
          <w:color w:val="auto"/>
          <w:kern w:val="2"/>
          <w:sz w:val="21"/>
          <w:szCs w:val="21"/>
          <w:highlight w:val="none"/>
          <w:lang w:val="en-US" w:eastAsia="zh-CN" w:bidi="ar-SA"/>
        </w:rPr>
        <w:t>查询时间小于2秒，单个统计指标技术时间小于2秒，复杂统计分析时间小于5秒，复杂报表计算时间小于10秒；</w:t>
      </w:r>
    </w:p>
    <w:p w14:paraId="7900FA4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各类数据交换必须充分响应，要求系统能处理TB级以上容量的数据，并对系统的吞吐量有合理的设计。</w:t>
      </w:r>
    </w:p>
    <w:p w14:paraId="721E45C5">
      <w:pPr>
        <w:numPr>
          <w:ilvl w:val="0"/>
          <w:numId w:val="6"/>
        </w:numPr>
        <w:spacing w:line="360" w:lineRule="auto"/>
        <w:ind w:left="0" w:leftChars="0" w:firstLine="420" w:firstLineChars="0"/>
        <w:jc w:val="both"/>
        <w:rPr>
          <w:rFonts w:hint="eastAsia" w:ascii="宋体" w:hAnsi="宋体" w:eastAsia="宋体" w:cs="宋体"/>
          <w:b/>
          <w:bCs/>
          <w:color w:val="auto"/>
          <w:kern w:val="2"/>
          <w:sz w:val="21"/>
          <w:szCs w:val="21"/>
          <w:lang w:val="en-US" w:eastAsia="zh-CN" w:bidi="ar-SA"/>
        </w:rPr>
      </w:pPr>
      <w:bookmarkStart w:id="10" w:name="_Toc17376"/>
      <w:r>
        <w:rPr>
          <w:rFonts w:hint="eastAsia" w:ascii="宋体" w:hAnsi="宋体" w:eastAsia="宋体" w:cs="宋体"/>
          <w:b/>
          <w:bCs/>
          <w:color w:val="auto"/>
          <w:kern w:val="2"/>
          <w:sz w:val="21"/>
          <w:szCs w:val="21"/>
          <w:lang w:val="en-US" w:eastAsia="zh-CN" w:bidi="ar-SA"/>
        </w:rPr>
        <w:t>系统可用性需求</w:t>
      </w:r>
      <w:bookmarkEnd w:id="10"/>
    </w:p>
    <w:p w14:paraId="7F267D0E">
      <w:pPr>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1.管理员操作</w:t>
      </w:r>
    </w:p>
    <w:p w14:paraId="31674500">
      <w:pPr>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系统具有远程系统管理和维护功能</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界面设计最大程度满足实用需求；具有良好的管理、监控手段</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可对系统各模块、操作系统、数据库及应用等进行管理监控</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除具备有限自恢复外</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还可采用多种方式进行报警通知管理员；具备容错手段</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允许操作人员有限范围的误操作和返回。</w:t>
      </w:r>
    </w:p>
    <w:p w14:paraId="5355246D">
      <w:pPr>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2.用户操作</w:t>
      </w:r>
    </w:p>
    <w:p w14:paraId="52B833FF">
      <w:pPr>
        <w:spacing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提供方便的系统安装程序</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系统配置自动下载、修改程序；提供友好、方便的功能界面；尽量减少用户输入信息量</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提高数据信息共享程度</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提供充分帮助信息</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指导用户操作。</w:t>
      </w:r>
    </w:p>
    <w:p w14:paraId="2D60A1E5">
      <w:pPr>
        <w:numPr>
          <w:ilvl w:val="0"/>
          <w:numId w:val="6"/>
        </w:numPr>
        <w:spacing w:line="360" w:lineRule="auto"/>
        <w:ind w:left="0" w:leftChars="0" w:firstLine="420" w:firstLineChars="0"/>
        <w:jc w:val="both"/>
        <w:rPr>
          <w:rFonts w:hint="eastAsia" w:ascii="宋体" w:hAnsi="宋体" w:eastAsia="宋体" w:cs="宋体"/>
          <w:b/>
          <w:bCs/>
          <w:color w:val="auto"/>
          <w:kern w:val="2"/>
          <w:sz w:val="21"/>
          <w:szCs w:val="21"/>
          <w:lang w:val="en-US" w:eastAsia="zh-CN" w:bidi="ar-SA"/>
        </w:rPr>
      </w:pPr>
      <w:bookmarkStart w:id="11" w:name="_Toc22221"/>
      <w:r>
        <w:rPr>
          <w:rFonts w:hint="eastAsia" w:ascii="宋体" w:hAnsi="宋体" w:eastAsia="宋体" w:cs="宋体"/>
          <w:b/>
          <w:bCs/>
          <w:color w:val="auto"/>
          <w:kern w:val="2"/>
          <w:sz w:val="21"/>
          <w:szCs w:val="21"/>
          <w:lang w:val="en-US" w:eastAsia="zh-CN" w:bidi="ar-SA"/>
        </w:rPr>
        <w:t>系统可扩展性需求</w:t>
      </w:r>
      <w:bookmarkEnd w:id="11"/>
    </w:p>
    <w:p w14:paraId="6EBEEF0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系统应有良好的横向和纵向扩展能力，可以通过增加主机或提高主机的性能提高整个系统的处理能力。</w:t>
      </w:r>
    </w:p>
    <w:p w14:paraId="55F7C21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应用软件具有灵活性、可伸缩性，保证功能模块随系统结构和业务流程发展变化灵活组合和扩充，可迅速灵活扩展新业务。</w:t>
      </w:r>
    </w:p>
    <w:p w14:paraId="52BEA6B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系统的各模块既可分布式运行，也可集中式运行。各模块负载能力及整体负载能力应可平滑扩展，新功能模块的增加应不影响现有模块的运营。</w:t>
      </w:r>
    </w:p>
    <w:p w14:paraId="0ECFE24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提供统一标准的接口，对接口实现统一管理、路由选择处理和通讯模块的动态加载。</w:t>
      </w:r>
    </w:p>
    <w:p w14:paraId="755CE6C6">
      <w:pPr>
        <w:numPr>
          <w:ilvl w:val="0"/>
          <w:numId w:val="6"/>
        </w:numPr>
        <w:spacing w:line="360" w:lineRule="auto"/>
        <w:ind w:left="0" w:leftChars="0" w:firstLine="420" w:firstLineChars="0"/>
        <w:jc w:val="both"/>
        <w:rPr>
          <w:rFonts w:hint="eastAsia" w:ascii="宋体" w:hAnsi="宋体" w:eastAsia="宋体" w:cs="宋体"/>
          <w:b/>
          <w:bCs/>
          <w:color w:val="auto"/>
          <w:kern w:val="2"/>
          <w:sz w:val="21"/>
          <w:szCs w:val="21"/>
          <w:lang w:val="en-US" w:eastAsia="zh-CN" w:bidi="ar-SA"/>
        </w:rPr>
      </w:pPr>
      <w:bookmarkStart w:id="12" w:name="_Toc18692"/>
      <w:r>
        <w:rPr>
          <w:rFonts w:hint="eastAsia" w:ascii="宋体" w:hAnsi="宋体" w:eastAsia="宋体" w:cs="宋体"/>
          <w:b/>
          <w:bCs/>
          <w:color w:val="auto"/>
          <w:kern w:val="2"/>
          <w:sz w:val="21"/>
          <w:szCs w:val="21"/>
          <w:lang w:val="en-US" w:eastAsia="zh-CN" w:bidi="ar-SA"/>
        </w:rPr>
        <w:t>系统可靠性需求</w:t>
      </w:r>
      <w:bookmarkEnd w:id="12"/>
    </w:p>
    <w:p w14:paraId="04E43D3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系统须要7×24连续运行，因系统或硬件故障原因导致的维护时间全年累计小于24小时；</w:t>
      </w:r>
    </w:p>
    <w:p w14:paraId="05B2E20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系统无单点故障；</w:t>
      </w:r>
    </w:p>
    <w:p w14:paraId="3F1CF92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系统具有动态负载均衡处理能力，保证用户享受最快的安全服务；</w:t>
      </w:r>
    </w:p>
    <w:p w14:paraId="32C3B97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具有对硬件、软件运行状态的远程监控和管理能力；</w:t>
      </w:r>
    </w:p>
    <w:p w14:paraId="106CC0E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应用软件应有容错能力，软件故障不应引起各类严重的系统再启动；</w:t>
      </w:r>
    </w:p>
    <w:p w14:paraId="146AA55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系统应有防护性能。</w:t>
      </w:r>
    </w:p>
    <w:p w14:paraId="31A2688C">
      <w:pPr>
        <w:numPr>
          <w:ilvl w:val="0"/>
          <w:numId w:val="6"/>
        </w:numPr>
        <w:spacing w:line="360" w:lineRule="auto"/>
        <w:ind w:left="0" w:leftChars="0" w:firstLine="420" w:firstLineChars="0"/>
        <w:jc w:val="both"/>
        <w:rPr>
          <w:rFonts w:hint="eastAsia" w:ascii="宋体" w:hAnsi="宋体" w:eastAsia="宋体" w:cs="宋体"/>
          <w:b/>
          <w:bCs/>
          <w:color w:val="auto"/>
          <w:kern w:val="2"/>
          <w:sz w:val="21"/>
          <w:szCs w:val="21"/>
          <w:lang w:val="en-US" w:eastAsia="zh-CN" w:bidi="ar-SA"/>
        </w:rPr>
      </w:pPr>
      <w:bookmarkStart w:id="13" w:name="_Toc17621"/>
      <w:r>
        <w:rPr>
          <w:rFonts w:hint="eastAsia" w:ascii="宋体" w:hAnsi="宋体" w:eastAsia="宋体" w:cs="宋体"/>
          <w:b/>
          <w:bCs/>
          <w:color w:val="auto"/>
          <w:kern w:val="2"/>
          <w:sz w:val="21"/>
          <w:szCs w:val="21"/>
          <w:lang w:val="en-US" w:eastAsia="zh-CN" w:bidi="ar-SA"/>
        </w:rPr>
        <w:t>基础服务平均响应时间需求</w:t>
      </w:r>
      <w:bookmarkEnd w:id="13"/>
    </w:p>
    <w:p w14:paraId="6814EA2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患者注册服务调用，单个患者注册平均响应时间小于1秒；</w:t>
      </w:r>
    </w:p>
    <w:p w14:paraId="2F3F4C0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健康档案查询，按患者唯一标识查询,返回患者电子健康档案文档目录树时，平均响应时间小于1.5秒；</w:t>
      </w:r>
    </w:p>
    <w:p w14:paraId="53BF1C44">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患者基本信息查询,总记录50万以上，按患者唯一标识查询单个患者查询平均响应时间小于1.5秒；总记录100万以上，按患者唯一标识查询单个患者查询平均响应时间小于2秒；</w:t>
      </w:r>
    </w:p>
    <w:p w14:paraId="7DE11DA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基于人口统计学信息的患者信息匹配(基于索引)，总记录50万以上，返回患者唯一标识数据，返回记录数小于10条时，平均响应时间小于</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zh-CN" w:eastAsia="zh-CN" w:bidi="ar-SA"/>
        </w:rPr>
        <w:t>秒；总记录100万以上，返回记录数小于10条时，平均响应时间小于5秒。</w:t>
      </w:r>
    </w:p>
    <w:p w14:paraId="14855721">
      <w:pPr>
        <w:widowControl w:val="0"/>
        <w:ind w:left="420" w:leftChars="200"/>
        <w:jc w:val="both"/>
        <w:rPr>
          <w:rFonts w:hint="eastAsia" w:ascii="Times New Roman" w:hAnsi="Times New Roman" w:eastAsia="宋体" w:cs="Times New Roman"/>
          <w:color w:val="auto"/>
          <w:kern w:val="2"/>
          <w:sz w:val="21"/>
          <w:szCs w:val="21"/>
          <w:lang w:val="en-US" w:eastAsia="zh-CN" w:bidi="ar-SA"/>
        </w:rPr>
      </w:pPr>
    </w:p>
    <w:p w14:paraId="7E5268D8">
      <w:pPr>
        <w:keepNext/>
        <w:keepLines/>
        <w:widowControl w:val="0"/>
        <w:numPr>
          <w:ilvl w:val="0"/>
          <w:numId w:val="2"/>
        </w:numPr>
        <w:bidi w:val="0"/>
        <w:spacing w:before="240" w:beforeLines="0" w:beforeAutospacing="0" w:after="240" w:afterLines="0" w:afterAutospacing="0" w:line="360" w:lineRule="auto"/>
        <w:ind w:left="0" w:firstLine="0"/>
        <w:jc w:val="both"/>
        <w:outlineLvl w:val="0"/>
        <w:rPr>
          <w:rFonts w:hint="eastAsia" w:ascii="Calibri" w:hAnsi="Calibri" w:eastAsia="微软雅黑" w:cs="Times New Roman"/>
          <w:b/>
          <w:color w:val="auto"/>
          <w:kern w:val="44"/>
          <w:sz w:val="21"/>
          <w:szCs w:val="21"/>
          <w:lang w:val="en-US" w:eastAsia="zh-CN" w:bidi="ar-SA"/>
        </w:rPr>
      </w:pPr>
      <w:r>
        <w:rPr>
          <w:rFonts w:hint="eastAsia" w:ascii="Calibri" w:hAnsi="Calibri" w:eastAsia="微软雅黑" w:cs="Times New Roman"/>
          <w:b/>
          <w:color w:val="auto"/>
          <w:kern w:val="44"/>
          <w:sz w:val="21"/>
          <w:szCs w:val="21"/>
          <w:lang w:val="en-US" w:eastAsia="zh-CN" w:bidi="ar-SA"/>
        </w:rPr>
        <w:t>详细技术需求</w:t>
      </w:r>
    </w:p>
    <w:p w14:paraId="5DBE5602">
      <w:pPr>
        <w:keepNext/>
        <w:keepLines/>
        <w:widowControl w:val="0"/>
        <w:numPr>
          <w:ilvl w:val="1"/>
          <w:numId w:val="2"/>
        </w:numPr>
        <w:bidi w:val="0"/>
        <w:spacing w:before="120" w:beforeLines="0" w:beforeAutospacing="0" w:after="120" w:afterLines="0" w:afterAutospacing="0" w:line="360" w:lineRule="auto"/>
        <w:ind w:left="0" w:firstLine="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软件详细技术需求</w:t>
      </w:r>
    </w:p>
    <w:p w14:paraId="750B2EA0">
      <w:pPr>
        <w:keepNext/>
        <w:keepLines/>
        <w:pageBreakBefore w:val="0"/>
        <w:widowControl w:val="0"/>
        <w:numPr>
          <w:ilvl w:val="2"/>
          <w:numId w:val="2"/>
        </w:numPr>
        <w:kinsoku/>
        <w:wordWrap/>
        <w:overflowPunct/>
        <w:topLinePunct w:val="0"/>
        <w:autoSpaceDE/>
        <w:autoSpaceDN/>
        <w:bidi w:val="0"/>
        <w:adjustRightInd w:val="0"/>
        <w:snapToGrid w:val="0"/>
        <w:spacing w:before="260" w:beforeLines="0" w:beforeAutospacing="0" w:after="260" w:afterLines="0" w:afterAutospacing="0" w:line="413" w:lineRule="auto"/>
        <w:ind w:left="720" w:hanging="720"/>
        <w:jc w:val="both"/>
        <w:outlineLvl w:val="2"/>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业务应用层</w:t>
      </w:r>
    </w:p>
    <w:p w14:paraId="271DD4DB">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业务协同</w:t>
      </w:r>
    </w:p>
    <w:p w14:paraId="02A1369B">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区域检验</w:t>
      </w:r>
    </w:p>
    <w:tbl>
      <w:tblPr>
        <w:tblStyle w:val="13"/>
        <w:tblW w:w="5000"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755"/>
        <w:gridCol w:w="7015"/>
      </w:tblGrid>
      <w:tr w14:paraId="6D23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0"/>
            <w:tcFitText/>
            <w:vAlign w:val="center"/>
          </w:tcPr>
          <w:p w14:paraId="22AF11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62"/>
                <w:w w:val="95"/>
                <w:kern w:val="0"/>
                <w:sz w:val="21"/>
                <w:szCs w:val="21"/>
                <w:u w:val="none"/>
                <w:lang w:val="en-US" w:eastAsia="zh-CN" w:bidi="ar"/>
              </w:rPr>
              <w:t>序</w:t>
            </w:r>
            <w:r>
              <w:rPr>
                <w:rFonts w:hint="eastAsia" w:ascii="宋体" w:hAnsi="宋体" w:eastAsia="宋体" w:cs="宋体"/>
                <w:b/>
                <w:bCs/>
                <w:i w:val="0"/>
                <w:iCs w:val="0"/>
                <w:color w:val="auto"/>
                <w:spacing w:val="0"/>
                <w:w w:val="95"/>
                <w:kern w:val="0"/>
                <w:sz w:val="21"/>
                <w:szCs w:val="21"/>
                <w:u w:val="none"/>
                <w:lang w:val="en-US" w:eastAsia="zh-CN" w:bidi="ar"/>
              </w:rPr>
              <w:t>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34F40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模块</w:t>
            </w: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536D8F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75E9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3AA89B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2B2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检验数据中心（改造）</w:t>
            </w: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51006FC6">
            <w:pPr>
              <w:keepNext w:val="0"/>
              <w:keepLines w:val="0"/>
              <w:pageBreakBefore w:val="0"/>
              <w:widowControl/>
              <w:numPr>
                <w:ilvl w:val="0"/>
                <w:numId w:val="1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区域条码统一管理</w:t>
            </w:r>
          </w:p>
          <w:p w14:paraId="222F69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编码格式规则统一管理：支持编码格式、规则统一管理，支持实现区域检验数据的共享、条码统一</w:t>
            </w:r>
          </w:p>
          <w:p w14:paraId="60770D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1)支持机构编码规则统一</w:t>
            </w:r>
          </w:p>
          <w:p w14:paraId="4C807D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2)支持编码长度统一</w:t>
            </w:r>
          </w:p>
          <w:p w14:paraId="679963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3)支持编码唯一度管理</w:t>
            </w:r>
          </w:p>
          <w:p w14:paraId="77E41F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条码样式统一管理：支持对区域内所用条码样式进行统一管理</w:t>
            </w:r>
          </w:p>
          <w:p w14:paraId="76C61F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条码采集统一管理：支持对区域内所用条码采集标准进行统一管理</w:t>
            </w:r>
          </w:p>
          <w:p w14:paraId="1BD1FA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条码跟踪管理：支持扫描条码实现样本跟踪管理</w:t>
            </w:r>
          </w:p>
        </w:tc>
      </w:tr>
      <w:tr w14:paraId="4206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60CA2B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C929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188CF6AF">
            <w:pPr>
              <w:keepNext w:val="0"/>
              <w:keepLines w:val="0"/>
              <w:pageBreakBefore w:val="0"/>
              <w:widowControl/>
              <w:numPr>
                <w:ilvl w:val="0"/>
                <w:numId w:val="1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数据字典标准统一管理</w:t>
            </w:r>
          </w:p>
          <w:p w14:paraId="02FC53B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1、标准字典库管理</w:t>
            </w:r>
          </w:p>
          <w:p w14:paraId="256591C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系统开展的业务标准字典库包括：</w:t>
            </w:r>
          </w:p>
          <w:p w14:paraId="7121B4A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1)医疗机构代码</w:t>
            </w:r>
          </w:p>
          <w:p w14:paraId="44B837A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2)检验项目分类代码</w:t>
            </w:r>
          </w:p>
          <w:p w14:paraId="5BA289F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3)检验项目代码</w:t>
            </w:r>
          </w:p>
          <w:p w14:paraId="2743F9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4)实验方法代码</w:t>
            </w:r>
          </w:p>
          <w:p w14:paraId="33F9909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5)标本种类代码</w:t>
            </w:r>
          </w:p>
          <w:p w14:paraId="1376C3E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6)采集部位代码</w:t>
            </w:r>
          </w:p>
          <w:p w14:paraId="198E29C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7)标本性状代码</w:t>
            </w:r>
          </w:p>
          <w:p w14:paraId="5C14E34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8)微生物标准代码</w:t>
            </w:r>
          </w:p>
          <w:p w14:paraId="16AE81B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9)药敏试验药物标准代码</w:t>
            </w:r>
          </w:p>
          <w:p w14:paraId="2DA2C21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10)不合格标本原因</w:t>
            </w:r>
          </w:p>
          <w:p w14:paraId="6C12809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11)分析系统代码</w:t>
            </w:r>
          </w:p>
          <w:p w14:paraId="34D59D1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12)分析试剂代码</w:t>
            </w:r>
          </w:p>
          <w:p w14:paraId="5F03C69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2、业务数据字典库</w:t>
            </w:r>
          </w:p>
          <w:p w14:paraId="6F229D1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系统上需要处理的业务数据包括：</w:t>
            </w:r>
          </w:p>
          <w:p w14:paraId="2F439EC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1)医疗机构及实验室机构代码</w:t>
            </w:r>
          </w:p>
          <w:p w14:paraId="0993BDC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2)医疗机构检验标本条形码标签分配编码</w:t>
            </w:r>
          </w:p>
          <w:p w14:paraId="558FCC5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3)医疗机构检验标本</w:t>
            </w:r>
          </w:p>
          <w:p w14:paraId="4C96DCA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4)医疗机构检验报告</w:t>
            </w:r>
          </w:p>
          <w:p w14:paraId="55BD46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5)区域检验报告应用记录</w:t>
            </w:r>
          </w:p>
          <w:p w14:paraId="1877D90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6)不合格标本记录</w:t>
            </w:r>
          </w:p>
          <w:p w14:paraId="1E4E06C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7)复查标本记录</w:t>
            </w:r>
          </w:p>
          <w:p w14:paraId="4E9FDEB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8)结果修正记录</w:t>
            </w:r>
          </w:p>
          <w:p w14:paraId="740C8D6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9)报告修正记录</w:t>
            </w:r>
          </w:p>
          <w:p w14:paraId="7CB200D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10)报告召回记录</w:t>
            </w:r>
          </w:p>
          <w:p w14:paraId="2702DD9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11)LIS故障记录</w:t>
            </w:r>
          </w:p>
          <w:p w14:paraId="621A170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12)LIS传输准确性验证记录</w:t>
            </w:r>
          </w:p>
          <w:p w14:paraId="767681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13)外送标本的送检信息</w:t>
            </w:r>
          </w:p>
          <w:p w14:paraId="7DA00B4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14)外送流转包信息</w:t>
            </w:r>
          </w:p>
          <w:p w14:paraId="5C3519A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15)外送标本的检验报告</w:t>
            </w:r>
          </w:p>
          <w:p w14:paraId="31BB4B6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16)外送标本退回标本信息</w:t>
            </w:r>
          </w:p>
          <w:p w14:paraId="43108DB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17)外送标本报告召回信息</w:t>
            </w:r>
          </w:p>
          <w:p w14:paraId="4666715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18)医疗机构项目服务字典信息</w:t>
            </w:r>
          </w:p>
          <w:p w14:paraId="2D32A75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19)医疗机构项目知识库信息</w:t>
            </w:r>
          </w:p>
          <w:p w14:paraId="77CAD4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20)医疗机构采集手册信息</w:t>
            </w:r>
          </w:p>
          <w:p w14:paraId="44EC1BF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21)医疗机构项目手册信息</w:t>
            </w:r>
          </w:p>
          <w:p w14:paraId="1E664BB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22)医疗机构服务手册信息</w:t>
            </w:r>
          </w:p>
          <w:p w14:paraId="7802F93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23)医疗机构项目操作手册信息</w:t>
            </w:r>
          </w:p>
          <w:p w14:paraId="069BFC2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24)医疗机构仪器操作手册信息</w:t>
            </w:r>
          </w:p>
          <w:p w14:paraId="775FCF8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25)细菌耐药监测数据</w:t>
            </w:r>
          </w:p>
          <w:p w14:paraId="7876700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3、业务数据</w:t>
            </w:r>
          </w:p>
          <w:p w14:paraId="15437F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kern w:val="0"/>
                <w:sz w:val="21"/>
                <w:szCs w:val="21"/>
                <w:lang w:bidi="ar"/>
              </w:rPr>
              <w:t>涉及到的数据包括检验报告单、检验指标、细菌结果、药敏结果四个部分。</w:t>
            </w:r>
          </w:p>
        </w:tc>
      </w:tr>
      <w:tr w14:paraId="0231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1AB766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04DF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区域标本外送系统（改造）</w:t>
            </w: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02AA428B">
            <w:pPr>
              <w:keepNext w:val="0"/>
              <w:keepLines w:val="0"/>
              <w:pageBreakBefore w:val="0"/>
              <w:widowControl/>
              <w:numPr>
                <w:ilvl w:val="0"/>
                <w:numId w:val="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样本发送</w:t>
            </w:r>
          </w:p>
          <w:p w14:paraId="648C0D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扫码添加样本：支持通过扫码将样本快速添加至外送列表，完成后将样本信息上传至外送平台</w:t>
            </w:r>
          </w:p>
          <w:p w14:paraId="367032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外送样本列表：支持通过列表展示所有外送样本</w:t>
            </w:r>
          </w:p>
          <w:p w14:paraId="3D371A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外送样本发送：支持选择外送样本列表进行发送操作</w:t>
            </w:r>
          </w:p>
          <w:p w14:paraId="6751C0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未发送样本查询：支持未发送成功的样本信息自动筛选，可直接跳至未发送清单直接查看相关样本信息</w:t>
            </w:r>
          </w:p>
          <w:p w14:paraId="3F545A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样本清单打印：支持根据发送的样本信息生成样本清单，支持清单打印功能</w:t>
            </w:r>
          </w:p>
        </w:tc>
      </w:tr>
      <w:tr w14:paraId="783A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4C6BBD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073E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33BFD940">
            <w:pPr>
              <w:keepNext w:val="0"/>
              <w:keepLines w:val="0"/>
              <w:pageBreakBefore w:val="0"/>
              <w:widowControl/>
              <w:numPr>
                <w:ilvl w:val="0"/>
                <w:numId w:val="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样本接收</w:t>
            </w:r>
          </w:p>
          <w:p w14:paraId="005B37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扫码接收样本：支持通过扫码将送检样本添加至接收清单，一键完成所有样本核收；支持扫描打包码批量核收样本</w:t>
            </w:r>
          </w:p>
          <w:p w14:paraId="3070A9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接收样本列表：支持通过列表展示所有接收样本；支持不能核收样本可自动过滤显示在核收界面</w:t>
            </w:r>
          </w:p>
        </w:tc>
      </w:tr>
      <w:tr w14:paraId="30E9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4E7C49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3B5B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42E26146">
            <w:pPr>
              <w:keepNext w:val="0"/>
              <w:keepLines w:val="0"/>
              <w:pageBreakBefore w:val="0"/>
              <w:widowControl/>
              <w:numPr>
                <w:ilvl w:val="0"/>
                <w:numId w:val="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样本查询</w:t>
            </w:r>
          </w:p>
          <w:p w14:paraId="5E50D1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扫码查询样本：支持扫描条码查询样本记录；支持可通过送检机构、条码号、打包码筛选送检样本信息，查看送检样本状态</w:t>
            </w:r>
          </w:p>
          <w:p w14:paraId="335452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样本明细列表：支持通过列表展示查询样本的明细信息</w:t>
            </w:r>
          </w:p>
          <w:p w14:paraId="0E5478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样本检验结果列表：支持已审核的样本可在线查看相关检验结果</w:t>
            </w:r>
          </w:p>
        </w:tc>
      </w:tr>
      <w:tr w14:paraId="092F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54CE76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AABD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32610858">
            <w:pPr>
              <w:keepNext w:val="0"/>
              <w:keepLines w:val="0"/>
              <w:pageBreakBefore w:val="0"/>
              <w:widowControl/>
              <w:numPr>
                <w:ilvl w:val="0"/>
                <w:numId w:val="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标本流转跟踪</w:t>
            </w:r>
          </w:p>
          <w:p w14:paraId="40A943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人员信息跟踪：支持记录各时间节点的操作人员信息、操作时间、操作人员工号</w:t>
            </w:r>
          </w:p>
          <w:p w14:paraId="306356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时间信息跟踪：支持除列表显示样本状态时间信息外还要有时间节点的流程图供操作人员查看</w:t>
            </w:r>
          </w:p>
          <w:p w14:paraId="0CF526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样本信息跟踪：支持记录送检样本的全生命流程的时间节点，支持通过列表展示外送样本的明细信息</w:t>
            </w:r>
          </w:p>
        </w:tc>
      </w:tr>
      <w:tr w14:paraId="1680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7D9EEC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2D1F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1B10C0F5">
            <w:pPr>
              <w:keepNext w:val="0"/>
              <w:keepLines w:val="0"/>
              <w:pageBreakBefore w:val="0"/>
              <w:widowControl/>
              <w:numPr>
                <w:ilvl w:val="0"/>
                <w:numId w:val="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统计分析</w:t>
            </w:r>
          </w:p>
          <w:p w14:paraId="1D7679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区域工作量分析：支持对区域内各家医疗机构送检样本工作量数据进行统计分析</w:t>
            </w:r>
          </w:p>
          <w:p w14:paraId="67F06A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区域检验项目分析：支持对外送检验项目数据进行统计分析</w:t>
            </w:r>
          </w:p>
          <w:p w14:paraId="770C20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区域不合格标本分析：支持对外送样本的不合格标本数据进行统计分析</w:t>
            </w:r>
          </w:p>
          <w:p w14:paraId="51FB55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外送标本清单：支持对外送标本清单数据进行统计分析</w:t>
            </w:r>
          </w:p>
          <w:p w14:paraId="2B2FDE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外送标本费用分析：支持对外送标本的费用明细数据进行统计分析</w:t>
            </w:r>
          </w:p>
        </w:tc>
      </w:tr>
      <w:tr w14:paraId="2D50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4909CE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D2D0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2F9132F4">
            <w:pPr>
              <w:keepNext w:val="0"/>
              <w:keepLines w:val="0"/>
              <w:pageBreakBefore w:val="0"/>
              <w:widowControl/>
              <w:numPr>
                <w:ilvl w:val="0"/>
                <w:numId w:val="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检验报告返回</w:t>
            </w:r>
          </w:p>
          <w:p w14:paraId="6B7D5D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报告内容获取：</w:t>
            </w:r>
          </w:p>
          <w:p w14:paraId="16B142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1)支持报告时间、采集时间自由选择查询送检样本检验报告</w:t>
            </w:r>
          </w:p>
          <w:p w14:paraId="2BC34F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2)支持在线预览检验报告</w:t>
            </w:r>
          </w:p>
          <w:p w14:paraId="7EB1E5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3)支持打印和导出报告</w:t>
            </w:r>
          </w:p>
          <w:p w14:paraId="45D7AC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4)支持有检验报告的异常数据有颜色标注</w:t>
            </w:r>
          </w:p>
          <w:p w14:paraId="3D89FB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报告日志管理：支持对外送样本报告发布日志进行查询分析</w:t>
            </w:r>
          </w:p>
        </w:tc>
      </w:tr>
      <w:tr w14:paraId="769A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0BE62F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E6EC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501CA5C2">
            <w:pPr>
              <w:keepNext w:val="0"/>
              <w:keepLines w:val="0"/>
              <w:pageBreakBefore w:val="0"/>
              <w:widowControl/>
              <w:numPr>
                <w:ilvl w:val="0"/>
                <w:numId w:val="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接口管理</w:t>
            </w:r>
          </w:p>
          <w:p w14:paraId="771F7E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接口账户设置：</w:t>
            </w:r>
          </w:p>
          <w:p w14:paraId="14D68A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1)接口账户列表：支持展示接口账户列表，管理不同接入基层医疗卫生机构的接口账户</w:t>
            </w:r>
          </w:p>
          <w:p w14:paraId="6D67CE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2)机构基础信息配置：支持对机构的基础信息进行管理</w:t>
            </w:r>
          </w:p>
          <w:p w14:paraId="495B4F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3)机构代码列表：支持对机构代码列表进行管理</w:t>
            </w:r>
          </w:p>
          <w:p w14:paraId="3DC7E6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平台接口设置：</w:t>
            </w:r>
          </w:p>
          <w:p w14:paraId="3A59CD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1)配置接口列表：支持展示接口列表，管理平台外送上级医疗机构、第三方检验机构的接口</w:t>
            </w:r>
          </w:p>
          <w:p w14:paraId="3D16C1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2)接口运行状态：支持对接口的运行状态进行监控</w:t>
            </w:r>
          </w:p>
        </w:tc>
      </w:tr>
      <w:tr w14:paraId="6F0D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09ECBC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F564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区域机构远程开单服务（新增）</w:t>
            </w: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437CD0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支持通过接口对接的形式，通过平台帮助患者申请其他机构的可预约检验项目，将检验预约单信息返回至目的机构HIS系统</w:t>
            </w:r>
          </w:p>
          <w:p w14:paraId="47FEFE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支持查看各机构开放的检验项目信息</w:t>
            </w:r>
          </w:p>
          <w:p w14:paraId="4AB19E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支持查看预约单信息</w:t>
            </w:r>
          </w:p>
          <w:p w14:paraId="54B136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支持预约的取消、修改操作，同时更新相关预约信息至基层 HIS 系统</w:t>
            </w:r>
          </w:p>
          <w:p w14:paraId="4AA789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支持将患者在基层HIS系统的基本信息、检验号源返回目的机构</w:t>
            </w:r>
          </w:p>
        </w:tc>
      </w:tr>
      <w:tr w14:paraId="63B9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53A2E5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583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区域线上微检验服务（新增）</w:t>
            </w: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36FF9582">
            <w:pPr>
              <w:keepNext w:val="0"/>
              <w:keepLines w:val="0"/>
              <w:pageBreakBefore w:val="0"/>
              <w:widowControl/>
              <w:numPr>
                <w:ilvl w:val="0"/>
                <w:numId w:val="1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区域居民检验预约服务</w:t>
            </w:r>
          </w:p>
          <w:p w14:paraId="03433C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检验资源池管理：支持区域内机构检验资源池统一管理，包括可预约的检验项目、预约时间、可约数量等</w:t>
            </w:r>
          </w:p>
          <w:p w14:paraId="69721F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检验机构筛选：支持根据居民当前地理位置，按距离从近到远或展示其可预约的检验机构</w:t>
            </w:r>
          </w:p>
          <w:p w14:paraId="0CC3E1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检验医嘱或套餐筛选：支持检验医嘱或套餐的筛选</w:t>
            </w:r>
          </w:p>
          <w:p w14:paraId="600AD2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检验预约确认：支持选择合适的机构及检验医嘱/套餐，查看具体情况介绍，选择可约日期进行检验预约</w:t>
            </w:r>
          </w:p>
          <w:p w14:paraId="5F17BA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检验人选择：支持检验人的选择和添加</w:t>
            </w:r>
          </w:p>
          <w:p w14:paraId="1D0613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个人预约记录：支持查看个人预约记录</w:t>
            </w:r>
          </w:p>
        </w:tc>
      </w:tr>
      <w:tr w14:paraId="5A93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67696A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409C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76538C05">
            <w:pPr>
              <w:keepNext w:val="0"/>
              <w:keepLines w:val="0"/>
              <w:pageBreakBefore w:val="0"/>
              <w:widowControl/>
              <w:numPr>
                <w:ilvl w:val="0"/>
                <w:numId w:val="1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区域检验报告查询</w:t>
            </w:r>
          </w:p>
          <w:p w14:paraId="347C8D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检验报告数据查看：支持居民通过日期、检验项目名称等在移动端查看检验报告</w:t>
            </w:r>
          </w:p>
          <w:p w14:paraId="294F68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检验报告检索：支持通过多条件组合进行检验报告检索</w:t>
            </w:r>
          </w:p>
          <w:p w14:paraId="438FE8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异常指标展示：支持对于重要指标或异常结果，进行突出显示</w:t>
            </w:r>
          </w:p>
          <w:p w14:paraId="700652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PDF报告查询及下载：提供报告的 PDF 或图片格式下载功能</w:t>
            </w:r>
          </w:p>
        </w:tc>
      </w:tr>
      <w:tr w14:paraId="564D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3F2A50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C134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350E5CA4">
            <w:pPr>
              <w:keepNext w:val="0"/>
              <w:keepLines w:val="0"/>
              <w:pageBreakBefore w:val="0"/>
              <w:widowControl/>
              <w:numPr>
                <w:ilvl w:val="0"/>
                <w:numId w:val="1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检验结果历史分析</w:t>
            </w:r>
          </w:p>
          <w:p w14:paraId="0967E9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将患者的历次检验结果进行整合，支持针对同一检验项目，展示结果历史变化趋势</w:t>
            </w:r>
          </w:p>
          <w:p w14:paraId="4BBA66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支持不同检验项目之间的结果对比</w:t>
            </w:r>
          </w:p>
        </w:tc>
      </w:tr>
      <w:tr w14:paraId="541F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665509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22BD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55EADCCF">
            <w:pPr>
              <w:keepNext w:val="0"/>
              <w:keepLines w:val="0"/>
              <w:pageBreakBefore w:val="0"/>
              <w:widowControl/>
              <w:numPr>
                <w:ilvl w:val="0"/>
                <w:numId w:val="1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检验报告智能解读</w:t>
            </w:r>
          </w:p>
          <w:p w14:paraId="20DDD0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检验结果医学知识库：支持根据行业规范指南，建立检验结果医学知识库</w:t>
            </w:r>
          </w:p>
          <w:p w14:paraId="5B65D5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检验结果评估匹配：支持根据知识库对检验结果建立匹配关系，进行结果评估</w:t>
            </w:r>
          </w:p>
          <w:p w14:paraId="7FA563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检验报告解读说明：支持为检验项目提供详细的文字说明，专业解读</w:t>
            </w:r>
          </w:p>
        </w:tc>
      </w:tr>
      <w:tr w14:paraId="0DBA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61C09B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7EE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区域检验业务量深入分析（新增）</w:t>
            </w: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1B6183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支持自定义采集时间段内、统计某一家或全区域医疗机构的具体检验工作量</w:t>
            </w:r>
          </w:p>
          <w:p w14:paraId="33AD8C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支持统计某机构、某年龄段、某地区做某个医嘱的标本数量、某个医嘱或项目的标本工作件数、金额、数量等</w:t>
            </w:r>
          </w:p>
          <w:p w14:paraId="2DCBC4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以图表形式（如柱状图、折线图、饼图等）展示工作量数据，直观反映工作量的分布和变化</w:t>
            </w:r>
          </w:p>
        </w:tc>
      </w:tr>
      <w:tr w14:paraId="5C0C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27DE14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3DBA2A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区域实验室智慧驾驶舱（新增）</w:t>
            </w: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5252261E">
            <w:pPr>
              <w:keepNext w:val="0"/>
              <w:keepLines w:val="0"/>
              <w:pageBreakBefore w:val="0"/>
              <w:widowControl/>
              <w:numPr>
                <w:ilvl w:val="0"/>
                <w:numId w:val="1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区域实验室数据驾驶舱</w:t>
            </w:r>
          </w:p>
          <w:p w14:paraId="7D7BBF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系统支持展现当月工作量、当月收入情况、当月标本情况、上月概览、卫生院标本概况、标本统计（近一个月）、今日标本、失控项目等信息</w:t>
            </w:r>
          </w:p>
        </w:tc>
      </w:tr>
      <w:tr w14:paraId="0465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7953FB2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DD9D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31D68A72">
            <w:pPr>
              <w:keepNext w:val="0"/>
              <w:keepLines w:val="0"/>
              <w:pageBreakBefore w:val="0"/>
              <w:widowControl/>
              <w:numPr>
                <w:ilvl w:val="0"/>
                <w:numId w:val="1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区域检验汇总数据驾驶舱</w:t>
            </w:r>
          </w:p>
          <w:p w14:paraId="157F48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系统支持动态汇总展示区域检验数据，如：今日区域检验数据指标、平台总报告量、平台总质控量、近三年年度报告、近三年质控数据、异常指标趋势</w:t>
            </w:r>
          </w:p>
        </w:tc>
      </w:tr>
      <w:tr w14:paraId="66E3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3B16737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AC38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6C087E73">
            <w:pPr>
              <w:keepNext w:val="0"/>
              <w:keepLines w:val="0"/>
              <w:pageBreakBefore w:val="0"/>
              <w:widowControl/>
              <w:numPr>
                <w:ilvl w:val="0"/>
                <w:numId w:val="1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区域检验质控数据驾驶舱</w:t>
            </w:r>
          </w:p>
          <w:p w14:paraId="776FE5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系统支持动态汇总展示区域检验质控数据，如：区域质控上传情况、区域医疗机构质控最近上传时间、区域医疗机构仪器失控统计、区域医疗机构质控项目失控统计等</w:t>
            </w:r>
          </w:p>
        </w:tc>
      </w:tr>
      <w:tr w14:paraId="25A9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4C46715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9AA7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7B86CFE0">
            <w:pPr>
              <w:keepNext w:val="0"/>
              <w:keepLines w:val="0"/>
              <w:pageBreakBefore w:val="0"/>
              <w:widowControl/>
              <w:numPr>
                <w:ilvl w:val="0"/>
                <w:numId w:val="1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区域检验协同数据驾驶舱</w:t>
            </w:r>
          </w:p>
          <w:p w14:paraId="082D6A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系统支持动态汇总展示区域检验业务协同数据，如：区域检验申请单数量汇总、区域检验平台报告汇总、区域检验机构数量汇总等</w:t>
            </w:r>
          </w:p>
        </w:tc>
      </w:tr>
      <w:tr w14:paraId="0243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5ED4173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1BDE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0" w:type="dxa"/>
            <w:tcBorders>
              <w:top w:val="single" w:color="000000" w:sz="4" w:space="0"/>
              <w:left w:val="single" w:color="000000" w:sz="4" w:space="0"/>
              <w:bottom w:val="single" w:color="000000" w:sz="4" w:space="0"/>
              <w:right w:val="single" w:color="000000" w:sz="4" w:space="0"/>
            </w:tcBorders>
            <w:noWrap w:val="0"/>
            <w:vAlign w:val="center"/>
          </w:tcPr>
          <w:p w14:paraId="218208B3">
            <w:pPr>
              <w:keepNext w:val="0"/>
              <w:keepLines w:val="0"/>
              <w:pageBreakBefore w:val="0"/>
              <w:widowControl/>
              <w:numPr>
                <w:ilvl w:val="0"/>
                <w:numId w:val="1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区域检验报告数据驾驶舱</w:t>
            </w:r>
          </w:p>
          <w:p w14:paraId="5DD010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系统支持动态汇总展示区域检验报告数据，如：疾病预警信息展示、传染病预警展示、区域检验报告数量汇总、区域检验异常报告汇总、区域检验机构报告上传数据汇总等</w:t>
            </w:r>
          </w:p>
        </w:tc>
      </w:tr>
    </w:tbl>
    <w:p w14:paraId="5784F153">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4B03283F">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区域眼底</w:t>
      </w:r>
    </w:p>
    <w:tbl>
      <w:tblPr>
        <w:tblStyle w:val="13"/>
        <w:tblW w:w="90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754"/>
        <w:gridCol w:w="7551"/>
      </w:tblGrid>
      <w:tr w14:paraId="2E9C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tcFitText/>
            <w:vAlign w:val="center"/>
          </w:tcPr>
          <w:p w14:paraId="2C1999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63"/>
                <w:w w:val="95"/>
                <w:kern w:val="0"/>
                <w:sz w:val="21"/>
                <w:szCs w:val="21"/>
                <w:u w:val="none"/>
                <w:lang w:val="en-US" w:eastAsia="zh-CN" w:bidi="ar"/>
              </w:rPr>
              <w:t>序</w:t>
            </w:r>
            <w:r>
              <w:rPr>
                <w:rFonts w:hint="eastAsia" w:ascii="宋体" w:hAnsi="宋体" w:eastAsia="宋体" w:cs="宋体"/>
                <w:b/>
                <w:bCs/>
                <w:i w:val="0"/>
                <w:iCs w:val="0"/>
                <w:color w:val="auto"/>
                <w:spacing w:val="0"/>
                <w:w w:val="95"/>
                <w:kern w:val="0"/>
                <w:sz w:val="21"/>
                <w:szCs w:val="21"/>
                <w:u w:val="none"/>
                <w:lang w:val="en-US" w:eastAsia="zh-CN" w:bidi="ar"/>
              </w:rPr>
              <w:t>号</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36F17B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模块</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7B0F3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64CE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340661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381C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采集模块（改造）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658CACA0">
            <w:pPr>
              <w:keepNext w:val="0"/>
              <w:keepLines w:val="0"/>
              <w:pageBreakBefore w:val="0"/>
              <w:widowControl/>
              <w:numPr>
                <w:ilvl w:val="0"/>
                <w:numId w:val="1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网页端新增检查</w:t>
            </w:r>
          </w:p>
          <w:p w14:paraId="54852A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支持PC网页端新建眼底检查，包含新增居民档案、上传左右眼眼底图片</w:t>
            </w:r>
          </w:p>
        </w:tc>
      </w:tr>
      <w:tr w14:paraId="4C9B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59B0F12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60C1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84ADCF8">
            <w:pPr>
              <w:keepNext w:val="0"/>
              <w:keepLines w:val="0"/>
              <w:pageBreakBefore w:val="0"/>
              <w:widowControl/>
              <w:numPr>
                <w:ilvl w:val="0"/>
                <w:numId w:val="1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批量导入</w:t>
            </w:r>
          </w:p>
          <w:p w14:paraId="44E61C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支持批量导入检查信息</w:t>
            </w:r>
          </w:p>
        </w:tc>
      </w:tr>
      <w:tr w14:paraId="32E9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0A7742F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D966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2F7BE9A9">
            <w:pPr>
              <w:keepNext w:val="0"/>
              <w:keepLines w:val="0"/>
              <w:pageBreakBefore w:val="0"/>
              <w:widowControl/>
              <w:numPr>
                <w:ilvl w:val="0"/>
                <w:numId w:val="1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眼底工作站上传</w:t>
            </w:r>
          </w:p>
          <w:p w14:paraId="274019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支持客户端采集眼底图片，通过眼底工作站上传眼底图片至后台</w:t>
            </w:r>
          </w:p>
        </w:tc>
      </w:tr>
      <w:tr w14:paraId="55B6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59B5400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33B4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C33B140">
            <w:pPr>
              <w:keepNext w:val="0"/>
              <w:keepLines w:val="0"/>
              <w:pageBreakBefore w:val="0"/>
              <w:widowControl/>
              <w:numPr>
                <w:ilvl w:val="0"/>
                <w:numId w:val="1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对接接口传输</w:t>
            </w:r>
          </w:p>
          <w:p w14:paraId="11D25B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支持第三方接入，通过接口传输检查信息</w:t>
            </w:r>
          </w:p>
        </w:tc>
      </w:tr>
      <w:tr w14:paraId="795B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39812F6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E9D5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7C9AD306">
            <w:pPr>
              <w:keepNext w:val="0"/>
              <w:keepLines w:val="0"/>
              <w:pageBreakBefore w:val="0"/>
              <w:widowControl/>
              <w:numPr>
                <w:ilvl w:val="0"/>
                <w:numId w:val="1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支持接入第三方眼底相机</w:t>
            </w:r>
          </w:p>
          <w:p w14:paraId="7300E3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支持第三方相机接入</w:t>
            </w:r>
          </w:p>
        </w:tc>
      </w:tr>
      <w:tr w14:paraId="0DCA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23A17A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323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眼底筛查（改造）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F6388FE">
            <w:pPr>
              <w:keepNext w:val="0"/>
              <w:keepLines w:val="0"/>
              <w:pageBreakBefore w:val="0"/>
              <w:widowControl/>
              <w:numPr>
                <w:ilvl w:val="0"/>
                <w:numId w:val="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居民档案管理</w:t>
            </w:r>
          </w:p>
          <w:p w14:paraId="119F59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strike w:val="0"/>
                <w:dstrike w:val="0"/>
                <w:color w:val="auto"/>
                <w:sz w:val="21"/>
                <w:szCs w:val="21"/>
                <w:u w:val="none"/>
              </w:rPr>
            </w:pPr>
            <w:r>
              <w:rPr>
                <w:rFonts w:hint="eastAsia" w:ascii="宋体" w:hAnsi="宋体" w:eastAsia="宋体" w:cs="宋体"/>
                <w:color w:val="auto"/>
                <w:sz w:val="21"/>
                <w:szCs w:val="21"/>
                <w:u w:val="none"/>
                <w:lang w:val="en-US" w:eastAsia="zh-CN" w:bidi="ar"/>
              </w:rPr>
              <w:t>支持查询/新增居民档案，包含姓名、性别、联系电话、家庭住址等</w:t>
            </w:r>
          </w:p>
        </w:tc>
      </w:tr>
      <w:tr w14:paraId="3EF1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27DE655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E0CC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5FA5D2D9">
            <w:pPr>
              <w:keepNext w:val="0"/>
              <w:keepLines w:val="0"/>
              <w:pageBreakBefore w:val="0"/>
              <w:widowControl/>
              <w:numPr>
                <w:ilvl w:val="0"/>
                <w:numId w:val="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来检登记</w:t>
            </w:r>
          </w:p>
          <w:p w14:paraId="6064E4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strike w:val="0"/>
                <w:dstrike w:val="0"/>
                <w:color w:val="auto"/>
                <w:sz w:val="21"/>
                <w:szCs w:val="21"/>
                <w:u w:val="none"/>
              </w:rPr>
            </w:pPr>
            <w:r>
              <w:rPr>
                <w:rFonts w:hint="eastAsia" w:ascii="宋体" w:hAnsi="宋体" w:eastAsia="宋体" w:cs="宋体"/>
                <w:color w:val="auto"/>
                <w:sz w:val="21"/>
                <w:szCs w:val="21"/>
                <w:u w:val="none"/>
                <w:lang w:val="en-US" w:eastAsia="zh-CN" w:bidi="ar"/>
              </w:rPr>
              <w:t>支持对眼底筛查的来检居民先做登记候诊，再排队进行筛查</w:t>
            </w:r>
          </w:p>
        </w:tc>
      </w:tr>
      <w:tr w14:paraId="6EBA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0B35FE0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D887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1E0368A9">
            <w:pPr>
              <w:keepNext w:val="0"/>
              <w:keepLines w:val="0"/>
              <w:pageBreakBefore w:val="0"/>
              <w:widowControl/>
              <w:numPr>
                <w:ilvl w:val="0"/>
                <w:numId w:val="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查看/打印报告</w:t>
            </w:r>
          </w:p>
          <w:p w14:paraId="10EF2E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支持基层医生查看眼底诊断报告、打印报告</w:t>
            </w:r>
          </w:p>
        </w:tc>
      </w:tr>
      <w:tr w14:paraId="1948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3B2E3A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F7C55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眼前节筛查（改造）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5D6F0AB8">
            <w:pPr>
              <w:keepNext w:val="0"/>
              <w:keepLines w:val="0"/>
              <w:pageBreakBefore w:val="0"/>
              <w:widowControl/>
              <w:numPr>
                <w:ilvl w:val="0"/>
                <w:numId w:val="1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居民档案管理</w:t>
            </w:r>
          </w:p>
          <w:p w14:paraId="237F9D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strike w:val="0"/>
                <w:dstrike w:val="0"/>
                <w:color w:val="auto"/>
                <w:sz w:val="21"/>
                <w:szCs w:val="21"/>
                <w:u w:val="none"/>
              </w:rPr>
            </w:pPr>
            <w:r>
              <w:rPr>
                <w:rFonts w:hint="eastAsia" w:ascii="宋体" w:hAnsi="宋体" w:eastAsia="宋体" w:cs="宋体"/>
                <w:color w:val="auto"/>
                <w:sz w:val="21"/>
                <w:szCs w:val="21"/>
                <w:u w:val="none"/>
                <w:lang w:val="en-US" w:eastAsia="zh-CN" w:bidi="ar"/>
              </w:rPr>
              <w:t>支持查询/新增居民档案，包含姓名、性别、联系电话、家庭住址等</w:t>
            </w:r>
          </w:p>
        </w:tc>
      </w:tr>
      <w:tr w14:paraId="79CE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6128DBD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721E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4F8E68A4">
            <w:pPr>
              <w:keepNext w:val="0"/>
              <w:keepLines w:val="0"/>
              <w:pageBreakBefore w:val="0"/>
              <w:widowControl/>
              <w:numPr>
                <w:ilvl w:val="0"/>
                <w:numId w:val="1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来检登记</w:t>
            </w:r>
          </w:p>
          <w:p w14:paraId="2A16C9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strike w:val="0"/>
                <w:dstrike w:val="0"/>
                <w:color w:val="auto"/>
                <w:sz w:val="21"/>
                <w:szCs w:val="21"/>
                <w:u w:val="none"/>
              </w:rPr>
            </w:pPr>
            <w:r>
              <w:rPr>
                <w:rFonts w:hint="eastAsia" w:ascii="宋体" w:hAnsi="宋体" w:eastAsia="宋体" w:cs="宋体"/>
                <w:color w:val="auto"/>
                <w:sz w:val="21"/>
                <w:szCs w:val="21"/>
                <w:u w:val="none"/>
                <w:lang w:val="en-US" w:eastAsia="zh-CN" w:bidi="ar"/>
              </w:rPr>
              <w:t>支持对眼前节筛查的来检居民先做登记候诊，再排队进行筛查</w:t>
            </w:r>
          </w:p>
        </w:tc>
      </w:tr>
      <w:tr w14:paraId="58C3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501969B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509E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5680EA31">
            <w:pPr>
              <w:keepNext w:val="0"/>
              <w:keepLines w:val="0"/>
              <w:pageBreakBefore w:val="0"/>
              <w:widowControl/>
              <w:numPr>
                <w:ilvl w:val="0"/>
                <w:numId w:val="1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查看/打印报告</w:t>
            </w:r>
          </w:p>
          <w:p w14:paraId="2B1F5F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支持基层医生查看眼前节诊断报告、打印报告</w:t>
            </w:r>
          </w:p>
        </w:tc>
      </w:tr>
      <w:tr w14:paraId="047F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6E790F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54" w:type="dxa"/>
            <w:vMerge w:val="restart"/>
            <w:tcBorders>
              <w:top w:val="single" w:color="000000" w:sz="4" w:space="0"/>
              <w:left w:val="single" w:color="000000" w:sz="4" w:space="0"/>
              <w:bottom w:val="nil"/>
              <w:right w:val="single" w:color="000000" w:sz="4" w:space="0"/>
            </w:tcBorders>
            <w:noWrap w:val="0"/>
            <w:vAlign w:val="center"/>
          </w:tcPr>
          <w:p w14:paraId="53F1DE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AI诊断模块（改造）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78D4D214">
            <w:pPr>
              <w:keepNext w:val="0"/>
              <w:keepLines w:val="0"/>
              <w:pageBreakBefore w:val="0"/>
              <w:widowControl/>
              <w:numPr>
                <w:ilvl w:val="0"/>
                <w:numId w:val="1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支持接入第三方AI接口服务</w:t>
            </w:r>
          </w:p>
          <w:p w14:paraId="119A90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支持接入第三方AI辅助诊断接口服务</w:t>
            </w:r>
          </w:p>
        </w:tc>
      </w:tr>
      <w:tr w14:paraId="1833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3E6635D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nil"/>
              <w:right w:val="single" w:color="000000" w:sz="4" w:space="0"/>
            </w:tcBorders>
            <w:noWrap w:val="0"/>
            <w:vAlign w:val="center"/>
          </w:tcPr>
          <w:p w14:paraId="695D651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495D7C48">
            <w:pPr>
              <w:keepNext w:val="0"/>
              <w:keepLines w:val="0"/>
              <w:pageBreakBefore w:val="0"/>
              <w:widowControl/>
              <w:numPr>
                <w:ilvl w:val="0"/>
                <w:numId w:val="1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病变级别管理</w:t>
            </w:r>
          </w:p>
          <w:p w14:paraId="5A5652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支持根据接入的第三方AI能力，展示AI初审后的病变级别，也可对其进行修改</w:t>
            </w:r>
          </w:p>
        </w:tc>
      </w:tr>
      <w:tr w14:paraId="690A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nil"/>
              <w:right w:val="single" w:color="000000" w:sz="4" w:space="0"/>
            </w:tcBorders>
            <w:noWrap w:val="0"/>
            <w:vAlign w:val="center"/>
          </w:tcPr>
          <w:p w14:paraId="6607A64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nil"/>
              <w:right w:val="single" w:color="000000" w:sz="4" w:space="0"/>
            </w:tcBorders>
            <w:noWrap w:val="0"/>
            <w:vAlign w:val="center"/>
          </w:tcPr>
          <w:p w14:paraId="2EB6D23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D9EED9D">
            <w:pPr>
              <w:keepNext w:val="0"/>
              <w:keepLines w:val="0"/>
              <w:pageBreakBefore w:val="0"/>
              <w:widowControl/>
              <w:numPr>
                <w:ilvl w:val="0"/>
                <w:numId w:val="1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自动生成诊断结论</w:t>
            </w:r>
          </w:p>
          <w:p w14:paraId="262AF5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采集端上传眼底、眼表照片后，支持第三方AI服务进行自动筛查、自动诊断、自动出具报告</w:t>
            </w:r>
          </w:p>
        </w:tc>
      </w:tr>
      <w:tr w14:paraId="300A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53E6C7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720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专家诊断模块（改造）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CF54893">
            <w:pPr>
              <w:keepNext w:val="0"/>
              <w:keepLines w:val="0"/>
              <w:pageBreakBefore w:val="0"/>
              <w:widowControl/>
              <w:numPr>
                <w:ilvl w:val="0"/>
                <w:numId w:val="19"/>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二次诊断</w:t>
            </w:r>
          </w:p>
          <w:p w14:paraId="472E62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支持专家端对自动筛查后的诊断结果再次进行二次诊断</w:t>
            </w:r>
          </w:p>
        </w:tc>
      </w:tr>
      <w:tr w14:paraId="6E00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0197309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5F49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F41EFB2">
            <w:pPr>
              <w:keepNext w:val="0"/>
              <w:keepLines w:val="0"/>
              <w:pageBreakBefore w:val="0"/>
              <w:widowControl/>
              <w:numPr>
                <w:ilvl w:val="0"/>
                <w:numId w:val="19"/>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支持微信端、网页端诊断</w:t>
            </w:r>
          </w:p>
          <w:p w14:paraId="2CC8C6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支持微信端诊断和PC网页端诊断</w:t>
            </w:r>
          </w:p>
        </w:tc>
      </w:tr>
      <w:tr w14:paraId="410A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0"/>
            <w:vAlign w:val="center"/>
          </w:tcPr>
          <w:p w14:paraId="7AFF03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46275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居民端（改造）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10D2B56">
            <w:pPr>
              <w:keepNext w:val="0"/>
              <w:keepLines w:val="0"/>
              <w:pageBreakBefore w:val="0"/>
              <w:widowControl/>
              <w:numPr>
                <w:ilvl w:val="0"/>
                <w:numId w:val="20"/>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微信查看报告</w:t>
            </w:r>
          </w:p>
          <w:p w14:paraId="6285D5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支持本人报告个人微信端查阅、亲友筛查报告查阅</w:t>
            </w:r>
          </w:p>
        </w:tc>
      </w:tr>
      <w:tr w14:paraId="3539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173FDC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26AF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数据中心（改造）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25ACB256">
            <w:pPr>
              <w:keepNext w:val="0"/>
              <w:keepLines w:val="0"/>
              <w:pageBreakBefore w:val="0"/>
              <w:widowControl/>
              <w:numPr>
                <w:ilvl w:val="0"/>
                <w:numId w:val="2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导出报表</w:t>
            </w:r>
          </w:p>
          <w:p w14:paraId="43F30C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支持医生导出本院筛查报表</w:t>
            </w:r>
          </w:p>
        </w:tc>
      </w:tr>
      <w:tr w14:paraId="2F01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602709D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BC76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6F92C888">
            <w:pPr>
              <w:keepNext w:val="0"/>
              <w:keepLines w:val="0"/>
              <w:pageBreakBefore w:val="0"/>
              <w:widowControl/>
              <w:numPr>
                <w:ilvl w:val="0"/>
                <w:numId w:val="2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机构检查统计</w:t>
            </w:r>
          </w:p>
          <w:p w14:paraId="3D94F7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支持按照医疗机构的筛查量进行统计</w:t>
            </w:r>
          </w:p>
        </w:tc>
      </w:tr>
      <w:tr w14:paraId="2875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50CB45F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A4EF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CDCE815">
            <w:pPr>
              <w:keepNext w:val="0"/>
              <w:keepLines w:val="0"/>
              <w:pageBreakBefore w:val="0"/>
              <w:widowControl/>
              <w:numPr>
                <w:ilvl w:val="0"/>
                <w:numId w:val="2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病变级别分析图</w:t>
            </w:r>
          </w:p>
          <w:p w14:paraId="12F0A0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支持根据接入的第三方AI能力，展示病变级别的分析图</w:t>
            </w:r>
          </w:p>
        </w:tc>
      </w:tr>
      <w:tr w14:paraId="7DA9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625536E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DB55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7653851A">
            <w:pPr>
              <w:keepNext w:val="0"/>
              <w:keepLines w:val="0"/>
              <w:pageBreakBefore w:val="0"/>
              <w:widowControl/>
              <w:numPr>
                <w:ilvl w:val="0"/>
                <w:numId w:val="2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机构分析图</w:t>
            </w:r>
          </w:p>
          <w:p w14:paraId="324E35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支持展示各机构的筛查量柱状图</w:t>
            </w:r>
          </w:p>
        </w:tc>
      </w:tr>
      <w:tr w14:paraId="0152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58F97FA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1BDD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234E7EED">
            <w:pPr>
              <w:keepNext w:val="0"/>
              <w:keepLines w:val="0"/>
              <w:pageBreakBefore w:val="0"/>
              <w:widowControl/>
              <w:numPr>
                <w:ilvl w:val="0"/>
                <w:numId w:val="2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医生诊断统计</w:t>
            </w:r>
          </w:p>
          <w:p w14:paraId="4462EB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支持按照诊断医生的审核量统计</w:t>
            </w:r>
          </w:p>
        </w:tc>
      </w:tr>
      <w:tr w14:paraId="15D8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2961AE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62E1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医生管理（改造）</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6E1214E6">
            <w:pPr>
              <w:keepNext w:val="0"/>
              <w:keepLines w:val="0"/>
              <w:pageBreakBefore w:val="0"/>
              <w:widowControl/>
              <w:numPr>
                <w:ilvl w:val="0"/>
                <w:numId w:val="2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医生管理</w:t>
            </w:r>
          </w:p>
          <w:p w14:paraId="7A79B7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u w:val="none"/>
                <w:lang w:val="en-US" w:eastAsia="zh-CN" w:bidi="ar"/>
              </w:rPr>
              <w:t>账户管理：至少分为四种，管理员账户、会诊专家账户、诊断医生账户、普通账户                                                                                                               1、管理员账户有最高权限</w:t>
            </w:r>
          </w:p>
          <w:p w14:paraId="3CEA3F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u w:val="none"/>
                <w:lang w:val="en-US" w:eastAsia="zh-CN" w:bidi="ar"/>
              </w:rPr>
              <w:t>2、会诊专家和诊断医生账户可以对自动筛查后的诊断结果进行报告编辑</w:t>
            </w:r>
          </w:p>
          <w:p w14:paraId="705A11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u w:val="none"/>
                <w:lang w:val="en-US" w:eastAsia="zh-CN" w:bidi="ar"/>
              </w:rPr>
              <w:t>3、诊断医生可根据自动筛查的结果出具诊断报告</w:t>
            </w:r>
          </w:p>
          <w:p w14:paraId="5DD31B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u w:val="none"/>
                <w:lang w:val="en-US" w:eastAsia="zh-CN" w:bidi="ar"/>
              </w:rPr>
              <w:t>4、诊断医生账户可按照姓名、身份证号查询上传眼底眼表照片列表并处理，并将处理结果反馈至对应的普通账户</w:t>
            </w:r>
          </w:p>
          <w:p w14:paraId="5F326C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5、普通账户支持新建居民档案，上传眼底眼表照片，打印报告权限</w:t>
            </w:r>
          </w:p>
        </w:tc>
      </w:tr>
      <w:tr w14:paraId="1C61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537F26A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BFB8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2FB3D54D">
            <w:pPr>
              <w:keepNext w:val="0"/>
              <w:keepLines w:val="0"/>
              <w:pageBreakBefore w:val="0"/>
              <w:widowControl/>
              <w:numPr>
                <w:ilvl w:val="0"/>
                <w:numId w:val="2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权限管理</w:t>
            </w:r>
          </w:p>
          <w:p w14:paraId="1CE881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支持设置不同医生账号的角色权限、可查看的医疗机构权限</w:t>
            </w:r>
          </w:p>
        </w:tc>
      </w:tr>
      <w:tr w14:paraId="59CD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0303D1D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0D49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092AFB1">
            <w:pPr>
              <w:keepNext w:val="0"/>
              <w:keepLines w:val="0"/>
              <w:pageBreakBefore w:val="0"/>
              <w:widowControl/>
              <w:numPr>
                <w:ilvl w:val="0"/>
                <w:numId w:val="2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登录管理</w:t>
            </w:r>
          </w:p>
          <w:p w14:paraId="37AC82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支持医生账号的停用和启用，支持重置账号密码</w:t>
            </w:r>
          </w:p>
        </w:tc>
      </w:tr>
      <w:tr w14:paraId="59F1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0"/>
            <w:vAlign w:val="center"/>
          </w:tcPr>
          <w:p w14:paraId="316A90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AC1A0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居民检查预约（新增）</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206BD5DA">
            <w:pPr>
              <w:widowControl/>
              <w:adjustRightInd w:val="0"/>
              <w:snapToGrid w:val="0"/>
              <w:jc w:val="left"/>
              <w:textAlignment w:val="center"/>
              <w:rPr>
                <w:rFonts w:hint="default" w:ascii="宋体" w:hAnsi="宋体" w:eastAsia="宋体" w:cs="宋体"/>
                <w:color w:val="auto"/>
                <w:sz w:val="21"/>
                <w:szCs w:val="21"/>
                <w:lang w:bidi="ar"/>
              </w:rPr>
            </w:pPr>
            <w:r>
              <w:rPr>
                <w:rFonts w:hint="eastAsia" w:ascii="宋体" w:hAnsi="宋体" w:eastAsia="宋体" w:cs="宋体"/>
                <w:color w:val="auto"/>
                <w:sz w:val="21"/>
                <w:szCs w:val="21"/>
                <w:u w:val="none"/>
                <w:lang w:bidi="ar"/>
              </w:rPr>
              <w:t>支持新增居民档案（个人信息），包含居民姓名、身份证号、性别、联系电话、民族、工作单位、工作部门、家庭地址等；</w:t>
            </w:r>
          </w:p>
          <w:p w14:paraId="4093FB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color w:val="auto"/>
                <w:sz w:val="21"/>
                <w:szCs w:val="21"/>
                <w:u w:val="none"/>
                <w:lang w:bidi="ar"/>
              </w:rPr>
              <w:t>支持新增居民预约记录</w:t>
            </w:r>
            <w:r>
              <w:rPr>
                <w:rFonts w:hint="eastAsia" w:ascii="宋体" w:hAnsi="宋体" w:eastAsia="宋体" w:cs="宋体"/>
                <w:color w:val="auto"/>
                <w:sz w:val="21"/>
                <w:szCs w:val="21"/>
                <w:u w:val="none"/>
                <w:lang w:bidi="ar"/>
              </w:rPr>
              <w:t>，</w:t>
            </w:r>
            <w:r>
              <w:rPr>
                <w:rFonts w:hint="default" w:ascii="宋体" w:hAnsi="宋体" w:eastAsia="宋体" w:cs="宋体"/>
                <w:color w:val="auto"/>
                <w:sz w:val="21"/>
                <w:szCs w:val="21"/>
                <w:u w:val="none"/>
                <w:lang w:bidi="ar"/>
              </w:rPr>
              <w:t>包含居民基本信息、预约检查时间、预约时间、预约机构等</w:t>
            </w:r>
          </w:p>
        </w:tc>
      </w:tr>
      <w:tr w14:paraId="2457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0"/>
            <w:vAlign w:val="center"/>
          </w:tcPr>
          <w:p w14:paraId="7652BE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24033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眼病筛查预约单（新增）</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4D03A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u w:val="none"/>
                <w:lang w:val="en-US" w:eastAsia="zh-CN" w:bidi="ar"/>
              </w:rPr>
              <w:t>支持查看/打印/批量打印居民眼病筛查预约单</w:t>
            </w:r>
          </w:p>
          <w:p w14:paraId="150C57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支持对接相关医疗机构微信公众号，居民扫码即可查看诊断报告</w:t>
            </w:r>
          </w:p>
        </w:tc>
      </w:tr>
      <w:tr w14:paraId="48E6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restart"/>
            <w:tcBorders>
              <w:top w:val="single" w:color="000000" w:sz="4" w:space="0"/>
              <w:left w:val="single" w:color="000000" w:sz="4" w:space="0"/>
              <w:right w:val="single" w:color="000000" w:sz="4" w:space="0"/>
            </w:tcBorders>
            <w:noWrap w:val="0"/>
            <w:vAlign w:val="center"/>
          </w:tcPr>
          <w:p w14:paraId="7ABBF3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D3B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人工智能眼病筛查监控驾驶舱（新增）</w:t>
            </w: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78376DA2">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累计筛查</w:t>
            </w:r>
          </w:p>
          <w:p w14:paraId="7CB769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支持展示累计筛查人次、本年筛查人次、本月筛查人次、当日筛查人次</w:t>
            </w:r>
          </w:p>
        </w:tc>
      </w:tr>
      <w:tr w14:paraId="434F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750AAA7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E83A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39FB10E1">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AI筛查</w:t>
            </w:r>
          </w:p>
          <w:p w14:paraId="067383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支持展示AI筛查人次、正常人次、待审人次、已审人次</w:t>
            </w:r>
          </w:p>
        </w:tc>
      </w:tr>
      <w:tr w14:paraId="3ED9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2EDAED9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6E52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18E2643E">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今日检出</w:t>
            </w:r>
          </w:p>
          <w:p w14:paraId="7670D8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支持展示今日检出人次、正常人次、眼底病人次、白内障人次、角膜病人次</w:t>
            </w:r>
          </w:p>
        </w:tc>
      </w:tr>
      <w:tr w14:paraId="2429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795B9D0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1A93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70883913">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设备接入</w:t>
            </w:r>
          </w:p>
          <w:p w14:paraId="1E1823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支持展示眼底相机接入数量</w:t>
            </w:r>
          </w:p>
        </w:tc>
      </w:tr>
      <w:tr w14:paraId="7B0D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59D6A4B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59CE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1D6BAC0F">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疾病分析</w:t>
            </w:r>
          </w:p>
          <w:p w14:paraId="7BF0D5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支持分析筛查人群的患病数据，包含眼底病变分析、白内障分析、角膜病分析</w:t>
            </w:r>
          </w:p>
        </w:tc>
      </w:tr>
      <w:tr w14:paraId="39C3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2882421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1F41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73BFA62">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数据来源</w:t>
            </w:r>
          </w:p>
          <w:p w14:paraId="613326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支持展示接入系统的所有机构的检查数据列表，包含累计筛查量、本年筛查量、本月筛查量、今日筛查量</w:t>
            </w:r>
          </w:p>
        </w:tc>
      </w:tr>
      <w:tr w14:paraId="76CA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right w:val="single" w:color="000000" w:sz="4" w:space="0"/>
            </w:tcBorders>
            <w:noWrap w:val="0"/>
            <w:vAlign w:val="center"/>
          </w:tcPr>
          <w:p w14:paraId="4DBEDD6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79EA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1620D8BD">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患者分析</w:t>
            </w:r>
          </w:p>
          <w:p w14:paraId="430528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支持展示对筛查人群的概况分析，包含正常人群、角膜病、白内障、眼底病等的筛查人数占比</w:t>
            </w:r>
          </w:p>
        </w:tc>
      </w:tr>
      <w:tr w14:paraId="7ED8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54" w:type="dxa"/>
            <w:vMerge w:val="continue"/>
            <w:tcBorders>
              <w:left w:val="single" w:color="000000" w:sz="4" w:space="0"/>
              <w:bottom w:val="single" w:color="000000" w:sz="4" w:space="0"/>
              <w:right w:val="single" w:color="000000" w:sz="4" w:space="0"/>
            </w:tcBorders>
            <w:noWrap w:val="0"/>
            <w:vAlign w:val="center"/>
          </w:tcPr>
          <w:p w14:paraId="2CD6820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5909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551" w:type="dxa"/>
            <w:tcBorders>
              <w:top w:val="single" w:color="000000" w:sz="4" w:space="0"/>
              <w:left w:val="single" w:color="000000" w:sz="4" w:space="0"/>
              <w:bottom w:val="single" w:color="000000" w:sz="4" w:space="0"/>
              <w:right w:val="single" w:color="000000" w:sz="4" w:space="0"/>
            </w:tcBorders>
            <w:noWrap w:val="0"/>
            <w:vAlign w:val="center"/>
          </w:tcPr>
          <w:p w14:paraId="0910A951">
            <w:pPr>
              <w:keepNext w:val="0"/>
              <w:keepLines w:val="0"/>
              <w:pageBreakBefore w:val="0"/>
              <w:widowControl/>
              <w:numPr>
                <w:ilvl w:val="0"/>
                <w:numId w:val="2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诊断分析</w:t>
            </w:r>
          </w:p>
          <w:p w14:paraId="5D6395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color w:val="auto"/>
                <w:sz w:val="21"/>
                <w:szCs w:val="21"/>
                <w:u w:val="none"/>
                <w:lang w:val="en-US" w:eastAsia="zh-CN" w:bidi="ar"/>
              </w:rPr>
              <w:t>支持展示眼病诊断医生的筛查数量，并按照筛查总量进行排名</w:t>
            </w:r>
          </w:p>
        </w:tc>
      </w:tr>
    </w:tbl>
    <w:p w14:paraId="5C752E52">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5A6C32CB">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区域血压监测</w:t>
      </w:r>
    </w:p>
    <w:tbl>
      <w:tblPr>
        <w:tblStyle w:val="13"/>
        <w:tblW w:w="5000" w:type="pct"/>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753"/>
        <w:gridCol w:w="7018"/>
      </w:tblGrid>
      <w:tr w14:paraId="7BCEA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54" w:type="dxa"/>
            <w:tcBorders>
              <w:tl2br w:val="nil"/>
              <w:tr2bl w:val="nil"/>
            </w:tcBorders>
            <w:noWrap w:val="0"/>
            <w:tcFitText/>
            <w:vAlign w:val="center"/>
          </w:tcPr>
          <w:p w14:paraId="134FBE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61"/>
                <w:w w:val="95"/>
                <w:kern w:val="0"/>
                <w:sz w:val="21"/>
                <w:szCs w:val="21"/>
                <w:u w:val="none"/>
                <w:lang w:val="en-US" w:eastAsia="zh-CN" w:bidi="ar"/>
              </w:rPr>
              <w:t>序</w:t>
            </w:r>
            <w:r>
              <w:rPr>
                <w:rFonts w:hint="eastAsia" w:ascii="宋体" w:hAnsi="宋体" w:eastAsia="宋体" w:cs="宋体"/>
                <w:b/>
                <w:bCs/>
                <w:i w:val="0"/>
                <w:iCs w:val="0"/>
                <w:color w:val="auto"/>
                <w:spacing w:val="0"/>
                <w:w w:val="95"/>
                <w:kern w:val="0"/>
                <w:sz w:val="21"/>
                <w:szCs w:val="21"/>
                <w:u w:val="none"/>
                <w:lang w:val="en-US" w:eastAsia="zh-CN" w:bidi="ar"/>
              </w:rPr>
              <w:t>号</w:t>
            </w:r>
          </w:p>
        </w:tc>
        <w:tc>
          <w:tcPr>
            <w:tcW w:w="754" w:type="dxa"/>
            <w:tcBorders>
              <w:tl2br w:val="nil"/>
              <w:tr2bl w:val="nil"/>
            </w:tcBorders>
            <w:noWrap w:val="0"/>
            <w:vAlign w:val="center"/>
          </w:tcPr>
          <w:p w14:paraId="475AC5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7079" w:type="dxa"/>
            <w:tcBorders>
              <w:tl2br w:val="nil"/>
              <w:tr2bl w:val="nil"/>
            </w:tcBorders>
            <w:noWrap w:val="0"/>
            <w:vAlign w:val="center"/>
          </w:tcPr>
          <w:p w14:paraId="3801A9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功能技术参数</w:t>
            </w:r>
          </w:p>
        </w:tc>
      </w:tr>
      <w:tr w14:paraId="7455B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754" w:type="dxa"/>
            <w:tcBorders>
              <w:tl2br w:val="nil"/>
              <w:tr2bl w:val="nil"/>
            </w:tcBorders>
            <w:noWrap w:val="0"/>
            <w:vAlign w:val="center"/>
          </w:tcPr>
          <w:p w14:paraId="1E0A4C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54" w:type="dxa"/>
            <w:tcBorders>
              <w:tl2br w:val="nil"/>
              <w:tr2bl w:val="nil"/>
            </w:tcBorders>
            <w:noWrap w:val="0"/>
            <w:vAlign w:val="center"/>
          </w:tcPr>
          <w:p w14:paraId="3A4B0A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总体要求（改造）</w:t>
            </w:r>
          </w:p>
        </w:tc>
        <w:tc>
          <w:tcPr>
            <w:tcW w:w="7079" w:type="dxa"/>
            <w:tcBorders>
              <w:tl2br w:val="nil"/>
              <w:tr2bl w:val="nil"/>
            </w:tcBorders>
            <w:noWrap w:val="0"/>
            <w:vAlign w:val="center"/>
          </w:tcPr>
          <w:p w14:paraId="78CAED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管理多场景血压设备、血压数据、血压报告、档案信息等；对接各场景血压管理子系统及医疗相关系统；搜集居民健康数据和健康信息，并对数据进行综合分析，实时监测居民血压变化状况、血压控制效果；对接医院HIS接诊系统、健康档案，支持血压监测结果、动态血压诊断结果、阶段血压评估结果同步调阅，有助于家庭医生实时了解居民的血压情况、辅助高血压管理</w:t>
            </w:r>
          </w:p>
        </w:tc>
      </w:tr>
      <w:tr w14:paraId="648D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54" w:type="dxa"/>
            <w:vMerge w:val="restart"/>
            <w:tcBorders>
              <w:tl2br w:val="nil"/>
              <w:tr2bl w:val="nil"/>
            </w:tcBorders>
            <w:noWrap w:val="0"/>
            <w:vAlign w:val="center"/>
          </w:tcPr>
          <w:p w14:paraId="3A0D8A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54" w:type="dxa"/>
            <w:vMerge w:val="restart"/>
            <w:tcBorders>
              <w:tl2br w:val="nil"/>
              <w:tr2bl w:val="nil"/>
            </w:tcBorders>
            <w:noWrap w:val="0"/>
            <w:vAlign w:val="center"/>
          </w:tcPr>
          <w:p w14:paraId="20D6B3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家庭血压远程服务系统（改造）</w:t>
            </w:r>
          </w:p>
        </w:tc>
        <w:tc>
          <w:tcPr>
            <w:tcW w:w="7079" w:type="dxa"/>
            <w:tcBorders>
              <w:tl2br w:val="nil"/>
              <w:tr2bl w:val="nil"/>
            </w:tcBorders>
            <w:noWrap w:val="0"/>
            <w:vAlign w:val="center"/>
          </w:tcPr>
          <w:p w14:paraId="636FA319">
            <w:pPr>
              <w:keepNext w:val="0"/>
              <w:keepLines w:val="0"/>
              <w:pageBreakBefore w:val="0"/>
              <w:widowControl/>
              <w:numPr>
                <w:ilvl w:val="0"/>
                <w:numId w:val="2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居家血压设备管理</w:t>
            </w:r>
          </w:p>
          <w:p w14:paraId="449930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支持对家庭血压计进行管理，同时支持远程停用和启用设备。</w:t>
            </w:r>
          </w:p>
        </w:tc>
      </w:tr>
      <w:tr w14:paraId="3828F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754" w:type="dxa"/>
            <w:vMerge w:val="continue"/>
            <w:tcBorders>
              <w:tl2br w:val="nil"/>
              <w:tr2bl w:val="nil"/>
            </w:tcBorders>
            <w:noWrap w:val="0"/>
            <w:vAlign w:val="center"/>
          </w:tcPr>
          <w:p w14:paraId="6381366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602D98A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642027BD">
            <w:pPr>
              <w:keepNext w:val="0"/>
              <w:keepLines w:val="0"/>
              <w:pageBreakBefore w:val="0"/>
              <w:widowControl/>
              <w:numPr>
                <w:ilvl w:val="0"/>
                <w:numId w:val="2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血压方案管理</w:t>
            </w:r>
          </w:p>
          <w:p w14:paraId="043D21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支持生成血压管理方案</w:t>
            </w:r>
          </w:p>
        </w:tc>
      </w:tr>
      <w:tr w14:paraId="0F0CC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54" w:type="dxa"/>
            <w:vMerge w:val="continue"/>
            <w:tcBorders>
              <w:tl2br w:val="nil"/>
              <w:tr2bl w:val="nil"/>
            </w:tcBorders>
            <w:noWrap w:val="0"/>
            <w:vAlign w:val="center"/>
          </w:tcPr>
          <w:p w14:paraId="16BCF20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7D27AC0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0B417595">
            <w:pPr>
              <w:keepNext w:val="0"/>
              <w:keepLines w:val="0"/>
              <w:pageBreakBefore w:val="0"/>
              <w:widowControl/>
              <w:numPr>
                <w:ilvl w:val="0"/>
                <w:numId w:val="2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个性化评估标准设置</w:t>
            </w:r>
          </w:p>
          <w:p w14:paraId="07102D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支持在生成方案的时候，可以根据每个人的不同情况，设置不同的临界值，以及生活方式等</w:t>
            </w:r>
          </w:p>
        </w:tc>
      </w:tr>
      <w:tr w14:paraId="062E0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54" w:type="dxa"/>
            <w:vMerge w:val="continue"/>
            <w:tcBorders>
              <w:tl2br w:val="nil"/>
              <w:tr2bl w:val="nil"/>
            </w:tcBorders>
            <w:noWrap w:val="0"/>
            <w:vAlign w:val="center"/>
          </w:tcPr>
          <w:p w14:paraId="5BEC26D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A42F38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4B1BD4EC">
            <w:pPr>
              <w:keepNext w:val="0"/>
              <w:keepLines w:val="0"/>
              <w:pageBreakBefore w:val="0"/>
              <w:widowControl/>
              <w:numPr>
                <w:ilvl w:val="0"/>
                <w:numId w:val="2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家庭血压绑定</w:t>
            </w:r>
          </w:p>
          <w:p w14:paraId="4C079D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支持将居民与血压计进行绑定，包含居民的基本信息、设备编号、绑定按键选择、绑定开始日期和结束日期等</w:t>
            </w:r>
          </w:p>
        </w:tc>
      </w:tr>
      <w:tr w14:paraId="780AB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54" w:type="dxa"/>
            <w:vMerge w:val="continue"/>
            <w:tcBorders>
              <w:tl2br w:val="nil"/>
              <w:tr2bl w:val="nil"/>
            </w:tcBorders>
            <w:noWrap w:val="0"/>
            <w:vAlign w:val="center"/>
          </w:tcPr>
          <w:p w14:paraId="2042FC3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146D1F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15A0BF03">
            <w:pPr>
              <w:keepNext w:val="0"/>
              <w:keepLines w:val="0"/>
              <w:pageBreakBefore w:val="0"/>
              <w:widowControl/>
              <w:numPr>
                <w:ilvl w:val="0"/>
                <w:numId w:val="2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历史绑定记录管理</w:t>
            </w:r>
          </w:p>
          <w:p w14:paraId="4985E8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支持查看血压计历史绑定记录</w:t>
            </w:r>
          </w:p>
        </w:tc>
      </w:tr>
      <w:tr w14:paraId="5DC02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754" w:type="dxa"/>
            <w:vMerge w:val="continue"/>
            <w:tcBorders>
              <w:tl2br w:val="nil"/>
              <w:tr2bl w:val="nil"/>
            </w:tcBorders>
            <w:noWrap w:val="0"/>
            <w:vAlign w:val="center"/>
          </w:tcPr>
          <w:p w14:paraId="1B65162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58AC8F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007376CC">
            <w:pPr>
              <w:keepNext w:val="0"/>
              <w:keepLines w:val="0"/>
              <w:pageBreakBefore w:val="0"/>
              <w:widowControl/>
              <w:numPr>
                <w:ilvl w:val="0"/>
                <w:numId w:val="2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血压数据导出</w:t>
            </w:r>
          </w:p>
          <w:p w14:paraId="2F02F0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支持导出血压测量数据</w:t>
            </w:r>
          </w:p>
        </w:tc>
      </w:tr>
      <w:tr w14:paraId="0E1AC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754" w:type="dxa"/>
            <w:vMerge w:val="continue"/>
            <w:tcBorders>
              <w:tl2br w:val="nil"/>
              <w:tr2bl w:val="nil"/>
            </w:tcBorders>
            <w:noWrap w:val="0"/>
            <w:vAlign w:val="center"/>
          </w:tcPr>
          <w:p w14:paraId="6906CD2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B4C995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672AF21A">
            <w:pPr>
              <w:keepNext w:val="0"/>
              <w:keepLines w:val="0"/>
              <w:pageBreakBefore w:val="0"/>
              <w:widowControl/>
              <w:numPr>
                <w:ilvl w:val="0"/>
                <w:numId w:val="2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血压报告管理</w:t>
            </w:r>
          </w:p>
          <w:p w14:paraId="126D20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支持根据患者的历史血压数据、服药情况、疾病信息等，对患者的血压控制情况、用药反应、生活方式调整等进行阶段性的分析与评估，并可自动或按条件生成阶段性分析报告</w:t>
            </w:r>
          </w:p>
        </w:tc>
      </w:tr>
      <w:tr w14:paraId="26B1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754" w:type="dxa"/>
            <w:vMerge w:val="restart"/>
            <w:tcBorders>
              <w:tl2br w:val="nil"/>
              <w:tr2bl w:val="nil"/>
            </w:tcBorders>
            <w:noWrap w:val="0"/>
            <w:vAlign w:val="center"/>
          </w:tcPr>
          <w:p w14:paraId="08683A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54" w:type="dxa"/>
            <w:vMerge w:val="restart"/>
            <w:tcBorders>
              <w:tl2br w:val="nil"/>
              <w:tr2bl w:val="nil"/>
            </w:tcBorders>
            <w:noWrap w:val="0"/>
            <w:vAlign w:val="center"/>
          </w:tcPr>
          <w:p w14:paraId="321067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动态血压辅助诊断系统（改造）</w:t>
            </w:r>
          </w:p>
        </w:tc>
        <w:tc>
          <w:tcPr>
            <w:tcW w:w="7079" w:type="dxa"/>
            <w:tcBorders>
              <w:tl2br w:val="nil"/>
              <w:tr2bl w:val="nil"/>
            </w:tcBorders>
            <w:noWrap w:val="0"/>
            <w:vAlign w:val="center"/>
          </w:tcPr>
          <w:p w14:paraId="75378441">
            <w:pPr>
              <w:keepNext w:val="0"/>
              <w:keepLines w:val="0"/>
              <w:pageBreakBefore w:val="0"/>
              <w:widowControl/>
              <w:numPr>
                <w:ilvl w:val="0"/>
                <w:numId w:val="2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智能提醒</w:t>
            </w:r>
          </w:p>
          <w:p w14:paraId="61B740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系统会根据设定的时间间隔自动进行血压测量，帮助用户保持规律的监测习惯。有效管理和监控血压，确保他们的健康得到持续关注。</w:t>
            </w:r>
          </w:p>
        </w:tc>
      </w:tr>
      <w:tr w14:paraId="45D1B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754" w:type="dxa"/>
            <w:vMerge w:val="continue"/>
            <w:tcBorders>
              <w:tl2br w:val="nil"/>
              <w:tr2bl w:val="nil"/>
            </w:tcBorders>
            <w:noWrap w:val="0"/>
            <w:vAlign w:val="center"/>
          </w:tcPr>
          <w:p w14:paraId="33BEABB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CC21E4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57D3E819">
            <w:pPr>
              <w:keepNext w:val="0"/>
              <w:keepLines w:val="0"/>
              <w:pageBreakBefore w:val="0"/>
              <w:widowControl/>
              <w:numPr>
                <w:ilvl w:val="0"/>
                <w:numId w:val="2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动态血压报告管理</w:t>
            </w:r>
          </w:p>
          <w:p w14:paraId="45F96F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医生可以查阅报告的内容及专家的审核意见，并打印报告，报告内包含病人的基本信息、血压测量信息、血压测量结果、详细数据、统计表、动态血压趋势图等统计分析类图表数据以及专家意见、送检医生等内容</w:t>
            </w:r>
          </w:p>
        </w:tc>
      </w:tr>
      <w:tr w14:paraId="54FF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754" w:type="dxa"/>
            <w:vMerge w:val="continue"/>
            <w:tcBorders>
              <w:tl2br w:val="nil"/>
              <w:tr2bl w:val="nil"/>
            </w:tcBorders>
            <w:noWrap w:val="0"/>
            <w:vAlign w:val="center"/>
          </w:tcPr>
          <w:p w14:paraId="3B8B776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DEE2B1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50326734">
            <w:pPr>
              <w:keepNext w:val="0"/>
              <w:keepLines w:val="0"/>
              <w:pageBreakBefore w:val="0"/>
              <w:widowControl/>
              <w:numPr>
                <w:ilvl w:val="0"/>
                <w:numId w:val="2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动态血压设备管理</w:t>
            </w:r>
          </w:p>
          <w:p w14:paraId="38ACEE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医生通过登录系统对设备进行新增、编辑和删除，添加设备编号，在新建检查时，可以直接从添加完成的设备中选择设备绑定</w:t>
            </w:r>
          </w:p>
        </w:tc>
      </w:tr>
      <w:tr w14:paraId="1C71C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54" w:type="dxa"/>
            <w:vMerge w:val="continue"/>
            <w:tcBorders>
              <w:tl2br w:val="nil"/>
              <w:tr2bl w:val="nil"/>
            </w:tcBorders>
            <w:noWrap w:val="0"/>
            <w:vAlign w:val="center"/>
          </w:tcPr>
          <w:p w14:paraId="0B7C04B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22F947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2DADF4B5">
            <w:pPr>
              <w:keepNext w:val="0"/>
              <w:keepLines w:val="0"/>
              <w:pageBreakBefore w:val="0"/>
              <w:widowControl/>
              <w:numPr>
                <w:ilvl w:val="0"/>
                <w:numId w:val="2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动态血压计绑定</w:t>
            </w:r>
          </w:p>
          <w:p w14:paraId="530CF8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支持多种动态血压计的绑定和解绑</w:t>
            </w:r>
          </w:p>
        </w:tc>
      </w:tr>
      <w:tr w14:paraId="34DC9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0" w:hRule="atLeast"/>
        </w:trPr>
        <w:tc>
          <w:tcPr>
            <w:tcW w:w="754" w:type="dxa"/>
            <w:vMerge w:val="continue"/>
            <w:tcBorders>
              <w:tl2br w:val="nil"/>
              <w:tr2bl w:val="nil"/>
            </w:tcBorders>
            <w:noWrap w:val="0"/>
            <w:vAlign w:val="center"/>
          </w:tcPr>
          <w:p w14:paraId="3936AE4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4059C08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323E990B">
            <w:pPr>
              <w:keepNext w:val="0"/>
              <w:keepLines w:val="0"/>
              <w:pageBreakBefore w:val="0"/>
              <w:widowControl/>
              <w:numPr>
                <w:ilvl w:val="0"/>
                <w:numId w:val="2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测量模式自定义</w:t>
            </w:r>
          </w:p>
          <w:p w14:paraId="0B29A5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系统提供两种测量模式以及自定义模式</w:t>
            </w:r>
          </w:p>
          <w:p w14:paraId="7B290C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模式1：06:00-22:00，间隔15分钟/次；22:00-6:00，间隔20分钟/次</w:t>
            </w:r>
          </w:p>
          <w:p w14:paraId="699EFB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模式2：睡眠按钮“开”时，间隔20分钟/次；睡眠按钮“关”时，间隔30分钟/次</w:t>
            </w:r>
          </w:p>
          <w:p w14:paraId="5894B3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自定义模式：根据需求自定义起床时间、就寝时间以及白天夜晚的测量时间间隔</w:t>
            </w:r>
          </w:p>
        </w:tc>
      </w:tr>
      <w:tr w14:paraId="735FF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754" w:type="dxa"/>
            <w:vMerge w:val="continue"/>
            <w:tcBorders>
              <w:tl2br w:val="nil"/>
              <w:tr2bl w:val="nil"/>
            </w:tcBorders>
            <w:noWrap w:val="0"/>
            <w:vAlign w:val="center"/>
          </w:tcPr>
          <w:p w14:paraId="60B3B7A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7720AAA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7507ECBC">
            <w:pPr>
              <w:keepNext w:val="0"/>
              <w:keepLines w:val="0"/>
              <w:pageBreakBefore w:val="0"/>
              <w:widowControl/>
              <w:numPr>
                <w:ilvl w:val="0"/>
                <w:numId w:val="2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测量数据自动标记与分析</w:t>
            </w:r>
          </w:p>
          <w:p w14:paraId="084449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系统能够自动对测量数据进行分类，如白天数据，夜间睡眠数据，晨峰数据等，分析不同时间记录的数据，形成全面的动态血压趋势图。</w:t>
            </w:r>
          </w:p>
        </w:tc>
      </w:tr>
      <w:tr w14:paraId="506B3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754" w:type="dxa"/>
            <w:vMerge w:val="restart"/>
            <w:tcBorders>
              <w:tl2br w:val="nil"/>
              <w:tr2bl w:val="nil"/>
            </w:tcBorders>
            <w:noWrap w:val="0"/>
            <w:vAlign w:val="center"/>
          </w:tcPr>
          <w:p w14:paraId="559C51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54" w:type="dxa"/>
            <w:vMerge w:val="restart"/>
            <w:tcBorders>
              <w:tl2br w:val="nil"/>
              <w:tr2bl w:val="nil"/>
            </w:tcBorders>
            <w:noWrap w:val="0"/>
            <w:vAlign w:val="center"/>
          </w:tcPr>
          <w:p w14:paraId="0D2672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居民管理平台（改造）</w:t>
            </w:r>
          </w:p>
        </w:tc>
        <w:tc>
          <w:tcPr>
            <w:tcW w:w="7079" w:type="dxa"/>
            <w:tcBorders>
              <w:tl2br w:val="nil"/>
              <w:tr2bl w:val="nil"/>
            </w:tcBorders>
            <w:noWrap w:val="0"/>
            <w:vAlign w:val="center"/>
          </w:tcPr>
          <w:p w14:paraId="6423CD5C">
            <w:pPr>
              <w:keepNext w:val="0"/>
              <w:keepLines w:val="0"/>
              <w:pageBreakBefore w:val="0"/>
              <w:widowControl/>
              <w:numPr>
                <w:ilvl w:val="0"/>
                <w:numId w:val="2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居民信息管理</w:t>
            </w:r>
          </w:p>
          <w:p w14:paraId="4C182B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系统收集居民的基本信息，如姓名、性别、年龄、联系方式等。能够根据需要查询特定居民的信息，快速准确地获取所需信息。</w:t>
            </w:r>
          </w:p>
        </w:tc>
      </w:tr>
      <w:tr w14:paraId="32ED2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754" w:type="dxa"/>
            <w:vMerge w:val="continue"/>
            <w:tcBorders>
              <w:tl2br w:val="nil"/>
              <w:tr2bl w:val="nil"/>
            </w:tcBorders>
            <w:noWrap w:val="0"/>
            <w:vAlign w:val="center"/>
          </w:tcPr>
          <w:p w14:paraId="6C25F02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18A752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33A33FAA">
            <w:pPr>
              <w:keepNext w:val="0"/>
              <w:keepLines w:val="0"/>
              <w:pageBreakBefore w:val="0"/>
              <w:widowControl/>
              <w:numPr>
                <w:ilvl w:val="0"/>
                <w:numId w:val="2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居民血压数据监测</w:t>
            </w:r>
          </w:p>
          <w:p w14:paraId="3707E1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获取居民的血压数据，并存储在数据库中，确保数据的准确性和完整性。通过居民血压数据监测系统，可以帮助居民及时掌握自身健康状况，预防高血压和其他心血管疾病的发生，并提供个性化的健康管理建议。</w:t>
            </w:r>
          </w:p>
        </w:tc>
      </w:tr>
      <w:tr w14:paraId="36AB8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54" w:type="dxa"/>
            <w:vMerge w:val="continue"/>
            <w:tcBorders>
              <w:tl2br w:val="nil"/>
              <w:tr2bl w:val="nil"/>
            </w:tcBorders>
            <w:noWrap w:val="0"/>
            <w:vAlign w:val="center"/>
          </w:tcPr>
          <w:p w14:paraId="46CD33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754" w:type="dxa"/>
            <w:vMerge w:val="restart"/>
            <w:tcBorders>
              <w:tl2br w:val="nil"/>
              <w:tr2bl w:val="nil"/>
            </w:tcBorders>
            <w:noWrap w:val="0"/>
            <w:vAlign w:val="center"/>
          </w:tcPr>
          <w:p w14:paraId="597D25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基础管理（改造）</w:t>
            </w:r>
          </w:p>
        </w:tc>
        <w:tc>
          <w:tcPr>
            <w:tcW w:w="7079" w:type="dxa"/>
            <w:tcBorders>
              <w:tl2br w:val="nil"/>
              <w:tr2bl w:val="nil"/>
            </w:tcBorders>
            <w:noWrap w:val="0"/>
            <w:vAlign w:val="center"/>
          </w:tcPr>
          <w:p w14:paraId="7842C0F4">
            <w:pPr>
              <w:keepNext w:val="0"/>
              <w:keepLines w:val="0"/>
              <w:pageBreakBefore w:val="0"/>
              <w:widowControl/>
              <w:numPr>
                <w:ilvl w:val="0"/>
                <w:numId w:val="2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血压计使用权限管理功能</w:t>
            </w:r>
          </w:p>
          <w:p w14:paraId="2E7D3F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支持对用户账号操作权限的管理与设置</w:t>
            </w:r>
          </w:p>
        </w:tc>
      </w:tr>
      <w:tr w14:paraId="0899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754" w:type="dxa"/>
            <w:vMerge w:val="continue"/>
            <w:tcBorders>
              <w:tl2br w:val="nil"/>
              <w:tr2bl w:val="nil"/>
            </w:tcBorders>
            <w:noWrap w:val="0"/>
            <w:vAlign w:val="center"/>
          </w:tcPr>
          <w:p w14:paraId="67CFDED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E6D7BEE">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6B552DD5">
            <w:pPr>
              <w:keepNext w:val="0"/>
              <w:keepLines w:val="0"/>
              <w:pageBreakBefore w:val="0"/>
              <w:widowControl/>
              <w:numPr>
                <w:ilvl w:val="0"/>
                <w:numId w:val="2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基本信息设置</w:t>
            </w:r>
          </w:p>
          <w:p w14:paraId="623AD9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设置系统用户账户，包括管理员、医生等角色，分配相应权限。允许用户定义监测区域的地理范围，如城市、区县或特定社区。</w:t>
            </w:r>
          </w:p>
        </w:tc>
      </w:tr>
      <w:tr w14:paraId="242EC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754" w:type="dxa"/>
            <w:vMerge w:val="restart"/>
            <w:tcBorders>
              <w:tl2br w:val="nil"/>
              <w:tr2bl w:val="nil"/>
            </w:tcBorders>
            <w:noWrap w:val="0"/>
            <w:vAlign w:val="center"/>
          </w:tcPr>
          <w:p w14:paraId="4B0E53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54" w:type="dxa"/>
            <w:vMerge w:val="restart"/>
            <w:tcBorders>
              <w:tl2br w:val="nil"/>
              <w:tr2bl w:val="nil"/>
            </w:tcBorders>
            <w:noWrap w:val="0"/>
            <w:vAlign w:val="center"/>
          </w:tcPr>
          <w:p w14:paraId="438DAE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区域血压监测居民端（改造）</w:t>
            </w:r>
          </w:p>
        </w:tc>
        <w:tc>
          <w:tcPr>
            <w:tcW w:w="7079" w:type="dxa"/>
            <w:tcBorders>
              <w:tl2br w:val="nil"/>
              <w:tr2bl w:val="nil"/>
            </w:tcBorders>
            <w:noWrap w:val="0"/>
            <w:vAlign w:val="center"/>
          </w:tcPr>
          <w:p w14:paraId="422E5DD2">
            <w:pPr>
              <w:keepNext w:val="0"/>
              <w:keepLines w:val="0"/>
              <w:pageBreakBefore w:val="0"/>
              <w:widowControl/>
              <w:numPr>
                <w:ilvl w:val="0"/>
                <w:numId w:val="2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用户注册</w:t>
            </w:r>
          </w:p>
          <w:p w14:paraId="73FF14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支持账号注册</w:t>
            </w:r>
          </w:p>
        </w:tc>
      </w:tr>
      <w:tr w14:paraId="48C8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754" w:type="dxa"/>
            <w:vMerge w:val="continue"/>
            <w:tcBorders>
              <w:tl2br w:val="nil"/>
              <w:tr2bl w:val="nil"/>
            </w:tcBorders>
            <w:noWrap w:val="0"/>
            <w:vAlign w:val="center"/>
          </w:tcPr>
          <w:p w14:paraId="1DF636C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3326FDE">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6701EFC4">
            <w:pPr>
              <w:keepNext w:val="0"/>
              <w:keepLines w:val="0"/>
              <w:pageBreakBefore w:val="0"/>
              <w:widowControl/>
              <w:numPr>
                <w:ilvl w:val="0"/>
                <w:numId w:val="2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健康信息反馈</w:t>
            </w:r>
          </w:p>
          <w:p w14:paraId="598105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支持查看居民晨峰、睡前血压测量情况，查看居民健康信息</w:t>
            </w:r>
          </w:p>
        </w:tc>
      </w:tr>
      <w:tr w14:paraId="06AF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754" w:type="dxa"/>
            <w:vMerge w:val="continue"/>
            <w:tcBorders>
              <w:tl2br w:val="nil"/>
              <w:tr2bl w:val="nil"/>
            </w:tcBorders>
            <w:noWrap w:val="0"/>
            <w:vAlign w:val="center"/>
          </w:tcPr>
          <w:p w14:paraId="21C9124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B1BE0CA">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79" w:type="dxa"/>
            <w:tcBorders>
              <w:tl2br w:val="nil"/>
              <w:tr2bl w:val="nil"/>
            </w:tcBorders>
            <w:noWrap w:val="0"/>
            <w:vAlign w:val="center"/>
          </w:tcPr>
          <w:p w14:paraId="6133A923">
            <w:pPr>
              <w:keepNext w:val="0"/>
              <w:keepLines w:val="0"/>
              <w:pageBreakBefore w:val="0"/>
              <w:widowControl/>
              <w:numPr>
                <w:ilvl w:val="0"/>
                <w:numId w:val="2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血压数据查询</w:t>
            </w:r>
          </w:p>
          <w:p w14:paraId="585310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支持对家庭血压数据进行查询</w:t>
            </w:r>
          </w:p>
          <w:p w14:paraId="60CFAD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支持查询从动态血压计读取的动态血压数据</w:t>
            </w:r>
          </w:p>
        </w:tc>
      </w:tr>
    </w:tbl>
    <w:p w14:paraId="37BB975C">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1790311">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精康补助</w:t>
      </w:r>
    </w:p>
    <w:tbl>
      <w:tblPr>
        <w:tblStyle w:val="13"/>
        <w:tblW w:w="5000" w:type="pct"/>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2"/>
        <w:gridCol w:w="750"/>
        <w:gridCol w:w="7020"/>
      </w:tblGrid>
      <w:tr w14:paraId="3E37D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tcMar>
              <w:top w:w="0" w:type="dxa"/>
              <w:left w:w="108" w:type="dxa"/>
              <w:bottom w:w="0" w:type="dxa"/>
              <w:right w:w="108" w:type="dxa"/>
            </w:tcMar>
            <w:tcFitText/>
            <w:vAlign w:val="center"/>
          </w:tcPr>
          <w:p w14:paraId="72F8FD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sz w:val="21"/>
                <w:szCs w:val="21"/>
                <w:u w:val="none"/>
                <w:lang w:val="en-US" w:eastAsia="zh-CN"/>
              </w:rPr>
            </w:pPr>
            <w:r>
              <w:rPr>
                <w:rFonts w:hint="eastAsia" w:ascii="宋体" w:hAnsi="宋体" w:eastAsia="宋体" w:cs="宋体"/>
                <w:b/>
                <w:bCs/>
                <w:i w:val="0"/>
                <w:iCs w:val="0"/>
                <w:color w:val="auto"/>
                <w:spacing w:val="56"/>
                <w:w w:val="97"/>
                <w:sz w:val="21"/>
                <w:szCs w:val="21"/>
                <w:u w:val="none"/>
                <w:lang w:val="en-US" w:eastAsia="zh-CN"/>
              </w:rPr>
              <w:t>序</w:t>
            </w:r>
            <w:r>
              <w:rPr>
                <w:rFonts w:hint="eastAsia" w:ascii="宋体" w:hAnsi="宋体" w:eastAsia="宋体" w:cs="宋体"/>
                <w:b/>
                <w:bCs/>
                <w:i w:val="0"/>
                <w:iCs w:val="0"/>
                <w:color w:val="auto"/>
                <w:spacing w:val="0"/>
                <w:w w:val="97"/>
                <w:sz w:val="21"/>
                <w:szCs w:val="21"/>
                <w:u w:val="none"/>
                <w:lang w:val="en-US" w:eastAsia="zh-CN"/>
              </w:rPr>
              <w:t>号</w:t>
            </w:r>
          </w:p>
        </w:tc>
        <w:tc>
          <w:tcPr>
            <w:tcW w:w="754" w:type="dxa"/>
            <w:tcBorders>
              <w:tl2br w:val="nil"/>
              <w:tr2bl w:val="nil"/>
            </w:tcBorders>
            <w:noWrap w:val="0"/>
            <w:vAlign w:val="center"/>
          </w:tcPr>
          <w:p w14:paraId="488CB5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模块</w:t>
            </w:r>
          </w:p>
        </w:tc>
        <w:tc>
          <w:tcPr>
            <w:tcW w:w="7084" w:type="dxa"/>
            <w:tcBorders>
              <w:tl2br w:val="nil"/>
              <w:tr2bl w:val="nil"/>
            </w:tcBorders>
            <w:noWrap w:val="0"/>
            <w:vAlign w:val="center"/>
          </w:tcPr>
          <w:p w14:paraId="3F8719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6E1B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712F39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54" w:type="dxa"/>
            <w:tcBorders>
              <w:tl2br w:val="nil"/>
              <w:tr2bl w:val="nil"/>
            </w:tcBorders>
            <w:noWrap w:val="0"/>
            <w:vAlign w:val="center"/>
          </w:tcPr>
          <w:p w14:paraId="7D7010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建立标准目录</w:t>
            </w:r>
          </w:p>
        </w:tc>
        <w:tc>
          <w:tcPr>
            <w:tcW w:w="7084" w:type="dxa"/>
            <w:tcBorders>
              <w:tl2br w:val="nil"/>
              <w:tr2bl w:val="nil"/>
            </w:tcBorders>
            <w:noWrap w:val="0"/>
            <w:vAlign w:val="center"/>
          </w:tcPr>
          <w:p w14:paraId="76C65E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基于精神病专项应用建立医院分类、报销类型、精神病药品目录等标准目录</w:t>
            </w:r>
          </w:p>
        </w:tc>
      </w:tr>
      <w:tr w14:paraId="3B50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6BF7DD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54" w:type="dxa"/>
            <w:vMerge w:val="restart"/>
            <w:tcBorders>
              <w:tl2br w:val="nil"/>
              <w:tr2bl w:val="nil"/>
            </w:tcBorders>
            <w:noWrap w:val="0"/>
            <w:vAlign w:val="center"/>
          </w:tcPr>
          <w:p w14:paraId="52A383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建立统一管理平台和接口服务</w:t>
            </w:r>
          </w:p>
        </w:tc>
        <w:tc>
          <w:tcPr>
            <w:tcW w:w="7084" w:type="dxa"/>
            <w:tcBorders>
              <w:tl2br w:val="nil"/>
              <w:tr2bl w:val="nil"/>
            </w:tcBorders>
            <w:noWrap w:val="0"/>
            <w:vAlign w:val="center"/>
          </w:tcPr>
          <w:p w14:paraId="57E25D57">
            <w:pPr>
              <w:keepNext w:val="0"/>
              <w:keepLines w:val="0"/>
              <w:pageBreakBefore w:val="0"/>
              <w:widowControl/>
              <w:numPr>
                <w:ilvl w:val="0"/>
                <w:numId w:val="29"/>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平台功能</w:t>
            </w:r>
          </w:p>
          <w:p w14:paraId="78AAA468">
            <w:pPr>
              <w:keepNext w:val="0"/>
              <w:keepLines w:val="0"/>
              <w:pageBreakBefore w:val="0"/>
              <w:widowControl/>
              <w:numPr>
                <w:ilvl w:val="0"/>
                <w:numId w:val="3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救助人员登记管理</w:t>
            </w:r>
          </w:p>
          <w:p w14:paraId="35B026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救助人员登记管理、打印和批量导入功能，包括街道、社区、监护人姓名、监护人地址、手机号码、联系电话、与被监护人关系、姓名、性别、出生年月、身份证号码、家庭住址、疾病名称、残疾证号、是否救助、医疗卡号、低保类型、报销机构、额外补助等信息；</w:t>
            </w:r>
          </w:p>
          <w:p w14:paraId="399A08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支持救助人员信息删除功能。</w:t>
            </w:r>
          </w:p>
          <w:p w14:paraId="0D4D72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支持救助人员信息查询功能。</w:t>
            </w:r>
          </w:p>
          <w:p w14:paraId="145FB7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支持救助人员名单批量导入功能。</w:t>
            </w:r>
          </w:p>
          <w:p w14:paraId="74F56B3E">
            <w:pPr>
              <w:keepNext w:val="0"/>
              <w:keepLines w:val="0"/>
              <w:pageBreakBefore w:val="0"/>
              <w:widowControl/>
              <w:numPr>
                <w:ilvl w:val="0"/>
                <w:numId w:val="3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住院救助管理</w:t>
            </w:r>
          </w:p>
          <w:p w14:paraId="2F98FE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录入填写住院登记表，包括登记证件卡号、救助人资料、医院名称、住院日期、住院号、发票号、总费用、年度救助余额、现金支付、医保报销金额、自费费用、精神专项补助、自理费用、疗效、结算单位及人员、结算日期等信息</w:t>
            </w:r>
          </w:p>
          <w:p w14:paraId="243A35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支持按医院、姓名、表卡号、住院号进行查询住院报销费用</w:t>
            </w:r>
          </w:p>
          <w:p w14:paraId="302F89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支持按街道、社区、姓名、性别、年龄、身份证、医疗卡号、表卡号、补助金额、审核状态、医院、住院类别、住院号、特病名称等条件进行查询出院记录，支持打印功能</w:t>
            </w:r>
          </w:p>
          <w:p w14:paraId="1D005B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支持根据日期范围统计住院结算费用</w:t>
            </w:r>
          </w:p>
          <w:p w14:paraId="23D43317">
            <w:pPr>
              <w:keepNext w:val="0"/>
              <w:keepLines w:val="0"/>
              <w:pageBreakBefore w:val="0"/>
              <w:widowControl/>
              <w:numPr>
                <w:ilvl w:val="0"/>
                <w:numId w:val="3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门诊救助</w:t>
            </w:r>
          </w:p>
          <w:p w14:paraId="1FBC56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支持门诊录入填写门诊登记表，包括登记证件卡号、救助人资料、医院名称、发票号、总费用、年度救助余额、现金支付、医保报销金额、精神专项补助、自理费用、门诊情况、结算单位及人员、结算日期等信息</w:t>
            </w:r>
          </w:p>
          <w:p w14:paraId="412FF4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支持按医院、姓名、表卡号、门诊号进行查询门诊报销费用</w:t>
            </w:r>
          </w:p>
          <w:p w14:paraId="2620FF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支持按街道、社区、姓名、性别、年龄、身份证、医疗卡号、表卡号、补助金额、审核状态、医院、门诊编号、特殊病种等条件进行查询门诊记录，支持打印功能</w:t>
            </w:r>
          </w:p>
          <w:p w14:paraId="4B86D6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支持根据实际情况可导入门诊明细</w:t>
            </w:r>
          </w:p>
          <w:p w14:paraId="56A45C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支持选择日期范围生成门诊结算统计报表</w:t>
            </w:r>
          </w:p>
          <w:p w14:paraId="75D08834">
            <w:pPr>
              <w:keepNext w:val="0"/>
              <w:keepLines w:val="0"/>
              <w:pageBreakBefore w:val="0"/>
              <w:widowControl/>
              <w:numPr>
                <w:ilvl w:val="0"/>
                <w:numId w:val="3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统计报表</w:t>
            </w:r>
          </w:p>
          <w:p w14:paraId="2E45F3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支持按街道、结算单位、日期范围、残疾情况、低保情况生成门诊报表</w:t>
            </w:r>
          </w:p>
          <w:p w14:paraId="006CB5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支持按街道、结算单位、日期范围、残疾情况、低保情况生成住院报表</w:t>
            </w:r>
          </w:p>
          <w:p w14:paraId="398D47C6">
            <w:pPr>
              <w:keepNext w:val="0"/>
              <w:keepLines w:val="0"/>
              <w:pageBreakBefore w:val="0"/>
              <w:widowControl/>
              <w:numPr>
                <w:ilvl w:val="0"/>
                <w:numId w:val="3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系统字典</w:t>
            </w:r>
          </w:p>
          <w:p w14:paraId="3FDAF7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对系统参数字典进行管理。</w:t>
            </w:r>
          </w:p>
          <w:p w14:paraId="519958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对医院分类字典进行管理。</w:t>
            </w:r>
          </w:p>
          <w:p w14:paraId="653C32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对医疗机构字典进行管理。</w:t>
            </w:r>
          </w:p>
          <w:p w14:paraId="756731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对报销类型字典进行管理。</w:t>
            </w:r>
          </w:p>
          <w:p w14:paraId="22ED42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对药品目录字典进行管理。</w:t>
            </w:r>
          </w:p>
        </w:tc>
      </w:tr>
      <w:tr w14:paraId="5FF19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31FBDB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1A68DAA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4" w:type="dxa"/>
            <w:tcBorders>
              <w:tl2br w:val="nil"/>
              <w:tr2bl w:val="nil"/>
            </w:tcBorders>
            <w:noWrap w:val="0"/>
            <w:vAlign w:val="center"/>
          </w:tcPr>
          <w:p w14:paraId="0291D015">
            <w:pPr>
              <w:keepNext w:val="0"/>
              <w:keepLines w:val="0"/>
              <w:pageBreakBefore w:val="0"/>
              <w:widowControl/>
              <w:numPr>
                <w:ilvl w:val="0"/>
                <w:numId w:val="29"/>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接口服务开发</w:t>
            </w:r>
          </w:p>
          <w:p w14:paraId="5B4890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提供医院调阅接口服务，查询参保人员信息，实现计算补助</w:t>
            </w:r>
          </w:p>
          <w:p w14:paraId="7B7794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提供医院调阅接口服务，实现门诊补助费用预算操作，实现计算补助</w:t>
            </w:r>
          </w:p>
          <w:p w14:paraId="2EC87B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提供医院调阅接口服务，实现门诊登记操作，实现计算补助</w:t>
            </w:r>
          </w:p>
          <w:p w14:paraId="334B4A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提供医院调阅接口服务，实现作废门诊信息操作，实现计算补助</w:t>
            </w:r>
          </w:p>
          <w:p w14:paraId="406C61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提供医院调阅接口服务，实现门诊明细清单登记操作，实现计算补助</w:t>
            </w:r>
          </w:p>
          <w:p w14:paraId="078FA1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提供医院调阅接口服务，实现门诊对帐交易，实现计算补助</w:t>
            </w:r>
          </w:p>
          <w:p w14:paraId="29B99F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提供医院调阅接口服务，实现门诊改帐交易，实现计算补助</w:t>
            </w:r>
          </w:p>
          <w:p w14:paraId="2085AD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提供医院调阅接口服务，实现住院补助费用预算操作，实现计算补助</w:t>
            </w:r>
          </w:p>
          <w:p w14:paraId="55122C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提供医院调阅接口服务，实现住院登记操作，实现计算补助</w:t>
            </w:r>
          </w:p>
          <w:p w14:paraId="0C2A01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提供医院调阅接口服务，实现作废住院信息操作，实现计算补助</w:t>
            </w:r>
          </w:p>
          <w:p w14:paraId="47B110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提供医院调阅接口服务，实现住院明细清单登记操作，实现计算补助</w:t>
            </w:r>
          </w:p>
          <w:p w14:paraId="365A60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提供医院调阅接口服务，实现住院对帐交易，实现计算补助</w:t>
            </w:r>
          </w:p>
          <w:p w14:paraId="278266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提供医院调阅接口服务，实现药品下发，实现计算补助</w:t>
            </w:r>
          </w:p>
          <w:p w14:paraId="3A04C8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提供医院调阅接口服务，实现医院匹配药品上传，实现计算补助</w:t>
            </w:r>
          </w:p>
          <w:p w14:paraId="4DF8CD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提供医院调阅接口服务，实现药品审核情况下发，实现计算补助</w:t>
            </w:r>
          </w:p>
        </w:tc>
      </w:tr>
      <w:tr w14:paraId="2F6F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5E2E68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54" w:type="dxa"/>
            <w:vMerge w:val="restart"/>
            <w:tcBorders>
              <w:tl2br w:val="nil"/>
              <w:tr2bl w:val="nil"/>
            </w:tcBorders>
            <w:noWrap w:val="0"/>
            <w:vAlign w:val="center"/>
          </w:tcPr>
          <w:p w14:paraId="75DBE7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对接改造</w:t>
            </w:r>
          </w:p>
        </w:tc>
        <w:tc>
          <w:tcPr>
            <w:tcW w:w="7084" w:type="dxa"/>
            <w:tcBorders>
              <w:tl2br w:val="nil"/>
              <w:tr2bl w:val="nil"/>
            </w:tcBorders>
            <w:noWrap w:val="0"/>
            <w:vAlign w:val="center"/>
          </w:tcPr>
          <w:p w14:paraId="308D556B">
            <w:pPr>
              <w:keepNext w:val="0"/>
              <w:keepLines w:val="0"/>
              <w:pageBreakBefore w:val="0"/>
              <w:widowControl/>
              <w:numPr>
                <w:ilvl w:val="0"/>
                <w:numId w:val="3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区级医院对接改造</w:t>
            </w:r>
          </w:p>
          <w:p w14:paraId="206555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提供药品目录下发功能实现医院针对精神病药物的匹配</w:t>
            </w:r>
          </w:p>
          <w:p w14:paraId="3D0B6A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提供门诊挂号服务记录患者门诊就诊记录</w:t>
            </w:r>
          </w:p>
          <w:p w14:paraId="50B673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提供门诊挂号收费记录患者门诊收费记录</w:t>
            </w:r>
          </w:p>
          <w:p w14:paraId="1E1503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提供门诊登记、门诊费用上传</w:t>
            </w:r>
          </w:p>
          <w:p w14:paraId="393021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提供改账功能实现医院对账过程中数据不一致进行调整功能</w:t>
            </w:r>
          </w:p>
          <w:p w14:paraId="5A2571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提供住院登记记录</w:t>
            </w:r>
          </w:p>
          <w:p w14:paraId="12032E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提供住院结算收费记录</w:t>
            </w:r>
          </w:p>
          <w:p w14:paraId="593777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提供住院登记、住院结算费用上传</w:t>
            </w:r>
          </w:p>
          <w:p w14:paraId="490FA8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提供改账功能实现医院对账过程中数据不一致进行调整功能</w:t>
            </w:r>
          </w:p>
        </w:tc>
      </w:tr>
      <w:tr w14:paraId="240E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49D54A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3CC4C2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4" w:type="dxa"/>
            <w:tcBorders>
              <w:tl2br w:val="nil"/>
              <w:tr2bl w:val="nil"/>
            </w:tcBorders>
            <w:noWrap w:val="0"/>
            <w:vAlign w:val="center"/>
          </w:tcPr>
          <w:p w14:paraId="32A70FAA">
            <w:pPr>
              <w:keepNext w:val="0"/>
              <w:keepLines w:val="0"/>
              <w:pageBreakBefore w:val="0"/>
              <w:widowControl/>
              <w:numPr>
                <w:ilvl w:val="0"/>
                <w:numId w:val="3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市康宁医院对接改造</w:t>
            </w:r>
          </w:p>
          <w:p w14:paraId="777272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提供查询参保人员信息操作</w:t>
            </w:r>
          </w:p>
          <w:p w14:paraId="0146D4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提供门诊补助费用预算操作</w:t>
            </w:r>
          </w:p>
          <w:p w14:paraId="3A01C8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提供门诊登记操作</w:t>
            </w:r>
          </w:p>
          <w:p w14:paraId="0A2194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提供作废门诊信息操作</w:t>
            </w:r>
          </w:p>
          <w:p w14:paraId="76D0BB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提供门诊明细清单登记操作</w:t>
            </w:r>
          </w:p>
          <w:p w14:paraId="2879E3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提供门诊对账功能</w:t>
            </w:r>
          </w:p>
          <w:p w14:paraId="3F34DA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提供改账功能实现医院对账过程中数据不一致进行调整功能</w:t>
            </w:r>
          </w:p>
          <w:p w14:paraId="28A0D9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提供住院补助费用预算操作</w:t>
            </w:r>
          </w:p>
          <w:p w14:paraId="5360E6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提供住院登记操作</w:t>
            </w:r>
          </w:p>
          <w:p w14:paraId="19A76D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提供作废住院信息操作</w:t>
            </w:r>
          </w:p>
          <w:p w14:paraId="33DCC3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提供住院明细清单登记操作</w:t>
            </w:r>
          </w:p>
          <w:p w14:paraId="34CD23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提供住院对帐交易</w:t>
            </w:r>
          </w:p>
          <w:p w14:paraId="6C28D1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提供辖区管理精神病人员信息实时开发</w:t>
            </w:r>
          </w:p>
          <w:p w14:paraId="22F5BC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提供辖区管理精神病人员对账同步开发</w:t>
            </w:r>
          </w:p>
        </w:tc>
      </w:tr>
    </w:tbl>
    <w:p w14:paraId="3A8F3564">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27E473B4">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居民电子健康档案浏览器</w:t>
      </w:r>
    </w:p>
    <w:tbl>
      <w:tblPr>
        <w:tblStyle w:val="13"/>
        <w:tblW w:w="5000" w:type="pct"/>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4"/>
        <w:gridCol w:w="1435"/>
        <w:gridCol w:w="6363"/>
      </w:tblGrid>
      <w:tr w14:paraId="779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tcFitText/>
            <w:vAlign w:val="center"/>
          </w:tcPr>
          <w:p w14:paraId="0539FC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51"/>
                <w:w w:val="94"/>
                <w:kern w:val="0"/>
                <w:sz w:val="21"/>
                <w:szCs w:val="21"/>
                <w:u w:val="none"/>
                <w:lang w:val="en-US" w:eastAsia="zh-CN" w:bidi="ar"/>
              </w:rPr>
              <w:t>序</w:t>
            </w:r>
            <w:r>
              <w:rPr>
                <w:rFonts w:hint="eastAsia" w:ascii="宋体" w:hAnsi="宋体" w:eastAsia="宋体" w:cs="宋体"/>
                <w:b/>
                <w:bCs/>
                <w:i w:val="0"/>
                <w:iCs w:val="0"/>
                <w:color w:val="auto"/>
                <w:spacing w:val="0"/>
                <w:w w:val="94"/>
                <w:kern w:val="0"/>
                <w:sz w:val="21"/>
                <w:szCs w:val="21"/>
                <w:u w:val="none"/>
                <w:lang w:val="en-US" w:eastAsia="zh-CN" w:bidi="ar"/>
              </w:rPr>
              <w:t>号</w:t>
            </w:r>
          </w:p>
        </w:tc>
        <w:tc>
          <w:tcPr>
            <w:tcW w:w="1553" w:type="dxa"/>
            <w:tcBorders>
              <w:tl2br w:val="nil"/>
              <w:tr2bl w:val="nil"/>
            </w:tcBorders>
            <w:noWrap w:val="0"/>
            <w:vAlign w:val="center"/>
          </w:tcPr>
          <w:p w14:paraId="6F399D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模块</w:t>
            </w:r>
          </w:p>
        </w:tc>
        <w:tc>
          <w:tcPr>
            <w:tcW w:w="7085" w:type="dxa"/>
            <w:tcBorders>
              <w:tl2br w:val="nil"/>
              <w:tr2bl w:val="nil"/>
            </w:tcBorders>
            <w:noWrap w:val="0"/>
            <w:vAlign w:val="center"/>
          </w:tcPr>
          <w:p w14:paraId="4EE547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06D42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29C902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53" w:type="dxa"/>
            <w:tcBorders>
              <w:tl2br w:val="nil"/>
              <w:tr2bl w:val="nil"/>
            </w:tcBorders>
            <w:noWrap w:val="0"/>
            <w:vAlign w:val="center"/>
          </w:tcPr>
          <w:p w14:paraId="5FC1A6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健康档案首页（改造）</w:t>
            </w:r>
          </w:p>
        </w:tc>
        <w:tc>
          <w:tcPr>
            <w:tcW w:w="7085" w:type="dxa"/>
            <w:tcBorders>
              <w:tl2br w:val="nil"/>
              <w:tr2bl w:val="nil"/>
            </w:tcBorders>
            <w:noWrap w:val="0"/>
            <w:vAlign w:val="center"/>
          </w:tcPr>
          <w:p w14:paraId="7E3612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支持居民基本档案信息展示</w:t>
            </w:r>
          </w:p>
          <w:p w14:paraId="751D2F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支持居民就诊分布展示</w:t>
            </w:r>
          </w:p>
          <w:p w14:paraId="007464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支持居民就诊排名展示</w:t>
            </w:r>
          </w:p>
          <w:p w14:paraId="092323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支持居民诊疗信息展示，包括：门诊、住院、体检、检查、检验、用药、治疗、用血、手术</w:t>
            </w:r>
          </w:p>
          <w:p w14:paraId="0AB194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支持对诊疗信息的数据来源及显示项目配置</w:t>
            </w:r>
          </w:p>
          <w:p w14:paraId="36F265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支持居民体征信息展示，包括：血压、血糖、心率、身高、体重、BMI</w:t>
            </w:r>
          </w:p>
          <w:p w14:paraId="390776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支持对体征信息的显示项目配置</w:t>
            </w:r>
          </w:p>
        </w:tc>
      </w:tr>
      <w:tr w14:paraId="51C8E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2D6616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553" w:type="dxa"/>
            <w:tcBorders>
              <w:tl2br w:val="nil"/>
              <w:tr2bl w:val="nil"/>
            </w:tcBorders>
            <w:noWrap w:val="0"/>
            <w:vAlign w:val="center"/>
          </w:tcPr>
          <w:p w14:paraId="0800A9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儿童健康专项首页（新建）</w:t>
            </w:r>
          </w:p>
        </w:tc>
        <w:tc>
          <w:tcPr>
            <w:tcW w:w="7085" w:type="dxa"/>
            <w:tcBorders>
              <w:tl2br w:val="nil"/>
              <w:tr2bl w:val="nil"/>
            </w:tcBorders>
            <w:noWrap w:val="0"/>
            <w:vAlign w:val="center"/>
          </w:tcPr>
          <w:p w14:paraId="733040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支持居民摘要、生长概况、基础信息、近期检查、健康信息及生长趋势图等展示</w:t>
            </w:r>
          </w:p>
          <w:p w14:paraId="102E8F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支持对0-6岁居民开放..</w:t>
            </w:r>
          </w:p>
          <w:p w14:paraId="7CCAE8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p>
        </w:tc>
      </w:tr>
      <w:tr w14:paraId="6B62E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7B6F07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553" w:type="dxa"/>
            <w:tcBorders>
              <w:tl2br w:val="nil"/>
              <w:tr2bl w:val="nil"/>
            </w:tcBorders>
            <w:noWrap w:val="0"/>
            <w:vAlign w:val="center"/>
          </w:tcPr>
          <w:p w14:paraId="5905A8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孕产妇健康专项首页（新建）</w:t>
            </w:r>
          </w:p>
        </w:tc>
        <w:tc>
          <w:tcPr>
            <w:tcW w:w="7085" w:type="dxa"/>
            <w:tcBorders>
              <w:tl2br w:val="nil"/>
              <w:tr2bl w:val="nil"/>
            </w:tcBorders>
            <w:noWrap w:val="0"/>
            <w:vAlign w:val="center"/>
          </w:tcPr>
          <w:p w14:paraId="530AAB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支持居民摘要、健康概况、基础信息、健康信息及体征信息等展示</w:t>
            </w:r>
          </w:p>
          <w:p w14:paraId="498FDF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支持对孕产妇人群开放</w:t>
            </w:r>
          </w:p>
        </w:tc>
      </w:tr>
      <w:tr w14:paraId="124C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29C804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553" w:type="dxa"/>
            <w:tcBorders>
              <w:tl2br w:val="nil"/>
              <w:tr2bl w:val="nil"/>
            </w:tcBorders>
            <w:noWrap w:val="0"/>
            <w:vAlign w:val="center"/>
          </w:tcPr>
          <w:p w14:paraId="3F8E94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老年人健康专项首页（新建）</w:t>
            </w:r>
          </w:p>
        </w:tc>
        <w:tc>
          <w:tcPr>
            <w:tcW w:w="7085" w:type="dxa"/>
            <w:tcBorders>
              <w:tl2br w:val="nil"/>
              <w:tr2bl w:val="nil"/>
            </w:tcBorders>
            <w:noWrap w:val="0"/>
            <w:vAlign w:val="center"/>
          </w:tcPr>
          <w:p w14:paraId="27815F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支持居民摘要、健康概况、基础信息、健康指数、随访概况、末次随访情况、健康信息及体征信息</w:t>
            </w:r>
          </w:p>
          <w:p w14:paraId="1759E8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支持对65岁及以上居民开放</w:t>
            </w:r>
          </w:p>
        </w:tc>
      </w:tr>
      <w:tr w14:paraId="22BD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742BD1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553" w:type="dxa"/>
            <w:tcBorders>
              <w:tl2br w:val="nil"/>
              <w:tr2bl w:val="nil"/>
            </w:tcBorders>
            <w:noWrap w:val="0"/>
            <w:vAlign w:val="center"/>
          </w:tcPr>
          <w:p w14:paraId="220002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高血压健康专项首页（新建）</w:t>
            </w:r>
          </w:p>
        </w:tc>
        <w:tc>
          <w:tcPr>
            <w:tcW w:w="7085" w:type="dxa"/>
            <w:tcBorders>
              <w:tl2br w:val="nil"/>
              <w:tr2bl w:val="nil"/>
            </w:tcBorders>
            <w:noWrap w:val="0"/>
            <w:vAlign w:val="center"/>
          </w:tcPr>
          <w:p w14:paraId="75B3DA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支持展示居民摘要、健康概况、基础信息、健康指数、随访概况、末次随访情况、健康信息及体征信息</w:t>
            </w:r>
          </w:p>
          <w:p w14:paraId="4935CE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支持对高血压患者开放</w:t>
            </w:r>
          </w:p>
        </w:tc>
      </w:tr>
      <w:tr w14:paraId="60CAC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766B80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553" w:type="dxa"/>
            <w:tcBorders>
              <w:tl2br w:val="nil"/>
              <w:tr2bl w:val="nil"/>
            </w:tcBorders>
            <w:noWrap w:val="0"/>
            <w:vAlign w:val="center"/>
          </w:tcPr>
          <w:p w14:paraId="6715A1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糖尿病健康专项首页（新建）</w:t>
            </w:r>
          </w:p>
        </w:tc>
        <w:tc>
          <w:tcPr>
            <w:tcW w:w="7085" w:type="dxa"/>
            <w:tcBorders>
              <w:tl2br w:val="nil"/>
              <w:tr2bl w:val="nil"/>
            </w:tcBorders>
            <w:noWrap w:val="0"/>
            <w:vAlign w:val="center"/>
          </w:tcPr>
          <w:p w14:paraId="72EA88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支持展示居民摘要、健康概况、基础信息、健康指数、随访概况、末次随访情况、健康信息及体征信息</w:t>
            </w:r>
          </w:p>
          <w:p w14:paraId="764AAB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支持对糖尿病患者开放</w:t>
            </w:r>
          </w:p>
        </w:tc>
      </w:tr>
      <w:tr w14:paraId="75F57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49A7E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553" w:type="dxa"/>
            <w:vMerge w:val="restart"/>
            <w:tcBorders>
              <w:tl2br w:val="nil"/>
              <w:tr2bl w:val="nil"/>
            </w:tcBorders>
            <w:noWrap w:val="0"/>
            <w:vAlign w:val="center"/>
          </w:tcPr>
          <w:p w14:paraId="545D46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时间轴</w:t>
            </w:r>
          </w:p>
        </w:tc>
        <w:tc>
          <w:tcPr>
            <w:tcW w:w="7085" w:type="dxa"/>
            <w:tcBorders>
              <w:tl2br w:val="nil"/>
              <w:tr2bl w:val="nil"/>
            </w:tcBorders>
            <w:noWrap w:val="0"/>
            <w:vAlign w:val="center"/>
          </w:tcPr>
          <w:p w14:paraId="7B7F6FE5">
            <w:pPr>
              <w:keepNext w:val="0"/>
              <w:keepLines w:val="0"/>
              <w:pageBreakBefore w:val="0"/>
              <w:widowControl/>
              <w:numPr>
                <w:ilvl w:val="0"/>
                <w:numId w:val="3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时间轴</w:t>
            </w:r>
          </w:p>
          <w:p w14:paraId="7B4117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支持数据排布及门诊住院类数据分类，快捷查看当次诊疗信息</w:t>
            </w:r>
          </w:p>
          <w:p w14:paraId="053552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支持时间顺序显示门诊住院等记录，与右侧内容块关联</w:t>
            </w:r>
          </w:p>
          <w:p w14:paraId="27A6D8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支持快捷查看当次诊疗信息展示当次门诊所有就诊信息</w:t>
            </w:r>
          </w:p>
          <w:p w14:paraId="753C85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支持时间范围筛选</w:t>
            </w:r>
          </w:p>
        </w:tc>
      </w:tr>
      <w:tr w14:paraId="76258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9BA94A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759586D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DFAF99F">
            <w:pPr>
              <w:keepNext w:val="0"/>
              <w:keepLines w:val="0"/>
              <w:pageBreakBefore w:val="0"/>
              <w:widowControl/>
              <w:numPr>
                <w:ilvl w:val="0"/>
                <w:numId w:val="3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生命周期一览</w:t>
            </w:r>
          </w:p>
          <w:p w14:paraId="2C9EF2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支持各阶段（婴幼儿、少儿、青少年、青年、中年、老年）健康管理、医疗服务业务展示</w:t>
            </w:r>
          </w:p>
        </w:tc>
      </w:tr>
      <w:tr w14:paraId="397A5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E5E3C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553" w:type="dxa"/>
            <w:vMerge w:val="restart"/>
            <w:tcBorders>
              <w:tl2br w:val="nil"/>
              <w:tr2bl w:val="nil"/>
            </w:tcBorders>
            <w:noWrap w:val="0"/>
            <w:vAlign w:val="center"/>
          </w:tcPr>
          <w:p w14:paraId="44E40D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医疗服务（改造）</w:t>
            </w:r>
          </w:p>
        </w:tc>
        <w:tc>
          <w:tcPr>
            <w:tcW w:w="7085" w:type="dxa"/>
            <w:tcBorders>
              <w:tl2br w:val="nil"/>
              <w:tr2bl w:val="nil"/>
            </w:tcBorders>
            <w:noWrap w:val="0"/>
            <w:vAlign w:val="center"/>
          </w:tcPr>
          <w:p w14:paraId="1AD47A5C">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就诊记录（改造）</w:t>
            </w:r>
          </w:p>
          <w:p w14:paraId="06EC8FDF">
            <w:pPr>
              <w:keepNext w:val="0"/>
              <w:keepLines w:val="0"/>
              <w:pageBreakBefore w:val="0"/>
              <w:widowControl/>
              <w:numPr>
                <w:ilvl w:val="0"/>
                <w:numId w:val="3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就诊记录</w:t>
            </w:r>
          </w:p>
          <w:p w14:paraId="525C42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支持居民门诊就诊数据展示，包含就诊日期、医疗机构、主诊断、就诊科室、医生等</w:t>
            </w:r>
          </w:p>
          <w:p w14:paraId="107899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支持居民住院就诊数据展示，包含入院日期、医疗机构、入院诊断、入院科室、主治医生等</w:t>
            </w:r>
          </w:p>
          <w:p w14:paraId="5DF00D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支持卡片及列表两种形式进行展现</w:t>
            </w:r>
          </w:p>
          <w:p w14:paraId="0923630B">
            <w:pPr>
              <w:keepNext w:val="0"/>
              <w:keepLines w:val="0"/>
              <w:pageBreakBefore w:val="0"/>
              <w:widowControl/>
              <w:numPr>
                <w:ilvl w:val="0"/>
                <w:numId w:val="3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门诊就诊记录</w:t>
            </w:r>
          </w:p>
          <w:p w14:paraId="0B1F75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支持查看门/急诊记录，包括居民本次门/急诊的基本信息、诊断、处方、检查、检验、治疗、用血、手术、电子病历等详细信息</w:t>
            </w:r>
          </w:p>
          <w:p w14:paraId="5E029E26">
            <w:pPr>
              <w:keepNext w:val="0"/>
              <w:keepLines w:val="0"/>
              <w:pageBreakBefore w:val="0"/>
              <w:widowControl/>
              <w:numPr>
                <w:ilvl w:val="0"/>
                <w:numId w:val="3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住院就诊记录</w:t>
            </w:r>
          </w:p>
          <w:p w14:paraId="05D195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支持查看住院记录，包括居民本次住院的病案首页、医嘱信息、检查、检验、三测单、治疗记录、用血、手术、轮转信息、出院小结、电子病历、费用清单等信息</w:t>
            </w:r>
          </w:p>
        </w:tc>
      </w:tr>
      <w:tr w14:paraId="70274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FD8A7F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3A1321C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D8D4DD8">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诊断记录（新增）</w:t>
            </w:r>
          </w:p>
          <w:p w14:paraId="618D84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支持居民历次诊断信息展示，包含就诊类型、就诊日期、ICD、诊断名称、就诊科室、医生、医疗机构、病人去向等</w:t>
            </w:r>
          </w:p>
        </w:tc>
      </w:tr>
      <w:tr w14:paraId="11C4C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CF41E1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1C8FE77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57018F1">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过敏记录（新增）</w:t>
            </w:r>
          </w:p>
          <w:p w14:paraId="12CA5A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支持居民历次过敏信息展示</w:t>
            </w:r>
          </w:p>
        </w:tc>
      </w:tr>
      <w:tr w14:paraId="490B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628930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6E6540D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38B1BE1">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检验记录（改造）</w:t>
            </w:r>
          </w:p>
          <w:p w14:paraId="301C82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支持居民历次检验记录信息展示，包含检验名称、患者基本信息、检验明细结果等</w:t>
            </w:r>
          </w:p>
          <w:p w14:paraId="6EF581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支持指标类型（关注指标、异常指标）筛选</w:t>
            </w:r>
          </w:p>
          <w:p w14:paraId="542060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支持指标趋势展示</w:t>
            </w:r>
          </w:p>
          <w:p w14:paraId="5E3183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支持按日期分组展示</w:t>
            </w:r>
          </w:p>
        </w:tc>
      </w:tr>
      <w:tr w14:paraId="5D90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3F83E3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79146AB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BC1195F">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检查记录（改造）</w:t>
            </w:r>
          </w:p>
          <w:p w14:paraId="4AE658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支持居民历次检查信息展示，包含检查名称、患者基本信息、检查所见、检查提示等</w:t>
            </w:r>
          </w:p>
          <w:p w14:paraId="1DDF0F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支持同种检查历史记录展示</w:t>
            </w:r>
          </w:p>
          <w:p w14:paraId="2EB950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支持按日期分组展示</w:t>
            </w:r>
          </w:p>
        </w:tc>
      </w:tr>
      <w:tr w14:paraId="6AB33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BB5CF6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4EDD41A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4BAA344">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治疗记录（新增）</w:t>
            </w:r>
          </w:p>
          <w:p w14:paraId="5C4483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支持居民历次治疗记息展示，包含治疗名称、患者基本信息、治疗信息、执行情况等</w:t>
            </w:r>
          </w:p>
          <w:p w14:paraId="3CB1F6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支持按日期分组展示</w:t>
            </w:r>
          </w:p>
        </w:tc>
      </w:tr>
      <w:tr w14:paraId="0732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BF945B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7D478D9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2BA5204">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手术记录（新增）</w:t>
            </w:r>
          </w:p>
          <w:p w14:paraId="13255D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支持居民历次手术记息展示，包含手术编号、手术名称、加急、日间手术、手术开始时间、手术结束时间、主刀医生、1助、2助、麻醉医生等</w:t>
            </w:r>
          </w:p>
        </w:tc>
      </w:tr>
      <w:tr w14:paraId="1816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62A917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20CD6A5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1231F8C">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用血记录（新增）</w:t>
            </w:r>
          </w:p>
          <w:p w14:paraId="632A38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支持居民历次用血信息展示</w:t>
            </w:r>
          </w:p>
          <w:p w14:paraId="3AA16D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支持输血前检验结果查看</w:t>
            </w:r>
          </w:p>
        </w:tc>
      </w:tr>
      <w:tr w14:paraId="4B245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3AD4B4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5D4906E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F481246">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医嘱记录（新增）</w:t>
            </w:r>
          </w:p>
          <w:p w14:paraId="0370B937">
            <w:pPr>
              <w:keepNext w:val="0"/>
              <w:keepLines w:val="0"/>
              <w:pageBreakBefore w:val="0"/>
              <w:widowControl/>
              <w:numPr>
                <w:ilvl w:val="0"/>
                <w:numId w:val="3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门诊处方</w:t>
            </w:r>
          </w:p>
          <w:p w14:paraId="40961A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门诊处方支持西药方、中药方及其他展示</w:t>
            </w:r>
          </w:p>
          <w:p w14:paraId="78F5AD07">
            <w:pPr>
              <w:keepNext w:val="0"/>
              <w:keepLines w:val="0"/>
              <w:pageBreakBefore w:val="0"/>
              <w:widowControl/>
              <w:numPr>
                <w:ilvl w:val="0"/>
                <w:numId w:val="3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住院医嘱</w:t>
            </w:r>
          </w:p>
          <w:p w14:paraId="58802C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住院医嘱支持长期医嘱、临时医嘱及出院带药展示</w:t>
            </w:r>
          </w:p>
        </w:tc>
      </w:tr>
      <w:tr w14:paraId="2608B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B5B756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1EADEB7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FD91632">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病案首页记录（新增）</w:t>
            </w:r>
          </w:p>
          <w:p w14:paraId="43B668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支持居民历次病案记录展示，包含就诊类型、就诊时间、诊断名称、就诊科室、医疗机构等</w:t>
            </w:r>
          </w:p>
        </w:tc>
      </w:tr>
      <w:tr w14:paraId="609D5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BA28CE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4ADBD17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006AEA9">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电子病历记录（新增）</w:t>
            </w:r>
          </w:p>
          <w:p w14:paraId="6A96C4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支持居民历次就诊电子病历展示，包含就诊类型、就诊时间、诊断名称、就诊科室、医疗机构等</w:t>
            </w:r>
          </w:p>
        </w:tc>
      </w:tr>
      <w:tr w14:paraId="60D9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65459D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22BE5BF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3C4B3871">
            <w:pPr>
              <w:keepNext w:val="0"/>
              <w:keepLines w:val="0"/>
              <w:pageBreakBefore w:val="0"/>
              <w:widowControl/>
              <w:numPr>
                <w:ilvl w:val="0"/>
                <w:numId w:val="3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体检记录（改造）</w:t>
            </w:r>
          </w:p>
          <w:p w14:paraId="547EF7D4">
            <w:pPr>
              <w:keepNext w:val="0"/>
              <w:keepLines w:val="0"/>
              <w:pageBreakBefore w:val="0"/>
              <w:widowControl/>
              <w:numPr>
                <w:ilvl w:val="0"/>
                <w:numId w:val="3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普通体检报告：支持居民的所有普通体检详情展示</w:t>
            </w:r>
          </w:p>
          <w:p w14:paraId="0D9A40AB">
            <w:pPr>
              <w:keepNext w:val="0"/>
              <w:keepLines w:val="0"/>
              <w:pageBreakBefore w:val="0"/>
              <w:widowControl/>
              <w:numPr>
                <w:ilvl w:val="0"/>
                <w:numId w:val="3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健康体检报告：支持居民的所有健康体检详情展示</w:t>
            </w:r>
          </w:p>
        </w:tc>
      </w:tr>
      <w:tr w14:paraId="25E6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6C73DC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553" w:type="dxa"/>
            <w:vMerge w:val="restart"/>
            <w:tcBorders>
              <w:tl2br w:val="nil"/>
              <w:tr2bl w:val="nil"/>
            </w:tcBorders>
            <w:noWrap w:val="0"/>
            <w:vAlign w:val="center"/>
          </w:tcPr>
          <w:p w14:paraId="0AD03F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公共卫生</w:t>
            </w:r>
          </w:p>
        </w:tc>
        <w:tc>
          <w:tcPr>
            <w:tcW w:w="7085" w:type="dxa"/>
            <w:tcBorders>
              <w:tl2br w:val="nil"/>
              <w:tr2bl w:val="nil"/>
            </w:tcBorders>
            <w:noWrap w:val="0"/>
            <w:vAlign w:val="center"/>
          </w:tcPr>
          <w:p w14:paraId="1C69939C">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居民档案（改造）</w:t>
            </w:r>
          </w:p>
          <w:p w14:paraId="214F92AD">
            <w:pPr>
              <w:keepNext w:val="0"/>
              <w:keepLines w:val="0"/>
              <w:pageBreakBefore w:val="0"/>
              <w:widowControl/>
              <w:numPr>
                <w:ilvl w:val="0"/>
                <w:numId w:val="3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档案封面：支持居民档案封面展示</w:t>
            </w:r>
          </w:p>
          <w:p w14:paraId="0AB8B6B1">
            <w:pPr>
              <w:keepNext w:val="0"/>
              <w:keepLines w:val="0"/>
              <w:pageBreakBefore w:val="0"/>
              <w:widowControl/>
              <w:numPr>
                <w:ilvl w:val="0"/>
                <w:numId w:val="3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个人档案：支持居民个人档案展示</w:t>
            </w:r>
          </w:p>
          <w:p w14:paraId="3C41E270">
            <w:pPr>
              <w:keepNext w:val="0"/>
              <w:keepLines w:val="0"/>
              <w:pageBreakBefore w:val="0"/>
              <w:widowControl/>
              <w:numPr>
                <w:ilvl w:val="0"/>
                <w:numId w:val="3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家庭档案：支持居民家庭档案展示</w:t>
            </w:r>
          </w:p>
        </w:tc>
      </w:tr>
      <w:tr w14:paraId="6B56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99C85B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4C2689A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695B77B">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全科签约（改造）</w:t>
            </w:r>
          </w:p>
          <w:p w14:paraId="59E0D310">
            <w:pPr>
              <w:keepNext w:val="0"/>
              <w:keepLines w:val="0"/>
              <w:pageBreakBefore w:val="0"/>
              <w:widowControl/>
              <w:numPr>
                <w:ilvl w:val="0"/>
                <w:numId w:val="3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签约记录：支持居民历次签约的基础信息展示，包含有效开始日期、有效结束日期、签约机构、签约团队、签约医生等信息</w:t>
            </w:r>
          </w:p>
          <w:p w14:paraId="17349485">
            <w:pPr>
              <w:keepNext w:val="0"/>
              <w:keepLines w:val="0"/>
              <w:pageBreakBefore w:val="0"/>
              <w:widowControl/>
              <w:numPr>
                <w:ilvl w:val="0"/>
                <w:numId w:val="3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签约明细信息：支持居民某次签约的基础信息查看功能</w:t>
            </w:r>
          </w:p>
        </w:tc>
      </w:tr>
      <w:tr w14:paraId="7603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E1DFB6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18315A6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31604D17">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计划免疫（改造）</w:t>
            </w:r>
          </w:p>
          <w:p w14:paraId="20199290">
            <w:pPr>
              <w:keepNext w:val="0"/>
              <w:keepLines w:val="0"/>
              <w:pageBreakBefore w:val="0"/>
              <w:widowControl/>
              <w:numPr>
                <w:ilvl w:val="0"/>
                <w:numId w:val="4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基本信息：支持已建档居民计划免疫基本信息展示</w:t>
            </w:r>
          </w:p>
          <w:p w14:paraId="52D11F25">
            <w:pPr>
              <w:keepNext w:val="0"/>
              <w:keepLines w:val="0"/>
              <w:pageBreakBefore w:val="0"/>
              <w:widowControl/>
              <w:numPr>
                <w:ilvl w:val="0"/>
                <w:numId w:val="4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接种信息：支持已建档居民计划免疫接种信息展示</w:t>
            </w:r>
          </w:p>
          <w:p w14:paraId="2B38C519">
            <w:pPr>
              <w:keepNext w:val="0"/>
              <w:keepLines w:val="0"/>
              <w:pageBreakBefore w:val="0"/>
              <w:widowControl/>
              <w:numPr>
                <w:ilvl w:val="0"/>
                <w:numId w:val="4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预种信息：支持已建档居民计划免疫预种信息展示</w:t>
            </w:r>
          </w:p>
          <w:p w14:paraId="7F40D4BA">
            <w:pPr>
              <w:keepNext w:val="0"/>
              <w:keepLines w:val="0"/>
              <w:pageBreakBefore w:val="0"/>
              <w:widowControl/>
              <w:numPr>
                <w:ilvl w:val="0"/>
                <w:numId w:val="4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副反应：支持已建档居民计划免疫副反应信息展示</w:t>
            </w:r>
          </w:p>
          <w:p w14:paraId="69841E91">
            <w:pPr>
              <w:keepNext w:val="0"/>
              <w:keepLines w:val="0"/>
              <w:pageBreakBefore w:val="0"/>
              <w:widowControl/>
              <w:numPr>
                <w:ilvl w:val="0"/>
                <w:numId w:val="4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禁忌记录：支持已建档居民计划免疫禁忌记录展示</w:t>
            </w:r>
          </w:p>
        </w:tc>
      </w:tr>
      <w:tr w14:paraId="656A0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ECE08D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0A22835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0C527F9">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中医体质辨识记录（改造）</w:t>
            </w:r>
          </w:p>
          <w:p w14:paraId="3199C579">
            <w:pPr>
              <w:keepNext w:val="0"/>
              <w:keepLines w:val="0"/>
              <w:pageBreakBefore w:val="0"/>
              <w:widowControl/>
              <w:numPr>
                <w:ilvl w:val="0"/>
                <w:numId w:val="4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中医体制辨识记录：支持已建档居民中医体质辨识信息展示</w:t>
            </w:r>
          </w:p>
        </w:tc>
      </w:tr>
      <w:tr w14:paraId="43B03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E23EC2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2BCC0B4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FDFFF3D">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老年人康复（新增）</w:t>
            </w:r>
          </w:p>
          <w:p w14:paraId="1FF56B4D">
            <w:pPr>
              <w:keepNext w:val="0"/>
              <w:keepLines w:val="0"/>
              <w:pageBreakBefore w:val="0"/>
              <w:widowControl/>
              <w:numPr>
                <w:ilvl w:val="0"/>
                <w:numId w:val="42"/>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自理评估：支持老年人自理评估信息查看，包括进食、穿衣、梳洗、如厕、行走、转移等</w:t>
            </w:r>
          </w:p>
          <w:p w14:paraId="29E019E0">
            <w:pPr>
              <w:keepNext w:val="0"/>
              <w:keepLines w:val="0"/>
              <w:pageBreakBefore w:val="0"/>
              <w:widowControl/>
              <w:numPr>
                <w:ilvl w:val="0"/>
                <w:numId w:val="42"/>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情感评估：支持老年人的情感状态和心理健康状况查看，包括焦虑、抑郁、社交能力等</w:t>
            </w:r>
          </w:p>
          <w:p w14:paraId="20C3BF34">
            <w:pPr>
              <w:keepNext w:val="0"/>
              <w:keepLines w:val="0"/>
              <w:pageBreakBefore w:val="0"/>
              <w:widowControl/>
              <w:numPr>
                <w:ilvl w:val="0"/>
                <w:numId w:val="42"/>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认知评估：支持老年人的认知评估查看，包括记忆、思维、判断、注意力等</w:t>
            </w:r>
          </w:p>
          <w:p w14:paraId="5EBC579D">
            <w:pPr>
              <w:keepNext w:val="0"/>
              <w:keepLines w:val="0"/>
              <w:pageBreakBefore w:val="0"/>
              <w:widowControl/>
              <w:numPr>
                <w:ilvl w:val="0"/>
                <w:numId w:val="42"/>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健康管理：支持老年人健康管理信息查看，包括身高、体重、生活习惯、慢性病管理等</w:t>
            </w:r>
          </w:p>
          <w:p w14:paraId="7C2CE2BE">
            <w:pPr>
              <w:keepNext w:val="0"/>
              <w:keepLines w:val="0"/>
              <w:pageBreakBefore w:val="0"/>
              <w:widowControl/>
              <w:numPr>
                <w:ilvl w:val="0"/>
                <w:numId w:val="42"/>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中医体质辨识：支持老年人的中医体质类型辨识信息查看，如阳虚体质、阴虚体质等</w:t>
            </w:r>
          </w:p>
        </w:tc>
      </w:tr>
      <w:tr w14:paraId="5B736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B4BA43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5B939B0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1A59A00F">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传染病报卡（新增）</w:t>
            </w:r>
          </w:p>
          <w:p w14:paraId="1D5AAD86">
            <w:pPr>
              <w:keepNext w:val="0"/>
              <w:keepLines w:val="0"/>
              <w:pageBreakBefore w:val="0"/>
              <w:widowControl/>
              <w:numPr>
                <w:ilvl w:val="0"/>
                <w:numId w:val="4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传染病报卡：支持居民传染病报卡相关信息展示</w:t>
            </w:r>
          </w:p>
        </w:tc>
      </w:tr>
      <w:tr w14:paraId="72C9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DB5970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6FE142D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8FCB047">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食源性报卡（新增）</w:t>
            </w:r>
          </w:p>
          <w:p w14:paraId="19F6B8D7">
            <w:pPr>
              <w:keepNext w:val="0"/>
              <w:keepLines w:val="0"/>
              <w:pageBreakBefore w:val="0"/>
              <w:widowControl/>
              <w:numPr>
                <w:ilvl w:val="0"/>
                <w:numId w:val="4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食源性报卡：支持居民食源性报卡相关信息展示</w:t>
            </w:r>
          </w:p>
        </w:tc>
      </w:tr>
      <w:tr w14:paraId="2491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B38869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60E9F01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A54CEFF">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儿童保健（改造）</w:t>
            </w:r>
          </w:p>
          <w:p w14:paraId="5EFC0129">
            <w:pPr>
              <w:keepNext w:val="0"/>
              <w:keepLines w:val="0"/>
              <w:pageBreakBefore w:val="0"/>
              <w:widowControl/>
              <w:numPr>
                <w:ilvl w:val="0"/>
                <w:numId w:val="4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出生证明：支持展示新生儿的出生信息，包括新生儿基本信息、母亲基本信息、父亲基本信息</w:t>
            </w:r>
          </w:p>
          <w:p w14:paraId="2D18380A">
            <w:pPr>
              <w:keepNext w:val="0"/>
              <w:keepLines w:val="0"/>
              <w:pageBreakBefore w:val="0"/>
              <w:widowControl/>
              <w:numPr>
                <w:ilvl w:val="0"/>
                <w:numId w:val="4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儿童保健：支持展示儿童保健信息，包括基本信息、家庭基本信息、出生信息等</w:t>
            </w:r>
          </w:p>
          <w:p w14:paraId="676D3636">
            <w:pPr>
              <w:keepNext w:val="0"/>
              <w:keepLines w:val="0"/>
              <w:pageBreakBefore w:val="0"/>
              <w:widowControl/>
              <w:numPr>
                <w:ilvl w:val="0"/>
                <w:numId w:val="4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新生儿访视：支持展示新生儿家庭访视记录表</w:t>
            </w:r>
          </w:p>
          <w:p w14:paraId="095FB742">
            <w:pPr>
              <w:keepNext w:val="0"/>
              <w:keepLines w:val="0"/>
              <w:pageBreakBefore w:val="0"/>
              <w:widowControl/>
              <w:numPr>
                <w:ilvl w:val="0"/>
                <w:numId w:val="4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保健体检：支持展示检查日期、预约日期、养育方式、喂养方式、本阶段发生疾病、体重、身长、头围等信息</w:t>
            </w:r>
          </w:p>
          <w:p w14:paraId="7153FA57">
            <w:pPr>
              <w:keepNext w:val="0"/>
              <w:keepLines w:val="0"/>
              <w:pageBreakBefore w:val="0"/>
              <w:widowControl/>
              <w:numPr>
                <w:ilvl w:val="0"/>
                <w:numId w:val="4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周岁健康体检：支持展示周岁健康体检信息，包括个人信息、健康状况等</w:t>
            </w:r>
          </w:p>
        </w:tc>
      </w:tr>
      <w:tr w14:paraId="4AD89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4D8C1F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4F1C1FB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5C7F0FEB">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妇女保健（改造）</w:t>
            </w:r>
          </w:p>
          <w:p w14:paraId="70EFF753">
            <w:pPr>
              <w:keepNext w:val="0"/>
              <w:keepLines w:val="0"/>
              <w:pageBreakBefore w:val="0"/>
              <w:widowControl/>
              <w:numPr>
                <w:ilvl w:val="0"/>
                <w:numId w:val="4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孕卡建册：支持展示孕妇基本信息、配偶基本信息、孕妇一般情况等</w:t>
            </w:r>
          </w:p>
          <w:p w14:paraId="19E8082C">
            <w:pPr>
              <w:keepNext w:val="0"/>
              <w:keepLines w:val="0"/>
              <w:pageBreakBefore w:val="0"/>
              <w:widowControl/>
              <w:numPr>
                <w:ilvl w:val="0"/>
                <w:numId w:val="4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初次产检：支持展示第1次产前检查服务记录表</w:t>
            </w:r>
          </w:p>
          <w:p w14:paraId="2A1DC1A8">
            <w:pPr>
              <w:keepNext w:val="0"/>
              <w:keepLines w:val="0"/>
              <w:pageBreakBefore w:val="0"/>
              <w:widowControl/>
              <w:numPr>
                <w:ilvl w:val="0"/>
                <w:numId w:val="4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产前随访：支持展示检查日期、孕周、血压(mmHg)、体重(kg)、宫高(cm)、腹围(cm)、胎心、水肿、尿蛋白、预约日期等</w:t>
            </w:r>
          </w:p>
          <w:p w14:paraId="335EAE33">
            <w:pPr>
              <w:keepNext w:val="0"/>
              <w:keepLines w:val="0"/>
              <w:pageBreakBefore w:val="0"/>
              <w:widowControl/>
              <w:numPr>
                <w:ilvl w:val="0"/>
                <w:numId w:val="4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高危情况：支持展示高危发现日期、高危因素、高危等级、高危评分等</w:t>
            </w:r>
          </w:p>
          <w:p w14:paraId="5B3BACB5">
            <w:pPr>
              <w:keepNext w:val="0"/>
              <w:keepLines w:val="0"/>
              <w:pageBreakBefore w:val="0"/>
              <w:widowControl/>
              <w:numPr>
                <w:ilvl w:val="0"/>
                <w:numId w:val="4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产后访视：支持展示产后访视记录表单</w:t>
            </w:r>
          </w:p>
          <w:p w14:paraId="45DC3B23">
            <w:pPr>
              <w:keepNext w:val="0"/>
              <w:keepLines w:val="0"/>
              <w:pageBreakBefore w:val="0"/>
              <w:widowControl/>
              <w:numPr>
                <w:ilvl w:val="0"/>
                <w:numId w:val="4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产后42天检查：支持展示产后42天健康检查记录表单</w:t>
            </w:r>
          </w:p>
        </w:tc>
      </w:tr>
      <w:tr w14:paraId="3D2A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8FA451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3130C7E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622C95B">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高血压管理（新增）</w:t>
            </w:r>
          </w:p>
          <w:p w14:paraId="22FF55D2">
            <w:pPr>
              <w:keepNext w:val="0"/>
              <w:keepLines w:val="0"/>
              <w:pageBreakBefore w:val="0"/>
              <w:widowControl/>
              <w:numPr>
                <w:ilvl w:val="0"/>
                <w:numId w:val="4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报卡信息</w:t>
            </w:r>
          </w:p>
          <w:p w14:paraId="5E577F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支持高血压报卡信息查看，包含基础信息、诊断信息、近期药物治疗情况、近期体检情况、并存临床情况等</w:t>
            </w:r>
          </w:p>
          <w:p w14:paraId="2DFD3D1A">
            <w:pPr>
              <w:keepNext w:val="0"/>
              <w:keepLines w:val="0"/>
              <w:pageBreakBefore w:val="0"/>
              <w:widowControl/>
              <w:numPr>
                <w:ilvl w:val="0"/>
                <w:numId w:val="4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分级管理</w:t>
            </w:r>
          </w:p>
          <w:p w14:paraId="16F828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支持高血压分级记录查看，包括正常、正常高值、高血压1级、高血压2级、高血压3级等</w:t>
            </w:r>
          </w:p>
          <w:p w14:paraId="0F319F20">
            <w:pPr>
              <w:keepNext w:val="0"/>
              <w:keepLines w:val="0"/>
              <w:pageBreakBefore w:val="0"/>
              <w:widowControl/>
              <w:numPr>
                <w:ilvl w:val="0"/>
                <w:numId w:val="4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随访管理</w:t>
            </w:r>
          </w:p>
          <w:p w14:paraId="3B2D2C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支持高血压随访情况查看，包括每次随访的时间、血压、体重、生活方式等</w:t>
            </w:r>
          </w:p>
          <w:p w14:paraId="2DAB824F">
            <w:pPr>
              <w:keepNext w:val="0"/>
              <w:keepLines w:val="0"/>
              <w:pageBreakBefore w:val="0"/>
              <w:widowControl/>
              <w:numPr>
                <w:ilvl w:val="0"/>
                <w:numId w:val="4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血压曲线</w:t>
            </w:r>
          </w:p>
          <w:p w14:paraId="50C1BE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支持查看高血压患者随时间变化的血压情况</w:t>
            </w:r>
          </w:p>
          <w:p w14:paraId="47F4D5FE">
            <w:pPr>
              <w:keepNext w:val="0"/>
              <w:keepLines w:val="0"/>
              <w:pageBreakBefore w:val="0"/>
              <w:widowControl/>
              <w:numPr>
                <w:ilvl w:val="0"/>
                <w:numId w:val="4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体检记录</w:t>
            </w:r>
          </w:p>
          <w:p w14:paraId="6ECF1C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支持体检记录查看，包含体检日期、体检机构、体检类型、体检结果、总结医生等</w:t>
            </w:r>
          </w:p>
        </w:tc>
      </w:tr>
      <w:tr w14:paraId="4A84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7A1656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0126F5F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66B3A7F1">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糖尿病管理（新增）</w:t>
            </w:r>
          </w:p>
          <w:p w14:paraId="4E15714E">
            <w:pPr>
              <w:keepNext w:val="0"/>
              <w:keepLines w:val="0"/>
              <w:pageBreakBefore w:val="0"/>
              <w:widowControl/>
              <w:numPr>
                <w:ilvl w:val="0"/>
                <w:numId w:val="4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报卡信息</w:t>
            </w:r>
          </w:p>
          <w:p w14:paraId="0400E1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支持报卡信息查看，包含糖尿病患者的基础信息、诊断及报卡信息、近期检查结果等</w:t>
            </w:r>
          </w:p>
          <w:p w14:paraId="5A852D7B">
            <w:pPr>
              <w:keepNext w:val="0"/>
              <w:keepLines w:val="0"/>
              <w:pageBreakBefore w:val="0"/>
              <w:widowControl/>
              <w:numPr>
                <w:ilvl w:val="0"/>
                <w:numId w:val="4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分级管理</w:t>
            </w:r>
          </w:p>
          <w:p w14:paraId="595C08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支持分级管理查看，包含分级日期、空腹血糖、非空腹血糖、管理级别、分级医生、分级单位</w:t>
            </w:r>
          </w:p>
          <w:p w14:paraId="6FD942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支持分级明细信息查看</w:t>
            </w:r>
          </w:p>
          <w:p w14:paraId="6786A7C3">
            <w:pPr>
              <w:keepNext w:val="0"/>
              <w:keepLines w:val="0"/>
              <w:pageBreakBefore w:val="0"/>
              <w:widowControl/>
              <w:numPr>
                <w:ilvl w:val="0"/>
                <w:numId w:val="4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随访管理</w:t>
            </w:r>
          </w:p>
          <w:p w14:paraId="663CE5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支持随访情况查看，包括每次随访日期、随访方式、空腹血糖、非空腹血糖、血压、随访单位、随访医生、随访分类等</w:t>
            </w:r>
          </w:p>
          <w:p w14:paraId="1C6FB12F">
            <w:pPr>
              <w:keepNext w:val="0"/>
              <w:keepLines w:val="0"/>
              <w:pageBreakBefore w:val="0"/>
              <w:widowControl/>
              <w:numPr>
                <w:ilvl w:val="0"/>
                <w:numId w:val="4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血糖曲线</w:t>
            </w:r>
          </w:p>
          <w:p w14:paraId="58AE13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支持查看糖尿病患者随时间变化的血糖情况</w:t>
            </w:r>
          </w:p>
          <w:p w14:paraId="36167FB6">
            <w:pPr>
              <w:keepNext w:val="0"/>
              <w:keepLines w:val="0"/>
              <w:pageBreakBefore w:val="0"/>
              <w:widowControl/>
              <w:numPr>
                <w:ilvl w:val="0"/>
                <w:numId w:val="4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体检记录</w:t>
            </w:r>
          </w:p>
          <w:p w14:paraId="041F41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支持体检记录查看，包含体检日期、体检机构、体检类型、体检结果、总结医生等</w:t>
            </w:r>
          </w:p>
        </w:tc>
      </w:tr>
      <w:tr w14:paraId="01405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1D666C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289416E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E921247">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严重精神障碍管理（新增）</w:t>
            </w:r>
          </w:p>
          <w:p w14:paraId="00E90D5E">
            <w:pPr>
              <w:keepNext w:val="0"/>
              <w:keepLines w:val="0"/>
              <w:pageBreakBefore w:val="0"/>
              <w:widowControl/>
              <w:numPr>
                <w:ilvl w:val="0"/>
                <w:numId w:val="4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报卡信息</w:t>
            </w:r>
          </w:p>
          <w:p w14:paraId="0C7697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支持报卡信息查看，包含基本信息、家庭情况、诊断及报卡信息、治疗情况、危险行为等</w:t>
            </w:r>
          </w:p>
          <w:p w14:paraId="3B949311">
            <w:pPr>
              <w:keepNext w:val="0"/>
              <w:keepLines w:val="0"/>
              <w:pageBreakBefore w:val="0"/>
              <w:widowControl/>
              <w:numPr>
                <w:ilvl w:val="0"/>
                <w:numId w:val="4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随访管理</w:t>
            </w:r>
          </w:p>
          <w:p w14:paraId="6A1597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支持随访情况查看，包括每次随访的时间、症状评估、用药情况等</w:t>
            </w:r>
          </w:p>
          <w:p w14:paraId="38D2A43D">
            <w:pPr>
              <w:keepNext w:val="0"/>
              <w:keepLines w:val="0"/>
              <w:pageBreakBefore w:val="0"/>
              <w:widowControl/>
              <w:numPr>
                <w:ilvl w:val="0"/>
                <w:numId w:val="4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应急处理</w:t>
            </w:r>
          </w:p>
          <w:p w14:paraId="264D08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支持急性病情处理查看，包括处置单位、处置医生、处置结果等</w:t>
            </w:r>
          </w:p>
          <w:p w14:paraId="7866FF1A">
            <w:pPr>
              <w:keepNext w:val="0"/>
              <w:keepLines w:val="0"/>
              <w:pageBreakBefore w:val="0"/>
              <w:widowControl/>
              <w:numPr>
                <w:ilvl w:val="0"/>
                <w:numId w:val="4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体检记录</w:t>
            </w:r>
          </w:p>
          <w:p w14:paraId="12BF57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支持体检记录查看，包含体检日期、体检机构、体检类型、体检结果、总结医生等</w:t>
            </w:r>
          </w:p>
        </w:tc>
      </w:tr>
      <w:tr w14:paraId="2C15F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B1F09E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4CCB76F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997FB61">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脑卒中管理（新增）</w:t>
            </w:r>
          </w:p>
          <w:p w14:paraId="03CE8E53">
            <w:pPr>
              <w:keepNext w:val="0"/>
              <w:keepLines w:val="0"/>
              <w:pageBreakBefore w:val="0"/>
              <w:widowControl/>
              <w:numPr>
                <w:ilvl w:val="0"/>
                <w:numId w:val="4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报卡信息</w:t>
            </w:r>
          </w:p>
          <w:p w14:paraId="07457B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支持报卡信息查看，包含居民基础信息、诊断信息、诊断依据等</w:t>
            </w:r>
          </w:p>
          <w:p w14:paraId="36DD5CED">
            <w:pPr>
              <w:keepNext w:val="0"/>
              <w:keepLines w:val="0"/>
              <w:pageBreakBefore w:val="0"/>
              <w:widowControl/>
              <w:numPr>
                <w:ilvl w:val="0"/>
                <w:numId w:val="4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随访管理</w:t>
            </w:r>
          </w:p>
          <w:p w14:paraId="624844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支持随访情况查看，包含随访日期、计划随访日期、随访分类、随访医生、随访方式等</w:t>
            </w:r>
          </w:p>
          <w:p w14:paraId="6BCB5709">
            <w:pPr>
              <w:keepNext w:val="0"/>
              <w:keepLines w:val="0"/>
              <w:pageBreakBefore w:val="0"/>
              <w:widowControl/>
              <w:numPr>
                <w:ilvl w:val="0"/>
                <w:numId w:val="4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体检记录</w:t>
            </w:r>
          </w:p>
          <w:p w14:paraId="657612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支持体检记录查看，包含体检日期、体检机构、体检类型、体检结果、总结医生等</w:t>
            </w:r>
          </w:p>
        </w:tc>
      </w:tr>
      <w:tr w14:paraId="545D6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5E2C2E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7259345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5421E47D">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高危管理（新增）</w:t>
            </w:r>
          </w:p>
          <w:p w14:paraId="64C75B1B">
            <w:pPr>
              <w:keepNext w:val="0"/>
              <w:keepLines w:val="0"/>
              <w:pageBreakBefore w:val="0"/>
              <w:widowControl/>
              <w:numPr>
                <w:ilvl w:val="0"/>
                <w:numId w:val="5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高血压高危报卡信息</w:t>
            </w:r>
          </w:p>
          <w:p w14:paraId="4E200D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支持报卡信息查看，包含居民基础信息、报卡及危险因素、近期检查结果</w:t>
            </w:r>
          </w:p>
          <w:p w14:paraId="47BCC0B6">
            <w:pPr>
              <w:keepNext w:val="0"/>
              <w:keepLines w:val="0"/>
              <w:pageBreakBefore w:val="0"/>
              <w:widowControl/>
              <w:numPr>
                <w:ilvl w:val="0"/>
                <w:numId w:val="5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高血压高危随访管理</w:t>
            </w:r>
          </w:p>
          <w:p w14:paraId="03C70A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支持随访情况查看，包括高危类型、随访日期、下次计划随访、血压、空腹血糖、随访类型、随访方式等</w:t>
            </w:r>
          </w:p>
          <w:p w14:paraId="4E8A63EB">
            <w:pPr>
              <w:keepNext w:val="0"/>
              <w:keepLines w:val="0"/>
              <w:pageBreakBefore w:val="0"/>
              <w:widowControl/>
              <w:numPr>
                <w:ilvl w:val="0"/>
                <w:numId w:val="5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高血压高危体检记录</w:t>
            </w:r>
          </w:p>
          <w:p w14:paraId="132EED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支持体检记录查看，包含体检日期、体检机构、体检类型、体检结果、总结医生等</w:t>
            </w:r>
          </w:p>
          <w:p w14:paraId="6BDF873C">
            <w:pPr>
              <w:keepNext w:val="0"/>
              <w:keepLines w:val="0"/>
              <w:pageBreakBefore w:val="0"/>
              <w:widowControl/>
              <w:numPr>
                <w:ilvl w:val="0"/>
                <w:numId w:val="5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糖尿病高危报卡信息</w:t>
            </w:r>
          </w:p>
          <w:p w14:paraId="757E91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支持报卡信息查看，居民基础信息、报卡及危险因素、近期检查结果</w:t>
            </w:r>
          </w:p>
          <w:p w14:paraId="06403375">
            <w:pPr>
              <w:keepNext w:val="0"/>
              <w:keepLines w:val="0"/>
              <w:pageBreakBefore w:val="0"/>
              <w:widowControl/>
              <w:numPr>
                <w:ilvl w:val="0"/>
                <w:numId w:val="5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糖尿病高危随访管理</w:t>
            </w:r>
          </w:p>
          <w:p w14:paraId="447E3F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支持随访情况查看，包括高危类型、随访日期、下次计划随访、血压、空腹血糖、随访类型、随访方式等</w:t>
            </w:r>
          </w:p>
          <w:p w14:paraId="196CC74B">
            <w:pPr>
              <w:keepNext w:val="0"/>
              <w:keepLines w:val="0"/>
              <w:pageBreakBefore w:val="0"/>
              <w:widowControl/>
              <w:numPr>
                <w:ilvl w:val="0"/>
                <w:numId w:val="5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糖尿病高危体检记录</w:t>
            </w:r>
          </w:p>
          <w:p w14:paraId="5F6125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支持体检记录查看，包含体检日期、体检机构、体检类型、体检结果、总结医生等</w:t>
            </w:r>
          </w:p>
        </w:tc>
      </w:tr>
      <w:tr w14:paraId="67754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81585D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1034248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AE13262">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冠心病管理（新增）</w:t>
            </w:r>
          </w:p>
          <w:p w14:paraId="0DF386B7">
            <w:pPr>
              <w:keepNext w:val="0"/>
              <w:keepLines w:val="0"/>
              <w:pageBreakBefore w:val="0"/>
              <w:widowControl/>
              <w:numPr>
                <w:ilvl w:val="0"/>
                <w:numId w:val="5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报卡信息</w:t>
            </w:r>
          </w:p>
          <w:p w14:paraId="79791B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支持报卡信息查看，包含居民基础信息、诊断信息、诊断依据</w:t>
            </w:r>
          </w:p>
          <w:p w14:paraId="7C696E6A">
            <w:pPr>
              <w:keepNext w:val="0"/>
              <w:keepLines w:val="0"/>
              <w:pageBreakBefore w:val="0"/>
              <w:widowControl/>
              <w:numPr>
                <w:ilvl w:val="0"/>
                <w:numId w:val="5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随访管理</w:t>
            </w:r>
          </w:p>
          <w:p w14:paraId="160021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支持随访信息查看，包含居民历次随访日期、计划随访日期、血压、随访分类、随访医生、随访方式等</w:t>
            </w:r>
          </w:p>
          <w:p w14:paraId="08B89E35">
            <w:pPr>
              <w:keepNext w:val="0"/>
              <w:keepLines w:val="0"/>
              <w:pageBreakBefore w:val="0"/>
              <w:widowControl/>
              <w:numPr>
                <w:ilvl w:val="0"/>
                <w:numId w:val="5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体检记录</w:t>
            </w:r>
          </w:p>
          <w:p w14:paraId="3ADE17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支持体检记录查看，包含体检日期、体检机构、体检类型、体检结果、总结医生等</w:t>
            </w:r>
          </w:p>
        </w:tc>
      </w:tr>
      <w:tr w14:paraId="101A2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1465E9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09FBD98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3E8D6FD6">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肿瘤管理（新增）</w:t>
            </w:r>
          </w:p>
          <w:p w14:paraId="455FFCD7">
            <w:pPr>
              <w:keepNext w:val="0"/>
              <w:keepLines w:val="0"/>
              <w:pageBreakBefore w:val="0"/>
              <w:widowControl/>
              <w:numPr>
                <w:ilvl w:val="0"/>
                <w:numId w:val="52"/>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报卡信息</w:t>
            </w:r>
          </w:p>
          <w:p w14:paraId="573487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支持报卡信息查看，包含居民基础信息、诊断信息等</w:t>
            </w:r>
          </w:p>
          <w:p w14:paraId="23D9D53F">
            <w:pPr>
              <w:keepNext w:val="0"/>
              <w:keepLines w:val="0"/>
              <w:pageBreakBefore w:val="0"/>
              <w:widowControl/>
              <w:numPr>
                <w:ilvl w:val="0"/>
                <w:numId w:val="52"/>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随访管理</w:t>
            </w:r>
          </w:p>
          <w:p w14:paraId="05CE86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支持随访记录查看，包含居民历次随访日期、计划随访日期、血压、随访分类、随访医生、随访方式等</w:t>
            </w:r>
          </w:p>
        </w:tc>
      </w:tr>
      <w:tr w14:paraId="557B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FC6C90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6582722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8396255">
            <w:pPr>
              <w:keepNext w:val="0"/>
              <w:keepLines w:val="0"/>
              <w:pageBreakBefore w:val="0"/>
              <w:widowControl/>
              <w:numPr>
                <w:ilvl w:val="0"/>
                <w:numId w:val="37"/>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慢阻肺管理（新增）</w:t>
            </w:r>
          </w:p>
          <w:p w14:paraId="221CE54D">
            <w:pPr>
              <w:keepNext w:val="0"/>
              <w:keepLines w:val="0"/>
              <w:pageBreakBefore w:val="0"/>
              <w:widowControl/>
              <w:numPr>
                <w:ilvl w:val="0"/>
                <w:numId w:val="5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报卡信息</w:t>
            </w:r>
          </w:p>
          <w:p w14:paraId="300F77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支持报卡信息查看，包含居民基础信息、诊断及报卡信息、近期检查结果</w:t>
            </w:r>
          </w:p>
          <w:p w14:paraId="0EAB690E">
            <w:pPr>
              <w:keepNext w:val="0"/>
              <w:keepLines w:val="0"/>
              <w:pageBreakBefore w:val="0"/>
              <w:widowControl/>
              <w:numPr>
                <w:ilvl w:val="0"/>
                <w:numId w:val="5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随访管理</w:t>
            </w:r>
          </w:p>
          <w:p w14:paraId="48FFA1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支持随访记录查看，包含民历次随访日期、计划随访日期、血压、随访分类、随访医生、随访方式等</w:t>
            </w:r>
          </w:p>
          <w:p w14:paraId="75AD47F4">
            <w:pPr>
              <w:keepNext w:val="0"/>
              <w:keepLines w:val="0"/>
              <w:pageBreakBefore w:val="0"/>
              <w:widowControl/>
              <w:numPr>
                <w:ilvl w:val="0"/>
                <w:numId w:val="5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体检记录</w:t>
            </w:r>
          </w:p>
          <w:p w14:paraId="052B24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支持随访记录查看，包含居民历次随访日期、计划随访日期、血压、随访分类、随访医生、随访方式等</w:t>
            </w:r>
          </w:p>
        </w:tc>
      </w:tr>
      <w:tr w14:paraId="11F9D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C7C74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3" w:type="dxa"/>
            <w:vMerge w:val="restart"/>
            <w:tcBorders>
              <w:tl2br w:val="nil"/>
              <w:tr2bl w:val="nil"/>
            </w:tcBorders>
            <w:noWrap w:val="0"/>
            <w:vAlign w:val="center"/>
          </w:tcPr>
          <w:p w14:paraId="6B8896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基础管理（新增）</w:t>
            </w:r>
          </w:p>
        </w:tc>
        <w:tc>
          <w:tcPr>
            <w:tcW w:w="7085" w:type="dxa"/>
            <w:tcBorders>
              <w:tl2br w:val="nil"/>
              <w:tr2bl w:val="nil"/>
            </w:tcBorders>
            <w:noWrap w:val="0"/>
            <w:vAlign w:val="center"/>
          </w:tcPr>
          <w:p w14:paraId="22C4A42B">
            <w:pPr>
              <w:keepNext w:val="0"/>
              <w:keepLines w:val="0"/>
              <w:pageBreakBefore w:val="0"/>
              <w:widowControl/>
              <w:numPr>
                <w:ilvl w:val="0"/>
                <w:numId w:val="5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页面权限配置</w:t>
            </w:r>
          </w:p>
          <w:p w14:paraId="29CA12C0">
            <w:pPr>
              <w:keepNext w:val="0"/>
              <w:keepLines w:val="0"/>
              <w:pageBreakBefore w:val="0"/>
              <w:widowControl/>
              <w:numPr>
                <w:ilvl w:val="0"/>
                <w:numId w:val="5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菜单配置</w:t>
            </w:r>
          </w:p>
          <w:p w14:paraId="0D2989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支持每个模块进行名称、编码、类型的维护，允许医疗机构或健康管理部门对每个页面和模块进行名称、编码和类型的维护</w:t>
            </w:r>
          </w:p>
          <w:p w14:paraId="1DF52C3C">
            <w:pPr>
              <w:keepNext w:val="0"/>
              <w:keepLines w:val="0"/>
              <w:pageBreakBefore w:val="0"/>
              <w:widowControl/>
              <w:numPr>
                <w:ilvl w:val="0"/>
                <w:numId w:val="5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医嘱（处方）配置</w:t>
            </w:r>
          </w:p>
          <w:p w14:paraId="6C1D06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支持医嘱处方配置功能</w:t>
            </w:r>
          </w:p>
          <w:p w14:paraId="7423BEEC">
            <w:pPr>
              <w:keepNext w:val="0"/>
              <w:keepLines w:val="0"/>
              <w:pageBreakBefore w:val="0"/>
              <w:widowControl/>
              <w:numPr>
                <w:ilvl w:val="0"/>
                <w:numId w:val="5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访问用户水印配置</w:t>
            </w:r>
          </w:p>
          <w:p w14:paraId="4C5723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支持用户水印配置功能</w:t>
            </w:r>
          </w:p>
        </w:tc>
      </w:tr>
      <w:tr w14:paraId="0C4D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9B58D5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6BB2100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DA75289">
            <w:pPr>
              <w:keepNext w:val="0"/>
              <w:keepLines w:val="0"/>
              <w:pageBreakBefore w:val="0"/>
              <w:widowControl/>
              <w:numPr>
                <w:ilvl w:val="0"/>
                <w:numId w:val="5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权限页面维护</w:t>
            </w:r>
          </w:p>
          <w:p w14:paraId="652AA906">
            <w:pPr>
              <w:keepNext w:val="0"/>
              <w:keepLines w:val="0"/>
              <w:pageBreakBefore w:val="0"/>
              <w:widowControl/>
              <w:numPr>
                <w:ilvl w:val="0"/>
                <w:numId w:val="5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权限页面维护</w:t>
            </w:r>
          </w:p>
          <w:p w14:paraId="0D58BA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支持对选中的页面进行编辑，编辑名称，以及页面类型</w:t>
            </w:r>
          </w:p>
        </w:tc>
      </w:tr>
      <w:tr w14:paraId="5A2C1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B498D2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7D73AE8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86705F2">
            <w:pPr>
              <w:keepNext w:val="0"/>
              <w:keepLines w:val="0"/>
              <w:pageBreakBefore w:val="0"/>
              <w:widowControl/>
              <w:numPr>
                <w:ilvl w:val="0"/>
                <w:numId w:val="5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加速引擎</w:t>
            </w:r>
          </w:p>
          <w:p w14:paraId="2687B4D8">
            <w:pPr>
              <w:keepNext w:val="0"/>
              <w:keepLines w:val="0"/>
              <w:pageBreakBefore w:val="0"/>
              <w:widowControl/>
              <w:numPr>
                <w:ilvl w:val="0"/>
                <w:numId w:val="5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数据集维护</w:t>
            </w:r>
          </w:p>
          <w:p w14:paraId="13F686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支持数据集名称、数据集编码、数据集监听、加速情况、聚合情况维护</w:t>
            </w:r>
          </w:p>
          <w:p w14:paraId="34C58BEC">
            <w:pPr>
              <w:keepNext w:val="0"/>
              <w:keepLines w:val="0"/>
              <w:pageBreakBefore w:val="0"/>
              <w:widowControl/>
              <w:numPr>
                <w:ilvl w:val="0"/>
                <w:numId w:val="5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聚合引擎维护</w:t>
            </w:r>
          </w:p>
          <w:p w14:paraId="5DF5AC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支持维护视图编码、视图名称、视图业务类型等信息</w:t>
            </w:r>
          </w:p>
        </w:tc>
      </w:tr>
      <w:tr w14:paraId="24DE8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7BC43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553" w:type="dxa"/>
            <w:vMerge w:val="restart"/>
            <w:tcBorders>
              <w:tl2br w:val="nil"/>
              <w:tr2bl w:val="nil"/>
            </w:tcBorders>
            <w:noWrap w:val="0"/>
            <w:vAlign w:val="center"/>
          </w:tcPr>
          <w:p w14:paraId="4F88A5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统计分析（新增）</w:t>
            </w:r>
          </w:p>
        </w:tc>
        <w:tc>
          <w:tcPr>
            <w:tcW w:w="7085" w:type="dxa"/>
            <w:tcBorders>
              <w:tl2br w:val="nil"/>
              <w:tr2bl w:val="nil"/>
            </w:tcBorders>
            <w:noWrap w:val="0"/>
            <w:vAlign w:val="center"/>
          </w:tcPr>
          <w:p w14:paraId="0AC1A966">
            <w:pPr>
              <w:keepNext w:val="0"/>
              <w:keepLines w:val="0"/>
              <w:pageBreakBefore w:val="0"/>
              <w:widowControl/>
              <w:numPr>
                <w:ilvl w:val="0"/>
                <w:numId w:val="5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模块使用情况统计</w:t>
            </w:r>
          </w:p>
          <w:p w14:paraId="5D360C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支持根据模块查询模块使用情况</w:t>
            </w:r>
          </w:p>
          <w:p w14:paraId="26DD8D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支持展示调用的第三方，包括账号，用户名，IP，访问时间等信息</w:t>
            </w:r>
          </w:p>
        </w:tc>
      </w:tr>
      <w:tr w14:paraId="3323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63E2C1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553" w:type="dxa"/>
            <w:vMerge w:val="continue"/>
            <w:tcBorders>
              <w:tl2br w:val="nil"/>
              <w:tr2bl w:val="nil"/>
            </w:tcBorders>
            <w:noWrap w:val="0"/>
            <w:vAlign w:val="center"/>
          </w:tcPr>
          <w:p w14:paraId="0A599C1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173B90B2">
            <w:pPr>
              <w:keepNext w:val="0"/>
              <w:keepLines w:val="0"/>
              <w:pageBreakBefore w:val="0"/>
              <w:widowControl/>
              <w:numPr>
                <w:ilvl w:val="0"/>
                <w:numId w:val="58"/>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用户活跃度分析</w:t>
            </w:r>
          </w:p>
          <w:p w14:paraId="1EF6A25E">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累计访问量：支持累计访问量指标展示</w:t>
            </w:r>
          </w:p>
          <w:p w14:paraId="0BD58044">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累计调阅量：支持累计调阅量指标展示</w:t>
            </w:r>
          </w:p>
          <w:p w14:paraId="3713D800">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接入第三方数：支持接入第三方数量指标展示</w:t>
            </w:r>
          </w:p>
          <w:p w14:paraId="2E51F329">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调阅模块排名：支持调阅明细模块排名展示</w:t>
            </w:r>
          </w:p>
          <w:p w14:paraId="398A992A">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总调阅量：支持总调阅量量指标展示</w:t>
            </w:r>
          </w:p>
          <w:p w14:paraId="79459615">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健康档案调阅量：支持健康档案调阅量指标展示</w:t>
            </w:r>
          </w:p>
          <w:p w14:paraId="7B3F2156">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电子病历调阅量：支持电子病历调阅量指标展示</w:t>
            </w:r>
          </w:p>
          <w:p w14:paraId="20244E63">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第三方调阅情况：支持第三方调阅情况展示</w:t>
            </w:r>
          </w:p>
          <w:p w14:paraId="0256B327">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日访问量分布情况：支持日访问量情况展示</w:t>
            </w:r>
          </w:p>
          <w:p w14:paraId="0D4D3597">
            <w:pPr>
              <w:keepNext w:val="0"/>
              <w:keepLines w:val="0"/>
              <w:pageBreakBefore w:val="0"/>
              <w:widowControl/>
              <w:numPr>
                <w:ilvl w:val="0"/>
                <w:numId w:val="5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用户活跃度排名：支持各调用第三方用户活跃度排名展示</w:t>
            </w:r>
          </w:p>
        </w:tc>
      </w:tr>
    </w:tbl>
    <w:p w14:paraId="43F7903D">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3A46D5FF">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系统集成</w:t>
      </w:r>
    </w:p>
    <w:tbl>
      <w:tblPr>
        <w:tblStyle w:val="13"/>
        <w:tblW w:w="5000" w:type="pct"/>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369"/>
        <w:gridCol w:w="6403"/>
      </w:tblGrid>
      <w:tr w14:paraId="1320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tcFitText/>
            <w:vAlign w:val="center"/>
          </w:tcPr>
          <w:p w14:paraId="458048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62"/>
                <w:w w:val="94"/>
                <w:kern w:val="0"/>
                <w:sz w:val="21"/>
                <w:szCs w:val="21"/>
                <w:u w:val="none"/>
                <w:lang w:val="en-US" w:eastAsia="zh-CN" w:bidi="ar"/>
              </w:rPr>
              <w:t>序</w:t>
            </w:r>
            <w:r>
              <w:rPr>
                <w:rFonts w:hint="eastAsia" w:ascii="宋体" w:hAnsi="宋体" w:eastAsia="宋体" w:cs="宋体"/>
                <w:b/>
                <w:bCs/>
                <w:i w:val="0"/>
                <w:iCs w:val="0"/>
                <w:color w:val="auto"/>
                <w:spacing w:val="0"/>
                <w:w w:val="94"/>
                <w:kern w:val="0"/>
                <w:sz w:val="21"/>
                <w:szCs w:val="21"/>
                <w:u w:val="none"/>
                <w:lang w:val="en-US" w:eastAsia="zh-CN" w:bidi="ar"/>
              </w:rPr>
              <w:t>号</w:t>
            </w:r>
          </w:p>
        </w:tc>
        <w:tc>
          <w:tcPr>
            <w:tcW w:w="1378" w:type="dxa"/>
            <w:tcBorders>
              <w:tl2br w:val="nil"/>
              <w:tr2bl w:val="nil"/>
            </w:tcBorders>
            <w:noWrap w:val="0"/>
            <w:vAlign w:val="center"/>
          </w:tcPr>
          <w:p w14:paraId="67AEDD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6453" w:type="dxa"/>
            <w:tcBorders>
              <w:tl2br w:val="nil"/>
              <w:tr2bl w:val="nil"/>
            </w:tcBorders>
            <w:noWrap w:val="0"/>
            <w:vAlign w:val="center"/>
          </w:tcPr>
          <w:p w14:paraId="0853D5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6156D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5A586B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78" w:type="dxa"/>
            <w:tcBorders>
              <w:tl2br w:val="nil"/>
              <w:tr2bl w:val="nil"/>
            </w:tcBorders>
            <w:noWrap w:val="0"/>
            <w:vAlign w:val="center"/>
          </w:tcPr>
          <w:p w14:paraId="6D92AB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检验检查互认系统集成</w:t>
            </w:r>
          </w:p>
        </w:tc>
        <w:tc>
          <w:tcPr>
            <w:tcW w:w="6453" w:type="dxa"/>
            <w:tcBorders>
              <w:tl2br w:val="nil"/>
              <w:tr2bl w:val="nil"/>
            </w:tcBorders>
            <w:noWrap w:val="0"/>
            <w:vAlign w:val="center"/>
          </w:tcPr>
          <w:p w14:paraId="161527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检验检查互认系统包含于鄞州区健康大脑+体系项目中，包括医学检查报告、实验室检验报告、菌落结果和药敏结果等接口和患者登记互认、异步获取特征数据、接诊和开单提醒等平台前置服务，中标单位需对系统进行适应性改造，整合入本次新一代全民健康平台体系。</w:t>
            </w:r>
          </w:p>
        </w:tc>
      </w:tr>
      <w:tr w14:paraId="49908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586F9F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78" w:type="dxa"/>
            <w:tcBorders>
              <w:tl2br w:val="nil"/>
              <w:tr2bl w:val="nil"/>
            </w:tcBorders>
            <w:noWrap w:val="0"/>
            <w:vAlign w:val="center"/>
          </w:tcPr>
          <w:p w14:paraId="700961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麻精毒药品重复用药提醒系统集成</w:t>
            </w:r>
          </w:p>
        </w:tc>
        <w:tc>
          <w:tcPr>
            <w:tcW w:w="6453" w:type="dxa"/>
            <w:tcBorders>
              <w:tl2br w:val="nil"/>
              <w:tr2bl w:val="nil"/>
            </w:tcBorders>
            <w:noWrap w:val="0"/>
            <w:vAlign w:val="center"/>
          </w:tcPr>
          <w:p w14:paraId="21A036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麻精毒药品重复用药提醒系统包含于鄞州区健康大脑+体系项目中，包含前置提醒服务、药品目录下发交易匹配、押品匹配纪录上传交易和处方上传等功能，中标单位需对系统进行适应性改造，整合入本次新一代全民健康平台体系。</w:t>
            </w:r>
          </w:p>
        </w:tc>
      </w:tr>
      <w:tr w14:paraId="00B5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19DC1D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378" w:type="dxa"/>
            <w:tcBorders>
              <w:tl2br w:val="nil"/>
              <w:tr2bl w:val="nil"/>
            </w:tcBorders>
            <w:noWrap w:val="0"/>
            <w:vAlign w:val="center"/>
          </w:tcPr>
          <w:p w14:paraId="06B7F5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共享中药房平台集成</w:t>
            </w:r>
          </w:p>
        </w:tc>
        <w:tc>
          <w:tcPr>
            <w:tcW w:w="6453" w:type="dxa"/>
            <w:tcBorders>
              <w:tl2br w:val="nil"/>
              <w:tr2bl w:val="nil"/>
            </w:tcBorders>
            <w:noWrap w:val="0"/>
            <w:vAlign w:val="center"/>
          </w:tcPr>
          <w:p w14:paraId="7C26B4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共享中药房平台包含于鄞州区智慧共享中药房项目中，包括处方流转、处方对账和资金清分、数字化综合监管等功能，中标单位需对系统进行适应性改造，整合入本次新一代全民健康平台体系。</w:t>
            </w:r>
          </w:p>
        </w:tc>
      </w:tr>
    </w:tbl>
    <w:p w14:paraId="763EC61A">
      <w:pPr>
        <w:pageBreakBefore w:val="0"/>
        <w:kinsoku/>
        <w:wordWrap/>
        <w:overflowPunct/>
        <w:topLinePunct w:val="0"/>
        <w:autoSpaceDE/>
        <w:autoSpaceDN/>
        <w:bidi w:val="0"/>
        <w:adjustRightInd w:val="0"/>
        <w:snapToGrid w:val="0"/>
        <w:rPr>
          <w:rFonts w:hint="eastAsia" w:ascii="Calibri" w:hAnsi="Calibri" w:eastAsia="宋体" w:cs="Times New Roman"/>
          <w:color w:val="auto"/>
          <w:sz w:val="21"/>
          <w:szCs w:val="21"/>
          <w:lang w:val="en-US" w:eastAsia="zh-CN"/>
        </w:rPr>
      </w:pPr>
    </w:p>
    <w:p w14:paraId="2AAA5C20">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连续性医疗</w:t>
      </w:r>
    </w:p>
    <w:p w14:paraId="29A61D79">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413" w:lineRule="auto"/>
        <w:ind w:left="1008" w:hanging="1008"/>
        <w:jc w:val="both"/>
        <w:textAlignment w:val="auto"/>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健康画像（改造）</w:t>
      </w:r>
    </w:p>
    <w:tbl>
      <w:tblPr>
        <w:tblStyle w:val="13"/>
        <w:tblW w:w="5000" w:type="pct"/>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719"/>
        <w:gridCol w:w="7085"/>
      </w:tblGrid>
      <w:tr w14:paraId="4A476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tcFitText/>
            <w:vAlign w:val="center"/>
          </w:tcPr>
          <w:p w14:paraId="7E1D06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46"/>
                <w:w w:val="94"/>
                <w:kern w:val="0"/>
                <w:sz w:val="21"/>
                <w:szCs w:val="21"/>
                <w:u w:val="none"/>
                <w:lang w:val="en-US" w:eastAsia="zh-CN" w:bidi="ar"/>
              </w:rPr>
              <w:t>序</w:t>
            </w:r>
            <w:r>
              <w:rPr>
                <w:rFonts w:hint="eastAsia" w:ascii="宋体" w:hAnsi="宋体" w:eastAsia="宋体" w:cs="宋体"/>
                <w:b/>
                <w:bCs/>
                <w:i w:val="0"/>
                <w:iCs w:val="0"/>
                <w:color w:val="auto"/>
                <w:spacing w:val="0"/>
                <w:w w:val="94"/>
                <w:kern w:val="0"/>
                <w:sz w:val="21"/>
                <w:szCs w:val="21"/>
                <w:u w:val="none"/>
                <w:lang w:val="en-US" w:eastAsia="zh-CN" w:bidi="ar"/>
              </w:rPr>
              <w:t>号</w:t>
            </w:r>
          </w:p>
        </w:tc>
        <w:tc>
          <w:tcPr>
            <w:tcW w:w="754" w:type="dxa"/>
            <w:tcBorders>
              <w:tl2br w:val="nil"/>
              <w:tr2bl w:val="nil"/>
            </w:tcBorders>
            <w:noWrap w:val="0"/>
            <w:vAlign w:val="center"/>
          </w:tcPr>
          <w:p w14:paraId="7BB96C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7085" w:type="dxa"/>
            <w:tcBorders>
              <w:tl2br w:val="nil"/>
              <w:tr2bl w:val="nil"/>
            </w:tcBorders>
            <w:noWrap w:val="0"/>
            <w:vAlign w:val="center"/>
          </w:tcPr>
          <w:p w14:paraId="25CFDC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58D3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00B59C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54" w:type="dxa"/>
            <w:vMerge w:val="restart"/>
            <w:tcBorders>
              <w:tl2br w:val="nil"/>
              <w:tr2bl w:val="nil"/>
            </w:tcBorders>
            <w:noWrap w:val="0"/>
            <w:vAlign w:val="center"/>
          </w:tcPr>
          <w:p w14:paraId="0C546A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健康评估报告列表展示</w:t>
            </w:r>
          </w:p>
        </w:tc>
        <w:tc>
          <w:tcPr>
            <w:tcW w:w="7085" w:type="dxa"/>
            <w:tcBorders>
              <w:tl2br w:val="nil"/>
              <w:tr2bl w:val="nil"/>
            </w:tcBorders>
            <w:noWrap w:val="0"/>
            <w:vAlign w:val="center"/>
          </w:tcPr>
          <w:p w14:paraId="19D4E2DC">
            <w:pPr>
              <w:keepNext w:val="0"/>
              <w:keepLines w:val="0"/>
              <w:pageBreakBefore w:val="0"/>
              <w:widowControl/>
              <w:numPr>
                <w:ilvl w:val="0"/>
                <w:numId w:val="60"/>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搜索</w:t>
            </w:r>
          </w:p>
          <w:p w14:paraId="63151A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支持根据时间、报告类型、确认进去进行搜索</w:t>
            </w:r>
          </w:p>
        </w:tc>
      </w:tr>
      <w:tr w14:paraId="70879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0ADEFE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3627AB5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78F5204">
            <w:pPr>
              <w:keepNext w:val="0"/>
              <w:keepLines w:val="0"/>
              <w:pageBreakBefore w:val="0"/>
              <w:widowControl/>
              <w:numPr>
                <w:ilvl w:val="0"/>
                <w:numId w:val="60"/>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健康报告列表</w:t>
            </w:r>
          </w:p>
          <w:p w14:paraId="4EA653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支持展示姓名、性别、年龄、慢性病、报告类型、报告类型明细、评估日期、确认情况、确认医生等信息</w:t>
            </w:r>
          </w:p>
          <w:p w14:paraId="637D65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支持查看和确认报告</w:t>
            </w:r>
          </w:p>
        </w:tc>
      </w:tr>
      <w:tr w14:paraId="2F5E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E91780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84F0E1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F6087EE">
            <w:pPr>
              <w:keepNext w:val="0"/>
              <w:keepLines w:val="0"/>
              <w:pageBreakBefore w:val="0"/>
              <w:widowControl/>
              <w:numPr>
                <w:ilvl w:val="0"/>
                <w:numId w:val="60"/>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批量确认/全量确认</w:t>
            </w:r>
          </w:p>
          <w:p w14:paraId="69C2BA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支持选中部分居民批量确认报告，或一键全部确认</w:t>
            </w:r>
          </w:p>
        </w:tc>
      </w:tr>
      <w:tr w14:paraId="5E84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081EC0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3680738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3C63F8A2">
            <w:pPr>
              <w:keepNext w:val="0"/>
              <w:keepLines w:val="0"/>
              <w:pageBreakBefore w:val="0"/>
              <w:widowControl/>
              <w:numPr>
                <w:ilvl w:val="0"/>
                <w:numId w:val="60"/>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发送短信</w:t>
            </w:r>
          </w:p>
          <w:p w14:paraId="0C93F1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支持选中部分居民批量发送短信，或一键全部发送短信</w:t>
            </w:r>
          </w:p>
        </w:tc>
      </w:tr>
      <w:tr w14:paraId="52C16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381E8D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54" w:type="dxa"/>
            <w:vMerge w:val="restart"/>
            <w:tcBorders>
              <w:tl2br w:val="nil"/>
              <w:tr2bl w:val="nil"/>
            </w:tcBorders>
            <w:noWrap w:val="0"/>
            <w:vAlign w:val="center"/>
          </w:tcPr>
          <w:p w14:paraId="4B4089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健康评估报告详情</w:t>
            </w:r>
          </w:p>
        </w:tc>
        <w:tc>
          <w:tcPr>
            <w:tcW w:w="7085" w:type="dxa"/>
            <w:tcBorders>
              <w:tl2br w:val="nil"/>
              <w:tr2bl w:val="nil"/>
            </w:tcBorders>
            <w:noWrap w:val="0"/>
            <w:vAlign w:val="center"/>
          </w:tcPr>
          <w:p w14:paraId="0014FD06">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健康指数</w:t>
            </w:r>
          </w:p>
          <w:p w14:paraId="161432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支持展示该报告用户的健康指数</w:t>
            </w:r>
          </w:p>
        </w:tc>
      </w:tr>
      <w:tr w14:paraId="282BD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486CEC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7E3F5823">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551457D9">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基础信息</w:t>
            </w:r>
          </w:p>
          <w:p w14:paraId="441AC4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支持展示居民姓名、性别、年龄、联系电话、既往史、过敏史</w:t>
            </w:r>
          </w:p>
        </w:tc>
      </w:tr>
      <w:tr w14:paraId="6AD22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54CB7B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FD709D7">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1FE12206">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健康信息</w:t>
            </w:r>
          </w:p>
          <w:p w14:paraId="6D97F7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支持展示身高、体重、BMI、腰围（选配）、腰臀比（选配）</w:t>
            </w:r>
          </w:p>
        </w:tc>
      </w:tr>
      <w:tr w14:paraId="7C516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86CA9A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7D3ABAC9">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18DB07A8">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就诊信息概况</w:t>
            </w:r>
          </w:p>
          <w:p w14:paraId="3EF416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支持展示累计诊疗次数、门诊次数、住院次数</w:t>
            </w:r>
          </w:p>
          <w:p w14:paraId="79875A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支持诊疗费用占比统计及环形图展示</w:t>
            </w:r>
          </w:p>
        </w:tc>
      </w:tr>
      <w:tr w14:paraId="5BA25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0976DC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A26F662">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57F8BFAC">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目前存在健康问题</w:t>
            </w:r>
          </w:p>
          <w:p w14:paraId="4BFA9B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支持现有健康问题对应展示在人体图上</w:t>
            </w:r>
          </w:p>
        </w:tc>
      </w:tr>
      <w:tr w14:paraId="29367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397A58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5444454">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ign w:val="center"/>
          </w:tcPr>
          <w:p w14:paraId="016A1C7A">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重要指标检测</w:t>
            </w:r>
          </w:p>
          <w:p w14:paraId="68555E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支持折线图展示近期收缩压和舒张压</w:t>
            </w:r>
          </w:p>
          <w:p w14:paraId="1C0065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支持折线图展示近期非空腹血糖、空腹血糖、糖化血红蛋白数据</w:t>
            </w:r>
          </w:p>
          <w:p w14:paraId="2E2ED9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支持折线图展示进去高密度脂蛋白、低密度脂蛋白、总胆固醇、甘油三酯</w:t>
            </w:r>
          </w:p>
        </w:tc>
      </w:tr>
      <w:tr w14:paraId="2A56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C46953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6A44895E">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DECDB48">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近期检查结果异常项</w:t>
            </w:r>
          </w:p>
          <w:p w14:paraId="1CD698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支持展示近期检验异常项：指标名称、采集日期、指标结果、单位</w:t>
            </w:r>
          </w:p>
        </w:tc>
      </w:tr>
      <w:tr w14:paraId="1A31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F961AD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83153B8">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E89A99F">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其他健康问题</w:t>
            </w:r>
          </w:p>
          <w:p w14:paraId="627403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支持展示治疗情况、不良生活习惯、不良饮食习惯</w:t>
            </w:r>
          </w:p>
        </w:tc>
      </w:tr>
      <w:tr w14:paraId="6EABE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890764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74CA6500">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6DB995AC">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健康评价</w:t>
            </w:r>
          </w:p>
          <w:p w14:paraId="5F50B0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支持显示高血压和糖尿病控制的稳定情况</w:t>
            </w:r>
          </w:p>
        </w:tc>
      </w:tr>
      <w:tr w14:paraId="7109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4476A8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7E8ECE5F">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F73D5FC">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用药记录</w:t>
            </w:r>
          </w:p>
          <w:p w14:paraId="696CF5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支持列表展示：药品名称、日期、用法、用量</w:t>
            </w:r>
          </w:p>
        </w:tc>
      </w:tr>
      <w:tr w14:paraId="394C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FF14A0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6A13A5D7">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7827C2F">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健康风险评估</w:t>
            </w:r>
          </w:p>
          <w:p w14:paraId="74760B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支持展示糖尿病、心脑血管疾病、高血压、阿尔茨海默症以及脑卒中五种疾病的低、中、高危得病风险</w:t>
            </w:r>
          </w:p>
        </w:tc>
      </w:tr>
      <w:tr w14:paraId="1FB6F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77AFF8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D1C85F9">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CEF7BF7">
            <w:pPr>
              <w:keepNext w:val="0"/>
              <w:keepLines w:val="0"/>
              <w:pageBreakBefore w:val="0"/>
              <w:widowControl/>
              <w:numPr>
                <w:ilvl w:val="0"/>
                <w:numId w:val="61"/>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健康指导建议</w:t>
            </w:r>
          </w:p>
          <w:p w14:paraId="7A127C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支持录入健康指导建议、生活方式指导</w:t>
            </w:r>
          </w:p>
        </w:tc>
      </w:tr>
      <w:tr w14:paraId="5ACC7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6C319E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54" w:type="dxa"/>
            <w:vMerge w:val="restart"/>
            <w:tcBorders>
              <w:tl2br w:val="nil"/>
              <w:tr2bl w:val="nil"/>
            </w:tcBorders>
            <w:noWrap w:val="0"/>
            <w:vAlign w:val="center"/>
          </w:tcPr>
          <w:p w14:paraId="6B1D40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健康评估报告确认功能</w:t>
            </w:r>
          </w:p>
        </w:tc>
        <w:tc>
          <w:tcPr>
            <w:tcW w:w="7085" w:type="dxa"/>
            <w:tcBorders>
              <w:tl2br w:val="nil"/>
              <w:tr2bl w:val="nil"/>
            </w:tcBorders>
            <w:noWrap/>
            <w:vAlign w:val="center"/>
          </w:tcPr>
          <w:p w14:paraId="1BCD2BBE">
            <w:pPr>
              <w:keepNext w:val="0"/>
              <w:keepLines w:val="0"/>
              <w:pageBreakBefore w:val="0"/>
              <w:widowControl/>
              <w:numPr>
                <w:ilvl w:val="0"/>
                <w:numId w:val="6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报告确认</w:t>
            </w:r>
          </w:p>
          <w:p w14:paraId="255316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支持确认提交后即可开放给居民查看</w:t>
            </w:r>
          </w:p>
        </w:tc>
      </w:tr>
      <w:tr w14:paraId="3C7D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63C431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FD5D0A4">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ign w:val="center"/>
          </w:tcPr>
          <w:p w14:paraId="5475FAAE">
            <w:pPr>
              <w:keepNext w:val="0"/>
              <w:keepLines w:val="0"/>
              <w:pageBreakBefore w:val="0"/>
              <w:widowControl/>
              <w:numPr>
                <w:ilvl w:val="0"/>
                <w:numId w:val="6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打印纸质版报告</w:t>
            </w:r>
          </w:p>
          <w:p w14:paraId="0D0C2B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支持打印纸质版报告给居民</w:t>
            </w:r>
          </w:p>
        </w:tc>
      </w:tr>
      <w:tr w14:paraId="5A78C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058F56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FD69D84">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ign w:val="center"/>
          </w:tcPr>
          <w:p w14:paraId="7414F6F3">
            <w:pPr>
              <w:keepNext w:val="0"/>
              <w:keepLines w:val="0"/>
              <w:pageBreakBefore w:val="0"/>
              <w:widowControl/>
              <w:numPr>
                <w:ilvl w:val="0"/>
                <w:numId w:val="6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报告作废</w:t>
            </w:r>
          </w:p>
          <w:p w14:paraId="55595B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支持对报告进行作废</w:t>
            </w:r>
          </w:p>
        </w:tc>
      </w:tr>
      <w:tr w14:paraId="2E25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061CF7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54" w:type="dxa"/>
            <w:vMerge w:val="restart"/>
            <w:tcBorders>
              <w:tl2br w:val="nil"/>
              <w:tr2bl w:val="nil"/>
            </w:tcBorders>
            <w:noWrap w:val="0"/>
            <w:vAlign w:val="center"/>
          </w:tcPr>
          <w:p w14:paraId="48739A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移动端</w:t>
            </w:r>
          </w:p>
        </w:tc>
        <w:tc>
          <w:tcPr>
            <w:tcW w:w="7085" w:type="dxa"/>
            <w:tcBorders>
              <w:tl2br w:val="nil"/>
              <w:tr2bl w:val="nil"/>
            </w:tcBorders>
            <w:noWrap w:val="0"/>
            <w:vAlign w:val="center"/>
          </w:tcPr>
          <w:p w14:paraId="313AA611">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健康指数</w:t>
            </w:r>
          </w:p>
          <w:p w14:paraId="150CA3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支持展示该报告用户的健康指数</w:t>
            </w:r>
          </w:p>
        </w:tc>
      </w:tr>
      <w:tr w14:paraId="70082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C61214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0DD9A80">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57649A6D">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基础信息</w:t>
            </w:r>
          </w:p>
          <w:p w14:paraId="1BD843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支持展示居民姓名、性别、年龄、联系电话、既往史、过敏史</w:t>
            </w:r>
          </w:p>
        </w:tc>
      </w:tr>
      <w:tr w14:paraId="634BF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37AA75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2F5B095">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539A333B">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健康信息</w:t>
            </w:r>
          </w:p>
          <w:p w14:paraId="693AA5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支持展示身高、体重、BMI、腰围（选配）、腰臀比（选配）</w:t>
            </w:r>
          </w:p>
        </w:tc>
      </w:tr>
      <w:tr w14:paraId="01E0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9EE4B2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73D061B3">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1A4066ED">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就诊信息概况</w:t>
            </w:r>
          </w:p>
          <w:p w14:paraId="64C08A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支持累计诊疗次数、门诊次数、住院次数</w:t>
            </w:r>
          </w:p>
          <w:p w14:paraId="185B27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支持诊疗费用占比统计及环形图展示</w:t>
            </w:r>
          </w:p>
        </w:tc>
      </w:tr>
      <w:tr w14:paraId="2ED4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35C128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1F3F9344">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3BABE831">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目前存在健康问题</w:t>
            </w:r>
          </w:p>
          <w:p w14:paraId="14BC0C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支持现有健康问题对应展示在人体图上</w:t>
            </w:r>
          </w:p>
        </w:tc>
      </w:tr>
      <w:tr w14:paraId="46A3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785C52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32EEA47F">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4205BEB1">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重要指标监测</w:t>
            </w:r>
          </w:p>
          <w:p w14:paraId="7ADF6C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支持折线图展示近期收缩压和舒张压</w:t>
            </w:r>
          </w:p>
          <w:p w14:paraId="737207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支持折线图展示近期非空腹血糖、空腹血糖、糖化血红蛋白数据</w:t>
            </w:r>
          </w:p>
          <w:p w14:paraId="6C10F7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支持折线图展示进去高密度脂蛋白、低密度脂蛋白、总胆固醇、甘油三酯</w:t>
            </w:r>
          </w:p>
        </w:tc>
      </w:tr>
      <w:tr w14:paraId="1563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F8D2CA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3619C2F6">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F8ACE3E">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近期检查结果异常项</w:t>
            </w:r>
          </w:p>
          <w:p w14:paraId="330D0C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支持展示近期检验异常项：指标名称、采集日期、指标结果、单位</w:t>
            </w:r>
          </w:p>
        </w:tc>
      </w:tr>
      <w:tr w14:paraId="7294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120860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4D7C044E">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6BF03AA">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其他健康问题</w:t>
            </w:r>
          </w:p>
          <w:p w14:paraId="3AAF11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支持展示治疗情况、不良生活习惯、不良饮食习惯</w:t>
            </w:r>
          </w:p>
        </w:tc>
      </w:tr>
      <w:tr w14:paraId="0FA5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59616E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CD2C241">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380C476B">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健康评价</w:t>
            </w:r>
          </w:p>
          <w:p w14:paraId="37715B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支持显示高血压和糖尿病控制的稳定情况</w:t>
            </w:r>
          </w:p>
        </w:tc>
      </w:tr>
      <w:tr w14:paraId="356F8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6AF109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351BF71A">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27FAB24">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用药记录</w:t>
            </w:r>
          </w:p>
          <w:p w14:paraId="334FD7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支持列表展示：药品名称、日期、用法、用量</w:t>
            </w:r>
          </w:p>
        </w:tc>
      </w:tr>
      <w:tr w14:paraId="0F69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A22C77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ECFA75E">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792B3BA1">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健康风险评估</w:t>
            </w:r>
          </w:p>
          <w:p w14:paraId="7DB0E8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支持展示糖尿病、心脑血管疾病、高血压、阿尔茨海默症以及脑卒中五种疾病的低、中、高危得病风险</w:t>
            </w:r>
          </w:p>
        </w:tc>
      </w:tr>
      <w:tr w14:paraId="2DC7F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D6A83E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03F81EF5">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AFD149E">
            <w:pPr>
              <w:keepNext w:val="0"/>
              <w:keepLines w:val="0"/>
              <w:pageBreakBefore w:val="0"/>
              <w:widowControl/>
              <w:numPr>
                <w:ilvl w:val="0"/>
                <w:numId w:val="63"/>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健康指导建议</w:t>
            </w:r>
          </w:p>
          <w:p w14:paraId="2B7BFB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支持录入健康指导建议、生活方式指导</w:t>
            </w:r>
          </w:p>
        </w:tc>
      </w:tr>
      <w:tr w14:paraId="33EE5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BC3B8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54" w:type="dxa"/>
            <w:vMerge w:val="restart"/>
            <w:tcBorders>
              <w:tl2br w:val="nil"/>
              <w:tr2bl w:val="nil"/>
            </w:tcBorders>
            <w:noWrap w:val="0"/>
            <w:vAlign w:val="center"/>
          </w:tcPr>
          <w:p w14:paraId="4185EB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系统改造</w:t>
            </w:r>
          </w:p>
        </w:tc>
        <w:tc>
          <w:tcPr>
            <w:tcW w:w="7085" w:type="dxa"/>
            <w:tcBorders>
              <w:tl2br w:val="nil"/>
              <w:tr2bl w:val="nil"/>
            </w:tcBorders>
            <w:noWrap w:val="0"/>
            <w:vAlign w:val="center"/>
          </w:tcPr>
          <w:p w14:paraId="43E82DB8">
            <w:pPr>
              <w:keepNext w:val="0"/>
              <w:keepLines w:val="0"/>
              <w:pageBreakBefore w:val="0"/>
              <w:widowControl/>
              <w:numPr>
                <w:ilvl w:val="0"/>
                <w:numId w:val="6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健康评估数据集提供</w:t>
            </w:r>
          </w:p>
          <w:p w14:paraId="1FF99E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支持区全民健康信息平台提供档案评估所需数据集，主要包括居民基本信息、在全区的诊疗信息，诊疗费用信息</w:t>
            </w:r>
          </w:p>
        </w:tc>
      </w:tr>
      <w:tr w14:paraId="4A987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48B498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5DEC1ED4">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0A885228">
            <w:pPr>
              <w:keepNext w:val="0"/>
              <w:keepLines w:val="0"/>
              <w:pageBreakBefore w:val="0"/>
              <w:widowControl/>
              <w:numPr>
                <w:ilvl w:val="0"/>
                <w:numId w:val="6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健康评估报告调用</w:t>
            </w:r>
          </w:p>
          <w:p w14:paraId="769FF9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支持区全民健康信息平台调用健康评估报告，允许医生查看对应的健康评估报告，并进行确认</w:t>
            </w:r>
          </w:p>
        </w:tc>
      </w:tr>
      <w:tr w14:paraId="122C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246CBE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54" w:type="dxa"/>
            <w:vMerge w:val="restart"/>
            <w:tcBorders>
              <w:tl2br w:val="nil"/>
              <w:tr2bl w:val="nil"/>
            </w:tcBorders>
            <w:noWrap w:val="0"/>
            <w:vAlign w:val="center"/>
          </w:tcPr>
          <w:p w14:paraId="23F70D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基层业务调用</w:t>
            </w:r>
          </w:p>
        </w:tc>
        <w:tc>
          <w:tcPr>
            <w:tcW w:w="7085" w:type="dxa"/>
            <w:tcBorders>
              <w:tl2br w:val="nil"/>
              <w:tr2bl w:val="nil"/>
            </w:tcBorders>
            <w:noWrap w:val="0"/>
            <w:vAlign w:val="center"/>
          </w:tcPr>
          <w:p w14:paraId="660CBB63">
            <w:pPr>
              <w:keepNext w:val="0"/>
              <w:keepLines w:val="0"/>
              <w:pageBreakBefore w:val="0"/>
              <w:widowControl/>
              <w:numPr>
                <w:ilvl w:val="0"/>
                <w:numId w:val="6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健康评估报告调用</w:t>
            </w:r>
          </w:p>
          <w:p w14:paraId="3FCEC4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支持基层业务系统调用健康评估报告，允许医生在基层业务系统中查看对应的健康评估报告，并进行确认</w:t>
            </w:r>
          </w:p>
        </w:tc>
      </w:tr>
      <w:tr w14:paraId="3BC6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18A6B8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54" w:type="dxa"/>
            <w:vMerge w:val="continue"/>
            <w:tcBorders>
              <w:tl2br w:val="nil"/>
              <w:tr2bl w:val="nil"/>
            </w:tcBorders>
            <w:noWrap w:val="0"/>
            <w:vAlign w:val="center"/>
          </w:tcPr>
          <w:p w14:paraId="2ABB91C7">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p>
        </w:tc>
        <w:tc>
          <w:tcPr>
            <w:tcW w:w="7085" w:type="dxa"/>
            <w:tcBorders>
              <w:tl2br w:val="nil"/>
              <w:tr2bl w:val="nil"/>
            </w:tcBorders>
            <w:noWrap w:val="0"/>
            <w:vAlign w:val="center"/>
          </w:tcPr>
          <w:p w14:paraId="2A2B5319">
            <w:pPr>
              <w:keepNext w:val="0"/>
              <w:keepLines w:val="0"/>
              <w:pageBreakBefore w:val="0"/>
              <w:widowControl/>
              <w:numPr>
                <w:ilvl w:val="0"/>
                <w:numId w:val="65"/>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健康评估报告打印</w:t>
            </w:r>
          </w:p>
          <w:p w14:paraId="691B9F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支持医生可打印纸质评估报告提供给居民，居民也可以去医院终端自助机上打印纸质版健康报告。打印样式可根据业务科室要求制定。</w:t>
            </w:r>
          </w:p>
        </w:tc>
      </w:tr>
      <w:tr w14:paraId="0EE47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0863B3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54" w:type="dxa"/>
            <w:tcBorders>
              <w:tl2br w:val="nil"/>
              <w:tr2bl w:val="nil"/>
            </w:tcBorders>
            <w:noWrap w:val="0"/>
            <w:vAlign w:val="center"/>
          </w:tcPr>
          <w:p w14:paraId="2BFCB8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鄞领健康支撑</w:t>
            </w:r>
          </w:p>
        </w:tc>
        <w:tc>
          <w:tcPr>
            <w:tcW w:w="7085" w:type="dxa"/>
            <w:tcBorders>
              <w:tl2br w:val="nil"/>
              <w:tr2bl w:val="nil"/>
            </w:tcBorders>
            <w:noWrap w:val="0"/>
            <w:vAlign w:val="center"/>
          </w:tcPr>
          <w:p w14:paraId="7DF2A5AA">
            <w:pPr>
              <w:keepNext w:val="0"/>
              <w:keepLines w:val="0"/>
              <w:pageBreakBefore w:val="0"/>
              <w:widowControl/>
              <w:numPr>
                <w:ilvl w:val="0"/>
                <w:numId w:val="6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鄞领健康支撑</w:t>
            </w:r>
          </w:p>
          <w:p w14:paraId="1D6EC0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支持健康评估移动端跟鄞领健康对接，做单点集成和跳转</w:t>
            </w:r>
          </w:p>
        </w:tc>
      </w:tr>
    </w:tbl>
    <w:p w14:paraId="4FEEE377">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3EA3BC1">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分级诊疗</w:t>
      </w:r>
    </w:p>
    <w:tbl>
      <w:tblPr>
        <w:tblStyle w:val="13"/>
        <w:tblW w:w="5000" w:type="pct"/>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749"/>
        <w:gridCol w:w="7024"/>
      </w:tblGrid>
      <w:tr w14:paraId="42BC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54" w:type="dxa"/>
            <w:tcBorders>
              <w:tl2br w:val="nil"/>
              <w:tr2bl w:val="nil"/>
            </w:tcBorders>
            <w:noWrap w:val="0"/>
            <w:tcFitText/>
            <w:vAlign w:val="center"/>
          </w:tcPr>
          <w:p w14:paraId="4719A7E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pacing w:val="0"/>
                <w:kern w:val="0"/>
                <w:sz w:val="21"/>
                <w:szCs w:val="21"/>
                <w:lang w:bidi="ar"/>
              </w:rPr>
            </w:pPr>
            <w:r>
              <w:rPr>
                <w:rFonts w:hint="eastAsia" w:ascii="宋体" w:hAnsi="宋体" w:eastAsia="宋体" w:cs="宋体"/>
                <w:b/>
                <w:bCs/>
                <w:color w:val="auto"/>
                <w:spacing w:val="50"/>
                <w:w w:val="100"/>
                <w:kern w:val="0"/>
                <w:sz w:val="21"/>
                <w:szCs w:val="21"/>
                <w:lang w:bidi="ar"/>
              </w:rPr>
              <w:t>序</w:t>
            </w:r>
            <w:r>
              <w:rPr>
                <w:rFonts w:hint="eastAsia" w:ascii="宋体" w:hAnsi="宋体" w:eastAsia="宋体" w:cs="宋体"/>
                <w:b/>
                <w:bCs/>
                <w:color w:val="auto"/>
                <w:spacing w:val="0"/>
                <w:w w:val="100"/>
                <w:kern w:val="0"/>
                <w:sz w:val="21"/>
                <w:szCs w:val="21"/>
                <w:lang w:bidi="ar"/>
              </w:rPr>
              <w:t>号</w:t>
            </w:r>
          </w:p>
        </w:tc>
        <w:tc>
          <w:tcPr>
            <w:tcW w:w="754" w:type="dxa"/>
            <w:tcBorders>
              <w:tl2br w:val="nil"/>
              <w:tr2bl w:val="nil"/>
            </w:tcBorders>
            <w:noWrap w:val="0"/>
            <w:vAlign w:val="center"/>
          </w:tcPr>
          <w:p w14:paraId="4ABF773B">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7085" w:type="dxa"/>
            <w:tcBorders>
              <w:tl2br w:val="nil"/>
              <w:tr2bl w:val="nil"/>
            </w:tcBorders>
            <w:noWrap w:val="0"/>
            <w:vAlign w:val="center"/>
          </w:tcPr>
          <w:p w14:paraId="2908B99F">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1E88E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8" w:hRule="atLeast"/>
        </w:trPr>
        <w:tc>
          <w:tcPr>
            <w:tcW w:w="754" w:type="dxa"/>
            <w:vMerge w:val="restart"/>
            <w:tcBorders>
              <w:tl2br w:val="nil"/>
              <w:tr2bl w:val="nil"/>
            </w:tcBorders>
            <w:noWrap w:val="0"/>
            <w:vAlign w:val="center"/>
          </w:tcPr>
          <w:p w14:paraId="075D637F">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754" w:type="dxa"/>
            <w:vMerge w:val="restart"/>
            <w:tcBorders>
              <w:tl2br w:val="nil"/>
              <w:tr2bl w:val="nil"/>
            </w:tcBorders>
            <w:noWrap w:val="0"/>
            <w:vAlign w:val="center"/>
          </w:tcPr>
          <w:p w14:paraId="21CCF4D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资源中心（改造）</w:t>
            </w:r>
          </w:p>
        </w:tc>
        <w:tc>
          <w:tcPr>
            <w:tcW w:w="7085" w:type="dxa"/>
            <w:tcBorders>
              <w:tl2br w:val="nil"/>
              <w:tr2bl w:val="nil"/>
            </w:tcBorders>
            <w:noWrap w:val="0"/>
            <w:vAlign w:val="center"/>
          </w:tcPr>
          <w:p w14:paraId="66048D08">
            <w:pPr>
              <w:pageBreakBefore w:val="0"/>
              <w:widowControl/>
              <w:numPr>
                <w:ilvl w:val="0"/>
                <w:numId w:val="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驾驶舱大屏</w:t>
            </w:r>
          </w:p>
          <w:p w14:paraId="1A756C7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支持近期资源预约情况分析</w:t>
            </w:r>
          </w:p>
          <w:p w14:paraId="4EC5B19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支持近期转诊构成情况分析</w:t>
            </w:r>
          </w:p>
          <w:p w14:paraId="6E9D0F7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支持近期门诊转诊趋势分析</w:t>
            </w:r>
          </w:p>
          <w:p w14:paraId="1C20AFB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支持当日转诊情况及环比分析</w:t>
            </w:r>
          </w:p>
          <w:p w14:paraId="2F62987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支持转诊疾病TOP分析</w:t>
            </w:r>
          </w:p>
          <w:p w14:paraId="3A32CBD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支持检查资源协作类型分析</w:t>
            </w:r>
          </w:p>
          <w:p w14:paraId="2CE1327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支持各医院转诊量排行榜</w:t>
            </w:r>
          </w:p>
        </w:tc>
      </w:tr>
      <w:tr w14:paraId="3773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vMerge w:val="continue"/>
            <w:tcBorders>
              <w:tl2br w:val="nil"/>
              <w:tr2bl w:val="nil"/>
            </w:tcBorders>
            <w:noWrap w:val="0"/>
            <w:vAlign w:val="center"/>
          </w:tcPr>
          <w:p w14:paraId="49DBFEB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19C8C22">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1D13AE1C">
            <w:pPr>
              <w:pageBreakBefore w:val="0"/>
              <w:widowControl/>
              <w:numPr>
                <w:ilvl w:val="0"/>
                <w:numId w:val="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基础管理</w:t>
            </w:r>
          </w:p>
          <w:p w14:paraId="7F632F6E">
            <w:pPr>
              <w:pageBreakBefore w:val="0"/>
              <w:widowControl/>
              <w:numPr>
                <w:ilvl w:val="0"/>
                <w:numId w:val="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机构管理</w:t>
            </w:r>
          </w:p>
          <w:p w14:paraId="09E02227">
            <w:pPr>
              <w:pageBreakBefore w:val="0"/>
              <w:widowControl/>
              <w:numPr>
                <w:ilvl w:val="0"/>
                <w:numId w:val="6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机构信息查询检索</w:t>
            </w:r>
          </w:p>
          <w:p w14:paraId="1C7711C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支持按机构名称进行检索定位</w:t>
            </w:r>
          </w:p>
          <w:p w14:paraId="5209BD9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支持对已有机构进行删除操作</w:t>
            </w:r>
          </w:p>
          <w:p w14:paraId="1D4480C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支持按机构级别、医院等级进行筛选</w:t>
            </w:r>
          </w:p>
          <w:p w14:paraId="1E8B3318">
            <w:pPr>
              <w:pageBreakBefore w:val="0"/>
              <w:widowControl/>
              <w:numPr>
                <w:ilvl w:val="0"/>
                <w:numId w:val="6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机构信息维护管理</w:t>
            </w:r>
          </w:p>
          <w:p w14:paraId="28D54D7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提供机构新增功能，包括新增同级机构、新增子机构</w:t>
            </w:r>
          </w:p>
          <w:p w14:paraId="4468A00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支持对已有机构基本信息修改进行修改以及状态的设置</w:t>
            </w:r>
          </w:p>
          <w:p w14:paraId="0C5378F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支持查询结果按树结构层级展示</w:t>
            </w:r>
          </w:p>
          <w:p w14:paraId="63C55A90">
            <w:pPr>
              <w:pageBreakBefore w:val="0"/>
              <w:widowControl/>
              <w:numPr>
                <w:ilvl w:val="0"/>
                <w:numId w:val="6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机构实体信息维护管理</w:t>
            </w:r>
          </w:p>
          <w:p w14:paraId="5F4A186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支持机构实体院区管理，包括实体新增、修改以及删除操作，修改时支持对状态进行设置</w:t>
            </w:r>
          </w:p>
          <w:p w14:paraId="6E4F2D1B">
            <w:pPr>
              <w:pageBreakBefore w:val="0"/>
              <w:widowControl/>
              <w:numPr>
                <w:ilvl w:val="0"/>
                <w:numId w:val="6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机构开通服务配置</w:t>
            </w:r>
          </w:p>
          <w:p w14:paraId="591A53F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支持配置机构开放应用服务</w:t>
            </w:r>
          </w:p>
          <w:p w14:paraId="0A89108E">
            <w:pPr>
              <w:pageBreakBefore w:val="0"/>
              <w:widowControl/>
              <w:numPr>
                <w:ilvl w:val="0"/>
                <w:numId w:val="6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机构子系统权限配置</w:t>
            </w:r>
          </w:p>
          <w:p w14:paraId="689A769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支持按设定的排序码进行自动排序</w:t>
            </w:r>
          </w:p>
          <w:p w14:paraId="794CFF31">
            <w:pPr>
              <w:pageBreakBefore w:val="0"/>
              <w:widowControl/>
              <w:numPr>
                <w:ilvl w:val="0"/>
                <w:numId w:val="6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机构菜单权限配置</w:t>
            </w:r>
          </w:p>
          <w:p w14:paraId="7318A29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支持医院通过接口形式将注册机构信息上传至平台，支持变更信息同步上传至平台</w:t>
            </w:r>
          </w:p>
          <w:p w14:paraId="7389E702">
            <w:pPr>
              <w:pageBreakBefore w:val="0"/>
              <w:widowControl/>
              <w:numPr>
                <w:ilvl w:val="0"/>
                <w:numId w:val="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医共体管理</w:t>
            </w:r>
          </w:p>
          <w:p w14:paraId="34969FE2">
            <w:pPr>
              <w:pageBreakBefore w:val="0"/>
              <w:widowControl/>
              <w:numPr>
                <w:ilvl w:val="0"/>
                <w:numId w:val="7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医共体组织查询检索</w:t>
            </w:r>
          </w:p>
          <w:p w14:paraId="7EDAB43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支持对医共体的类型、状态进行检索</w:t>
            </w:r>
          </w:p>
          <w:p w14:paraId="31B32A18">
            <w:pPr>
              <w:pageBreakBefore w:val="0"/>
              <w:widowControl/>
              <w:numPr>
                <w:ilvl w:val="0"/>
                <w:numId w:val="7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医共体组织维护管理</w:t>
            </w:r>
          </w:p>
          <w:p w14:paraId="3C088C6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支持医共体新增、编辑、删除操作</w:t>
            </w:r>
          </w:p>
          <w:p w14:paraId="12B26B3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支持对已有医共体基本信息修改以及状态的设置</w:t>
            </w:r>
          </w:p>
          <w:p w14:paraId="324CCCB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支持医共体成员机构的新增操作，包括医院名称、院区名称等</w:t>
            </w:r>
          </w:p>
          <w:p w14:paraId="5ED164AA">
            <w:pPr>
              <w:pageBreakBefore w:val="0"/>
              <w:widowControl/>
              <w:numPr>
                <w:ilvl w:val="0"/>
                <w:numId w:val="7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医共体成员列表维护管理</w:t>
            </w:r>
          </w:p>
          <w:p w14:paraId="50F65B3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支持医共体成员机构的编辑、修改状态、删除操作</w:t>
            </w:r>
          </w:p>
          <w:p w14:paraId="31A281CB">
            <w:pPr>
              <w:pageBreakBefore w:val="0"/>
              <w:widowControl/>
              <w:numPr>
                <w:ilvl w:val="0"/>
                <w:numId w:val="7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医共体牵头机构设置</w:t>
            </w:r>
          </w:p>
          <w:p w14:paraId="0509BB7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支持对医共体牵头机构设置</w:t>
            </w:r>
          </w:p>
          <w:p w14:paraId="343838BC">
            <w:pPr>
              <w:pageBreakBefore w:val="0"/>
              <w:widowControl/>
              <w:numPr>
                <w:ilvl w:val="0"/>
                <w:numId w:val="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标准科室管理</w:t>
            </w:r>
          </w:p>
          <w:p w14:paraId="3C18A094">
            <w:pPr>
              <w:pageBreakBefore w:val="0"/>
              <w:widowControl/>
              <w:numPr>
                <w:ilvl w:val="0"/>
                <w:numId w:val="7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标准科室查询检索</w:t>
            </w:r>
          </w:p>
          <w:p w14:paraId="3A663E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提供标准科室名称查询筛选功能，支持对查询条件重置</w:t>
            </w:r>
          </w:p>
          <w:p w14:paraId="201F4E37">
            <w:pPr>
              <w:pageBreakBefore w:val="0"/>
              <w:widowControl/>
              <w:numPr>
                <w:ilvl w:val="0"/>
                <w:numId w:val="7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标准科室维护管理</w:t>
            </w:r>
          </w:p>
          <w:p w14:paraId="2CA1C8C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提供新增标准科室功能，包含启用状态</w:t>
            </w:r>
          </w:p>
          <w:p w14:paraId="7092505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支持对已存在科室进行基本信息修改以及状态启停设置</w:t>
            </w:r>
          </w:p>
          <w:p w14:paraId="3C69BD14">
            <w:pPr>
              <w:pageBreakBefore w:val="0"/>
              <w:widowControl/>
              <w:numPr>
                <w:ilvl w:val="0"/>
                <w:numId w:val="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组织科室管理</w:t>
            </w:r>
          </w:p>
          <w:p w14:paraId="7CDAA28B">
            <w:pPr>
              <w:pageBreakBefore w:val="0"/>
              <w:widowControl/>
              <w:numPr>
                <w:ilvl w:val="0"/>
                <w:numId w:val="7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组织科室查询检索</w:t>
            </w:r>
          </w:p>
          <w:p w14:paraId="70864F6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支持按机构名称、科室类别、以及状态进行筛选</w:t>
            </w:r>
          </w:p>
          <w:p w14:paraId="7BAFA81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支持按组织科室名称进行检索定位</w:t>
            </w:r>
          </w:p>
          <w:p w14:paraId="15CCA35E">
            <w:pPr>
              <w:pageBreakBefore w:val="0"/>
              <w:widowControl/>
              <w:numPr>
                <w:ilvl w:val="0"/>
                <w:numId w:val="7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组织科室维护管理</w:t>
            </w:r>
          </w:p>
          <w:p w14:paraId="4FFDD34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提供科室新增功能，包括新增同级科室、新增子级科室</w:t>
            </w:r>
          </w:p>
          <w:p w14:paraId="36AF93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支持组织科室管理，包括科室编辑、删除、刷新操作</w:t>
            </w:r>
          </w:p>
          <w:p w14:paraId="29C0B98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支持按设定的排序码进行自动排序</w:t>
            </w:r>
          </w:p>
          <w:p w14:paraId="32F0EA8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支持医院通过接口形式将组织科室信息上传至平台，支持变更信息同步上传至平台</w:t>
            </w:r>
          </w:p>
          <w:p w14:paraId="1343762B">
            <w:pPr>
              <w:pageBreakBefore w:val="0"/>
              <w:widowControl/>
              <w:numPr>
                <w:ilvl w:val="0"/>
                <w:numId w:val="7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组织科室开通服务配置</w:t>
            </w:r>
          </w:p>
          <w:p w14:paraId="22582C5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支持对组织科室进行服务配置，添加或移出已配置服务</w:t>
            </w:r>
          </w:p>
          <w:p w14:paraId="6F931778">
            <w:pPr>
              <w:pageBreakBefore w:val="0"/>
              <w:widowControl/>
              <w:numPr>
                <w:ilvl w:val="0"/>
                <w:numId w:val="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机构医生管理</w:t>
            </w:r>
          </w:p>
          <w:p w14:paraId="58D42C0B">
            <w:pPr>
              <w:pageBreakBefore w:val="0"/>
              <w:widowControl/>
              <w:numPr>
                <w:ilvl w:val="0"/>
                <w:numId w:val="7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机构医生查询检索</w:t>
            </w:r>
          </w:p>
          <w:p w14:paraId="71479C8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支持按机构、所属科室以及状态进行医生筛选</w:t>
            </w:r>
          </w:p>
          <w:p w14:paraId="3230980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支持按医生姓名进行检索定位</w:t>
            </w:r>
          </w:p>
          <w:p w14:paraId="0CF0A89D">
            <w:pPr>
              <w:pageBreakBefore w:val="0"/>
              <w:widowControl/>
              <w:numPr>
                <w:ilvl w:val="0"/>
                <w:numId w:val="7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机构医生维护管理</w:t>
            </w:r>
          </w:p>
          <w:p w14:paraId="7204CB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提供机构医生新增、删除和刷新功能</w:t>
            </w:r>
          </w:p>
          <w:p w14:paraId="6024EA9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支持对已存在医生进行编辑操作，包含状态</w:t>
            </w:r>
          </w:p>
          <w:p w14:paraId="6A6EFDB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支持医院通过接口形式将机构医生信息上传至平台，支持变更信息同步上传至平台</w:t>
            </w:r>
          </w:p>
          <w:p w14:paraId="2D2B3F7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支持查询结果按树结构层级展示</w:t>
            </w:r>
          </w:p>
          <w:p w14:paraId="43FEE10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支持按设定的排序码进行自动排序</w:t>
            </w:r>
          </w:p>
          <w:p w14:paraId="06F3F7EE">
            <w:pPr>
              <w:pageBreakBefore w:val="0"/>
              <w:widowControl/>
              <w:numPr>
                <w:ilvl w:val="0"/>
                <w:numId w:val="7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医生管理挂号科室配置</w:t>
            </w:r>
          </w:p>
          <w:p w14:paraId="1095EC5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支持挂号科室关联配置以及配置后修改</w:t>
            </w:r>
          </w:p>
          <w:p w14:paraId="6D8E98D3">
            <w:pPr>
              <w:pageBreakBefore w:val="0"/>
              <w:widowControl/>
              <w:numPr>
                <w:ilvl w:val="0"/>
                <w:numId w:val="7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医生工号同步系统账号</w:t>
            </w:r>
          </w:p>
          <w:p w14:paraId="6442E32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支持机构医生用户同步到系统用户</w:t>
            </w:r>
          </w:p>
          <w:p w14:paraId="15842F76">
            <w:pPr>
              <w:pageBreakBefore w:val="0"/>
              <w:widowControl/>
              <w:numPr>
                <w:ilvl w:val="0"/>
                <w:numId w:val="7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医生系统账号角色配置</w:t>
            </w:r>
          </w:p>
          <w:p w14:paraId="4F3850E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支持机构医生用户对应角色配置</w:t>
            </w:r>
          </w:p>
        </w:tc>
      </w:tr>
      <w:tr w14:paraId="59CE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vMerge w:val="continue"/>
            <w:tcBorders>
              <w:tl2br w:val="nil"/>
              <w:tr2bl w:val="nil"/>
            </w:tcBorders>
            <w:noWrap w:val="0"/>
            <w:vAlign w:val="center"/>
          </w:tcPr>
          <w:p w14:paraId="6FEB957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B48E3B2">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530AE7BE">
            <w:pPr>
              <w:pageBreakBefore w:val="0"/>
              <w:widowControl/>
              <w:numPr>
                <w:ilvl w:val="0"/>
                <w:numId w:val="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门诊资源管理</w:t>
            </w:r>
          </w:p>
          <w:p w14:paraId="4E4DD474">
            <w:pPr>
              <w:pageBreakBefore w:val="0"/>
              <w:widowControl/>
              <w:numPr>
                <w:ilvl w:val="0"/>
                <w:numId w:val="7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挂号科室管理</w:t>
            </w:r>
          </w:p>
          <w:p w14:paraId="1F210CB8">
            <w:pPr>
              <w:pageBreakBefore w:val="0"/>
              <w:widowControl/>
              <w:numPr>
                <w:ilvl w:val="0"/>
                <w:numId w:val="7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挂号科室查询检索</w:t>
            </w:r>
          </w:p>
          <w:p w14:paraId="42FFDA1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支持按机构名称、科室类别、以及状态进行筛选</w:t>
            </w:r>
          </w:p>
          <w:p w14:paraId="3640FE8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支持按组织科室名称进行检索定位</w:t>
            </w:r>
          </w:p>
          <w:p w14:paraId="3DBB3E4F">
            <w:pPr>
              <w:pageBreakBefore w:val="0"/>
              <w:widowControl/>
              <w:numPr>
                <w:ilvl w:val="0"/>
                <w:numId w:val="7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挂号科室维护管理</w:t>
            </w:r>
          </w:p>
          <w:p w14:paraId="7AE5EA9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提供科室新增功能，包括新增同级科室、新增子级科室</w:t>
            </w:r>
          </w:p>
          <w:p w14:paraId="48A293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支持挂号科室管理，包括科室编辑、删除、刷新操作</w:t>
            </w:r>
          </w:p>
          <w:p w14:paraId="4C757D4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支持医院通过接口形式将挂号科室信息上传至平台，支持变更信息同步上传至平台</w:t>
            </w:r>
          </w:p>
          <w:p w14:paraId="32DFA5FE">
            <w:pPr>
              <w:pageBreakBefore w:val="0"/>
              <w:widowControl/>
              <w:numPr>
                <w:ilvl w:val="0"/>
                <w:numId w:val="7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挂号科室开通服务配置</w:t>
            </w:r>
          </w:p>
          <w:p w14:paraId="27D2344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支持对组织科室进行服务配置，添加或移出已配置服务</w:t>
            </w:r>
          </w:p>
          <w:p w14:paraId="69298B36">
            <w:pPr>
              <w:pageBreakBefore w:val="0"/>
              <w:widowControl/>
              <w:numPr>
                <w:ilvl w:val="0"/>
                <w:numId w:val="7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挂号科室关联医生配置</w:t>
            </w:r>
          </w:p>
          <w:p w14:paraId="0E22DA8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支持挂号科室管理医生人员配置</w:t>
            </w:r>
          </w:p>
          <w:p w14:paraId="4C0FC1C1">
            <w:pPr>
              <w:pageBreakBefore w:val="0"/>
              <w:widowControl/>
              <w:numPr>
                <w:ilvl w:val="0"/>
                <w:numId w:val="7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排班资源管理</w:t>
            </w:r>
          </w:p>
          <w:p w14:paraId="3AF43594">
            <w:pPr>
              <w:pageBreakBefore w:val="0"/>
              <w:widowControl/>
              <w:numPr>
                <w:ilvl w:val="0"/>
                <w:numId w:val="7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门诊排班查询检索</w:t>
            </w:r>
          </w:p>
          <w:p w14:paraId="144A5CD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支持按机构名称检索以及自动定位，展示对应的排班列表</w:t>
            </w:r>
          </w:p>
          <w:p w14:paraId="40294C9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支持按医生名称、排班科室、状态、时间范围以及数据来源渠道进行筛选查询；支持查询条件重置操作</w:t>
            </w:r>
          </w:p>
          <w:p w14:paraId="2A2861E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支持停诊查询，便于对于已预约但停诊的用户做出妥善处理</w:t>
            </w:r>
          </w:p>
          <w:p w14:paraId="291DB738">
            <w:pPr>
              <w:pageBreakBefore w:val="0"/>
              <w:widowControl/>
              <w:numPr>
                <w:ilvl w:val="0"/>
                <w:numId w:val="7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门诊排班维护管理</w:t>
            </w:r>
          </w:p>
          <w:p w14:paraId="3065E26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提供新增门诊排班操作，按排班设置、号源设置、开放预约机构设置的操作流程</w:t>
            </w:r>
          </w:p>
          <w:p w14:paraId="11FE5B7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提供门诊排班的发布、停诊、废弃操作</w:t>
            </w:r>
          </w:p>
          <w:p w14:paraId="189F193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支持医院通过接口形式将排班资源上传至平台；支持和医院端数据实时同步</w:t>
            </w:r>
          </w:p>
          <w:p w14:paraId="3116A11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支持机构检索结果按医共体或组织机构树结构层级展示，方便切换机构选择查看排班列表</w:t>
            </w:r>
          </w:p>
          <w:p w14:paraId="60D647A2">
            <w:pPr>
              <w:pageBreakBefore w:val="0"/>
              <w:widowControl/>
              <w:numPr>
                <w:ilvl w:val="0"/>
                <w:numId w:val="7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门诊排班号源明细设置</w:t>
            </w:r>
          </w:p>
          <w:p w14:paraId="052DC1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支持按人均接诊时间或时间段进行排班号源设置</w:t>
            </w:r>
          </w:p>
          <w:p w14:paraId="5699DD0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支持对单个或批量号源状态进行启停操作</w:t>
            </w:r>
          </w:p>
          <w:p w14:paraId="4FE603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支持对单个或批量号源预约状态进行设置</w:t>
            </w:r>
          </w:p>
          <w:p w14:paraId="418C29F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支持对单个或批量号源预约途径进行设置</w:t>
            </w:r>
          </w:p>
          <w:p w14:paraId="7136D413">
            <w:pPr>
              <w:pageBreakBefore w:val="0"/>
              <w:widowControl/>
              <w:numPr>
                <w:ilvl w:val="0"/>
                <w:numId w:val="7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门诊排班开放预约机构设置</w:t>
            </w:r>
          </w:p>
          <w:p w14:paraId="3F690AB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支持对排班号源设置可预约机构</w:t>
            </w:r>
          </w:p>
          <w:p w14:paraId="1AE732CD">
            <w:pPr>
              <w:pageBreakBefore w:val="0"/>
              <w:widowControl/>
              <w:numPr>
                <w:ilvl w:val="0"/>
                <w:numId w:val="7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排班班次管理</w:t>
            </w:r>
          </w:p>
          <w:p w14:paraId="7046DCB7">
            <w:pPr>
              <w:pageBreakBefore w:val="0"/>
              <w:widowControl/>
              <w:numPr>
                <w:ilvl w:val="0"/>
                <w:numId w:val="7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排班班次查询检索</w:t>
            </w:r>
          </w:p>
          <w:p w14:paraId="280EEC1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支持按机构名称检索以及自动定位，展示对应的排班班次列表</w:t>
            </w:r>
          </w:p>
          <w:p w14:paraId="7AF9B97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支持机构检索结果按医共体或组织机构树结构层级展示，方便切换机构选择查看排班班次列表</w:t>
            </w:r>
          </w:p>
          <w:p w14:paraId="29453818">
            <w:pPr>
              <w:pageBreakBefore w:val="0"/>
              <w:widowControl/>
              <w:numPr>
                <w:ilvl w:val="0"/>
                <w:numId w:val="7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排班班次维护管理</w:t>
            </w:r>
          </w:p>
          <w:p w14:paraId="59BA1BB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支持对排班班次进行新增操作,包括班次编码、名称以及班次时间范围、挂号时间范围等信息</w:t>
            </w:r>
          </w:p>
          <w:p w14:paraId="542D9FC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对于存在多院区的机构，支持按院区对排班班次进行设置</w:t>
            </w:r>
          </w:p>
          <w:p w14:paraId="25D04FE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支持对已存在的排班班次进行编辑、删除以及状态修改</w:t>
            </w:r>
          </w:p>
          <w:p w14:paraId="5A5C47C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支持医院通过接口形式将排班班次上传至平台；支持和医院端数据实时同步</w:t>
            </w:r>
          </w:p>
          <w:p w14:paraId="1F52DD65">
            <w:pPr>
              <w:pageBreakBefore w:val="0"/>
              <w:widowControl/>
              <w:numPr>
                <w:ilvl w:val="0"/>
                <w:numId w:val="7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预约途径管理</w:t>
            </w:r>
          </w:p>
          <w:p w14:paraId="117C6171">
            <w:pPr>
              <w:pageBreakBefore w:val="0"/>
              <w:widowControl/>
              <w:numPr>
                <w:ilvl w:val="0"/>
                <w:numId w:val="7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预约途径查询检索</w:t>
            </w:r>
          </w:p>
          <w:p w14:paraId="72D7E1F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支持按机构名称检索以及自动定位，展示对应的预约途径列表</w:t>
            </w:r>
          </w:p>
          <w:p w14:paraId="36C4AC6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支持机构检索结果按医共体或组织机构树结构层级展示，方便切换机构选择查看预约途径列表</w:t>
            </w:r>
          </w:p>
          <w:p w14:paraId="5D06AA65">
            <w:pPr>
              <w:pageBreakBefore w:val="0"/>
              <w:widowControl/>
              <w:numPr>
                <w:ilvl w:val="0"/>
                <w:numId w:val="7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预约途径维护管理</w:t>
            </w:r>
          </w:p>
          <w:p w14:paraId="7DE3F64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提供对预约途径进行新增操作，包括途径编码、途径名称、提前可预约天数、是否允许当天预约等</w:t>
            </w:r>
          </w:p>
          <w:p w14:paraId="2C6AAC2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对于存在多院区的机构，支持按院区对预约途径进行设置</w:t>
            </w:r>
          </w:p>
          <w:p w14:paraId="013366F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支持对已存在的预约途径进行编辑、修改状态以及删除操作</w:t>
            </w:r>
          </w:p>
          <w:p w14:paraId="1C084B7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支持医院通过接口形式将预约途径上传至平台；支持和医院端数据实时同步</w:t>
            </w:r>
          </w:p>
        </w:tc>
      </w:tr>
      <w:tr w14:paraId="130E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2" w:hRule="atLeast"/>
        </w:trPr>
        <w:tc>
          <w:tcPr>
            <w:tcW w:w="754" w:type="dxa"/>
            <w:vMerge w:val="continue"/>
            <w:tcBorders>
              <w:tl2br w:val="nil"/>
              <w:tr2bl w:val="nil"/>
            </w:tcBorders>
            <w:noWrap w:val="0"/>
            <w:vAlign w:val="center"/>
          </w:tcPr>
          <w:p w14:paraId="1F7D925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4B82AC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3942D4C3">
            <w:pPr>
              <w:pageBreakBefore w:val="0"/>
              <w:widowControl/>
              <w:numPr>
                <w:ilvl w:val="0"/>
                <w:numId w:val="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住院资源管理</w:t>
            </w:r>
          </w:p>
          <w:p w14:paraId="3591C56D">
            <w:pPr>
              <w:pageBreakBefore w:val="0"/>
              <w:widowControl/>
              <w:numPr>
                <w:ilvl w:val="0"/>
                <w:numId w:val="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床管人员配置</w:t>
            </w:r>
          </w:p>
          <w:p w14:paraId="6415ECA1">
            <w:pPr>
              <w:pageBreakBefore w:val="0"/>
              <w:widowControl/>
              <w:numPr>
                <w:ilvl w:val="0"/>
                <w:numId w:val="7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床管人员查询检索</w:t>
            </w:r>
          </w:p>
          <w:p w14:paraId="748F266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支持按机构名称检索以及自动定位，展示对应的床管人员列表</w:t>
            </w:r>
          </w:p>
          <w:p w14:paraId="78B5A05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支持机构检索结果按医共体或组织机构树结构层级展示，方便切换机构选择查看床管人员列表</w:t>
            </w:r>
          </w:p>
          <w:p w14:paraId="36E161A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支持对员工类型、姓名、身份证号、启用状态进行查询，员工类型为床管以及床管负责人，支持对查询条件进行重置</w:t>
            </w:r>
          </w:p>
          <w:p w14:paraId="7092B2A1">
            <w:pPr>
              <w:pageBreakBefore w:val="0"/>
              <w:widowControl/>
              <w:numPr>
                <w:ilvl w:val="0"/>
                <w:numId w:val="7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床管人员维护管理</w:t>
            </w:r>
          </w:p>
          <w:p w14:paraId="03D111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支持床管人员新增操作，支持设置到院区</w:t>
            </w:r>
          </w:p>
          <w:p w14:paraId="552AD48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支持对床管人员进行编辑、修改状态以及删除操作</w:t>
            </w:r>
          </w:p>
          <w:p w14:paraId="682EA01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支持医院端通过接口服务模式将床管人员数据上传至平台</w:t>
            </w:r>
          </w:p>
          <w:p w14:paraId="6962F7D4">
            <w:pPr>
              <w:pageBreakBefore w:val="0"/>
              <w:widowControl/>
              <w:numPr>
                <w:ilvl w:val="0"/>
                <w:numId w:val="7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床管负责人设置</w:t>
            </w:r>
          </w:p>
          <w:p w14:paraId="3A163F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支持设置是否为床管负责人</w:t>
            </w:r>
          </w:p>
          <w:p w14:paraId="3998EAF2">
            <w:pPr>
              <w:pageBreakBefore w:val="0"/>
              <w:widowControl/>
              <w:numPr>
                <w:ilvl w:val="0"/>
                <w:numId w:val="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病区床位配置</w:t>
            </w:r>
          </w:p>
          <w:p w14:paraId="64F37145">
            <w:pPr>
              <w:pageBreakBefore w:val="0"/>
              <w:widowControl/>
              <w:numPr>
                <w:ilvl w:val="0"/>
                <w:numId w:val="8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床位资源查询检索</w:t>
            </w:r>
          </w:p>
          <w:p w14:paraId="326C5B2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支持按机构名称检索以及自动定位，展示对应的病区床位信息列表</w:t>
            </w:r>
          </w:p>
          <w:p w14:paraId="4386754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支持机构检索结果按医共体或组织机构树结构层级展示，方便切换机构选择查看病区床位列表</w:t>
            </w:r>
          </w:p>
          <w:p w14:paraId="331F079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支持根据医院名称、病区编码、病区名称、科室名称等条件进行查询，便于对病区信息进行管理；支持对查询条件进行重置</w:t>
            </w:r>
          </w:p>
          <w:p w14:paraId="318D5482">
            <w:pPr>
              <w:pageBreakBefore w:val="0"/>
              <w:widowControl/>
              <w:numPr>
                <w:ilvl w:val="0"/>
                <w:numId w:val="8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床位资源维护管理</w:t>
            </w:r>
          </w:p>
          <w:p w14:paraId="3F771F5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支持对病区床位进行新增、修改、删除以及状态启停操作</w:t>
            </w:r>
          </w:p>
          <w:p w14:paraId="4280753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支持对病区编码、病区名称、关联科室以及开发床位数进行设定以及开放预约机构的设置</w:t>
            </w:r>
          </w:p>
          <w:p w14:paraId="3BC7FF1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支持医院端通过接口服务模式将病区床位数据上传至平台</w:t>
            </w:r>
          </w:p>
          <w:p w14:paraId="45413590">
            <w:pPr>
              <w:pageBreakBefore w:val="0"/>
              <w:widowControl/>
              <w:numPr>
                <w:ilvl w:val="0"/>
                <w:numId w:val="8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床位资源关联科室</w:t>
            </w:r>
          </w:p>
          <w:p w14:paraId="7D2D06E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支持对病区关联科室进行修改，支持一个病区关联多个科室</w:t>
            </w:r>
          </w:p>
          <w:p w14:paraId="0E9F6078">
            <w:pPr>
              <w:pageBreakBefore w:val="0"/>
              <w:widowControl/>
              <w:numPr>
                <w:ilvl w:val="0"/>
                <w:numId w:val="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转诊原因配置</w:t>
            </w:r>
          </w:p>
          <w:p w14:paraId="6B92BCF6">
            <w:pPr>
              <w:pageBreakBefore w:val="0"/>
              <w:widowControl/>
              <w:numPr>
                <w:ilvl w:val="0"/>
                <w:numId w:val="8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转诊原因查询检索</w:t>
            </w:r>
          </w:p>
          <w:p w14:paraId="506D7E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支持按机构名称检索以及自动定位，展示对应配置的转诊原因列表</w:t>
            </w:r>
          </w:p>
          <w:p w14:paraId="07C149D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支持机构检索结果按医共体或组织机构树结构层级展示，方便切换机构选择查看转诊原因列表</w:t>
            </w:r>
          </w:p>
          <w:p w14:paraId="3BA243E1">
            <w:pPr>
              <w:pageBreakBefore w:val="0"/>
              <w:widowControl/>
              <w:numPr>
                <w:ilvl w:val="0"/>
                <w:numId w:val="8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转诊原因维护管理</w:t>
            </w:r>
          </w:p>
          <w:p w14:paraId="4551F93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支持转诊原因新增操作，支持转诊原因配置到院区</w:t>
            </w:r>
          </w:p>
          <w:p w14:paraId="4EC1F98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支持转诊原因进行编辑、修改状态以及删除操作</w:t>
            </w:r>
          </w:p>
          <w:p w14:paraId="5A484ECC">
            <w:pPr>
              <w:pageBreakBefore w:val="0"/>
              <w:widowControl/>
              <w:numPr>
                <w:ilvl w:val="0"/>
                <w:numId w:val="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住院须知配置</w:t>
            </w:r>
          </w:p>
          <w:p w14:paraId="71418D45">
            <w:pPr>
              <w:pageBreakBefore w:val="0"/>
              <w:widowControl/>
              <w:numPr>
                <w:ilvl w:val="0"/>
                <w:numId w:val="8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住院须知维护管理</w:t>
            </w:r>
          </w:p>
          <w:p w14:paraId="591159D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支持按机构名称检索以及自动定位，展示对应配置的入院注意事项列表以及详情查看</w:t>
            </w:r>
          </w:p>
          <w:p w14:paraId="0134EC8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支持机构检索结果按医共体或组织机构树结构层级展示，方便切换机构选择查看入院注意事项列表</w:t>
            </w:r>
          </w:p>
          <w:p w14:paraId="52C86C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支持住院须知新增操作，支持入院注意事项配置到院区以及文档格式化编辑</w:t>
            </w:r>
          </w:p>
          <w:p w14:paraId="73E01C0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支持对已有的住院须知进行编辑、修改状态以及删除操作</w:t>
            </w:r>
          </w:p>
          <w:p w14:paraId="448D35CD">
            <w:pPr>
              <w:pageBreakBefore w:val="0"/>
              <w:widowControl/>
              <w:numPr>
                <w:ilvl w:val="0"/>
                <w:numId w:val="8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住院须知打印</w:t>
            </w:r>
          </w:p>
          <w:p w14:paraId="614E2E2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支持对已有的住院须知进行打印操作</w:t>
            </w:r>
          </w:p>
        </w:tc>
      </w:tr>
      <w:tr w14:paraId="2751E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trPr>
        <w:tc>
          <w:tcPr>
            <w:tcW w:w="754" w:type="dxa"/>
            <w:vMerge w:val="continue"/>
            <w:tcBorders>
              <w:tl2br w:val="nil"/>
              <w:tr2bl w:val="nil"/>
            </w:tcBorders>
            <w:noWrap w:val="0"/>
            <w:vAlign w:val="center"/>
          </w:tcPr>
          <w:p w14:paraId="197E31C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A717AC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2D89031C">
            <w:pPr>
              <w:pageBreakBefore w:val="0"/>
              <w:widowControl/>
              <w:numPr>
                <w:ilvl w:val="0"/>
                <w:numId w:val="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协同资源管理</w:t>
            </w:r>
          </w:p>
          <w:p w14:paraId="67DB9531">
            <w:pPr>
              <w:pageBreakBefore w:val="0"/>
              <w:widowControl/>
              <w:numPr>
                <w:ilvl w:val="0"/>
                <w:numId w:val="8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基础字典管理</w:t>
            </w:r>
          </w:p>
          <w:p w14:paraId="4B3067B5">
            <w:pPr>
              <w:pageBreakBefore w:val="0"/>
              <w:widowControl/>
              <w:numPr>
                <w:ilvl w:val="0"/>
                <w:numId w:val="8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基础字典查询检索</w:t>
            </w:r>
          </w:p>
          <w:p w14:paraId="2C3E1F0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支持按字典类型以及状态进行筛选</w:t>
            </w:r>
          </w:p>
          <w:p w14:paraId="5A76DA9E">
            <w:pPr>
              <w:pageBreakBefore w:val="0"/>
              <w:widowControl/>
              <w:numPr>
                <w:ilvl w:val="0"/>
                <w:numId w:val="8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基础字典维护管理</w:t>
            </w:r>
          </w:p>
          <w:p w14:paraId="2FE820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支持对字段值进行编辑、修改状态以及删除操作</w:t>
            </w:r>
          </w:p>
          <w:p w14:paraId="008C765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支持字典管理，如检查类型、预约途径等</w:t>
            </w:r>
          </w:p>
          <w:p w14:paraId="7703300B">
            <w:pPr>
              <w:pageBreakBefore w:val="0"/>
              <w:widowControl/>
              <w:numPr>
                <w:ilvl w:val="0"/>
                <w:numId w:val="8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检查项目管理</w:t>
            </w:r>
          </w:p>
          <w:p w14:paraId="4D0DFF75">
            <w:pPr>
              <w:pageBreakBefore w:val="0"/>
              <w:widowControl/>
              <w:numPr>
                <w:ilvl w:val="0"/>
                <w:numId w:val="8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检查项目查询检索</w:t>
            </w:r>
          </w:p>
          <w:p w14:paraId="6A6E135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支持选择检查机构、检查类型、检查项目进行检索，支持查询条件重置</w:t>
            </w:r>
          </w:p>
          <w:p w14:paraId="77EDAD27">
            <w:pPr>
              <w:pageBreakBefore w:val="0"/>
              <w:widowControl/>
              <w:numPr>
                <w:ilvl w:val="0"/>
                <w:numId w:val="8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检查项目维护管理</w:t>
            </w:r>
          </w:p>
          <w:p w14:paraId="191937E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支持平台上直接新增检查项目进行维护；</w:t>
            </w:r>
          </w:p>
          <w:p w14:paraId="3E4C935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支持检查项目多级管理，提供分类、项目、部位等级别满足不同医院需求</w:t>
            </w:r>
          </w:p>
          <w:p w14:paraId="52BD0D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提供检查项目医生提醒的设置，在检查项目预约程中提醒医生；提供检查项目患者提醒设置，在检查项目预约过程中提醒医生，同时打印给患者的检查单中打印</w:t>
            </w:r>
          </w:p>
          <w:p w14:paraId="24D5AC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提供检查项目的基本信息设置；</w:t>
            </w:r>
          </w:p>
          <w:p w14:paraId="0C1271E1">
            <w:pPr>
              <w:pageBreakBefore w:val="0"/>
              <w:widowControl/>
              <w:numPr>
                <w:ilvl w:val="0"/>
                <w:numId w:val="8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检查项目批量导入</w:t>
            </w:r>
          </w:p>
          <w:p w14:paraId="28CB8D1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支持excel模板导入功能</w:t>
            </w:r>
          </w:p>
          <w:p w14:paraId="1553AE1B">
            <w:pPr>
              <w:pageBreakBefore w:val="0"/>
              <w:widowControl/>
              <w:numPr>
                <w:ilvl w:val="0"/>
                <w:numId w:val="8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检查项目匹配检查类型</w:t>
            </w:r>
          </w:p>
          <w:p w14:paraId="5610480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支持检查类型的匹配，和基础字典中设置的检查类型进行关联匹配</w:t>
            </w:r>
          </w:p>
        </w:tc>
      </w:tr>
      <w:tr w14:paraId="43F68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vMerge w:val="continue"/>
            <w:tcBorders>
              <w:tl2br w:val="nil"/>
              <w:tr2bl w:val="nil"/>
            </w:tcBorders>
            <w:noWrap w:val="0"/>
            <w:vAlign w:val="center"/>
          </w:tcPr>
          <w:p w14:paraId="545A92A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6E7F88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40C4BA4F">
            <w:pPr>
              <w:pageBreakBefore w:val="0"/>
              <w:widowControl/>
              <w:numPr>
                <w:ilvl w:val="0"/>
                <w:numId w:val="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资源池统计</w:t>
            </w:r>
          </w:p>
          <w:p w14:paraId="1468FDB2">
            <w:pPr>
              <w:pageBreakBefore w:val="0"/>
              <w:widowControl/>
              <w:numPr>
                <w:ilvl w:val="0"/>
                <w:numId w:val="8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专家门诊号源池</w:t>
            </w:r>
          </w:p>
          <w:p w14:paraId="41DB01F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支持通过排班日期进行筛选</w:t>
            </w:r>
          </w:p>
          <w:p w14:paraId="15B0DBB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支持以柱状图的形式统计医院开放号源数、医院剩余号源数、医院已被预约号源数</w:t>
            </w:r>
          </w:p>
          <w:p w14:paraId="38E6746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支持以表格的形式统计各个医院号源总数、剩余号源数、已预约号源数、已预约/总数 比例</w:t>
            </w:r>
          </w:p>
          <w:p w14:paraId="712F2EDF">
            <w:pPr>
              <w:pageBreakBefore w:val="0"/>
              <w:widowControl/>
              <w:numPr>
                <w:ilvl w:val="0"/>
                <w:numId w:val="8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普通门诊号源池</w:t>
            </w:r>
          </w:p>
          <w:p w14:paraId="663B47E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支持通过排班日期进行筛选</w:t>
            </w:r>
          </w:p>
          <w:p w14:paraId="5B93785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支持以柱状图的形式统计医院开放号源数、医院剩余号源数、医院已被预约号源数</w:t>
            </w:r>
          </w:p>
          <w:p w14:paraId="5550088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支持以表格的形式统计各个医院号源总数、剩余号源数、已预约号源数、已预约/总数 比例</w:t>
            </w:r>
          </w:p>
          <w:p w14:paraId="782C5EC9">
            <w:pPr>
              <w:pageBreakBefore w:val="0"/>
              <w:widowControl/>
              <w:numPr>
                <w:ilvl w:val="0"/>
                <w:numId w:val="8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床位资源统计</w:t>
            </w:r>
          </w:p>
          <w:p w14:paraId="4AA4D8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支持按医院、病区、科室进行筛选查询</w:t>
            </w:r>
          </w:p>
          <w:p w14:paraId="7AD94FF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支持以柱状图的形式统计医院开放床位数、医院当前占用床位数、医院预约排队人数</w:t>
            </w:r>
          </w:p>
          <w:p w14:paraId="00696C1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支持以表格的形式统计各个医院开放床位数、当前占用床位数、空床位、预约床位数</w:t>
            </w:r>
          </w:p>
          <w:p w14:paraId="5E6AABE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支持选择医院、病区、科室进行筛选查询</w:t>
            </w:r>
          </w:p>
        </w:tc>
      </w:tr>
      <w:tr w14:paraId="1D39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0" w:hRule="atLeast"/>
        </w:trPr>
        <w:tc>
          <w:tcPr>
            <w:tcW w:w="754" w:type="dxa"/>
            <w:vMerge w:val="restart"/>
            <w:tcBorders>
              <w:tl2br w:val="nil"/>
              <w:tr2bl w:val="nil"/>
            </w:tcBorders>
            <w:noWrap w:val="0"/>
            <w:vAlign w:val="center"/>
          </w:tcPr>
          <w:p w14:paraId="38FAF8F4">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754" w:type="dxa"/>
            <w:vMerge w:val="restart"/>
            <w:tcBorders>
              <w:tl2br w:val="nil"/>
              <w:tr2bl w:val="nil"/>
            </w:tcBorders>
            <w:noWrap w:val="0"/>
            <w:vAlign w:val="center"/>
          </w:tcPr>
          <w:p w14:paraId="2854DA60">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门诊转诊</w:t>
            </w:r>
            <w:r>
              <w:rPr>
                <w:rFonts w:hint="eastAsia" w:ascii="宋体" w:hAnsi="宋体" w:eastAsia="宋体" w:cs="宋体"/>
                <w:b w:val="0"/>
                <w:bCs w:val="0"/>
                <w:color w:val="auto"/>
                <w:kern w:val="0"/>
                <w:sz w:val="21"/>
                <w:szCs w:val="21"/>
                <w:lang w:bidi="ar"/>
              </w:rPr>
              <w:t>（改造）</w:t>
            </w:r>
          </w:p>
        </w:tc>
        <w:tc>
          <w:tcPr>
            <w:tcW w:w="7085" w:type="dxa"/>
            <w:tcBorders>
              <w:tl2br w:val="nil"/>
              <w:tr2bl w:val="nil"/>
            </w:tcBorders>
            <w:noWrap w:val="0"/>
            <w:vAlign w:val="center"/>
          </w:tcPr>
          <w:p w14:paraId="10A0BDC4">
            <w:pPr>
              <w:pageBreakBefore w:val="0"/>
              <w:widowControl/>
              <w:numPr>
                <w:ilvl w:val="0"/>
                <w:numId w:val="8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黑白名单管理（改造）</w:t>
            </w:r>
          </w:p>
          <w:p w14:paraId="3AFA00CA">
            <w:pPr>
              <w:pageBreakBefore w:val="0"/>
              <w:widowControl/>
              <w:numPr>
                <w:ilvl w:val="0"/>
                <w:numId w:val="8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黑名单管理</w:t>
            </w:r>
          </w:p>
          <w:p w14:paraId="7600A7F4">
            <w:pPr>
              <w:pageBreakBefore w:val="0"/>
              <w:widowControl/>
              <w:numPr>
                <w:ilvl w:val="0"/>
                <w:numId w:val="8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违约用户自动进入黑名单</w:t>
            </w:r>
          </w:p>
          <w:p w14:paraId="4AEF87B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支持预约挂号违约用户自动进入黑名单，如取号不就诊2次、半年内退号2次等</w:t>
            </w:r>
          </w:p>
          <w:p w14:paraId="6D0CCF62">
            <w:pPr>
              <w:pageBreakBefore w:val="0"/>
              <w:widowControl/>
              <w:numPr>
                <w:ilvl w:val="0"/>
                <w:numId w:val="8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黑名单查询检索</w:t>
            </w:r>
          </w:p>
          <w:p w14:paraId="0DD2E45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支持根据黑名单类型、黑名单内容、用户姓名以及状态进行查询检索</w:t>
            </w:r>
          </w:p>
          <w:p w14:paraId="6F761690">
            <w:pPr>
              <w:pageBreakBefore w:val="0"/>
              <w:widowControl/>
              <w:numPr>
                <w:ilvl w:val="0"/>
                <w:numId w:val="8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黑名单维护管理</w:t>
            </w:r>
          </w:p>
          <w:p w14:paraId="661DBC2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支持手动添加黑名单用户，以及根据需要设置限制预约天数</w:t>
            </w:r>
          </w:p>
          <w:p w14:paraId="1C8E691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支持满足一定规则后自动移出黑名单；支持手动移出黑名单</w:t>
            </w:r>
          </w:p>
          <w:p w14:paraId="177E6AEE">
            <w:pPr>
              <w:pageBreakBefore w:val="0"/>
              <w:widowControl/>
              <w:numPr>
                <w:ilvl w:val="0"/>
                <w:numId w:val="8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黑名单限制预约</w:t>
            </w:r>
          </w:p>
          <w:p w14:paraId="00B45D8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黑名单用户将被限制一定时间预约权限，默认90天，支持手动调整限制天数</w:t>
            </w:r>
          </w:p>
          <w:p w14:paraId="49C88FF7">
            <w:pPr>
              <w:pageBreakBefore w:val="0"/>
              <w:widowControl/>
              <w:numPr>
                <w:ilvl w:val="0"/>
                <w:numId w:val="8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白名单管理</w:t>
            </w:r>
          </w:p>
          <w:p w14:paraId="371D731A">
            <w:pPr>
              <w:pageBreakBefore w:val="0"/>
              <w:widowControl/>
              <w:numPr>
                <w:ilvl w:val="0"/>
                <w:numId w:val="9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白名单维护管理</w:t>
            </w:r>
          </w:p>
          <w:p w14:paraId="002D9B6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支持多类型的白名单设置，白名单长期有效；支持设置启用状态为禁用</w:t>
            </w:r>
          </w:p>
          <w:p w14:paraId="6365527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支持手动添加白名单用户，支持对白名单用户进行修改操作</w:t>
            </w:r>
          </w:p>
          <w:p w14:paraId="6840BB66">
            <w:pPr>
              <w:pageBreakBefore w:val="0"/>
              <w:widowControl/>
              <w:numPr>
                <w:ilvl w:val="0"/>
                <w:numId w:val="9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手机号白名单</w:t>
            </w:r>
          </w:p>
          <w:p w14:paraId="553C252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支持手机号白名单设置</w:t>
            </w:r>
          </w:p>
          <w:p w14:paraId="0F1D61BE">
            <w:pPr>
              <w:pageBreakBefore w:val="0"/>
              <w:widowControl/>
              <w:numPr>
                <w:ilvl w:val="0"/>
                <w:numId w:val="9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身份证号白名单</w:t>
            </w:r>
          </w:p>
          <w:p w14:paraId="0DFCD54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支持身份证号白名单设置</w:t>
            </w:r>
          </w:p>
        </w:tc>
      </w:tr>
      <w:tr w14:paraId="4677C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54" w:type="dxa"/>
            <w:vMerge w:val="continue"/>
            <w:tcBorders>
              <w:tl2br w:val="nil"/>
              <w:tr2bl w:val="nil"/>
            </w:tcBorders>
            <w:noWrap w:val="0"/>
            <w:vAlign w:val="center"/>
          </w:tcPr>
          <w:p w14:paraId="30ABB70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E90DC0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2E0C9212">
            <w:pPr>
              <w:pageBreakBefore w:val="0"/>
              <w:widowControl/>
              <w:numPr>
                <w:ilvl w:val="0"/>
                <w:numId w:val="8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预约管理-预约门诊转诊</w:t>
            </w:r>
          </w:p>
          <w:p w14:paraId="4191B64F">
            <w:pPr>
              <w:pageBreakBefore w:val="0"/>
              <w:widowControl/>
              <w:numPr>
                <w:ilvl w:val="0"/>
                <w:numId w:val="9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预约申请</w:t>
            </w:r>
          </w:p>
          <w:p w14:paraId="44322A3E">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患者本次病历查看</w:t>
            </w:r>
          </w:p>
          <w:p w14:paraId="18BDDDF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支持查看患者本次转诊病历，包括主诉、诊断、处理意见等</w:t>
            </w:r>
          </w:p>
          <w:p w14:paraId="691C4C07">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专家门诊号源资源检索</w:t>
            </w:r>
          </w:p>
          <w:p w14:paraId="73CD286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支持按医院、按科室、按医生查找专家门诊号源</w:t>
            </w:r>
          </w:p>
          <w:p w14:paraId="6D77CE5A">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普通门诊号源资源检索</w:t>
            </w:r>
          </w:p>
          <w:p w14:paraId="48EDDAD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支持按医院、按科室、按医生查找普通门诊号源</w:t>
            </w:r>
          </w:p>
          <w:p w14:paraId="1DEA69A8">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患者健康档案调阅</w:t>
            </w:r>
          </w:p>
          <w:p w14:paraId="46F1C52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支持转诊申请时，支持患者健康档案调阅</w:t>
            </w:r>
          </w:p>
          <w:p w14:paraId="07779776">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门诊号源预约</w:t>
            </w:r>
          </w:p>
          <w:p w14:paraId="30BA281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支持根据配置控制是否允许跨组织机构预约</w:t>
            </w:r>
          </w:p>
          <w:p w14:paraId="3904494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支持按医生姓名模糊检索查找可预约资源</w:t>
            </w:r>
          </w:p>
          <w:p w14:paraId="764C97D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提供门诊转诊申请功能，选择号源后自动加载预约号源信息</w:t>
            </w:r>
          </w:p>
          <w:p w14:paraId="4252452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支持门诊医生接诊，转诊患者特殊标识</w:t>
            </w:r>
          </w:p>
          <w:p w14:paraId="29586F1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支持门诊医生接诊时，调阅患者转诊申请时的病历信息</w:t>
            </w:r>
          </w:p>
          <w:p w14:paraId="2180C724">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门诊转诊单打印</w:t>
            </w:r>
          </w:p>
          <w:p w14:paraId="24AD456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支持预约成功后打印门诊转诊单</w:t>
            </w:r>
          </w:p>
          <w:p w14:paraId="326A2C00">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预约成功后短信提醒患者</w:t>
            </w:r>
          </w:p>
          <w:p w14:paraId="1259B7F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支持预约成功后将预约信息发送至短信至患者手机端进行提醒</w:t>
            </w:r>
          </w:p>
          <w:p w14:paraId="4FCBC2BB">
            <w:pPr>
              <w:pageBreakBefore w:val="0"/>
              <w:widowControl/>
              <w:numPr>
                <w:ilvl w:val="0"/>
                <w:numId w:val="9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门诊预约取消</w:t>
            </w:r>
          </w:p>
          <w:p w14:paraId="7393AD8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支持平台预约取消后通知HIS系统</w:t>
            </w:r>
          </w:p>
          <w:p w14:paraId="7AC46375">
            <w:pPr>
              <w:pageBreakBefore w:val="0"/>
              <w:widowControl/>
              <w:numPr>
                <w:ilvl w:val="0"/>
                <w:numId w:val="9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转诊预约列表记录</w:t>
            </w:r>
          </w:p>
          <w:p w14:paraId="5825D11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支持查看患者近期转诊记录卡片列表，包括预约医院、预约科室、预约医生以及就诊日期等</w:t>
            </w:r>
          </w:p>
        </w:tc>
      </w:tr>
      <w:tr w14:paraId="6A863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54" w:type="dxa"/>
            <w:vMerge w:val="continue"/>
            <w:tcBorders>
              <w:tl2br w:val="nil"/>
              <w:tr2bl w:val="nil"/>
            </w:tcBorders>
            <w:noWrap w:val="0"/>
            <w:vAlign w:val="center"/>
          </w:tcPr>
          <w:p w14:paraId="63793BDA">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E78294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26A920CC">
            <w:pPr>
              <w:pageBreakBefore w:val="0"/>
              <w:widowControl/>
              <w:numPr>
                <w:ilvl w:val="0"/>
                <w:numId w:val="8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转诊查询</w:t>
            </w:r>
          </w:p>
          <w:p w14:paraId="0AC2AA30">
            <w:pPr>
              <w:pageBreakBefore w:val="0"/>
              <w:widowControl/>
              <w:numPr>
                <w:ilvl w:val="0"/>
                <w:numId w:val="9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转诊挂号记录查询</w:t>
            </w:r>
          </w:p>
          <w:p w14:paraId="2A775A7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支持按转诊时间、患者姓名、预约状态、转入医院、转出医院、预约日期来进行查询检索；支持查询条件重置</w:t>
            </w:r>
          </w:p>
          <w:p w14:paraId="180FB91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支持患者基本信息、预约信息、转诊申请信息的全面展示</w:t>
            </w:r>
          </w:p>
          <w:p w14:paraId="47C1196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查询结果记录默认按照转诊时间进行倒序排列展示，支持分页展示查询结果记录</w:t>
            </w:r>
          </w:p>
          <w:p w14:paraId="20DED71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支持对查询结果列表进行导出操作</w:t>
            </w:r>
          </w:p>
          <w:p w14:paraId="4BFC05C7">
            <w:pPr>
              <w:pageBreakBefore w:val="0"/>
              <w:widowControl/>
              <w:numPr>
                <w:ilvl w:val="0"/>
                <w:numId w:val="9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双向转诊明细查询</w:t>
            </w:r>
          </w:p>
          <w:p w14:paraId="1032BB1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支持按转诊时间、患者姓名、患者身份证号、申请医生、转诊诊断、转入医院、转出医院进行查询检索；支持查询条件重置</w:t>
            </w:r>
          </w:p>
          <w:p w14:paraId="093825C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支持患者基本信息、预约信息、转诊申请信息的全面展示</w:t>
            </w:r>
          </w:p>
          <w:p w14:paraId="690DAAE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查询结果记录默认按照转诊时间进行倒序排列展示，支持分页展示查询结果记录</w:t>
            </w:r>
          </w:p>
          <w:p w14:paraId="60B3DCF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支持对查询结果列表进行导出操作</w:t>
            </w:r>
          </w:p>
          <w:p w14:paraId="34B19E0A">
            <w:pPr>
              <w:pageBreakBefore w:val="0"/>
              <w:widowControl/>
              <w:numPr>
                <w:ilvl w:val="0"/>
                <w:numId w:val="9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双向转诊汇总查询</w:t>
            </w:r>
          </w:p>
          <w:p w14:paraId="18693DC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支持按转诊时间、转入医院、转出医院、转诊诊断、转诊类型等进行查询汇总统计</w:t>
            </w:r>
          </w:p>
          <w:p w14:paraId="5DB9794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支持展示各医院之间转诊数量汇总展示</w:t>
            </w:r>
          </w:p>
          <w:p w14:paraId="1E3CCE4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支持对查询条件进行重置以及对查询结果分页展示</w:t>
            </w:r>
          </w:p>
          <w:p w14:paraId="5EDABAA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支持对查询结果列表进行导出操作</w:t>
            </w:r>
          </w:p>
        </w:tc>
      </w:tr>
      <w:tr w14:paraId="75597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vMerge w:val="continue"/>
            <w:tcBorders>
              <w:tl2br w:val="nil"/>
              <w:tr2bl w:val="nil"/>
            </w:tcBorders>
            <w:noWrap w:val="0"/>
            <w:vAlign w:val="center"/>
          </w:tcPr>
          <w:p w14:paraId="500F523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AB744E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748FA589">
            <w:pPr>
              <w:pageBreakBefore w:val="0"/>
              <w:widowControl/>
              <w:numPr>
                <w:ilvl w:val="0"/>
                <w:numId w:val="8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统计分析</w:t>
            </w:r>
          </w:p>
          <w:p w14:paraId="73043F85">
            <w:pPr>
              <w:pageBreakBefore w:val="0"/>
              <w:widowControl/>
              <w:numPr>
                <w:ilvl w:val="0"/>
                <w:numId w:val="9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转诊分类及占比统计</w:t>
            </w:r>
          </w:p>
          <w:p w14:paraId="2956715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支持转诊科室占比统计</w:t>
            </w:r>
          </w:p>
          <w:p w14:paraId="02EAFE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支持转诊疾病占比统计</w:t>
            </w:r>
          </w:p>
          <w:p w14:paraId="3FDA0EC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支持转诊年龄占比统计</w:t>
            </w:r>
          </w:p>
          <w:p w14:paraId="5CCCFEF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支持转诊机构占比统计</w:t>
            </w:r>
          </w:p>
          <w:p w14:paraId="753BA7D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支持转诊履约占比统计</w:t>
            </w:r>
          </w:p>
        </w:tc>
      </w:tr>
      <w:tr w14:paraId="2682E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754" w:type="dxa"/>
            <w:vMerge w:val="restart"/>
            <w:tcBorders>
              <w:tl2br w:val="nil"/>
              <w:tr2bl w:val="nil"/>
            </w:tcBorders>
            <w:noWrap w:val="0"/>
            <w:vAlign w:val="center"/>
          </w:tcPr>
          <w:p w14:paraId="285784DF">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c>
          <w:tcPr>
            <w:tcW w:w="754" w:type="dxa"/>
            <w:vMerge w:val="restart"/>
            <w:tcBorders>
              <w:tl2br w:val="nil"/>
              <w:tr2bl w:val="nil"/>
            </w:tcBorders>
            <w:noWrap w:val="0"/>
            <w:vAlign w:val="center"/>
          </w:tcPr>
          <w:p w14:paraId="11B779B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住院转诊（改造）</w:t>
            </w:r>
          </w:p>
        </w:tc>
        <w:tc>
          <w:tcPr>
            <w:tcW w:w="7085" w:type="dxa"/>
            <w:tcBorders>
              <w:tl2br w:val="nil"/>
              <w:tr2bl w:val="nil"/>
            </w:tcBorders>
            <w:noWrap w:val="0"/>
            <w:vAlign w:val="center"/>
          </w:tcPr>
          <w:p w14:paraId="06A4E56B">
            <w:pPr>
              <w:pageBreakBefore w:val="0"/>
              <w:widowControl/>
              <w:numPr>
                <w:ilvl w:val="0"/>
                <w:numId w:val="9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预约住院</w:t>
            </w:r>
          </w:p>
          <w:p w14:paraId="15D61A6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支持门诊患者转住院申请</w:t>
            </w:r>
          </w:p>
          <w:p w14:paraId="77BB86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支持住院患者转住院申请</w:t>
            </w:r>
          </w:p>
          <w:p w14:paraId="4DD742E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支持查看患者近期转诊记录卡片列表，包括转入医院、转入科室、入院时间以及患者状态等</w:t>
            </w:r>
          </w:p>
          <w:p w14:paraId="544EB43A">
            <w:pPr>
              <w:pageBreakBefore w:val="0"/>
              <w:widowControl/>
              <w:numPr>
                <w:ilvl w:val="0"/>
                <w:numId w:val="9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住院转诊申请</w:t>
            </w:r>
          </w:p>
          <w:p w14:paraId="3ECF9371">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患者本次病历查看</w:t>
            </w:r>
          </w:p>
          <w:p w14:paraId="683A9DA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支持查看患者本次转诊病历，包括主诉、诊断、处理意见等</w:t>
            </w:r>
          </w:p>
          <w:p w14:paraId="50DE39BF">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床位资源检索</w:t>
            </w:r>
          </w:p>
          <w:p w14:paraId="6ECF428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支持转出机构查看区域内所有机构的床位资源情况；</w:t>
            </w:r>
          </w:p>
          <w:p w14:paraId="1B40774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支持按医院、科室进行床位资源筛选</w:t>
            </w:r>
          </w:p>
          <w:p w14:paraId="374E2661">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床位资源预约</w:t>
            </w:r>
          </w:p>
          <w:p w14:paraId="7E2FB4B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支持选择病区床管资源后自动填充预约单信息</w:t>
            </w:r>
          </w:p>
          <w:p w14:paraId="11C6CBB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支持申请时不指定转入医生，默认由床管人员进行答复</w:t>
            </w:r>
          </w:p>
          <w:p w14:paraId="57C409C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支持转诊申请时，支持患者健康档案调阅</w:t>
            </w:r>
          </w:p>
          <w:p w14:paraId="5F36C6B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支持转诊答复等待时，提供转入机构的处理状态，如床管医生处理、病区医生处理等；同时支持展示转入机构床管或医生联系电话，便于必要时电话联系；</w:t>
            </w:r>
          </w:p>
          <w:p w14:paraId="6345E08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支持申请单提交后短信提醒转入医院床管人员；支持超过预警最大时长未答复时发送短信给床管负责人。</w:t>
            </w:r>
          </w:p>
          <w:p w14:paraId="46A3E05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对于超时未答复的数据，系统进行自动撤销操作，并备注取消原因为“超时自动撤销”</w:t>
            </w:r>
          </w:p>
          <w:p w14:paraId="4D35174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支持对已经答复同意入院的申请打印转诊申请单和入院须知</w:t>
            </w:r>
          </w:p>
          <w:p w14:paraId="193E9634">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指定医生答复</w:t>
            </w:r>
          </w:p>
          <w:p w14:paraId="6617E8E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支持根据需要选择指定的转入医生后提交转诊申请，后续由对应医生进行答复操作</w:t>
            </w:r>
          </w:p>
          <w:p w14:paraId="53269768">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未答复前撤销申请</w:t>
            </w:r>
          </w:p>
          <w:p w14:paraId="2A14802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转入机构未答复前，支持转出医院取消转诊单操作，取消操作时录入取消原因；</w:t>
            </w:r>
          </w:p>
          <w:p w14:paraId="087F5DEC">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已答复未入院前撤销申请</w:t>
            </w:r>
          </w:p>
          <w:p w14:paraId="2BEF7E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转入机构答复后，支持转入机构取消住院排队，取消操作时需要录入取消原因；</w:t>
            </w:r>
          </w:p>
          <w:p w14:paraId="76E206E0">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查看患者健康档案</w:t>
            </w:r>
          </w:p>
          <w:p w14:paraId="610B4DA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支持查看患者健康档案</w:t>
            </w:r>
          </w:p>
          <w:p w14:paraId="2F6144C5">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查看申请单答复结果</w:t>
            </w:r>
          </w:p>
          <w:p w14:paraId="530BF2D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支持查看申请单答复结果</w:t>
            </w:r>
          </w:p>
          <w:p w14:paraId="0CEAA6FE">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查看患者入院状态信息</w:t>
            </w:r>
          </w:p>
          <w:p w14:paraId="3697CE8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支持查看患者入院状态信息及发生时间</w:t>
            </w:r>
          </w:p>
          <w:p w14:paraId="062F462D">
            <w:pPr>
              <w:pageBreakBefore w:val="0"/>
              <w:widowControl/>
              <w:numPr>
                <w:ilvl w:val="0"/>
                <w:numId w:val="97"/>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查看患者出院状态信息</w:t>
            </w:r>
          </w:p>
          <w:p w14:paraId="0DD4397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支持查看患者出院状态信息及发生时间</w:t>
            </w:r>
          </w:p>
          <w:p w14:paraId="7BC2942A">
            <w:pPr>
              <w:pageBreakBefore w:val="0"/>
              <w:widowControl/>
              <w:numPr>
                <w:ilvl w:val="0"/>
                <w:numId w:val="9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康复转诊申请</w:t>
            </w:r>
          </w:p>
          <w:p w14:paraId="04647C28">
            <w:pPr>
              <w:pageBreakBefore w:val="0"/>
              <w:widowControl/>
              <w:numPr>
                <w:ilvl w:val="0"/>
                <w:numId w:val="9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患者本次病历查看</w:t>
            </w:r>
          </w:p>
          <w:p w14:paraId="4B446F1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支持查看患者本次转诊病历，包括主诉、诊断、处理意见等</w:t>
            </w:r>
          </w:p>
          <w:p w14:paraId="7CB1A41B">
            <w:pPr>
              <w:pageBreakBefore w:val="0"/>
              <w:widowControl/>
              <w:numPr>
                <w:ilvl w:val="0"/>
                <w:numId w:val="9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床位资源检索</w:t>
            </w:r>
          </w:p>
          <w:p w14:paraId="0D86EB2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支持转出机构查看区域内所有机构的床位资源情况；</w:t>
            </w:r>
          </w:p>
          <w:p w14:paraId="74BBE4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支持按医院、科室进行床位资源筛选</w:t>
            </w:r>
          </w:p>
          <w:p w14:paraId="5ED1659C">
            <w:pPr>
              <w:pageBreakBefore w:val="0"/>
              <w:widowControl/>
              <w:numPr>
                <w:ilvl w:val="0"/>
                <w:numId w:val="9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床位资源预约</w:t>
            </w:r>
          </w:p>
          <w:p w14:paraId="2EA09D4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支持选择病区床管资源后自动填充预约单信息</w:t>
            </w:r>
          </w:p>
          <w:p w14:paraId="4C15CF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支持申请时不指定转入医生，默认由床管人员进行答复</w:t>
            </w:r>
          </w:p>
          <w:p w14:paraId="205ABF7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支持转诊申请时，支持患者健康档案调阅</w:t>
            </w:r>
          </w:p>
          <w:p w14:paraId="708245E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支持转诊答复等待时，提供转入机构的处理状态，如床管医生处理、病区医生处理等；同时支持展示转入机构床管或医生联系电话，便于必要时电话联系；</w:t>
            </w:r>
          </w:p>
          <w:p w14:paraId="70BB113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支持申请单提交后短信提醒转入医院床管人员；支持超过预警最大时长未答复时发送短信给床管负责人。</w:t>
            </w:r>
          </w:p>
          <w:p w14:paraId="6D3A7D8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对于超时未答复的数据，系统进行自动撤销操作，并备注取消原因为“超时自动撤销”</w:t>
            </w:r>
          </w:p>
          <w:p w14:paraId="510BD5D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支持对已经答复同意入院的申请打印转诊申请单和入院须知</w:t>
            </w:r>
          </w:p>
          <w:p w14:paraId="262DCF14">
            <w:pPr>
              <w:pageBreakBefore w:val="0"/>
              <w:widowControl/>
              <w:numPr>
                <w:ilvl w:val="0"/>
                <w:numId w:val="9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指定医生答复</w:t>
            </w:r>
          </w:p>
          <w:p w14:paraId="7936F5C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支持根据需要选择指定的转入医生后提交转诊申请，后续由对应医生进行答复操作</w:t>
            </w:r>
          </w:p>
          <w:p w14:paraId="26CCCE0F">
            <w:pPr>
              <w:pageBreakBefore w:val="0"/>
              <w:widowControl/>
              <w:numPr>
                <w:ilvl w:val="0"/>
                <w:numId w:val="9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未答复前撤销申请</w:t>
            </w:r>
          </w:p>
          <w:p w14:paraId="7296E0B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转入机构未答复前，支持转出医院取消转诊单操作，取消操作时录入取消原因；</w:t>
            </w:r>
          </w:p>
          <w:p w14:paraId="03664FD9">
            <w:pPr>
              <w:pageBreakBefore w:val="0"/>
              <w:widowControl/>
              <w:numPr>
                <w:ilvl w:val="0"/>
                <w:numId w:val="9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已答复未入院前撤销申请</w:t>
            </w:r>
          </w:p>
          <w:p w14:paraId="4412CFA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转入机构答复后，支持转入机构取消住院排队，取消操作时需要录入取消原因；</w:t>
            </w:r>
          </w:p>
          <w:p w14:paraId="4FE649BF">
            <w:pPr>
              <w:pageBreakBefore w:val="0"/>
              <w:widowControl/>
              <w:numPr>
                <w:ilvl w:val="0"/>
                <w:numId w:val="9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查看患者健康档案</w:t>
            </w:r>
          </w:p>
          <w:p w14:paraId="0DAEFB1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支持查看患者健康档案</w:t>
            </w:r>
          </w:p>
          <w:p w14:paraId="121DECA3">
            <w:pPr>
              <w:pageBreakBefore w:val="0"/>
              <w:widowControl/>
              <w:numPr>
                <w:ilvl w:val="0"/>
                <w:numId w:val="9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查看申请单答复结果</w:t>
            </w:r>
          </w:p>
          <w:p w14:paraId="048F64F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支持查看申请单答复结果</w:t>
            </w:r>
          </w:p>
          <w:p w14:paraId="47001F03">
            <w:pPr>
              <w:pageBreakBefore w:val="0"/>
              <w:widowControl/>
              <w:numPr>
                <w:ilvl w:val="0"/>
                <w:numId w:val="9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查看患者入院状态信息</w:t>
            </w:r>
          </w:p>
          <w:p w14:paraId="6B0029C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支持查看患者入院状态信息及发生时间</w:t>
            </w:r>
          </w:p>
          <w:p w14:paraId="1549020C">
            <w:pPr>
              <w:pageBreakBefore w:val="0"/>
              <w:widowControl/>
              <w:numPr>
                <w:ilvl w:val="0"/>
                <w:numId w:val="9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查看患者出院状态信息</w:t>
            </w:r>
          </w:p>
          <w:p w14:paraId="3D84794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支持查看患者出院状态信息及发生时间</w:t>
            </w:r>
          </w:p>
          <w:p w14:paraId="3C717F6A">
            <w:pPr>
              <w:pageBreakBefore w:val="0"/>
              <w:widowControl/>
              <w:numPr>
                <w:ilvl w:val="0"/>
                <w:numId w:val="9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转诊答复列表记录</w:t>
            </w:r>
          </w:p>
          <w:p w14:paraId="00B552E5">
            <w:pPr>
              <w:pageBreakBefore w:val="0"/>
              <w:widowControl/>
              <w:numPr>
                <w:ilvl w:val="0"/>
                <w:numId w:val="10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转诊记录列表查询检索</w:t>
            </w:r>
          </w:p>
          <w:p w14:paraId="69A69E5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支持根据患者姓名、身份证号码、转诊日期等条件进行查询；支持重置查询条件</w:t>
            </w:r>
          </w:p>
          <w:p w14:paraId="03A671C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登录账号自动匹配转入医院医生或床管人员，查询日期默认为当月</w:t>
            </w:r>
          </w:p>
          <w:p w14:paraId="4F5CE66A">
            <w:pPr>
              <w:pageBreakBefore w:val="0"/>
              <w:widowControl/>
              <w:numPr>
                <w:ilvl w:val="0"/>
                <w:numId w:val="10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转诊申请单详情查看</w:t>
            </w:r>
          </w:p>
          <w:p w14:paraId="1336CE9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转诊结果列表展示患者基本信息、转出信息以及答复情况、以及病人状态等</w:t>
            </w:r>
          </w:p>
          <w:p w14:paraId="1E911E2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支持未答复信息和已答复列表分开展示，支持已答复记录自动进入已答复列表</w:t>
            </w:r>
          </w:p>
          <w:p w14:paraId="4E8157C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支持对未答复的转诊预约申请进行答复操作</w:t>
            </w:r>
          </w:p>
          <w:p w14:paraId="65BCAEE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支持对未答复的转诊预约申请进行取消操作，取消操作时录入取消原因；</w:t>
            </w:r>
          </w:p>
          <w:p w14:paraId="5AA563B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支持对已答复同意入院的排队用户进行取消操作，取消操作时录入取消原因；</w:t>
            </w:r>
          </w:p>
          <w:p w14:paraId="52F9524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支持对已答复同意入院的转诊记录进行查看详情</w:t>
            </w:r>
          </w:p>
          <w:p w14:paraId="3D72B5CD">
            <w:pPr>
              <w:pageBreakBefore w:val="0"/>
              <w:widowControl/>
              <w:numPr>
                <w:ilvl w:val="0"/>
                <w:numId w:val="9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住院转诊答复</w:t>
            </w:r>
          </w:p>
          <w:p w14:paraId="54D1FE52">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未答复记录建议转门诊答复</w:t>
            </w:r>
          </w:p>
          <w:p w14:paraId="3CDC4B7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支持建议转门诊答复操作</w:t>
            </w:r>
          </w:p>
          <w:p w14:paraId="4C9A7031">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未答复记录建议留院观察答复</w:t>
            </w:r>
          </w:p>
          <w:p w14:paraId="41BF34B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支持建议留院观察答复操作</w:t>
            </w:r>
          </w:p>
          <w:p w14:paraId="4A323F67">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未答复记录建议同意答复</w:t>
            </w:r>
          </w:p>
          <w:p w14:paraId="748FDFD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支持建议同意入院答复操作</w:t>
            </w:r>
          </w:p>
          <w:p w14:paraId="695463FF">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床管医生答复</w:t>
            </w:r>
          </w:p>
          <w:p w14:paraId="1FB98EE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支持床管医生对转诊单进行审核，并作出相应答复处理；</w:t>
            </w:r>
          </w:p>
          <w:p w14:paraId="6B537E60">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床管医生转医生答复</w:t>
            </w:r>
          </w:p>
          <w:p w14:paraId="5761DBE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提供多级答复，床管中心无法答复时，可转至病区医生做相应答复；</w:t>
            </w:r>
          </w:p>
          <w:p w14:paraId="17F011DA">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床管负责人短信提醒</w:t>
            </w:r>
          </w:p>
          <w:p w14:paraId="5C01AA5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支持未及时答复短信再提醒；支持床管或医生未在规定最长时间内未答复时短信通知分管领导或科室负责人</w:t>
            </w:r>
          </w:p>
          <w:p w14:paraId="78A76811">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健康档案调阅</w:t>
            </w:r>
          </w:p>
          <w:p w14:paraId="0450982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转诊答复时，支持查看患者健康档案</w:t>
            </w:r>
          </w:p>
          <w:p w14:paraId="1F505771">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患者状态变更与his同步</w:t>
            </w:r>
          </w:p>
          <w:p w14:paraId="64BFE88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支持查看排队、入院、出院等状态及各状态的发生时间；支持状态与医院实时同步更新。</w:t>
            </w:r>
          </w:p>
          <w:p w14:paraId="17C4429E">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答复通过短信提醒患者</w:t>
            </w:r>
          </w:p>
          <w:p w14:paraId="446258D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支持转诊答复后通过短信方式提醒患者</w:t>
            </w:r>
          </w:p>
          <w:p w14:paraId="29F484C2">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患者住院信息下发his</w:t>
            </w:r>
          </w:p>
          <w:p w14:paraId="440D4A5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支持转入医院答复通过后患者住院信息自动下发给HIS系统</w:t>
            </w:r>
          </w:p>
          <w:p w14:paraId="59E27B54">
            <w:pPr>
              <w:pageBreakBefore w:val="0"/>
              <w:widowControl/>
              <w:numPr>
                <w:ilvl w:val="0"/>
                <w:numId w:val="10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已答复记录撤销操作</w:t>
            </w:r>
          </w:p>
          <w:p w14:paraId="6CCB150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支持对已答复同意入院的排队用户进行取消操作，取消操作时录入取消原因；</w:t>
            </w:r>
          </w:p>
        </w:tc>
      </w:tr>
      <w:tr w14:paraId="64E4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vMerge w:val="continue"/>
            <w:tcBorders>
              <w:tl2br w:val="nil"/>
              <w:tr2bl w:val="nil"/>
            </w:tcBorders>
            <w:noWrap w:val="0"/>
            <w:vAlign w:val="center"/>
          </w:tcPr>
          <w:p w14:paraId="2AA07DE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4EC586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1C9DCCE0">
            <w:pPr>
              <w:pageBreakBefore w:val="0"/>
              <w:widowControl/>
              <w:numPr>
                <w:ilvl w:val="0"/>
                <w:numId w:val="9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转诊查询</w:t>
            </w:r>
          </w:p>
          <w:p w14:paraId="0EA40E22">
            <w:pPr>
              <w:pageBreakBefore w:val="0"/>
              <w:widowControl/>
              <w:numPr>
                <w:ilvl w:val="0"/>
                <w:numId w:val="10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预约住院明细查看</w:t>
            </w:r>
          </w:p>
          <w:p w14:paraId="66E09AD8">
            <w:pPr>
              <w:pageBreakBefore w:val="0"/>
              <w:widowControl/>
              <w:numPr>
                <w:ilvl w:val="0"/>
                <w:numId w:val="10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转诊明细查看</w:t>
            </w:r>
          </w:p>
          <w:p w14:paraId="718EB96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支持按转诊时间、转出医院、转入医院、患者姓名、患者身份证号、答复结果以及住院状态等条件进行查询</w:t>
            </w:r>
          </w:p>
          <w:p w14:paraId="4E087CE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支持查询结果以列表形式展示，主要包括患者基本信息、转出信息以及答复情况、以及住院状态等</w:t>
            </w:r>
          </w:p>
          <w:p w14:paraId="505F21AF">
            <w:pPr>
              <w:pageBreakBefore w:val="0"/>
              <w:widowControl/>
              <w:numPr>
                <w:ilvl w:val="0"/>
                <w:numId w:val="10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转诊申请信息详情查看</w:t>
            </w:r>
          </w:p>
          <w:p w14:paraId="59C5202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支持转诊单详细查看以及各状态的发生时间，支持状态与医院实时同步</w:t>
            </w:r>
          </w:p>
          <w:p w14:paraId="2D2680A4">
            <w:pPr>
              <w:pageBreakBefore w:val="0"/>
              <w:widowControl/>
              <w:numPr>
                <w:ilvl w:val="0"/>
                <w:numId w:val="10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转诊答复信息详情查看</w:t>
            </w:r>
          </w:p>
          <w:p w14:paraId="115032D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支持对转诊答复信息详情查看，包括答复意见、答复内容等</w:t>
            </w:r>
          </w:p>
          <w:p w14:paraId="55D60B57">
            <w:pPr>
              <w:pageBreakBefore w:val="0"/>
              <w:widowControl/>
              <w:numPr>
                <w:ilvl w:val="0"/>
                <w:numId w:val="10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入院转诊单打印</w:t>
            </w:r>
          </w:p>
          <w:p w14:paraId="36BAEAA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支持对同意入院的转诊打印转诊申请单</w:t>
            </w:r>
          </w:p>
          <w:p w14:paraId="310EBADF">
            <w:pPr>
              <w:pageBreakBefore w:val="0"/>
              <w:widowControl/>
              <w:numPr>
                <w:ilvl w:val="0"/>
                <w:numId w:val="10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入院须知打印</w:t>
            </w:r>
          </w:p>
          <w:p w14:paraId="7012345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支持对同意入院的转诊打印入院转诊须知单</w:t>
            </w:r>
          </w:p>
        </w:tc>
      </w:tr>
      <w:tr w14:paraId="07212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754" w:type="dxa"/>
            <w:vMerge w:val="continue"/>
            <w:tcBorders>
              <w:tl2br w:val="nil"/>
              <w:tr2bl w:val="nil"/>
            </w:tcBorders>
            <w:noWrap w:val="0"/>
            <w:vAlign w:val="center"/>
          </w:tcPr>
          <w:p w14:paraId="37910D9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6F82177">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2FE11E3D">
            <w:pPr>
              <w:pageBreakBefore w:val="0"/>
              <w:widowControl/>
              <w:numPr>
                <w:ilvl w:val="0"/>
                <w:numId w:val="9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统计报表</w:t>
            </w:r>
          </w:p>
          <w:p w14:paraId="6DB24794">
            <w:pPr>
              <w:widowControl/>
              <w:numPr>
                <w:ilvl w:val="0"/>
                <w:numId w:val="104"/>
              </w:numPr>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住院转诊数量和趋势统计分析</w:t>
            </w:r>
          </w:p>
          <w:p w14:paraId="31C08E23">
            <w:pPr>
              <w:widowControl/>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支持按转诊时间、医院名称进行查询统计，默认统计含当天在内32天的数据</w:t>
            </w:r>
          </w:p>
          <w:p w14:paraId="3EBA887F">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支持时间粒度按月、季度、半年、年展示各医院转入总量和转出总量</w:t>
            </w:r>
          </w:p>
          <w:p w14:paraId="49F27BA9">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支持以柱状图展示各医院的转诊总量，包括转入总量、转出总量</w:t>
            </w:r>
          </w:p>
          <w:p w14:paraId="484090B8">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支持以折线图展示各医院的住院转诊趋势</w:t>
            </w:r>
          </w:p>
          <w:p w14:paraId="358F5BD8">
            <w:pPr>
              <w:pageBreakBefore w:val="0"/>
              <w:widowControl/>
              <w:numPr>
                <w:ilvl w:val="0"/>
                <w:numId w:val="10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住院转诊答复率统计</w:t>
            </w:r>
          </w:p>
          <w:p w14:paraId="29E84E17">
            <w:pPr>
              <w:pageBreakBefore w:val="0"/>
              <w:widowControl/>
              <w:numPr>
                <w:ilvl w:val="0"/>
                <w:numId w:val="10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预约转诊答复情况统计</w:t>
            </w:r>
          </w:p>
          <w:p w14:paraId="139558D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支持预约转诊答复情况统计，包括预约转诊单申请总数、预约转诊单申请通过数、预约转诊单申请通过率</w:t>
            </w:r>
          </w:p>
          <w:p w14:paraId="4E23FD21">
            <w:pPr>
              <w:pageBreakBefore w:val="0"/>
              <w:widowControl/>
              <w:numPr>
                <w:ilvl w:val="0"/>
                <w:numId w:val="10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接收转诊答复情况统计</w:t>
            </w:r>
          </w:p>
          <w:p w14:paraId="440C974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支持接收转诊答复情况统计，包括预约转诊单接收总数、预约转诊单接收通过数、预约转诊单接收通过率</w:t>
            </w:r>
          </w:p>
          <w:p w14:paraId="578C5058">
            <w:pPr>
              <w:pageBreakBefore w:val="0"/>
              <w:widowControl/>
              <w:numPr>
                <w:ilvl w:val="0"/>
                <w:numId w:val="10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转诊答复超时统计</w:t>
            </w:r>
          </w:p>
          <w:p w14:paraId="24250720">
            <w:pPr>
              <w:pageBreakBefore w:val="0"/>
              <w:widowControl/>
              <w:numPr>
                <w:ilvl w:val="0"/>
                <w:numId w:val="10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申请单答复超时统计</w:t>
            </w:r>
          </w:p>
          <w:p w14:paraId="181E522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支持申请单答复超时统计，包括预约转诊单申请总数、预约转诊单申请答复超时数、预约转诊单申请答复超时率</w:t>
            </w:r>
          </w:p>
          <w:p w14:paraId="72ECE92A">
            <w:pPr>
              <w:pageBreakBefore w:val="0"/>
              <w:widowControl/>
              <w:numPr>
                <w:ilvl w:val="0"/>
                <w:numId w:val="10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接收单答复超时统计</w:t>
            </w:r>
          </w:p>
          <w:p w14:paraId="2382ECA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支持接收单答复超时统计，包括预约转诊接收答复总数、预约转诊单接收答复超时数、预约转诊单接收答复超时率</w:t>
            </w:r>
          </w:p>
          <w:p w14:paraId="0A73CB6F">
            <w:pPr>
              <w:pageBreakBefore w:val="0"/>
              <w:widowControl/>
              <w:numPr>
                <w:ilvl w:val="0"/>
                <w:numId w:val="10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入院等待时间统计</w:t>
            </w:r>
          </w:p>
          <w:p w14:paraId="4FF8115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支持按转诊时间、医院名称进行查询统计，默认统计含当天在内32天的数据</w:t>
            </w:r>
          </w:p>
          <w:p w14:paraId="74BEA72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支持以表格形式展示各医院的入院转诊总人数、入院转诊总等待时间、平均入院等待时间</w:t>
            </w:r>
          </w:p>
          <w:p w14:paraId="1B2DD9E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支持点开平均入院等待时间，查看具体每个患者的转诊等待时间</w:t>
            </w:r>
          </w:p>
          <w:p w14:paraId="67838719">
            <w:pPr>
              <w:pageBreakBefore w:val="0"/>
              <w:widowControl/>
              <w:numPr>
                <w:ilvl w:val="0"/>
                <w:numId w:val="10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转诊分类及占比统计</w:t>
            </w:r>
          </w:p>
          <w:p w14:paraId="204EC88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支持转诊科室占比统计</w:t>
            </w:r>
          </w:p>
          <w:p w14:paraId="307F4D3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支持转诊疾病占比统计</w:t>
            </w:r>
          </w:p>
          <w:p w14:paraId="761213C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支持转诊年龄占比统计</w:t>
            </w:r>
          </w:p>
          <w:p w14:paraId="5AE9B0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支持转诊机构占比统计</w:t>
            </w:r>
          </w:p>
          <w:p w14:paraId="5F92F45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支持转诊履约占比统计</w:t>
            </w:r>
          </w:p>
        </w:tc>
      </w:tr>
      <w:tr w14:paraId="526B6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vMerge w:val="restart"/>
            <w:tcBorders>
              <w:tl2br w:val="nil"/>
              <w:tr2bl w:val="nil"/>
            </w:tcBorders>
            <w:noWrap w:val="0"/>
            <w:vAlign w:val="center"/>
          </w:tcPr>
          <w:p w14:paraId="4ED45AF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c>
          <w:tcPr>
            <w:tcW w:w="754" w:type="dxa"/>
            <w:vMerge w:val="restart"/>
            <w:tcBorders>
              <w:tl2br w:val="nil"/>
              <w:tr2bl w:val="nil"/>
            </w:tcBorders>
            <w:noWrap w:val="0"/>
            <w:vAlign w:val="center"/>
          </w:tcPr>
          <w:p w14:paraId="04EDC7FE">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检查协同（改造）</w:t>
            </w:r>
          </w:p>
        </w:tc>
        <w:tc>
          <w:tcPr>
            <w:tcW w:w="7085" w:type="dxa"/>
            <w:tcBorders>
              <w:tl2br w:val="nil"/>
              <w:tr2bl w:val="nil"/>
            </w:tcBorders>
            <w:noWrap w:val="0"/>
            <w:vAlign w:val="center"/>
          </w:tcPr>
          <w:p w14:paraId="61409CCB">
            <w:pPr>
              <w:pageBreakBefore w:val="0"/>
              <w:widowControl/>
              <w:numPr>
                <w:ilvl w:val="0"/>
                <w:numId w:val="10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预约检查</w:t>
            </w:r>
          </w:p>
          <w:p w14:paraId="0A88B27A">
            <w:pPr>
              <w:pageBreakBefore w:val="0"/>
              <w:widowControl/>
              <w:kinsoku/>
              <w:wordWrap/>
              <w:overflowPunct/>
              <w:topLinePunct w:val="0"/>
              <w:autoSpaceDE/>
              <w:autoSpaceDN/>
              <w:bidi w:val="0"/>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1.预约检查协同</w:t>
            </w:r>
          </w:p>
          <w:p w14:paraId="07F31E2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支持查看患者本次转诊病历，包括主诉、诊断、处理意见等</w:t>
            </w:r>
          </w:p>
          <w:p w14:paraId="00B919A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支持新增检查申请单、支持查看申请单详细信息</w:t>
            </w:r>
          </w:p>
          <w:p w14:paraId="550F3A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支持根据检查申请单进行预约，生成检查预约单</w:t>
            </w:r>
          </w:p>
          <w:p w14:paraId="30D02F0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支持调阅患者360 查看患者历史诊疗记录</w:t>
            </w:r>
          </w:p>
          <w:p w14:paraId="109332B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支持预约成功后将预约信息发送短信至患者手机端进行提醒</w:t>
            </w:r>
          </w:p>
          <w:p w14:paraId="028673C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支持预约成功后进行支付，支持线上支付和线下到院支付</w:t>
            </w:r>
          </w:p>
          <w:p w14:paraId="0B71080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支持对接医院现有的检查预约业务</w:t>
            </w:r>
          </w:p>
          <w:p w14:paraId="5477E95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支持当选中组合项目A后自动选中绑定项目B</w:t>
            </w:r>
          </w:p>
          <w:p w14:paraId="2C925F58">
            <w:pPr>
              <w:pageBreakBefore w:val="0"/>
              <w:widowControl/>
              <w:kinsoku/>
              <w:wordWrap/>
              <w:overflowPunct/>
              <w:topLinePunct w:val="0"/>
              <w:autoSpaceDE/>
              <w:autoSpaceDN/>
              <w:bidi w:val="0"/>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支持选中冲突项目A后，，选中冲突项目B时进行提醒</w:t>
            </w:r>
          </w:p>
          <w:p w14:paraId="13790E38">
            <w:pPr>
              <w:pageBreakBefore w:val="0"/>
              <w:widowControl/>
              <w:kinsoku/>
              <w:wordWrap/>
              <w:overflowPunct/>
              <w:topLinePunct w:val="0"/>
              <w:autoSpaceDE/>
              <w:autoSpaceDN/>
              <w:bidi w:val="0"/>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2.号源预约</w:t>
            </w:r>
          </w:p>
          <w:p w14:paraId="0A3705B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支持根据患者申请的检查项目进行时间段号源的预约</w:t>
            </w:r>
          </w:p>
          <w:p w14:paraId="7FFEE90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支持申请号源后取消预约</w:t>
            </w:r>
          </w:p>
        </w:tc>
      </w:tr>
      <w:tr w14:paraId="00790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754" w:type="dxa"/>
            <w:vMerge w:val="continue"/>
            <w:tcBorders>
              <w:tl2br w:val="nil"/>
              <w:tr2bl w:val="nil"/>
            </w:tcBorders>
            <w:noWrap w:val="0"/>
            <w:vAlign w:val="center"/>
          </w:tcPr>
          <w:p w14:paraId="6F2FA04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68282F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67D69873">
            <w:pPr>
              <w:pageBreakBefore w:val="0"/>
              <w:widowControl/>
              <w:numPr>
                <w:ilvl w:val="0"/>
                <w:numId w:val="10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预约管理</w:t>
            </w:r>
          </w:p>
          <w:p w14:paraId="12A4F061">
            <w:pPr>
              <w:pageBreakBefore w:val="0"/>
              <w:widowControl/>
              <w:kinsoku/>
              <w:wordWrap/>
              <w:overflowPunct/>
              <w:topLinePunct w:val="0"/>
              <w:autoSpaceDE/>
              <w:autoSpaceDN/>
              <w:bidi w:val="0"/>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1.转出检查查询管理</w:t>
            </w:r>
          </w:p>
          <w:p w14:paraId="1957AB8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支持查看患者信息列表</w:t>
            </w:r>
          </w:p>
          <w:p w14:paraId="1247D7AB">
            <w:pPr>
              <w:pageBreakBefore w:val="0"/>
              <w:widowControl/>
              <w:kinsoku/>
              <w:wordWrap/>
              <w:overflowPunct/>
              <w:topLinePunct w:val="0"/>
              <w:autoSpaceDE/>
              <w:autoSpaceDN/>
              <w:bidi w:val="0"/>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2.转入检查查询管理</w:t>
            </w:r>
          </w:p>
          <w:p w14:paraId="6A6BE84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支持查看患者信息列表</w:t>
            </w:r>
          </w:p>
          <w:p w14:paraId="13219EAA">
            <w:pPr>
              <w:pageBreakBefore w:val="0"/>
              <w:widowControl/>
              <w:kinsoku/>
              <w:wordWrap/>
              <w:overflowPunct/>
              <w:topLinePunct w:val="0"/>
              <w:autoSpaceDE/>
              <w:autoSpaceDN/>
              <w:bidi w:val="0"/>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3.检查预约查询管理</w:t>
            </w:r>
          </w:p>
          <w:p w14:paraId="60EE184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支持查看患者信息列表</w:t>
            </w:r>
          </w:p>
          <w:p w14:paraId="49ABEE7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支持将患者转诊单打印出来</w:t>
            </w:r>
          </w:p>
          <w:p w14:paraId="3E1FF9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支持查看患者转诊单详情</w:t>
            </w:r>
          </w:p>
          <w:p w14:paraId="11F31C1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支持重新给患者发送短信</w:t>
            </w:r>
          </w:p>
        </w:tc>
      </w:tr>
      <w:tr w14:paraId="3B4A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7" w:hRule="atLeast"/>
        </w:trPr>
        <w:tc>
          <w:tcPr>
            <w:tcW w:w="754" w:type="dxa"/>
            <w:vMerge w:val="continue"/>
            <w:tcBorders>
              <w:tl2br w:val="nil"/>
              <w:tr2bl w:val="nil"/>
            </w:tcBorders>
            <w:noWrap w:val="0"/>
            <w:vAlign w:val="center"/>
          </w:tcPr>
          <w:p w14:paraId="304552B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FD4085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3DB36CF5">
            <w:pPr>
              <w:pageBreakBefore w:val="0"/>
              <w:widowControl/>
              <w:numPr>
                <w:ilvl w:val="0"/>
                <w:numId w:val="10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系统管理</w:t>
            </w:r>
          </w:p>
          <w:p w14:paraId="4DBD045B">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检查科室管理</w:t>
            </w:r>
          </w:p>
          <w:p w14:paraId="1F12C94E">
            <w:pPr>
              <w:pageBreakBefore w:val="0"/>
              <w:widowControl/>
              <w:numPr>
                <w:ilvl w:val="0"/>
                <w:numId w:val="10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科室信息维护</w:t>
            </w:r>
          </w:p>
          <w:p w14:paraId="5E8CF3E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支持维护检查科室基本信息</w:t>
            </w:r>
          </w:p>
          <w:p w14:paraId="4CDA5103">
            <w:pPr>
              <w:pageBreakBefore w:val="0"/>
              <w:widowControl/>
              <w:numPr>
                <w:ilvl w:val="0"/>
                <w:numId w:val="109"/>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检查类型匹配</w:t>
            </w:r>
          </w:p>
          <w:p w14:paraId="42E9B8F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支持检查科室与机构和检查类型进行对应</w:t>
            </w:r>
          </w:p>
          <w:p w14:paraId="4233E0D5">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时令设置</w:t>
            </w:r>
          </w:p>
          <w:p w14:paraId="6BD7FCC9">
            <w:pPr>
              <w:pageBreakBefore w:val="0"/>
              <w:widowControl/>
              <w:numPr>
                <w:ilvl w:val="0"/>
                <w:numId w:val="11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时令信息维护</w:t>
            </w:r>
          </w:p>
          <w:p w14:paraId="37E36AB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提供时令的基本信息设置；</w:t>
            </w:r>
          </w:p>
          <w:p w14:paraId="41E0C9E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支持时令按日期起始范围进行设置</w:t>
            </w:r>
          </w:p>
          <w:p w14:paraId="22FDF28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支持平台上直接新增时令管理；</w:t>
            </w:r>
          </w:p>
          <w:p w14:paraId="14C856D1">
            <w:pPr>
              <w:pageBreakBefore w:val="0"/>
              <w:widowControl/>
              <w:numPr>
                <w:ilvl w:val="0"/>
                <w:numId w:val="11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班次信息维护</w:t>
            </w:r>
          </w:p>
          <w:p w14:paraId="55D1E03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支持为时令增加班次信息</w:t>
            </w:r>
          </w:p>
          <w:p w14:paraId="73E70B17">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检查资源管理</w:t>
            </w:r>
          </w:p>
          <w:p w14:paraId="1CFEFF85">
            <w:pPr>
              <w:pageBreakBefore w:val="0"/>
              <w:widowControl/>
              <w:numPr>
                <w:ilvl w:val="0"/>
                <w:numId w:val="11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检查信息维护</w:t>
            </w:r>
          </w:p>
          <w:p w14:paraId="0300FF4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支持平台上直接新增检查资源进行维护；</w:t>
            </w:r>
          </w:p>
          <w:p w14:paraId="0491760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支持检查资源和医院进行关联；</w:t>
            </w:r>
          </w:p>
          <w:p w14:paraId="304420B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提供检查资源的基本信息设置</w:t>
            </w:r>
          </w:p>
          <w:p w14:paraId="76A31925">
            <w:pPr>
              <w:pageBreakBefore w:val="0"/>
              <w:widowControl/>
              <w:numPr>
                <w:ilvl w:val="0"/>
                <w:numId w:val="11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检查类型匹配</w:t>
            </w:r>
          </w:p>
          <w:p w14:paraId="2E58C75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支持检查类型的匹配，和基础字典中设置的检查类型进行关联匹配</w:t>
            </w:r>
          </w:p>
          <w:p w14:paraId="77608AAC">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排班明细</w:t>
            </w:r>
          </w:p>
          <w:p w14:paraId="5BF3DB6B">
            <w:pPr>
              <w:pageBreakBefore w:val="0"/>
              <w:widowControl/>
              <w:numPr>
                <w:ilvl w:val="0"/>
                <w:numId w:val="11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排班信息展示</w:t>
            </w:r>
          </w:p>
          <w:p w14:paraId="0CDC887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支持按排班日期、机构、检查类型查看相应的资源排班情况</w:t>
            </w:r>
          </w:p>
          <w:p w14:paraId="275AEA0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支持查看排班资源的开放号源数和已约号源数</w:t>
            </w:r>
          </w:p>
          <w:p w14:paraId="4BF53103">
            <w:pPr>
              <w:pageBreakBefore w:val="0"/>
              <w:widowControl/>
              <w:numPr>
                <w:ilvl w:val="0"/>
                <w:numId w:val="11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预约状态区分</w:t>
            </w:r>
          </w:p>
          <w:p w14:paraId="11D44A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支持不同时间段状态的展示，部分预约、预约已满、停用等</w:t>
            </w:r>
          </w:p>
          <w:p w14:paraId="669578A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支持按资源查看排班时间明细，支持按日期查看排班资源明细</w:t>
            </w:r>
          </w:p>
          <w:p w14:paraId="62A147E5">
            <w:pPr>
              <w:pageBreakBefore w:val="0"/>
              <w:widowControl/>
              <w:numPr>
                <w:ilvl w:val="0"/>
                <w:numId w:val="11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资源排班对比</w:t>
            </w:r>
          </w:p>
          <w:p w14:paraId="769A081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支持同检查类型开放资源的排班时间对比</w:t>
            </w:r>
          </w:p>
          <w:p w14:paraId="50F6EE07">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排班模板管理</w:t>
            </w:r>
          </w:p>
          <w:p w14:paraId="2934E734">
            <w:pPr>
              <w:pageBreakBefore w:val="0"/>
              <w:widowControl/>
              <w:numPr>
                <w:ilvl w:val="0"/>
                <w:numId w:val="11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排班模板维护</w:t>
            </w:r>
          </w:p>
          <w:p w14:paraId="7A2E0DF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支持平台上直接新增排班模板管理；</w:t>
            </w:r>
          </w:p>
          <w:p w14:paraId="72B5B9F1">
            <w:pPr>
              <w:pageBreakBefore w:val="0"/>
              <w:widowControl/>
              <w:numPr>
                <w:ilvl w:val="0"/>
                <w:numId w:val="11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模板时间段维护</w:t>
            </w:r>
          </w:p>
          <w:p w14:paraId="1DFA475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支持对排班模板进行分时段维护，修改时间和预约数量、</w:t>
            </w:r>
          </w:p>
          <w:p w14:paraId="37A6C334">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排班管理</w:t>
            </w:r>
          </w:p>
          <w:p w14:paraId="03C84873">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排班信息维护</w:t>
            </w:r>
          </w:p>
          <w:p w14:paraId="31C7F8E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支持平台上直接新增排班管理；</w:t>
            </w:r>
          </w:p>
          <w:p w14:paraId="59F0130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支持资源排班时间段的新增、发布、修改、删除、停用等操作</w:t>
            </w:r>
          </w:p>
          <w:p w14:paraId="1C6F3A31">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临时排班管理</w:t>
            </w:r>
          </w:p>
          <w:p w14:paraId="7D8A3F6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支持新增临时排班，用于替代相应日期的正式排班信息</w:t>
            </w:r>
          </w:p>
          <w:p w14:paraId="41120CBA">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排班时间段维护</w:t>
            </w:r>
          </w:p>
          <w:p w14:paraId="3FBD6FB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支持设置班次的排班时间段间隔，每个间隔有多少个号源</w:t>
            </w:r>
          </w:p>
          <w:p w14:paraId="7D7435C6">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号源数量维护</w:t>
            </w:r>
          </w:p>
          <w:p w14:paraId="605E63B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支持检查资源设置，检查号源和检查资源的关联</w:t>
            </w:r>
          </w:p>
          <w:p w14:paraId="1B67386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支持查看排班情况的已预约数</w:t>
            </w:r>
          </w:p>
          <w:p w14:paraId="64464D0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支持新增排班后直接发布排班</w:t>
            </w:r>
          </w:p>
          <w:p w14:paraId="7210D567">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排班另存为模板</w:t>
            </w:r>
          </w:p>
          <w:p w14:paraId="3772E01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支持选中排班情况直接另存为模板</w:t>
            </w:r>
          </w:p>
          <w:p w14:paraId="54534563">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排班复制新增</w:t>
            </w:r>
          </w:p>
          <w:p w14:paraId="40BA604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支持选中排班支持复制新增</w:t>
            </w:r>
          </w:p>
          <w:p w14:paraId="063EE761">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模板导入维护</w:t>
            </w:r>
          </w:p>
          <w:p w14:paraId="38A4D0E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支持针对具体班次设置号源可预约机构</w:t>
            </w:r>
          </w:p>
          <w:p w14:paraId="03F56332">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排班开放机构维护</w:t>
            </w:r>
          </w:p>
          <w:p w14:paraId="499F635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支持导入排班模板直接使用模板进行新增</w:t>
            </w:r>
          </w:p>
          <w:p w14:paraId="3F40C5B9">
            <w:pPr>
              <w:pageBreakBefore w:val="0"/>
              <w:widowControl/>
              <w:numPr>
                <w:ilvl w:val="0"/>
                <w:numId w:val="114"/>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自动排班管理</w:t>
            </w:r>
          </w:p>
          <w:p w14:paraId="753A1BB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支持设置自动排班</w:t>
            </w:r>
          </w:p>
          <w:p w14:paraId="3D43B41D">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预约规则管理</w:t>
            </w:r>
          </w:p>
          <w:p w14:paraId="57140CF3">
            <w:pPr>
              <w:pageBreakBefore w:val="0"/>
              <w:widowControl/>
              <w:numPr>
                <w:ilvl w:val="0"/>
                <w:numId w:val="11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预约规则维护</w:t>
            </w:r>
          </w:p>
          <w:p w14:paraId="05D6E4E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支持平台上直接新增预约规则管理；</w:t>
            </w:r>
          </w:p>
          <w:p w14:paraId="6B48C01A">
            <w:pPr>
              <w:pageBreakBefore w:val="0"/>
              <w:widowControl/>
              <w:numPr>
                <w:ilvl w:val="0"/>
                <w:numId w:val="11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检查项目绑定资源</w:t>
            </w:r>
          </w:p>
          <w:p w14:paraId="7CD7BC7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支持检查项目的关联设置</w:t>
            </w:r>
          </w:p>
          <w:p w14:paraId="5A4C3851">
            <w:pPr>
              <w:pageBreakBefore w:val="0"/>
              <w:widowControl/>
              <w:numPr>
                <w:ilvl w:val="0"/>
                <w:numId w:val="11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项目冲突时间管理</w:t>
            </w:r>
          </w:p>
          <w:p w14:paraId="015300F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支持同一检查项目下不同检查项目的互斥设置；</w:t>
            </w:r>
          </w:p>
          <w:p w14:paraId="4C2DD609">
            <w:pPr>
              <w:pageBreakBefore w:val="0"/>
              <w:widowControl/>
              <w:numPr>
                <w:ilvl w:val="0"/>
                <w:numId w:val="11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资源预约来源管理</w:t>
            </w:r>
          </w:p>
          <w:p w14:paraId="3E9BD9A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支持设置资源的预约来源，允许本院、跨院区、跨机构预约设置</w:t>
            </w:r>
          </w:p>
          <w:p w14:paraId="29E31C55">
            <w:pPr>
              <w:pageBreakBefore w:val="0"/>
              <w:widowControl/>
              <w:numPr>
                <w:ilvl w:val="0"/>
                <w:numId w:val="10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预约范围</w:t>
            </w:r>
          </w:p>
          <w:p w14:paraId="11CB231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支持设置机构在本院、跨院区、跨机构的情况下，支持门诊和住院两个途径的预约设置</w:t>
            </w:r>
          </w:p>
        </w:tc>
      </w:tr>
      <w:tr w14:paraId="1D819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54" w:type="dxa"/>
            <w:vMerge w:val="continue"/>
            <w:tcBorders>
              <w:tl2br w:val="nil"/>
              <w:tr2bl w:val="nil"/>
            </w:tcBorders>
            <w:noWrap w:val="0"/>
            <w:vAlign w:val="center"/>
          </w:tcPr>
          <w:p w14:paraId="2C1836E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7E2B93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525F06FC">
            <w:pPr>
              <w:pageBreakBefore w:val="0"/>
              <w:widowControl/>
              <w:numPr>
                <w:ilvl w:val="0"/>
                <w:numId w:val="10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统计分析</w:t>
            </w:r>
          </w:p>
          <w:p w14:paraId="717D6AB8">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1.预约情况查询统计</w:t>
            </w:r>
          </w:p>
          <w:p w14:paraId="74059168">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2.医生预约情况查询统计</w:t>
            </w:r>
          </w:p>
          <w:p w14:paraId="36F518D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3.协同分类及占比统计</w:t>
            </w:r>
          </w:p>
        </w:tc>
      </w:tr>
      <w:tr w14:paraId="24A74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754" w:type="dxa"/>
            <w:vMerge w:val="restart"/>
            <w:tcBorders>
              <w:tl2br w:val="nil"/>
              <w:tr2bl w:val="nil"/>
            </w:tcBorders>
            <w:noWrap w:val="0"/>
            <w:vAlign w:val="center"/>
          </w:tcPr>
          <w:p w14:paraId="7E260923">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w:t>
            </w:r>
          </w:p>
        </w:tc>
        <w:tc>
          <w:tcPr>
            <w:tcW w:w="754" w:type="dxa"/>
            <w:vMerge w:val="restart"/>
            <w:tcBorders>
              <w:tl2br w:val="nil"/>
              <w:tr2bl w:val="nil"/>
            </w:tcBorders>
            <w:noWrap w:val="0"/>
            <w:vAlign w:val="center"/>
          </w:tcPr>
          <w:p w14:paraId="1839BEB4">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出院随访（改造）</w:t>
            </w:r>
          </w:p>
        </w:tc>
        <w:tc>
          <w:tcPr>
            <w:tcW w:w="7085" w:type="dxa"/>
            <w:tcBorders>
              <w:tl2br w:val="nil"/>
              <w:tr2bl w:val="nil"/>
            </w:tcBorders>
            <w:noWrap w:val="0"/>
            <w:vAlign w:val="center"/>
          </w:tcPr>
          <w:p w14:paraId="2FD5DEA0">
            <w:pPr>
              <w:pageBreakBefore w:val="0"/>
              <w:widowControl/>
              <w:numPr>
                <w:ilvl w:val="0"/>
                <w:numId w:val="11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基础管理</w:t>
            </w:r>
          </w:p>
          <w:p w14:paraId="4B7F4865">
            <w:pPr>
              <w:pageBreakBefore w:val="0"/>
              <w:widowControl/>
              <w:numPr>
                <w:ilvl w:val="0"/>
                <w:numId w:val="11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随访配置管理</w:t>
            </w:r>
          </w:p>
          <w:p w14:paraId="14A21A2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支持根据医院编号、医院名称、是否开放出院随访、是否允许转入进行查询</w:t>
            </w:r>
          </w:p>
          <w:p w14:paraId="652B729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支持配置签约患者是否自动下发</w:t>
            </w:r>
          </w:p>
          <w:p w14:paraId="1CA3C2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支持配置建档患者是否自动下发</w:t>
            </w:r>
          </w:p>
          <w:p w14:paraId="7D4B73F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支持配置院内患者是否自动下发</w:t>
            </w:r>
          </w:p>
          <w:p w14:paraId="60DF93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支持设置三种自动随访方式的优先级，在开启多个方式的时候，根据患者符合情况以及优先级确认随访模式</w:t>
            </w:r>
          </w:p>
          <w:p w14:paraId="2989483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支持配置自动下发规则</w:t>
            </w:r>
          </w:p>
          <w:p w14:paraId="3A848F3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支持配置下转/接收状态</w:t>
            </w:r>
          </w:p>
          <w:p w14:paraId="108CDE5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支持配置机构是否自动接收</w:t>
            </w:r>
          </w:p>
          <w:p w14:paraId="6B6943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支持配置失访失效</w:t>
            </w:r>
          </w:p>
          <w:p w14:paraId="0D948ED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支持对各机构设置随访负责人；支持对随访负责人进行手机号、是否启用等信息维护</w:t>
            </w:r>
          </w:p>
          <w:p w14:paraId="1AF59A08">
            <w:pPr>
              <w:pageBreakBefore w:val="0"/>
              <w:widowControl/>
              <w:numPr>
                <w:ilvl w:val="0"/>
                <w:numId w:val="11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问卷管理</w:t>
            </w:r>
          </w:p>
          <w:p w14:paraId="4CF20D58">
            <w:pPr>
              <w:pageBreakBefore w:val="0"/>
              <w:widowControl/>
              <w:numPr>
                <w:ilvl w:val="0"/>
                <w:numId w:val="11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问卷数据筛选</w:t>
            </w:r>
          </w:p>
          <w:p w14:paraId="7AEF32E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支持按问卷名称、问卷类型、创建时间、科室进行检索；支持类型、创建时间排序</w:t>
            </w:r>
          </w:p>
          <w:p w14:paraId="6EB9C56C">
            <w:pPr>
              <w:pageBreakBefore w:val="0"/>
              <w:widowControl/>
              <w:numPr>
                <w:ilvl w:val="0"/>
                <w:numId w:val="11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问卷信息维护</w:t>
            </w:r>
          </w:p>
          <w:p w14:paraId="2313F8A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支持新增维护问卷基本信息、问卷题目信息；支持问卷关联科室</w:t>
            </w:r>
          </w:p>
          <w:p w14:paraId="169B0227">
            <w:pPr>
              <w:pageBreakBefore w:val="0"/>
              <w:widowControl/>
              <w:numPr>
                <w:ilvl w:val="0"/>
                <w:numId w:val="11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机构通用问卷配置</w:t>
            </w:r>
          </w:p>
          <w:p w14:paraId="38EB6ED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支持配置机构通用问卷</w:t>
            </w:r>
          </w:p>
          <w:p w14:paraId="2309E4CE">
            <w:pPr>
              <w:pageBreakBefore w:val="0"/>
              <w:widowControl/>
              <w:numPr>
                <w:ilvl w:val="0"/>
                <w:numId w:val="11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科室通用问卷配置</w:t>
            </w:r>
          </w:p>
          <w:p w14:paraId="1F1476F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支持配置科室通用问卷</w:t>
            </w:r>
          </w:p>
          <w:p w14:paraId="2F5DD60A">
            <w:pPr>
              <w:pageBreakBefore w:val="0"/>
              <w:widowControl/>
              <w:numPr>
                <w:ilvl w:val="0"/>
                <w:numId w:val="11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问卷题型配置</w:t>
            </w:r>
          </w:p>
          <w:p w14:paraId="4DF3F30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支持制定随访问卷，题型：单选、矩阵单选、多选、判断、填空、多选补充、单选补充等</w:t>
            </w:r>
          </w:p>
          <w:p w14:paraId="5782FE45">
            <w:pPr>
              <w:pageBreakBefore w:val="0"/>
              <w:widowControl/>
              <w:numPr>
                <w:ilvl w:val="0"/>
                <w:numId w:val="11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问卷维护题库引入</w:t>
            </w:r>
          </w:p>
          <w:p w14:paraId="595E38A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支持管理题库，将问题加入题库；支持题库问题直接引入当前问卷</w:t>
            </w:r>
          </w:p>
          <w:p w14:paraId="12DE26CA">
            <w:pPr>
              <w:pageBreakBefore w:val="0"/>
              <w:widowControl/>
              <w:numPr>
                <w:ilvl w:val="0"/>
                <w:numId w:val="118"/>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问卷题目分数配置</w:t>
            </w:r>
          </w:p>
          <w:p w14:paraId="3ED960A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支持为题目设置分值，支持设置问题提示</w:t>
            </w:r>
          </w:p>
          <w:p w14:paraId="72FBD7F4">
            <w:pPr>
              <w:pageBreakBefore w:val="0"/>
              <w:widowControl/>
              <w:numPr>
                <w:ilvl w:val="0"/>
                <w:numId w:val="11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随访规则配置</w:t>
            </w:r>
          </w:p>
          <w:p w14:paraId="0C4D865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支持按名称、周期随访类型进行检索</w:t>
            </w:r>
          </w:p>
          <w:p w14:paraId="7CBFDD7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支持用户自定义配置随访周期</w:t>
            </w:r>
          </w:p>
          <w:p w14:paraId="6F217AA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支持每星期、每半个月、每月、每三个月、每半年来配置固定周期</w:t>
            </w:r>
          </w:p>
          <w:p w14:paraId="0F0AEF57">
            <w:pPr>
              <w:pageBreakBefore w:val="0"/>
              <w:widowControl/>
              <w:numPr>
                <w:ilvl w:val="0"/>
                <w:numId w:val="11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题库管理</w:t>
            </w:r>
          </w:p>
          <w:p w14:paraId="758A21B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支持添加题库集合</w:t>
            </w:r>
          </w:p>
          <w:p w14:paraId="7EB5B46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支持在题库中直接新增题目，以及维护操作</w:t>
            </w:r>
          </w:p>
          <w:p w14:paraId="337F1867">
            <w:pPr>
              <w:pageBreakBefore w:val="0"/>
              <w:widowControl/>
              <w:numPr>
                <w:ilvl w:val="0"/>
                <w:numId w:val="11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问卷分类管理</w:t>
            </w:r>
          </w:p>
          <w:p w14:paraId="027162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支持按分类名称进行检索</w:t>
            </w:r>
          </w:p>
          <w:p w14:paraId="6EF282B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支持添加问卷分类；支持对问卷类型进行维护</w:t>
            </w:r>
          </w:p>
        </w:tc>
      </w:tr>
      <w:tr w14:paraId="1301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754" w:type="dxa"/>
            <w:vMerge w:val="continue"/>
            <w:tcBorders>
              <w:tl2br w:val="nil"/>
              <w:tr2bl w:val="nil"/>
            </w:tcBorders>
            <w:noWrap w:val="0"/>
            <w:vAlign w:val="center"/>
          </w:tcPr>
          <w:p w14:paraId="57E3AD03">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FAF0D2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47BEB8FE">
            <w:pPr>
              <w:pageBreakBefore w:val="0"/>
              <w:widowControl/>
              <w:numPr>
                <w:ilvl w:val="0"/>
                <w:numId w:val="11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出院随访</w:t>
            </w:r>
          </w:p>
          <w:p w14:paraId="5B1BBDBB">
            <w:pPr>
              <w:pageBreakBefore w:val="0"/>
              <w:widowControl/>
              <w:numPr>
                <w:ilvl w:val="0"/>
                <w:numId w:val="11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随访制定</w:t>
            </w:r>
          </w:p>
          <w:p w14:paraId="106F21B8">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his出院患者对接</w:t>
            </w:r>
          </w:p>
          <w:p w14:paraId="73309B1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支持患者出院后，数据通过his推送自动进入到方案制定列表</w:t>
            </w:r>
          </w:p>
          <w:p w14:paraId="23442990">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患者列表管理</w:t>
            </w:r>
          </w:p>
          <w:p w14:paraId="7B617D0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支持对出院患者按方案未制定和已制定分开展示，方案制定后自动进入已制定列表</w:t>
            </w:r>
          </w:p>
          <w:p w14:paraId="19383A06">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患者信息展示</w:t>
            </w:r>
          </w:p>
          <w:p w14:paraId="16EF044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提供出院患者详情调阅，包括基本信息、出院随访等；支持患者健康档案的调阅</w:t>
            </w:r>
          </w:p>
          <w:p w14:paraId="543966F8">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随访方案制定</w:t>
            </w:r>
          </w:p>
          <w:p w14:paraId="0D8471E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提供随访医院指定，签约用户默认到签约医院，建档用户默认到建档医院，支持手动调整（支持指定下级医院和本院随访）</w:t>
            </w:r>
          </w:p>
          <w:p w14:paraId="652BA514">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随访医生指派</w:t>
            </w:r>
          </w:p>
          <w:p w14:paraId="34FA87E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支持本院随访随访医生的指派；签约医院和其他医院随访默认指派到随访负责人；支持接收医院手动改派</w:t>
            </w:r>
          </w:p>
          <w:p w14:paraId="3DC64CF3">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随访方式配置</w:t>
            </w:r>
          </w:p>
          <w:p w14:paraId="187E6AA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随访方式支持问卷随访、电话随访和到院随访</w:t>
            </w:r>
          </w:p>
          <w:p w14:paraId="69D0812E">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随访医院指定</w:t>
            </w:r>
          </w:p>
          <w:p w14:paraId="5892A60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提供随访医院指定，签约用户默认到签约医院，建档用户默认到建档医院，支持手动调整（支持指定下级医院和本院随访）</w:t>
            </w:r>
          </w:p>
          <w:p w14:paraId="43340CCB">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随访问卷配置</w:t>
            </w:r>
          </w:p>
          <w:p w14:paraId="1891531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支持选择随访问卷</w:t>
            </w:r>
          </w:p>
          <w:p w14:paraId="6FD04483">
            <w:pPr>
              <w:pageBreakBefore w:val="0"/>
              <w:widowControl/>
              <w:numPr>
                <w:ilvl w:val="0"/>
                <w:numId w:val="120"/>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随访时间维护</w:t>
            </w:r>
          </w:p>
          <w:p w14:paraId="07FD5C3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支持单次随访和多次随访的随访次数，支持固定周期随访和自定义周期随访</w:t>
            </w:r>
          </w:p>
          <w:p w14:paraId="1652D2C6">
            <w:pPr>
              <w:pageBreakBefore w:val="0"/>
              <w:widowControl/>
              <w:numPr>
                <w:ilvl w:val="0"/>
                <w:numId w:val="11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随访列表</w:t>
            </w:r>
          </w:p>
          <w:p w14:paraId="47602238">
            <w:pPr>
              <w:pageBreakBefore w:val="0"/>
              <w:widowControl/>
              <w:numPr>
                <w:ilvl w:val="0"/>
                <w:numId w:val="12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随访患者列表</w:t>
            </w:r>
          </w:p>
          <w:p w14:paraId="22974D6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展示医生本科室需要执行随访的患者列表；支持随访任务进行展示；医生可以进行随访任务的执行</w:t>
            </w:r>
          </w:p>
          <w:p w14:paraId="4F724C88">
            <w:pPr>
              <w:pageBreakBefore w:val="0"/>
              <w:widowControl/>
              <w:numPr>
                <w:ilvl w:val="0"/>
                <w:numId w:val="12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随访医生改派</w:t>
            </w:r>
          </w:p>
          <w:p w14:paraId="6CB1548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支持在随访制定中改派医生后，由其他医生进行随访</w:t>
            </w:r>
          </w:p>
          <w:p w14:paraId="5544ED9A">
            <w:pPr>
              <w:pageBreakBefore w:val="0"/>
              <w:widowControl/>
              <w:numPr>
                <w:ilvl w:val="0"/>
                <w:numId w:val="12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随访历史查看</w:t>
            </w:r>
          </w:p>
          <w:p w14:paraId="6329135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支持查看患者的随访历史，每次随访的情况进行展示，支持查看随访问卷的填写情况，支持查看随访报告的填写情况</w:t>
            </w:r>
          </w:p>
          <w:p w14:paraId="1AD5E8C5">
            <w:pPr>
              <w:pageBreakBefore w:val="0"/>
              <w:widowControl/>
              <w:numPr>
                <w:ilvl w:val="0"/>
                <w:numId w:val="12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随访任务执行</w:t>
            </w:r>
          </w:p>
          <w:p w14:paraId="73A6471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支持根据患者当次随访任务进行执行</w:t>
            </w:r>
          </w:p>
          <w:p w14:paraId="6A8AE8AE">
            <w:pPr>
              <w:pageBreakBefore w:val="0"/>
              <w:widowControl/>
              <w:numPr>
                <w:ilvl w:val="0"/>
                <w:numId w:val="12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随访报告填写</w:t>
            </w:r>
          </w:p>
          <w:p w14:paraId="03094D4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提供结构化随访报告录入</w:t>
            </w:r>
          </w:p>
          <w:p w14:paraId="72C8DCBD">
            <w:pPr>
              <w:pageBreakBefore w:val="0"/>
              <w:widowControl/>
              <w:numPr>
                <w:ilvl w:val="0"/>
                <w:numId w:val="12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随访问卷填写</w:t>
            </w:r>
          </w:p>
          <w:p w14:paraId="730EEC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支持填写随访问卷</w:t>
            </w:r>
          </w:p>
          <w:p w14:paraId="2C02D9BE">
            <w:pPr>
              <w:pageBreakBefore w:val="0"/>
              <w:widowControl/>
              <w:numPr>
                <w:ilvl w:val="0"/>
                <w:numId w:val="121"/>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随访状态展示</w:t>
            </w:r>
          </w:p>
          <w:p w14:paraId="7935BC7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支持随访情况的记录，超时、失访等</w:t>
            </w:r>
          </w:p>
          <w:p w14:paraId="235358C7">
            <w:pPr>
              <w:pageBreakBefore w:val="0"/>
              <w:widowControl/>
              <w:numPr>
                <w:ilvl w:val="0"/>
                <w:numId w:val="11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随访接收</w:t>
            </w:r>
          </w:p>
          <w:p w14:paraId="390C0D84">
            <w:pPr>
              <w:pageBreakBefore w:val="0"/>
              <w:widowControl/>
              <w:numPr>
                <w:ilvl w:val="0"/>
                <w:numId w:val="12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随访任务接收</w:t>
            </w:r>
          </w:p>
          <w:p w14:paraId="1BBCACC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提供随访任务一键接收，支持一次单条接收或多条接收</w:t>
            </w:r>
          </w:p>
          <w:p w14:paraId="7629A807">
            <w:pPr>
              <w:pageBreakBefore w:val="0"/>
              <w:widowControl/>
              <w:numPr>
                <w:ilvl w:val="0"/>
                <w:numId w:val="12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本院患者自动接收</w:t>
            </w:r>
          </w:p>
          <w:p w14:paraId="0427A03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提供本院随访患者默认自动接收</w:t>
            </w:r>
          </w:p>
          <w:p w14:paraId="1292C712">
            <w:pPr>
              <w:pageBreakBefore w:val="0"/>
              <w:widowControl/>
              <w:numPr>
                <w:ilvl w:val="0"/>
                <w:numId w:val="12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接收患者撤销</w:t>
            </w:r>
          </w:p>
          <w:p w14:paraId="0756FE1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支持对已接收但未进行随访的随访任务进行撤销接收</w:t>
            </w:r>
          </w:p>
          <w:p w14:paraId="20B42052">
            <w:pPr>
              <w:pageBreakBefore w:val="0"/>
              <w:widowControl/>
              <w:numPr>
                <w:ilvl w:val="0"/>
                <w:numId w:val="122"/>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随访医生改派</w:t>
            </w:r>
          </w:p>
          <w:p w14:paraId="0830595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支持对已指派的的进行改派医生操作</w:t>
            </w:r>
          </w:p>
          <w:p w14:paraId="55C80C34">
            <w:pPr>
              <w:pageBreakBefore w:val="0"/>
              <w:widowControl/>
              <w:numPr>
                <w:ilvl w:val="0"/>
                <w:numId w:val="11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下发列表</w:t>
            </w:r>
          </w:p>
          <w:p w14:paraId="30761423">
            <w:pPr>
              <w:pageBreakBefore w:val="0"/>
              <w:widowControl/>
              <w:numPr>
                <w:ilvl w:val="0"/>
                <w:numId w:val="12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下发患者列表</w:t>
            </w:r>
          </w:p>
          <w:p w14:paraId="0C39722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支持按状态、住院号、患者姓名、随访方式、随访日期等进行检索</w:t>
            </w:r>
          </w:p>
          <w:p w14:paraId="192F5DB5">
            <w:pPr>
              <w:pageBreakBefore w:val="0"/>
              <w:widowControl/>
              <w:numPr>
                <w:ilvl w:val="0"/>
                <w:numId w:val="123"/>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下发患者随访历史</w:t>
            </w:r>
          </w:p>
          <w:p w14:paraId="611944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支持查看患者的随访历史，每次随访的情况进行展示，支持查看随访问卷的填写情况，支持查看随访报告的填写情况</w:t>
            </w:r>
          </w:p>
          <w:p w14:paraId="2B5899A4">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5.随访结果录入</w:t>
            </w:r>
          </w:p>
          <w:p w14:paraId="1F770543">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1）支持结构化随访报告录入</w:t>
            </w:r>
          </w:p>
          <w:p w14:paraId="67B0B16E">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2）支持随访结果录入未录入的和已录入的分开展示，随访结果录入后自动进入已录入列表</w:t>
            </w:r>
          </w:p>
          <w:p w14:paraId="77F0C124">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3）随访报告录入时支持查看健康档案；支持查看病案首页、出院小结</w:t>
            </w:r>
          </w:p>
          <w:p w14:paraId="4AD74AF4">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4）支持随访医生根据随访结果书写随访报告</w:t>
            </w:r>
            <w:r>
              <w:rPr>
                <w:rFonts w:hint="eastAsia" w:ascii="宋体" w:hAnsi="宋体" w:eastAsia="宋体" w:cs="宋体"/>
                <w:color w:val="auto"/>
                <w:sz w:val="21"/>
                <w:szCs w:val="21"/>
              </w:rPr>
              <w:tab/>
            </w:r>
          </w:p>
          <w:p w14:paraId="1C26530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5）支持按出院时间范围等进行检索</w:t>
            </w:r>
            <w:r>
              <w:rPr>
                <w:rFonts w:hint="eastAsia" w:ascii="宋体" w:hAnsi="宋体" w:eastAsia="宋体" w:cs="宋体"/>
                <w:color w:val="auto"/>
                <w:sz w:val="21"/>
                <w:szCs w:val="21"/>
              </w:rPr>
              <w:tab/>
            </w:r>
          </w:p>
        </w:tc>
      </w:tr>
      <w:tr w14:paraId="3DE1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754" w:type="dxa"/>
            <w:vMerge w:val="continue"/>
            <w:tcBorders>
              <w:tl2br w:val="nil"/>
              <w:tr2bl w:val="nil"/>
            </w:tcBorders>
            <w:noWrap w:val="0"/>
            <w:vAlign w:val="center"/>
          </w:tcPr>
          <w:p w14:paraId="305E6AD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AA631A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55B9CFB6">
            <w:pPr>
              <w:pageBreakBefore w:val="0"/>
              <w:widowControl/>
              <w:numPr>
                <w:ilvl w:val="0"/>
                <w:numId w:val="11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统计报表</w:t>
            </w:r>
          </w:p>
          <w:p w14:paraId="1C8063AA">
            <w:pPr>
              <w:pageBreakBefore w:val="0"/>
              <w:widowControl/>
              <w:numPr>
                <w:ilvl w:val="0"/>
                <w:numId w:val="12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出院随访完成率</w:t>
            </w:r>
          </w:p>
          <w:p w14:paraId="21D83E85">
            <w:pPr>
              <w:pageBreakBefore w:val="0"/>
              <w:widowControl/>
              <w:numPr>
                <w:ilvl w:val="0"/>
                <w:numId w:val="12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随访完成率统计</w:t>
            </w:r>
          </w:p>
          <w:p w14:paraId="0CD83D9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支持查看院内随访完成率</w:t>
            </w:r>
          </w:p>
          <w:p w14:paraId="7C8A1413">
            <w:pPr>
              <w:pageBreakBefore w:val="0"/>
              <w:widowControl/>
              <w:numPr>
                <w:ilvl w:val="0"/>
                <w:numId w:val="12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柱状图形式展示</w:t>
            </w:r>
          </w:p>
          <w:p w14:paraId="32CE281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支持以柱状图的形式统计签约居民出院随访完成率</w:t>
            </w:r>
          </w:p>
          <w:p w14:paraId="4751AC89">
            <w:pPr>
              <w:pageBreakBefore w:val="0"/>
              <w:widowControl/>
              <w:numPr>
                <w:ilvl w:val="0"/>
                <w:numId w:val="125"/>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表格数据展示</w:t>
            </w:r>
          </w:p>
          <w:p w14:paraId="37C4CE2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支持以表格的形式统计各个医院随访完成数、随访任务数、出院随访完成率</w:t>
            </w:r>
          </w:p>
          <w:p w14:paraId="61EC23E6">
            <w:pPr>
              <w:pageBreakBefore w:val="0"/>
              <w:widowControl/>
              <w:numPr>
                <w:ilvl w:val="0"/>
                <w:numId w:val="12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出院随访及时率</w:t>
            </w:r>
          </w:p>
          <w:p w14:paraId="15DDCF4D">
            <w:pPr>
              <w:pageBreakBefore w:val="0"/>
              <w:widowControl/>
              <w:numPr>
                <w:ilvl w:val="0"/>
                <w:numId w:val="12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随访及时率统计</w:t>
            </w:r>
          </w:p>
          <w:p w14:paraId="70E4561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支持查看院内随访及时率</w:t>
            </w:r>
          </w:p>
          <w:p w14:paraId="7AF0B40E">
            <w:pPr>
              <w:pageBreakBefore w:val="0"/>
              <w:widowControl/>
              <w:numPr>
                <w:ilvl w:val="0"/>
                <w:numId w:val="12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柱状图形式展示</w:t>
            </w:r>
          </w:p>
          <w:p w14:paraId="4836BB6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支持以柱状图的形式统计签约居民出院随访及时率</w:t>
            </w:r>
          </w:p>
          <w:p w14:paraId="05DEBF54">
            <w:pPr>
              <w:pageBreakBefore w:val="0"/>
              <w:widowControl/>
              <w:numPr>
                <w:ilvl w:val="0"/>
                <w:numId w:val="126"/>
              </w:numPr>
              <w:kinsoku/>
              <w:wordWrap/>
              <w:overflowPunct/>
              <w:topLinePunct w:val="0"/>
              <w:autoSpaceDE/>
              <w:autoSpaceDN/>
              <w:bidi w:val="0"/>
              <w:adjustRightInd w:val="0"/>
              <w:snapToGrid w:val="0"/>
              <w:ind w:left="425" w:hanging="425"/>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表格数据展示</w:t>
            </w:r>
          </w:p>
          <w:p w14:paraId="6A60B82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支持以表格的形式统计各个医院随访及时数、随访任务数、出院随访及时率</w:t>
            </w:r>
          </w:p>
          <w:p w14:paraId="0EC8B0AD">
            <w:pPr>
              <w:pageBreakBefore w:val="0"/>
              <w:widowControl/>
              <w:numPr>
                <w:ilvl w:val="0"/>
                <w:numId w:val="12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出院随访跟踪</w:t>
            </w:r>
          </w:p>
          <w:p w14:paraId="393502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支持以列表方式展示出院人数、其中签约人数、本院随访（任务数、完成数）、指派随访（任务数、完成数）、随访接收数（任务数、完成数）</w:t>
            </w:r>
          </w:p>
          <w:p w14:paraId="21CDD898">
            <w:pPr>
              <w:pageBreakBefore w:val="0"/>
              <w:widowControl/>
              <w:numPr>
                <w:ilvl w:val="0"/>
                <w:numId w:val="12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出院随访结果统计</w:t>
            </w:r>
          </w:p>
          <w:p w14:paraId="2966B8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支持查看患者随访情况</w:t>
            </w:r>
          </w:p>
        </w:tc>
      </w:tr>
      <w:tr w14:paraId="411EE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tcBorders>
              <w:tl2br w:val="nil"/>
              <w:tr2bl w:val="nil"/>
            </w:tcBorders>
            <w:noWrap w:val="0"/>
            <w:vAlign w:val="center"/>
          </w:tcPr>
          <w:p w14:paraId="4BA5FE7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754" w:type="dxa"/>
            <w:tcBorders>
              <w:tl2br w:val="nil"/>
              <w:tr2bl w:val="nil"/>
            </w:tcBorders>
            <w:noWrap w:val="0"/>
            <w:vAlign w:val="center"/>
          </w:tcPr>
          <w:p w14:paraId="602DA14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协同门户（新增）</w:t>
            </w:r>
          </w:p>
        </w:tc>
        <w:tc>
          <w:tcPr>
            <w:tcW w:w="7085" w:type="dxa"/>
            <w:tcBorders>
              <w:tl2br w:val="nil"/>
              <w:tr2bl w:val="nil"/>
            </w:tcBorders>
            <w:noWrap w:val="0"/>
            <w:vAlign w:val="center"/>
          </w:tcPr>
          <w:p w14:paraId="1D47AB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sz w:val="21"/>
                <w:szCs w:val="21"/>
              </w:rPr>
            </w:pPr>
            <w:r>
              <w:rPr>
                <w:rFonts w:hint="eastAsia" w:ascii="宋体" w:hAnsi="宋体" w:eastAsia="宋体" w:cs="宋体"/>
                <w:color w:val="auto"/>
                <w:kern w:val="0"/>
                <w:sz w:val="21"/>
                <w:szCs w:val="21"/>
                <w:lang w:bidi="ar"/>
              </w:rPr>
              <w:t>支持便捷进入各类预约子业务模块</w:t>
            </w:r>
          </w:p>
          <w:p w14:paraId="5B3DC94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支持以患者角度展示患者基本信息</w:t>
            </w:r>
          </w:p>
          <w:p w14:paraId="620D6CD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支持便捷查看本院转诊单详情，以及支持转诊单打印</w:t>
            </w:r>
          </w:p>
          <w:p w14:paraId="3108B42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支持对本院转诊申请单进行撤销申请操作，并支持录入撤销原因</w:t>
            </w:r>
          </w:p>
          <w:p w14:paraId="3E7AE7F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支持对已完成的转诊单进行快速再次预约操作</w:t>
            </w:r>
          </w:p>
          <w:p w14:paraId="4FC17F2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支持患者近期本院和非本院各类预约记录列表展示</w:t>
            </w:r>
          </w:p>
        </w:tc>
      </w:tr>
      <w:tr w14:paraId="4D54D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754" w:type="dxa"/>
            <w:vMerge w:val="restart"/>
            <w:tcBorders>
              <w:tl2br w:val="nil"/>
              <w:tr2bl w:val="nil"/>
            </w:tcBorders>
            <w:noWrap w:val="0"/>
            <w:vAlign w:val="center"/>
          </w:tcPr>
          <w:p w14:paraId="173A1F5D">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754" w:type="dxa"/>
            <w:vMerge w:val="restart"/>
            <w:tcBorders>
              <w:tl2br w:val="nil"/>
              <w:tr2bl w:val="nil"/>
            </w:tcBorders>
            <w:noWrap w:val="0"/>
            <w:vAlign w:val="center"/>
          </w:tcPr>
          <w:p w14:paraId="25A35EAA">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检验协同（新增）</w:t>
            </w:r>
          </w:p>
        </w:tc>
        <w:tc>
          <w:tcPr>
            <w:tcW w:w="7085" w:type="dxa"/>
            <w:tcBorders>
              <w:tl2br w:val="nil"/>
              <w:tr2bl w:val="nil"/>
            </w:tcBorders>
            <w:noWrap w:val="0"/>
            <w:vAlign w:val="center"/>
          </w:tcPr>
          <w:p w14:paraId="31139988">
            <w:pPr>
              <w:pageBreakBefore w:val="0"/>
              <w:widowControl/>
              <w:numPr>
                <w:ilvl w:val="0"/>
                <w:numId w:val="12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检验项目管理</w:t>
            </w:r>
          </w:p>
          <w:p w14:paraId="307AA34C">
            <w:pPr>
              <w:pageBreakBefore w:val="0"/>
              <w:widowControl/>
              <w:numPr>
                <w:ilvl w:val="0"/>
                <w:numId w:val="12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检验分类管理</w:t>
            </w:r>
          </w:p>
          <w:p w14:paraId="6BC72F6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支持平台上直接新增检验分类进行维护</w:t>
            </w:r>
          </w:p>
          <w:p w14:paraId="26CD4D7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支持检验分类分层级维护</w:t>
            </w:r>
          </w:p>
          <w:p w14:paraId="0ED4D66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支持检验分类下绑定对应的检验项目</w:t>
            </w:r>
          </w:p>
          <w:p w14:paraId="122A197B">
            <w:pPr>
              <w:pageBreakBefore w:val="0"/>
              <w:widowControl/>
              <w:numPr>
                <w:ilvl w:val="0"/>
                <w:numId w:val="12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检验项目管理</w:t>
            </w:r>
          </w:p>
          <w:p w14:paraId="7D3E893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支持平台上直接新增检验项目进行维护</w:t>
            </w:r>
          </w:p>
          <w:p w14:paraId="634795A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支持检验项目配置给医生的提醒、给患者的提醒</w:t>
            </w:r>
          </w:p>
          <w:p w14:paraId="730EF5E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支持检验项目对应检验标本</w:t>
            </w:r>
          </w:p>
          <w:p w14:paraId="79A5BB9F">
            <w:pPr>
              <w:pageBreakBefore w:val="0"/>
              <w:widowControl/>
              <w:numPr>
                <w:ilvl w:val="0"/>
                <w:numId w:val="12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检验标本管理</w:t>
            </w:r>
          </w:p>
          <w:p w14:paraId="30E0FF7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支持平台上直接新增检验标本进行维护</w:t>
            </w:r>
          </w:p>
        </w:tc>
      </w:tr>
      <w:tr w14:paraId="25099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trPr>
        <w:tc>
          <w:tcPr>
            <w:tcW w:w="754" w:type="dxa"/>
            <w:vMerge w:val="continue"/>
            <w:tcBorders>
              <w:tl2br w:val="nil"/>
              <w:tr2bl w:val="nil"/>
            </w:tcBorders>
            <w:noWrap w:val="0"/>
            <w:vAlign w:val="center"/>
          </w:tcPr>
          <w:p w14:paraId="31C0DD57">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F11B19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42C2BD11">
            <w:pPr>
              <w:pageBreakBefore w:val="0"/>
              <w:widowControl/>
              <w:numPr>
                <w:ilvl w:val="0"/>
                <w:numId w:val="12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预约管理</w:t>
            </w:r>
          </w:p>
          <w:p w14:paraId="12779383">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1.预约检验协同</w:t>
            </w:r>
          </w:p>
          <w:p w14:paraId="3EC65180">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支持按照医院检索检验项目；</w:t>
            </w:r>
          </w:p>
          <w:p w14:paraId="134A9CD0">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发起转诊申请功能，提供转诊单打印</w:t>
            </w:r>
          </w:p>
          <w:p w14:paraId="009A01ED">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转诊单中支持查看电子病历；转诊单中支持查看健康档案</w:t>
            </w:r>
          </w:p>
          <w:p w14:paraId="63F4E2A7">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支持预约成功手机短信提醒</w:t>
            </w:r>
          </w:p>
          <w:p w14:paraId="147DF66C">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支持转诊单患者信息和就诊信息自动获取</w:t>
            </w:r>
          </w:p>
          <w:p w14:paraId="1FB1EB1A">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未提交转诊单前，支持检验撤销</w:t>
            </w:r>
          </w:p>
          <w:p w14:paraId="52689408">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提交转诊单后在历史记录中支持转诊撤销</w:t>
            </w:r>
          </w:p>
          <w:p w14:paraId="34301098">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2.预约明细查询</w:t>
            </w:r>
          </w:p>
          <w:p w14:paraId="37EED54B">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支持按申请日期、转出机构、转入机构、申请医生、申请科室、申请项目、预约日期、预约状态等条件查询检验协同记录明细</w:t>
            </w:r>
          </w:p>
          <w:p w14:paraId="11B272A4">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支持所有检验协同患者的集中展示，内容包括：协同单号、申请日期、姓名、身份证号、联系方式、转入医院、转出医院、申请医生、申请科室、申请检验项目、预约时间、申请单状态；</w:t>
            </w:r>
          </w:p>
          <w:p w14:paraId="102A1F52">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支持查看详细转诊单信息</w:t>
            </w:r>
          </w:p>
          <w:p w14:paraId="32A83C87">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支持检验转诊单打印</w:t>
            </w:r>
          </w:p>
          <w:p w14:paraId="0F8A221B">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3.接口服务</w:t>
            </w:r>
          </w:p>
          <w:p w14:paraId="61B852C3">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检验医嘱分类字典新增上传</w:t>
            </w:r>
          </w:p>
          <w:p w14:paraId="238077FB">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检验医嘱分类字典更新上传</w:t>
            </w:r>
          </w:p>
          <w:p w14:paraId="0A5D9FA4">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检验医嘱项目字典新增上传</w:t>
            </w:r>
          </w:p>
          <w:p w14:paraId="1886C075">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检验医嘱项目字典更新上传</w:t>
            </w:r>
          </w:p>
          <w:p w14:paraId="3656C7B3">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检验标本类型字典新增上传</w:t>
            </w:r>
          </w:p>
          <w:p w14:paraId="15F9736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检验标本类型字典变更上传</w:t>
            </w:r>
          </w:p>
        </w:tc>
      </w:tr>
      <w:tr w14:paraId="2AFD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0" w:hRule="atLeast"/>
        </w:trPr>
        <w:tc>
          <w:tcPr>
            <w:tcW w:w="754" w:type="dxa"/>
            <w:vMerge w:val="continue"/>
            <w:tcBorders>
              <w:tl2br w:val="nil"/>
              <w:tr2bl w:val="nil"/>
            </w:tcBorders>
            <w:noWrap w:val="0"/>
            <w:vAlign w:val="center"/>
          </w:tcPr>
          <w:p w14:paraId="4A386A6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9507D32">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29429DD9">
            <w:pPr>
              <w:pageBreakBefore w:val="0"/>
              <w:widowControl/>
              <w:numPr>
                <w:ilvl w:val="0"/>
                <w:numId w:val="12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统计分析</w:t>
            </w:r>
          </w:p>
          <w:p w14:paraId="24E762A8">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1.预约情况查询统计</w:t>
            </w:r>
          </w:p>
          <w:p w14:paraId="05814DC1">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支持按排班日期范围、转出机构名称条件进行筛选</w:t>
            </w:r>
          </w:p>
          <w:p w14:paraId="18AEE7FA">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支持医院各资源的已申请总数、已确认总数、已收费总数、已完成总数等状态的监控</w:t>
            </w:r>
          </w:p>
          <w:p w14:paraId="1B840FD9">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2.医生预约情况查询统计</w:t>
            </w:r>
          </w:p>
          <w:p w14:paraId="450F9A99">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支持按申请日期范围、转出机构、转入机构等进行查询医生检验协同申请情况统计；支持按医生、转出机构、转入机构展示检验预约总数、已检验总数、待检验总数。</w:t>
            </w:r>
          </w:p>
          <w:p w14:paraId="6E143F32">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3.协同分类占比统计</w:t>
            </w:r>
          </w:p>
          <w:p w14:paraId="0BDEB5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支持协同年龄占比统计分析；支持转诊机构占比统计分析；支持转诊复诊占比统计分析；支持转诊类型占比统计；</w:t>
            </w:r>
          </w:p>
        </w:tc>
      </w:tr>
      <w:tr w14:paraId="72BB4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trPr>
        <w:tc>
          <w:tcPr>
            <w:tcW w:w="754" w:type="dxa"/>
            <w:vMerge w:val="restart"/>
            <w:tcBorders>
              <w:tl2br w:val="nil"/>
              <w:tr2bl w:val="nil"/>
            </w:tcBorders>
            <w:noWrap w:val="0"/>
            <w:vAlign w:val="center"/>
          </w:tcPr>
          <w:p w14:paraId="392F322A">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p>
        </w:tc>
        <w:tc>
          <w:tcPr>
            <w:tcW w:w="754" w:type="dxa"/>
            <w:vMerge w:val="restart"/>
            <w:tcBorders>
              <w:tl2br w:val="nil"/>
              <w:tr2bl w:val="nil"/>
            </w:tcBorders>
            <w:noWrap w:val="0"/>
            <w:vAlign w:val="center"/>
          </w:tcPr>
          <w:p w14:paraId="3307195B">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治疗协同（新增）</w:t>
            </w:r>
          </w:p>
        </w:tc>
        <w:tc>
          <w:tcPr>
            <w:tcW w:w="7085" w:type="dxa"/>
            <w:tcBorders>
              <w:tl2br w:val="nil"/>
              <w:tr2bl w:val="nil"/>
            </w:tcBorders>
            <w:noWrap w:val="0"/>
            <w:vAlign w:val="center"/>
          </w:tcPr>
          <w:p w14:paraId="030A86FB">
            <w:pPr>
              <w:pageBreakBefore w:val="0"/>
              <w:widowControl/>
              <w:numPr>
                <w:ilvl w:val="0"/>
                <w:numId w:val="12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治疗项目管理</w:t>
            </w:r>
          </w:p>
          <w:p w14:paraId="7A1C9BEA">
            <w:pPr>
              <w:widowControl/>
              <w:numPr>
                <w:ilvl w:val="0"/>
                <w:numId w:val="130"/>
              </w:numPr>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治疗分类管理</w:t>
            </w:r>
          </w:p>
          <w:p w14:paraId="3826711B">
            <w:pPr>
              <w:widowControl/>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支持平台上直接新增 、修改、删除等维护项目</w:t>
            </w:r>
          </w:p>
          <w:p w14:paraId="3338D809">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支持治疗分类下绑定对应的治疗项目</w:t>
            </w:r>
          </w:p>
          <w:p w14:paraId="1287C67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支持治疗分类分层级维护</w:t>
            </w:r>
          </w:p>
        </w:tc>
      </w:tr>
      <w:tr w14:paraId="7B7B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4" w:type="dxa"/>
            <w:vMerge w:val="continue"/>
            <w:tcBorders>
              <w:tl2br w:val="nil"/>
              <w:tr2bl w:val="nil"/>
            </w:tcBorders>
            <w:noWrap w:val="0"/>
            <w:vAlign w:val="center"/>
          </w:tcPr>
          <w:p w14:paraId="7B484A5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643D25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507B3444">
            <w:pPr>
              <w:pageBreakBefore w:val="0"/>
              <w:widowControl/>
              <w:numPr>
                <w:ilvl w:val="0"/>
                <w:numId w:val="12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预约管理</w:t>
            </w:r>
          </w:p>
          <w:p w14:paraId="4BAF00F7">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1.预约治疗协同</w:t>
            </w:r>
          </w:p>
          <w:p w14:paraId="35F25543">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支持按照医院检索治疗项目；</w:t>
            </w:r>
          </w:p>
          <w:p w14:paraId="2DC824D1">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发起转诊申请功能，提供转诊单打印</w:t>
            </w:r>
          </w:p>
          <w:p w14:paraId="4774BC4D">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转诊单中支持查看电子病历；转诊单中支持查看健康档案</w:t>
            </w:r>
          </w:p>
          <w:p w14:paraId="714B86AF">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支持预约成功手机短信提醒</w:t>
            </w:r>
          </w:p>
          <w:p w14:paraId="74021A68">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支持转诊单患者信息和就诊信息自动获取</w:t>
            </w:r>
          </w:p>
          <w:p w14:paraId="61B25BDD">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未提交转诊单前，支持检验撤销</w:t>
            </w:r>
          </w:p>
          <w:p w14:paraId="1AE680D7">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提交转诊单后在历史记录中支持转诊撤销</w:t>
            </w:r>
          </w:p>
          <w:p w14:paraId="64C6F42C">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2.预约明细查询</w:t>
            </w:r>
          </w:p>
          <w:p w14:paraId="5F83B329">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支持按申请日期、转出机构、转入机构、申请医生、申请科室、申请项目、预约日期、预约状态等条件查询检验协同记录明细</w:t>
            </w:r>
          </w:p>
          <w:p w14:paraId="10D64AC6">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支持所有治疗协同患者的集中展示，内容包括：协同单号、申请日期、姓名、身份证号、联系方式、转入医院、转出医院、申请医生、申请科室、申请治疗项目、预约时间、申请单状态；</w:t>
            </w:r>
          </w:p>
          <w:p w14:paraId="2BC71D5C">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支持查看详细转诊单信息</w:t>
            </w:r>
          </w:p>
          <w:p w14:paraId="7C8FC132">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支持治疗转诊单打印</w:t>
            </w:r>
          </w:p>
          <w:p w14:paraId="31C57A52">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3.接口服务</w:t>
            </w:r>
          </w:p>
          <w:p w14:paraId="200B5BC5">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治疗医嘱分类字典新增上传</w:t>
            </w:r>
          </w:p>
          <w:p w14:paraId="4CEFC058">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治疗医嘱分类字典更新上传</w:t>
            </w:r>
          </w:p>
          <w:p w14:paraId="075E1777">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治疗医嘱项目字典新增上传</w:t>
            </w:r>
          </w:p>
          <w:p w14:paraId="5DAB6687">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治疗医嘱项目字典更新上传</w:t>
            </w:r>
          </w:p>
          <w:p w14:paraId="58380955">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治疗资源岗位新增上传</w:t>
            </w:r>
          </w:p>
          <w:p w14:paraId="09AD9455">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治疗资源岗位变更上传</w:t>
            </w:r>
          </w:p>
          <w:p w14:paraId="67556A23">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治疗资源排班发布数据上传</w:t>
            </w:r>
          </w:p>
          <w:p w14:paraId="7A78CA0E">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治疗资源排班状态变更上传</w:t>
            </w:r>
          </w:p>
          <w:p w14:paraId="14FA41DF">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线下医院治疗预约数量上传</w:t>
            </w:r>
          </w:p>
          <w:p w14:paraId="226C0E2C">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获取线下治疗单号</w:t>
            </w:r>
          </w:p>
          <w:p w14:paraId="0C3BAC5D">
            <w:pPr>
              <w:widowControl/>
              <w:adjustRightInd w:val="0"/>
              <w:snapToGrid w:val="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平台治疗单预约信息下发</w:t>
            </w:r>
          </w:p>
          <w:p w14:paraId="68811D8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平台治疗单取消预约信息下发</w:t>
            </w:r>
          </w:p>
        </w:tc>
      </w:tr>
      <w:tr w14:paraId="5EEF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trPr>
        <w:tc>
          <w:tcPr>
            <w:tcW w:w="754" w:type="dxa"/>
            <w:vMerge w:val="continue"/>
            <w:tcBorders>
              <w:tl2br w:val="nil"/>
              <w:tr2bl w:val="nil"/>
            </w:tcBorders>
            <w:noWrap w:val="0"/>
            <w:vAlign w:val="center"/>
          </w:tcPr>
          <w:p w14:paraId="603DBA4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A18BE1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85" w:type="dxa"/>
            <w:tcBorders>
              <w:tl2br w:val="nil"/>
              <w:tr2bl w:val="nil"/>
            </w:tcBorders>
            <w:noWrap w:val="0"/>
            <w:vAlign w:val="center"/>
          </w:tcPr>
          <w:p w14:paraId="7564AB77">
            <w:pPr>
              <w:pageBreakBefore w:val="0"/>
              <w:widowControl/>
              <w:numPr>
                <w:ilvl w:val="0"/>
                <w:numId w:val="12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统计分析</w:t>
            </w:r>
          </w:p>
          <w:p w14:paraId="56B3BF7B">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1.预约情况查询统计</w:t>
            </w:r>
          </w:p>
          <w:p w14:paraId="39D5019E">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支持按排班日期范围、转出机构名称条件进行筛选</w:t>
            </w:r>
          </w:p>
          <w:p w14:paraId="505FBF2E">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支持医院各资源的已申请总数、已确认总数、已收费总数、已完成总数等状态的监控</w:t>
            </w:r>
          </w:p>
          <w:p w14:paraId="06AB7084">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2.医生预约情况查询统计</w:t>
            </w:r>
          </w:p>
          <w:p w14:paraId="4F0F80CE">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支持按申请日期范围、转出机构、转入机构等进行查询医生治疗协同申请情况统计；支持按医生、转出机构、转入机构展示治疗预约总数、已治疗总数、待治疗总数。</w:t>
            </w:r>
          </w:p>
          <w:p w14:paraId="03D2CF88">
            <w:pPr>
              <w:widowControl/>
              <w:adjustRightInd w:val="0"/>
              <w:snapToGrid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3.协同分类占比统计</w:t>
            </w:r>
          </w:p>
          <w:p w14:paraId="10D8AA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支持协同年龄占比统计分析；支持转诊机构占比统计分析；支持转诊复诊占比统计分析；支持转诊类型占比统计；</w:t>
            </w:r>
          </w:p>
        </w:tc>
      </w:tr>
    </w:tbl>
    <w:p w14:paraId="660633B3">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一体化学科（新增）</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808"/>
        <w:gridCol w:w="7528"/>
      </w:tblGrid>
      <w:tr w14:paraId="43FEF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25" w:type="dxa"/>
            <w:tcBorders>
              <w:tl2br w:val="nil"/>
              <w:tr2bl w:val="nil"/>
            </w:tcBorders>
            <w:noWrap w:val="0"/>
            <w:tcFitText/>
            <w:vAlign w:val="center"/>
          </w:tcPr>
          <w:p w14:paraId="16FDDF1B">
            <w:pPr>
              <w:widowControl/>
              <w:jc w:val="center"/>
              <w:textAlignment w:val="center"/>
              <w:rPr>
                <w:rFonts w:hint="eastAsia" w:ascii="宋体" w:hAnsi="宋体" w:eastAsia="宋体" w:cs="宋体"/>
                <w:b/>
                <w:bCs/>
                <w:color w:val="auto"/>
                <w:spacing w:val="0"/>
                <w:kern w:val="0"/>
                <w:sz w:val="21"/>
                <w:szCs w:val="21"/>
                <w:highlight w:val="none"/>
                <w:lang w:bidi="ar"/>
              </w:rPr>
            </w:pPr>
            <w:r>
              <w:rPr>
                <w:rFonts w:hint="eastAsia" w:ascii="宋体" w:hAnsi="宋体" w:eastAsia="宋体" w:cs="宋体"/>
                <w:b/>
                <w:bCs/>
                <w:color w:val="auto"/>
                <w:spacing w:val="28"/>
                <w:w w:val="94"/>
                <w:kern w:val="0"/>
                <w:sz w:val="21"/>
                <w:szCs w:val="21"/>
                <w:highlight w:val="none"/>
                <w:lang w:bidi="ar"/>
              </w:rPr>
              <w:t>序</w:t>
            </w:r>
            <w:r>
              <w:rPr>
                <w:rFonts w:hint="eastAsia" w:ascii="宋体" w:hAnsi="宋体" w:eastAsia="宋体" w:cs="宋体"/>
                <w:b/>
                <w:bCs/>
                <w:color w:val="auto"/>
                <w:spacing w:val="0"/>
                <w:w w:val="94"/>
                <w:kern w:val="0"/>
                <w:sz w:val="21"/>
                <w:szCs w:val="21"/>
                <w:highlight w:val="none"/>
                <w:lang w:bidi="ar"/>
              </w:rPr>
              <w:t>号</w:t>
            </w:r>
          </w:p>
        </w:tc>
        <w:tc>
          <w:tcPr>
            <w:tcW w:w="808" w:type="dxa"/>
            <w:tcBorders>
              <w:tl2br w:val="nil"/>
              <w:tr2bl w:val="nil"/>
            </w:tcBorders>
            <w:noWrap w:val="0"/>
            <w:vAlign w:val="center"/>
          </w:tcPr>
          <w:p w14:paraId="240B905A">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模块</w:t>
            </w:r>
          </w:p>
        </w:tc>
        <w:tc>
          <w:tcPr>
            <w:tcW w:w="7528" w:type="dxa"/>
            <w:tcBorders>
              <w:tl2br w:val="nil"/>
              <w:tr2bl w:val="nil"/>
            </w:tcBorders>
            <w:noWrap w:val="0"/>
            <w:vAlign w:val="center"/>
          </w:tcPr>
          <w:p w14:paraId="241FF43B">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功能及技术参数</w:t>
            </w:r>
          </w:p>
        </w:tc>
      </w:tr>
      <w:tr w14:paraId="4D6C0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725" w:type="dxa"/>
            <w:vMerge w:val="restart"/>
            <w:tcBorders>
              <w:tl2br w:val="nil"/>
              <w:tr2bl w:val="nil"/>
            </w:tcBorders>
            <w:noWrap w:val="0"/>
            <w:vAlign w:val="center"/>
          </w:tcPr>
          <w:p w14:paraId="19C02C0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808" w:type="dxa"/>
            <w:vMerge w:val="restart"/>
            <w:tcBorders>
              <w:tl2br w:val="nil"/>
              <w:tr2bl w:val="nil"/>
            </w:tcBorders>
            <w:noWrap w:val="0"/>
            <w:vAlign w:val="center"/>
          </w:tcPr>
          <w:p w14:paraId="725FBAA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管理平台（PC端）</w:t>
            </w:r>
          </w:p>
        </w:tc>
        <w:tc>
          <w:tcPr>
            <w:tcW w:w="7528" w:type="dxa"/>
            <w:tcBorders>
              <w:tl2br w:val="nil"/>
              <w:tr2bl w:val="nil"/>
            </w:tcBorders>
            <w:noWrap w:val="0"/>
            <w:vAlign w:val="center"/>
          </w:tcPr>
          <w:p w14:paraId="4FFE040C">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疾病筛查-筛查知识库管理</w:t>
            </w:r>
          </w:p>
          <w:p w14:paraId="2DD22BB3">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筛查规则设置</w:t>
            </w:r>
          </w:p>
          <w:p w14:paraId="1F15D73E">
            <w:pPr>
              <w:widowControl/>
              <w:numPr>
                <w:ilvl w:val="0"/>
                <w:numId w:val="133"/>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筛查规则管理</w:t>
            </w:r>
          </w:p>
          <w:p w14:paraId="51134E93">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支持根据不同疾病的特性和筛查要求，进行筛查规则的设置</w:t>
            </w:r>
          </w:p>
          <w:p w14:paraId="231918C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支持根据实际情况和临床经验，调整监测规则的严格性，以平衡筛查的准确性和效率</w:t>
            </w:r>
          </w:p>
          <w:p w14:paraId="6B011DFB">
            <w:pPr>
              <w:widowControl/>
              <w:numPr>
                <w:ilvl w:val="0"/>
                <w:numId w:val="133"/>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筛查规则组别设置</w:t>
            </w:r>
          </w:p>
          <w:p w14:paraId="253FB7B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支持配置监测规则符合的筛查规则数，例如同时满足X个条件或满足任意1个筛查规则</w:t>
            </w:r>
          </w:p>
          <w:p w14:paraId="5A1A37ED">
            <w:pPr>
              <w:widowControl/>
              <w:numPr>
                <w:ilvl w:val="0"/>
                <w:numId w:val="133"/>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筛查规则名称设置</w:t>
            </w:r>
          </w:p>
          <w:p w14:paraId="556DDED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支持每个筛查规则组别名称的命名，符合业务需求</w:t>
            </w:r>
          </w:p>
          <w:p w14:paraId="2B08A4A2">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筛查标准值域管理</w:t>
            </w:r>
          </w:p>
          <w:p w14:paraId="6F1CA19C">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检查标准值域管理</w:t>
            </w:r>
          </w:p>
          <w:p w14:paraId="6728618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支持总院和分院的检查项目名称的标化归一处理</w:t>
            </w:r>
          </w:p>
          <w:p w14:paraId="2032635E">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检验标准值域管理</w:t>
            </w:r>
          </w:p>
          <w:p w14:paraId="7009457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支持总院和分院的检验指标名称、单位转换的标化归一处理</w:t>
            </w:r>
          </w:p>
          <w:p w14:paraId="2AC3D5AF">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ICD标准值域管理</w:t>
            </w:r>
          </w:p>
          <w:p w14:paraId="583D160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支持总院和分院的ICD诊断编码的标化归一处理</w:t>
            </w:r>
          </w:p>
          <w:p w14:paraId="2D188EDB">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症状标准值域管理</w:t>
            </w:r>
          </w:p>
          <w:p w14:paraId="713EBE3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支持总院和分院的症状名称标化归一处理</w:t>
            </w:r>
          </w:p>
          <w:p w14:paraId="29D8AF5A">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诊断标准值域管理</w:t>
            </w:r>
          </w:p>
          <w:p w14:paraId="50DFAB4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支持总院和分院的诊断名称标化归一处理</w:t>
            </w:r>
          </w:p>
          <w:p w14:paraId="30E35F66">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基础信息标准值域管理</w:t>
            </w:r>
          </w:p>
          <w:p w14:paraId="486343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支持总院和分院的患者基础信息标化归一处理</w:t>
            </w:r>
          </w:p>
          <w:p w14:paraId="3C310B16">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标准值域批量导入</w:t>
            </w:r>
          </w:p>
          <w:p w14:paraId="7FD79AE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支持本地导入标化指标的功能方便各机构录入本院的指标</w:t>
            </w:r>
          </w:p>
          <w:p w14:paraId="7B43701B">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自动匹配</w:t>
            </w:r>
          </w:p>
          <w:p w14:paraId="5DB5001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支持提供智能数据标化工具对总院和分院的指标进行自动标化归一处理</w:t>
            </w:r>
          </w:p>
          <w:p w14:paraId="6D3DC50C">
            <w:pPr>
              <w:keepNext w:val="0"/>
              <w:keepLines w:val="0"/>
              <w:pageBreakBefore w:val="0"/>
              <w:widowControl/>
              <w:numPr>
                <w:ilvl w:val="0"/>
                <w:numId w:val="132"/>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手动匹配</w:t>
            </w:r>
          </w:p>
          <w:p w14:paraId="0FE8EE1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支持提供手动数据标化工具对总院和分院的指标进行标化归一处理</w:t>
            </w:r>
          </w:p>
        </w:tc>
      </w:tr>
      <w:tr w14:paraId="59ED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5" w:type="dxa"/>
            <w:vMerge w:val="continue"/>
            <w:tcBorders>
              <w:tl2br w:val="nil"/>
              <w:tr2bl w:val="nil"/>
            </w:tcBorders>
            <w:noWrap w:val="0"/>
            <w:vAlign w:val="center"/>
          </w:tcPr>
          <w:p w14:paraId="2616EEE0">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0A586095">
            <w:pPr>
              <w:jc w:val="center"/>
              <w:rPr>
                <w:rFonts w:hint="eastAsia" w:ascii="宋体" w:hAnsi="宋体" w:eastAsia="宋体" w:cs="宋体"/>
                <w:color w:val="auto"/>
                <w:sz w:val="21"/>
                <w:szCs w:val="21"/>
                <w:highlight w:val="none"/>
              </w:rPr>
            </w:pPr>
          </w:p>
        </w:tc>
        <w:tc>
          <w:tcPr>
            <w:tcW w:w="7528" w:type="dxa"/>
            <w:tcBorders>
              <w:tl2br w:val="nil"/>
              <w:tr2bl w:val="nil"/>
            </w:tcBorders>
            <w:noWrap w:val="0"/>
            <w:vAlign w:val="center"/>
          </w:tcPr>
          <w:p w14:paraId="5BFF7757">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疾病筛查-筛查预警管理</w:t>
            </w:r>
          </w:p>
          <w:p w14:paraId="3568E959">
            <w:pPr>
              <w:widowControl/>
              <w:numPr>
                <w:ilvl w:val="0"/>
                <w:numId w:val="134"/>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监测任务调度管理</w:t>
            </w:r>
          </w:p>
          <w:p w14:paraId="19231822">
            <w:pPr>
              <w:widowControl/>
              <w:numPr>
                <w:ilvl w:val="0"/>
                <w:numId w:val="13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自动任务生成</w:t>
            </w:r>
          </w:p>
          <w:p w14:paraId="31A941C3">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支持对配置好的疾病监测规则运行任务自动生成疾病的监测任务</w:t>
            </w:r>
          </w:p>
          <w:p w14:paraId="15FAC63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支持查看疾病监测任务的详情情况，包括任务执行频率、任务状态等</w:t>
            </w:r>
          </w:p>
          <w:p w14:paraId="10A7018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支持条件查询疾病监测任务</w:t>
            </w:r>
          </w:p>
          <w:p w14:paraId="67B4A70E">
            <w:pPr>
              <w:widowControl/>
              <w:numPr>
                <w:ilvl w:val="0"/>
                <w:numId w:val="13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筛查任务调度</w:t>
            </w:r>
          </w:p>
          <w:p w14:paraId="6184493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支持根据疾病的特性对疾病监测任务进行科学合理调度，包括任务执行优先级、任务执行效率等。</w:t>
            </w:r>
          </w:p>
          <w:p w14:paraId="253E550B">
            <w:pPr>
              <w:widowControl/>
              <w:numPr>
                <w:ilvl w:val="0"/>
                <w:numId w:val="13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筛查任务启停</w:t>
            </w:r>
          </w:p>
          <w:p w14:paraId="1ECC9AE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支持对疾病监测任务状态的配置，状态包括启动和暂停</w:t>
            </w:r>
          </w:p>
          <w:p w14:paraId="392F9C7C">
            <w:pPr>
              <w:widowControl/>
              <w:numPr>
                <w:ilvl w:val="0"/>
                <w:numId w:val="134"/>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疑似人群管理</w:t>
            </w:r>
          </w:p>
          <w:p w14:paraId="23C05742">
            <w:pPr>
              <w:widowControl/>
              <w:numPr>
                <w:ilvl w:val="0"/>
                <w:numId w:val="13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筛查概况统计</w:t>
            </w:r>
          </w:p>
          <w:p w14:paraId="3CA6D1C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支持对疾病监测到的疑似人群的总体概况进行统计展示，包括监测人数、疑似人数、纳入管理人数、排除人数。</w:t>
            </w:r>
          </w:p>
          <w:p w14:paraId="2A7AAEEB">
            <w:pPr>
              <w:widowControl/>
              <w:numPr>
                <w:ilvl w:val="0"/>
                <w:numId w:val="13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疑似人群列表</w:t>
            </w:r>
          </w:p>
          <w:p w14:paraId="7A60F10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支持查看疑似人群列表信息</w:t>
            </w:r>
          </w:p>
          <w:p w14:paraId="57D5EB6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支持在疑似人群列表中根据关键词或条件查询目标疑似人群或者疑似个案信息</w:t>
            </w:r>
          </w:p>
          <w:p w14:paraId="3C9045BF">
            <w:pPr>
              <w:widowControl/>
              <w:numPr>
                <w:ilvl w:val="0"/>
                <w:numId w:val="13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疑似人群下发</w:t>
            </w:r>
          </w:p>
          <w:p w14:paraId="592E7070">
            <w:pPr>
              <w:widowControl/>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支持疑似人群自动和手动下发到基层机构的功能，自动下发规则根据疑似人人群的住址、建档地址、签约医生等信息自动下发到基层管理机构和责任医生。</w:t>
            </w:r>
          </w:p>
          <w:p w14:paraId="41B40E7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支持地址匹配和下发功能：支持通过地址匹配的方式，将疑似患者的信息准确下发到对应的社区卫生服务中心。</w:t>
            </w:r>
          </w:p>
          <w:p w14:paraId="6383F45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支持信息传递和同步功能，疑似人群下发功能确保患者信息的及时传递和同步。</w:t>
            </w:r>
          </w:p>
          <w:p w14:paraId="51974A9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支持协同工作流程功能，支持各用户的信息交流和合作。</w:t>
            </w:r>
          </w:p>
          <w:p w14:paraId="1A7B386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支持手动下发疑似人群到指定基层机构</w:t>
            </w:r>
          </w:p>
          <w:p w14:paraId="311DF7E8">
            <w:pPr>
              <w:widowControl/>
              <w:numPr>
                <w:ilvl w:val="0"/>
                <w:numId w:val="13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疑似人群名单导出</w:t>
            </w:r>
          </w:p>
          <w:p w14:paraId="6630F30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支持提供对查询获取的目标疑似人群名称导出的功能</w:t>
            </w:r>
          </w:p>
          <w:p w14:paraId="1350FE5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支持查看导出历史记录</w:t>
            </w:r>
          </w:p>
          <w:p w14:paraId="2407BD3E">
            <w:pPr>
              <w:widowControl/>
              <w:numPr>
                <w:ilvl w:val="0"/>
                <w:numId w:val="13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居民筛查情况详情</w:t>
            </w:r>
          </w:p>
          <w:p w14:paraId="7312509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支持查看疑似人群基本信息、筛查的原因、筛查时间、业务状态等</w:t>
            </w:r>
          </w:p>
          <w:p w14:paraId="5E11009B">
            <w:pPr>
              <w:widowControl/>
              <w:numPr>
                <w:ilvl w:val="0"/>
                <w:numId w:val="13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居民信息完善</w:t>
            </w:r>
          </w:p>
          <w:p w14:paraId="6CA4F40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支持对居民的基本信息进行完善，包括住址、联系方式</w:t>
            </w:r>
          </w:p>
          <w:p w14:paraId="457F1AD9">
            <w:pPr>
              <w:widowControl/>
              <w:numPr>
                <w:ilvl w:val="0"/>
                <w:numId w:val="13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疑似人员排除</w:t>
            </w:r>
          </w:p>
          <w:p w14:paraId="7CD4CF9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支持对不符合筛查标准的疑似人员进行排除</w:t>
            </w:r>
          </w:p>
          <w:p w14:paraId="7D1FBCE9">
            <w:pPr>
              <w:widowControl/>
              <w:numPr>
                <w:ilvl w:val="0"/>
                <w:numId w:val="134"/>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分层人群管理</w:t>
            </w:r>
          </w:p>
          <w:p w14:paraId="43082130">
            <w:pPr>
              <w:widowControl/>
              <w:numPr>
                <w:ilvl w:val="0"/>
                <w:numId w:val="13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分层患者列表</w:t>
            </w:r>
          </w:p>
          <w:p w14:paraId="640C14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支持查看疑似人群风险分层情况列表信息</w:t>
            </w:r>
          </w:p>
          <w:p w14:paraId="1963814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支持条件查询疑似人员的风险分层情况</w:t>
            </w:r>
          </w:p>
          <w:p w14:paraId="5EE2F1E3">
            <w:pPr>
              <w:widowControl/>
              <w:numPr>
                <w:ilvl w:val="0"/>
                <w:numId w:val="13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下发情况查看</w:t>
            </w:r>
          </w:p>
          <w:p w14:paraId="7FD5E71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支持查看分层人群的下发情况，包括患者的跟进状态、初步诊断和治疗记录等</w:t>
            </w:r>
          </w:p>
          <w:p w14:paraId="10E90FBA">
            <w:pPr>
              <w:widowControl/>
              <w:numPr>
                <w:ilvl w:val="0"/>
                <w:numId w:val="13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健康档案查看</w:t>
            </w:r>
          </w:p>
          <w:p w14:paraId="1AF2875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支持调阅每个风险分层疑似人员的健康档案情况</w:t>
            </w:r>
          </w:p>
          <w:p w14:paraId="5743C68E">
            <w:pPr>
              <w:widowControl/>
              <w:numPr>
                <w:ilvl w:val="0"/>
                <w:numId w:val="13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疾病分级情况</w:t>
            </w:r>
          </w:p>
          <w:p w14:paraId="77FC7DE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支持查看各个疑似人员的疾病风险分级情况</w:t>
            </w:r>
          </w:p>
          <w:p w14:paraId="12AE61A8">
            <w:pPr>
              <w:widowControl/>
              <w:numPr>
                <w:ilvl w:val="0"/>
                <w:numId w:val="13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分层人员名单导出</w:t>
            </w:r>
          </w:p>
          <w:p w14:paraId="32DCD53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支持对查询获取到分层人员名单进行导出</w:t>
            </w:r>
          </w:p>
          <w:p w14:paraId="50446D5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支持查看导出历史记录</w:t>
            </w:r>
          </w:p>
        </w:tc>
      </w:tr>
      <w:tr w14:paraId="1BEC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5" w:type="dxa"/>
            <w:vMerge w:val="continue"/>
            <w:tcBorders>
              <w:tl2br w:val="nil"/>
              <w:tr2bl w:val="nil"/>
            </w:tcBorders>
            <w:noWrap w:val="0"/>
            <w:vAlign w:val="center"/>
          </w:tcPr>
          <w:p w14:paraId="2A263201">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18EDF898">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1123E56A">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疾病诊断</w:t>
            </w:r>
          </w:p>
          <w:p w14:paraId="162DEBEB">
            <w:pPr>
              <w:widowControl/>
              <w:numPr>
                <w:ilvl w:val="0"/>
                <w:numId w:val="138"/>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管理机构待分配</w:t>
            </w:r>
          </w:p>
          <w:p w14:paraId="2117BAF9">
            <w:pPr>
              <w:widowControl/>
              <w:numPr>
                <w:ilvl w:val="0"/>
                <w:numId w:val="13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自动下发机构</w:t>
            </w:r>
          </w:p>
          <w:p w14:paraId="0B428810">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支持对监测到的疑似人群进行自动下发到基层机构</w:t>
            </w:r>
          </w:p>
          <w:p w14:paraId="0AAB1144">
            <w:pPr>
              <w:widowControl/>
              <w:numPr>
                <w:ilvl w:val="0"/>
                <w:numId w:val="13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手动下发机构</w:t>
            </w:r>
          </w:p>
          <w:p w14:paraId="162E238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支持手动下发疑似人群到指定基层机构</w:t>
            </w:r>
          </w:p>
          <w:p w14:paraId="38DCBCBA">
            <w:pPr>
              <w:widowControl/>
              <w:numPr>
                <w:ilvl w:val="0"/>
                <w:numId w:val="13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患者信息详情查看</w:t>
            </w:r>
          </w:p>
          <w:p w14:paraId="42D54B0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支持查看疑似人员详细信息，包括基本信息、筛查原因、筛查病种、筛查时间，以及下发状态</w:t>
            </w:r>
          </w:p>
          <w:p w14:paraId="48594BAA">
            <w:pPr>
              <w:widowControl/>
              <w:numPr>
                <w:ilvl w:val="0"/>
                <w:numId w:val="13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患者排除</w:t>
            </w:r>
          </w:p>
          <w:p w14:paraId="1B00624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支持对不符合筛查标准得疑似人员进行排除操作</w:t>
            </w:r>
          </w:p>
          <w:p w14:paraId="32CC6F80">
            <w:pPr>
              <w:widowControl/>
              <w:numPr>
                <w:ilvl w:val="0"/>
                <w:numId w:val="13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基本信息编辑修改</w:t>
            </w:r>
          </w:p>
          <w:p w14:paraId="08258D7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支持对疑似人员的基本信息进行编辑修改</w:t>
            </w:r>
          </w:p>
          <w:p w14:paraId="20E20C0B">
            <w:pPr>
              <w:widowControl/>
              <w:numPr>
                <w:ilvl w:val="0"/>
                <w:numId w:val="138"/>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责任医生待分配</w:t>
            </w:r>
          </w:p>
          <w:p w14:paraId="69E04C70">
            <w:pPr>
              <w:widowControl/>
              <w:numPr>
                <w:ilvl w:val="0"/>
                <w:numId w:val="14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状态查询</w:t>
            </w:r>
          </w:p>
          <w:p w14:paraId="4BEAC80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支持责任医生分配状态查询</w:t>
            </w:r>
          </w:p>
          <w:p w14:paraId="3491D0C2">
            <w:pPr>
              <w:widowControl/>
              <w:numPr>
                <w:ilvl w:val="0"/>
                <w:numId w:val="14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分配医生</w:t>
            </w:r>
          </w:p>
          <w:p w14:paraId="5464B56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支持对下发到基层机构的疑似人群分配责任医生</w:t>
            </w:r>
          </w:p>
          <w:p w14:paraId="2BB93706">
            <w:pPr>
              <w:widowControl/>
              <w:numPr>
                <w:ilvl w:val="0"/>
                <w:numId w:val="14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患者重新分配</w:t>
            </w:r>
          </w:p>
          <w:p w14:paraId="6A317A1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支持对已经分配责任医生的疑似人群进行重新分配</w:t>
            </w:r>
          </w:p>
          <w:p w14:paraId="6FDF7CF8">
            <w:pPr>
              <w:widowControl/>
              <w:numPr>
                <w:ilvl w:val="0"/>
                <w:numId w:val="14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批量分配</w:t>
            </w:r>
          </w:p>
          <w:p w14:paraId="4ABE218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支持批量分配疑似人群到指定责任医生</w:t>
            </w:r>
          </w:p>
          <w:p w14:paraId="3A8837A5">
            <w:pPr>
              <w:widowControl/>
              <w:numPr>
                <w:ilvl w:val="0"/>
                <w:numId w:val="14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患者查看</w:t>
            </w:r>
          </w:p>
          <w:p w14:paraId="1B93455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支持查看患者的详细情况</w:t>
            </w:r>
          </w:p>
          <w:p w14:paraId="583EF39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支持调阅患者的健康档案信息</w:t>
            </w:r>
          </w:p>
          <w:p w14:paraId="03BF0966">
            <w:pPr>
              <w:widowControl/>
              <w:numPr>
                <w:ilvl w:val="0"/>
                <w:numId w:val="14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患者信息编辑</w:t>
            </w:r>
          </w:p>
          <w:p w14:paraId="75341A5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支持修改患者的基本信息，包括住址、联系方式</w:t>
            </w:r>
          </w:p>
          <w:p w14:paraId="2D14C477">
            <w:pPr>
              <w:widowControl/>
              <w:numPr>
                <w:ilvl w:val="0"/>
                <w:numId w:val="14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患者排除</w:t>
            </w:r>
          </w:p>
          <w:p w14:paraId="4D5BCD5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支持对不符合筛查管理情况的患者进行排除</w:t>
            </w:r>
          </w:p>
          <w:p w14:paraId="323992D0">
            <w:pPr>
              <w:widowControl/>
              <w:numPr>
                <w:ilvl w:val="0"/>
                <w:numId w:val="138"/>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患者跟进</w:t>
            </w:r>
          </w:p>
          <w:p w14:paraId="12F53068">
            <w:pPr>
              <w:widowControl/>
              <w:numPr>
                <w:ilvl w:val="0"/>
                <w:numId w:val="14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跟进状态查询</w:t>
            </w:r>
          </w:p>
          <w:p w14:paraId="353E7BA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支持查询各筛查业务流程环节状态下的疑似人群列表</w:t>
            </w:r>
          </w:p>
          <w:p w14:paraId="2B3BF22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支持根据关键词、条件等在列表中查询目标疑似人员</w:t>
            </w:r>
          </w:p>
          <w:p w14:paraId="753EE37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支持查看该人员的详细内容，包括居民健康档案、筛查指标等信息</w:t>
            </w:r>
          </w:p>
          <w:p w14:paraId="5CDA1EAC">
            <w:pPr>
              <w:widowControl/>
              <w:numPr>
                <w:ilvl w:val="0"/>
                <w:numId w:val="14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患者跟进管理</w:t>
            </w:r>
          </w:p>
          <w:p w14:paraId="47FDA6A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责任医生对疑似人群进行全流程的闭环管理工具，包括对待跟进、待检查、待评估、待建档等环节的管理，管理操作包括跟进、发起联合评估、排除、关闭、建档，并且提供对各管理操作的相关表单填报的功能。</w:t>
            </w:r>
          </w:p>
          <w:p w14:paraId="67F38C02">
            <w:pPr>
              <w:widowControl/>
              <w:numPr>
                <w:ilvl w:val="0"/>
                <w:numId w:val="14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跟进名单导出</w:t>
            </w:r>
          </w:p>
          <w:p w14:paraId="5EFBB5E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支持对查询获取的跟进名单进行导出</w:t>
            </w:r>
          </w:p>
          <w:p w14:paraId="4936D4E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支持查看导出的历史记录</w:t>
            </w:r>
          </w:p>
          <w:p w14:paraId="752E3686">
            <w:pPr>
              <w:widowControl/>
              <w:numPr>
                <w:ilvl w:val="0"/>
                <w:numId w:val="138"/>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联合评估</w:t>
            </w:r>
          </w:p>
          <w:p w14:paraId="70AB18A7">
            <w:pPr>
              <w:widowControl/>
              <w:numPr>
                <w:ilvl w:val="0"/>
                <w:numId w:val="14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联合评估发起</w:t>
            </w:r>
          </w:p>
          <w:p w14:paraId="463C04D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支持提供基层医生因为超出诊断经验而无法诊断的疑似人群采取发起联合评估的操作，一旦发起联合评估，该疑似人群将被转诊到总院医生处，由总院医生审核查看。</w:t>
            </w:r>
          </w:p>
          <w:p w14:paraId="0DD6852C">
            <w:pPr>
              <w:widowControl/>
              <w:numPr>
                <w:ilvl w:val="0"/>
                <w:numId w:val="14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联合评估审核</w:t>
            </w:r>
          </w:p>
          <w:p w14:paraId="71E7AA9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支持总院医生对基层医生发起联合评估的患者进行审核，并下发指导意见</w:t>
            </w:r>
          </w:p>
        </w:tc>
      </w:tr>
      <w:tr w14:paraId="040C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25" w:type="dxa"/>
            <w:vMerge w:val="continue"/>
            <w:tcBorders>
              <w:tl2br w:val="nil"/>
              <w:tr2bl w:val="nil"/>
            </w:tcBorders>
            <w:noWrap w:val="0"/>
            <w:vAlign w:val="center"/>
          </w:tcPr>
          <w:p w14:paraId="7FCDBCDF">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6A78494C">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7F0A0DED">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疾病治疗</w:t>
            </w:r>
          </w:p>
          <w:p w14:paraId="26FAA016">
            <w:pPr>
              <w:widowControl/>
              <w:numPr>
                <w:ilvl w:val="0"/>
                <w:numId w:val="143"/>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诊前助手</w:t>
            </w:r>
          </w:p>
          <w:p w14:paraId="3F291972">
            <w:pPr>
              <w:widowControl/>
              <w:numPr>
                <w:ilvl w:val="0"/>
                <w:numId w:val="14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患者挂号提醒</w:t>
            </w:r>
          </w:p>
          <w:p w14:paraId="6D389311">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支持门诊收费系统查询筛查疑似人群/纳管人群</w:t>
            </w:r>
          </w:p>
          <w:p w14:paraId="279F206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支持在患者挂号的时候进行弹窗操作提示，并予以重选挂号或者继续挂号操作。</w:t>
            </w:r>
          </w:p>
          <w:p w14:paraId="33067565">
            <w:pPr>
              <w:widowControl/>
              <w:numPr>
                <w:ilvl w:val="0"/>
                <w:numId w:val="14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患者建档提醒</w:t>
            </w:r>
          </w:p>
          <w:p w14:paraId="2204A65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支持护士工作台查询未建档的筛查疑似人员/纳管人群</w:t>
            </w:r>
          </w:p>
          <w:p w14:paraId="4622115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支持弹窗提醒护士该患者是未建档的筛查疑似人员/纳管人群</w:t>
            </w:r>
          </w:p>
          <w:p w14:paraId="352E85E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支持在护士工作台完成健康档案的创建</w:t>
            </w:r>
          </w:p>
          <w:p w14:paraId="3410390E">
            <w:pPr>
              <w:widowControl/>
              <w:numPr>
                <w:ilvl w:val="0"/>
                <w:numId w:val="14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患者随访提醒</w:t>
            </w:r>
          </w:p>
          <w:p w14:paraId="2315C41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支持护士工作台查询待随访的筛查纳管人群</w:t>
            </w:r>
          </w:p>
          <w:p w14:paraId="607AB1F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支持弹窗提醒护士该患者为待随访纳管人群</w:t>
            </w:r>
          </w:p>
          <w:p w14:paraId="64AD7222">
            <w:pPr>
              <w:widowControl/>
              <w:numPr>
                <w:ilvl w:val="0"/>
                <w:numId w:val="14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诊前随访</w:t>
            </w:r>
          </w:p>
          <w:p w14:paraId="27C5272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支持在护士工作台完成诊前随访表单</w:t>
            </w:r>
          </w:p>
          <w:p w14:paraId="407EB6B9">
            <w:pPr>
              <w:widowControl/>
              <w:numPr>
                <w:ilvl w:val="0"/>
                <w:numId w:val="14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疑似人群列表</w:t>
            </w:r>
          </w:p>
          <w:p w14:paraId="2FCB0BE0">
            <w:pPr>
              <w:widowControl/>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支持诊前查看疑似人群列表</w:t>
            </w:r>
          </w:p>
          <w:p w14:paraId="7751885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支持患者个人疾病专项档案建档功能</w:t>
            </w:r>
          </w:p>
          <w:p w14:paraId="3B1E096E">
            <w:pPr>
              <w:widowControl/>
              <w:numPr>
                <w:ilvl w:val="0"/>
                <w:numId w:val="14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风险人群列表</w:t>
            </w:r>
          </w:p>
          <w:p w14:paraId="09694B7D">
            <w:pPr>
              <w:widowControl/>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支持查看诊前查看纳管人群列表</w:t>
            </w:r>
          </w:p>
          <w:p w14:paraId="19303F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支持根据患者随访日期和治疗计划提供预警和提醒功能。</w:t>
            </w:r>
          </w:p>
          <w:p w14:paraId="15195D2E">
            <w:pPr>
              <w:widowControl/>
              <w:numPr>
                <w:ilvl w:val="0"/>
                <w:numId w:val="143"/>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工作台集成</w:t>
            </w:r>
          </w:p>
          <w:p w14:paraId="562D3876">
            <w:pPr>
              <w:widowControl/>
              <w:numPr>
                <w:ilvl w:val="0"/>
                <w:numId w:val="14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消息中心</w:t>
            </w:r>
          </w:p>
          <w:p w14:paraId="101EF41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支持查看系统消息</w:t>
            </w:r>
          </w:p>
          <w:p w14:paraId="4777C823">
            <w:pPr>
              <w:widowControl/>
              <w:numPr>
                <w:ilvl w:val="0"/>
                <w:numId w:val="14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管理工作台</w:t>
            </w:r>
          </w:p>
          <w:p w14:paraId="4E8DCBD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支持从小助手进入管理平台，方便医生在医生工作台直接进入管理平台操作</w:t>
            </w:r>
          </w:p>
          <w:p w14:paraId="59A7503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支持在工作台查看待办事项，各个业务流程需要待办的事项和数量</w:t>
            </w:r>
          </w:p>
          <w:p w14:paraId="29BFF037">
            <w:pPr>
              <w:widowControl/>
              <w:numPr>
                <w:ilvl w:val="0"/>
                <w:numId w:val="14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危急值提醒</w:t>
            </w:r>
          </w:p>
          <w:p w14:paraId="746106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支持患者指标超出设定范围后进行危急值提醒，弹窗形式进行危急值提醒</w:t>
            </w:r>
          </w:p>
        </w:tc>
      </w:tr>
      <w:tr w14:paraId="7303F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5" w:type="dxa"/>
            <w:vMerge w:val="continue"/>
            <w:tcBorders>
              <w:tl2br w:val="nil"/>
              <w:tr2bl w:val="nil"/>
            </w:tcBorders>
            <w:noWrap w:val="0"/>
            <w:vAlign w:val="center"/>
          </w:tcPr>
          <w:p w14:paraId="15A4BC24">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237F2D7F">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49A95875">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疾病管理</w:t>
            </w:r>
          </w:p>
          <w:p w14:paraId="4B3ABBF7">
            <w:pPr>
              <w:widowControl/>
              <w:numPr>
                <w:ilvl w:val="0"/>
                <w:numId w:val="146"/>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疾病管理</w:t>
            </w:r>
          </w:p>
          <w:p w14:paraId="44CAA001">
            <w:pPr>
              <w:widowControl/>
              <w:numPr>
                <w:ilvl w:val="0"/>
                <w:numId w:val="14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患者管理列表</w:t>
            </w:r>
          </w:p>
          <w:p w14:paraId="69D359F2">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支持查看纳管人群的列表，列表展示纳管人群的基本信息、疾病分级等级</w:t>
            </w:r>
          </w:p>
          <w:p w14:paraId="4112F73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支持关键词、条件查询纳管人群名单</w:t>
            </w:r>
          </w:p>
          <w:p w14:paraId="381F753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支持手动创建纳管人群的专病档案</w:t>
            </w:r>
          </w:p>
          <w:p w14:paraId="0408F384">
            <w:pPr>
              <w:widowControl/>
              <w:numPr>
                <w:ilvl w:val="0"/>
                <w:numId w:val="14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患者专病档案</w:t>
            </w:r>
          </w:p>
          <w:p w14:paraId="22942C59">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支持患者疾病专项档案新增，录入基本信息、病情描述和病史记录、检验信息等。</w:t>
            </w:r>
          </w:p>
          <w:p w14:paraId="2CA381C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支持查看纳管人群的专病专项档案、分级记录、随访记录</w:t>
            </w:r>
          </w:p>
          <w:p w14:paraId="0741394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支持编辑修改纳管人群的专病专项档案、分级记录、随访记录</w:t>
            </w:r>
          </w:p>
          <w:p w14:paraId="1864AEAE">
            <w:pPr>
              <w:widowControl/>
              <w:numPr>
                <w:ilvl w:val="0"/>
                <w:numId w:val="14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患者管理记录</w:t>
            </w:r>
          </w:p>
          <w:p w14:paraId="4C3C828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支持时间轴形式查看纳管人群疾病管理情况，包括建档时间、随访记录等</w:t>
            </w:r>
          </w:p>
          <w:p w14:paraId="1315270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支持在时间轴上面点击查看随访情况</w:t>
            </w:r>
          </w:p>
          <w:p w14:paraId="1BB087E3">
            <w:pPr>
              <w:widowControl/>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支持点击随访时间轴可以调出随访表单进行随访</w:t>
            </w:r>
          </w:p>
          <w:p w14:paraId="51CD6BD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支持事件详情查看</w:t>
            </w:r>
          </w:p>
          <w:p w14:paraId="24B74454">
            <w:pPr>
              <w:widowControl/>
              <w:numPr>
                <w:ilvl w:val="0"/>
                <w:numId w:val="146"/>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可视化指标变化</w:t>
            </w:r>
          </w:p>
          <w:p w14:paraId="09D49D5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支持查看患者随访以来的关键检查指标统计趋势图。</w:t>
            </w:r>
          </w:p>
          <w:p w14:paraId="31C2F0C2">
            <w:pPr>
              <w:widowControl/>
              <w:numPr>
                <w:ilvl w:val="0"/>
                <w:numId w:val="146"/>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档案迁移</w:t>
            </w:r>
          </w:p>
          <w:p w14:paraId="5CE770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支持在随访管理不理想情况下，对患者进行向上转诊操作，并且等治疗稳定后，对患者进行向下转诊操作。</w:t>
            </w:r>
          </w:p>
          <w:p w14:paraId="6464108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支持患者居住地更改后，将管理档案转到更新的居住地所在的基层机构。</w:t>
            </w:r>
          </w:p>
          <w:p w14:paraId="580C4AA2">
            <w:pPr>
              <w:widowControl/>
              <w:numPr>
                <w:ilvl w:val="0"/>
                <w:numId w:val="146"/>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患者生命周期</w:t>
            </w:r>
          </w:p>
          <w:p w14:paraId="7E1761E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支持查看患者的筛、诊、治、管的生命周期情况</w:t>
            </w:r>
          </w:p>
          <w:p w14:paraId="0C5817E8">
            <w:pPr>
              <w:widowControl/>
              <w:numPr>
                <w:ilvl w:val="0"/>
                <w:numId w:val="146"/>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退出管理</w:t>
            </w:r>
          </w:p>
          <w:p w14:paraId="7E95A77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支持当患者不满足管理标准情况下可以进行退出管理的操作，并可以选择退出管理原因，方便后续追溯。</w:t>
            </w:r>
          </w:p>
          <w:p w14:paraId="3EBF7DB4">
            <w:pPr>
              <w:widowControl/>
              <w:numPr>
                <w:ilvl w:val="0"/>
                <w:numId w:val="146"/>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疾病分级</w:t>
            </w:r>
          </w:p>
          <w:p w14:paraId="63C3E1A1">
            <w:pPr>
              <w:widowControl/>
              <w:numPr>
                <w:ilvl w:val="0"/>
                <w:numId w:val="14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待分级列表</w:t>
            </w:r>
          </w:p>
          <w:p w14:paraId="7DF86CE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支持查看待分级患者列表</w:t>
            </w:r>
          </w:p>
          <w:p w14:paraId="728A45B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支持条件查询待分级患者列表</w:t>
            </w:r>
          </w:p>
          <w:p w14:paraId="46DB9B18">
            <w:pPr>
              <w:widowControl/>
              <w:numPr>
                <w:ilvl w:val="0"/>
                <w:numId w:val="14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患者分级记录</w:t>
            </w:r>
          </w:p>
          <w:p w14:paraId="4231A1E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支持查看患者分级情况的所有记录</w:t>
            </w:r>
          </w:p>
          <w:p w14:paraId="6C8C42B9">
            <w:pPr>
              <w:widowControl/>
              <w:numPr>
                <w:ilvl w:val="0"/>
                <w:numId w:val="14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新增分级</w:t>
            </w:r>
          </w:p>
          <w:p w14:paraId="5EF51CB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支持新增分级记录，对患者本次情况进行分级</w:t>
            </w:r>
          </w:p>
          <w:p w14:paraId="75933C03">
            <w:pPr>
              <w:widowControl/>
              <w:numPr>
                <w:ilvl w:val="0"/>
                <w:numId w:val="14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引入指标</w:t>
            </w:r>
          </w:p>
          <w:p w14:paraId="5FA683F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支持新增分级的时候，引入患者最新的检查指标结果</w:t>
            </w:r>
          </w:p>
          <w:p w14:paraId="2F4BB124">
            <w:pPr>
              <w:widowControl/>
              <w:numPr>
                <w:ilvl w:val="0"/>
                <w:numId w:val="14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自动评估</w:t>
            </w:r>
          </w:p>
          <w:p w14:paraId="5CEA5F9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支持新增分级的时候，引入指标后，系统自动评估患者的本次分级结果</w:t>
            </w:r>
          </w:p>
          <w:p w14:paraId="6C82C83E">
            <w:pPr>
              <w:widowControl/>
              <w:numPr>
                <w:ilvl w:val="0"/>
                <w:numId w:val="146"/>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疾病随访</w:t>
            </w:r>
          </w:p>
          <w:p w14:paraId="6D5790A3">
            <w:pPr>
              <w:widowControl/>
              <w:numPr>
                <w:ilvl w:val="0"/>
                <w:numId w:val="14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待随访列表</w:t>
            </w:r>
          </w:p>
          <w:p w14:paraId="64D27F6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支持查看待随访患者列表</w:t>
            </w:r>
          </w:p>
          <w:p w14:paraId="79AB3BC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支持条件查询待随访人群</w:t>
            </w:r>
          </w:p>
          <w:p w14:paraId="0E3295E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支持随访优先级快速查询待随访人群</w:t>
            </w:r>
          </w:p>
          <w:p w14:paraId="7380E0AB">
            <w:pPr>
              <w:widowControl/>
              <w:numPr>
                <w:ilvl w:val="0"/>
                <w:numId w:val="14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随访记录</w:t>
            </w:r>
          </w:p>
          <w:p w14:paraId="2C8B943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支持查看患者的随访详细记录</w:t>
            </w:r>
          </w:p>
          <w:p w14:paraId="063AF80A">
            <w:pPr>
              <w:widowControl/>
              <w:numPr>
                <w:ilvl w:val="0"/>
                <w:numId w:val="14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新增随访</w:t>
            </w:r>
          </w:p>
          <w:p w14:paraId="0B03FFF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支持新增患者的随访记录</w:t>
            </w:r>
          </w:p>
          <w:p w14:paraId="2A7F0A84">
            <w:pPr>
              <w:widowControl/>
              <w:numPr>
                <w:ilvl w:val="0"/>
                <w:numId w:val="14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随访指标引入</w:t>
            </w:r>
          </w:p>
          <w:p w14:paraId="7E9F752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支持新增患者随访记录后，医生可以在随访表单利用引入指标，来快速生成随访结果。</w:t>
            </w:r>
          </w:p>
          <w:p w14:paraId="2FFA28D4">
            <w:pPr>
              <w:widowControl/>
              <w:numPr>
                <w:ilvl w:val="0"/>
                <w:numId w:val="14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随访结果评估</w:t>
            </w:r>
          </w:p>
          <w:p w14:paraId="6E1E8EE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支持对每次随访结果进行评估，可以了解患者本次的随访情况</w:t>
            </w:r>
          </w:p>
        </w:tc>
      </w:tr>
      <w:tr w14:paraId="4B631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725" w:type="dxa"/>
            <w:vMerge w:val="continue"/>
            <w:tcBorders>
              <w:tl2br w:val="nil"/>
              <w:tr2bl w:val="nil"/>
            </w:tcBorders>
            <w:noWrap w:val="0"/>
            <w:vAlign w:val="center"/>
          </w:tcPr>
          <w:p w14:paraId="7BA5379D">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5C965FD5">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5412D6F2">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数据生命周期</w:t>
            </w:r>
          </w:p>
          <w:p w14:paraId="3DC17D10">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支持查看患者从筛查到联合评估、再到随访管理各流程中经历的事件事件和操作用户。</w:t>
            </w:r>
          </w:p>
          <w:p w14:paraId="1C552CA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支持查询患者数据生命周期记录</w:t>
            </w:r>
          </w:p>
        </w:tc>
      </w:tr>
      <w:tr w14:paraId="7C326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25" w:type="dxa"/>
            <w:vMerge w:val="continue"/>
            <w:tcBorders>
              <w:tl2br w:val="nil"/>
              <w:tr2bl w:val="nil"/>
            </w:tcBorders>
            <w:noWrap w:val="0"/>
            <w:vAlign w:val="center"/>
          </w:tcPr>
          <w:p w14:paraId="3B8AA1FE">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40C8F7DD">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2F9A5883">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全专融合团队管理</w:t>
            </w:r>
          </w:p>
          <w:p w14:paraId="7BE8DA1B">
            <w:pPr>
              <w:widowControl/>
              <w:numPr>
                <w:ilvl w:val="0"/>
                <w:numId w:val="150"/>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医生管理</w:t>
            </w:r>
          </w:p>
          <w:p w14:paraId="71008953">
            <w:pPr>
              <w:widowControl/>
              <w:numPr>
                <w:ilvl w:val="0"/>
                <w:numId w:val="15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医生列表</w:t>
            </w:r>
          </w:p>
          <w:p w14:paraId="5A916285">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支持查看医生账号列表信息</w:t>
            </w:r>
          </w:p>
          <w:p w14:paraId="5B7960F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支持查询医生信息</w:t>
            </w:r>
          </w:p>
          <w:p w14:paraId="4E6EB3A5">
            <w:pPr>
              <w:widowControl/>
              <w:numPr>
                <w:ilvl w:val="0"/>
                <w:numId w:val="15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医生账号管理</w:t>
            </w:r>
          </w:p>
          <w:p w14:paraId="600DBD9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支持对医生账号信息进行编辑和维护</w:t>
            </w:r>
          </w:p>
          <w:p w14:paraId="4B271F5D">
            <w:pPr>
              <w:widowControl/>
              <w:numPr>
                <w:ilvl w:val="0"/>
                <w:numId w:val="15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批量导入</w:t>
            </w:r>
          </w:p>
          <w:p w14:paraId="500C83D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支持本地批量导入医生账号信息</w:t>
            </w:r>
          </w:p>
          <w:p w14:paraId="20E24842">
            <w:pPr>
              <w:widowControl/>
              <w:numPr>
                <w:ilvl w:val="0"/>
                <w:numId w:val="15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账号查看</w:t>
            </w:r>
          </w:p>
          <w:p w14:paraId="67FE836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支持查看医生登录账号信息</w:t>
            </w:r>
          </w:p>
          <w:p w14:paraId="32F571C1">
            <w:pPr>
              <w:widowControl/>
              <w:numPr>
                <w:ilvl w:val="0"/>
                <w:numId w:val="151"/>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重置密码</w:t>
            </w:r>
          </w:p>
          <w:p w14:paraId="49F74EB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支持对医生账号密码进行重置</w:t>
            </w:r>
          </w:p>
          <w:p w14:paraId="03EE002D">
            <w:pPr>
              <w:widowControl/>
              <w:numPr>
                <w:ilvl w:val="0"/>
                <w:numId w:val="150"/>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团队管理</w:t>
            </w:r>
          </w:p>
          <w:p w14:paraId="249E05FF">
            <w:pPr>
              <w:widowControl/>
              <w:numPr>
                <w:ilvl w:val="0"/>
                <w:numId w:val="15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团队列表</w:t>
            </w:r>
          </w:p>
          <w:p w14:paraId="2F3F25E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支持查看全专融合团队列表信息</w:t>
            </w:r>
          </w:p>
          <w:p w14:paraId="4A3977E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支持查询全专融合团队信息</w:t>
            </w:r>
          </w:p>
          <w:p w14:paraId="5293868B">
            <w:pPr>
              <w:widowControl/>
              <w:numPr>
                <w:ilvl w:val="0"/>
                <w:numId w:val="15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全专团队管理</w:t>
            </w:r>
          </w:p>
          <w:p w14:paraId="478AC16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支持对团队基本信息进行管理</w:t>
            </w:r>
          </w:p>
          <w:p w14:paraId="4651B5AB">
            <w:pPr>
              <w:widowControl/>
              <w:numPr>
                <w:ilvl w:val="0"/>
                <w:numId w:val="15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查看团队详情</w:t>
            </w:r>
          </w:p>
          <w:p w14:paraId="366BA78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支持查看团队的详细信息，包括团队基本信息、团队成员信息</w:t>
            </w:r>
          </w:p>
          <w:p w14:paraId="7C2F2563">
            <w:pPr>
              <w:widowControl/>
              <w:numPr>
                <w:ilvl w:val="0"/>
                <w:numId w:val="15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管理团队成员</w:t>
            </w:r>
          </w:p>
          <w:p w14:paraId="4CA60B7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支持对团队的成员进行管理、包括新增成员、删除成员、设置成员组长等</w:t>
            </w:r>
          </w:p>
        </w:tc>
      </w:tr>
      <w:tr w14:paraId="7D416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5" w:type="dxa"/>
            <w:vMerge w:val="continue"/>
            <w:tcBorders>
              <w:tl2br w:val="nil"/>
              <w:tr2bl w:val="nil"/>
            </w:tcBorders>
            <w:noWrap w:val="0"/>
            <w:vAlign w:val="center"/>
          </w:tcPr>
          <w:p w14:paraId="4350D9CC">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717708A9">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0FE7AF7B">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数据驾驶舱</w:t>
            </w:r>
          </w:p>
          <w:p w14:paraId="0C8790DA">
            <w:pPr>
              <w:widowControl/>
              <w:numPr>
                <w:ilvl w:val="0"/>
                <w:numId w:val="153"/>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慢性肾病数据驾驶舱</w:t>
            </w:r>
          </w:p>
          <w:p w14:paraId="49939911">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支持对肾病筛查的系统覆盖范围、智能筛查情况、街道分布情况、换着管控状态、医生管理情况、纳入换着分层情况、随访管理、随访top5、预警提醒等相关指标梳理；</w:t>
            </w:r>
          </w:p>
          <w:p w14:paraId="231BC95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支持指标数值统计值实时可视化动态展示</w:t>
            </w:r>
          </w:p>
          <w:p w14:paraId="4B3CB67C">
            <w:pPr>
              <w:widowControl/>
              <w:numPr>
                <w:ilvl w:val="0"/>
                <w:numId w:val="153"/>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血液病数据驾驶舱</w:t>
            </w:r>
          </w:p>
          <w:p w14:paraId="41C2C35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支持对血液病病筛查的系统覆盖范围、智能筛查情况、街道分布情况、换着管控状态、医生管理情况、纳入换着分层情况、随访管理、随访top5、预警提醒等相关指标梳理；</w:t>
            </w:r>
          </w:p>
          <w:p w14:paraId="34397EC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支持指标数值统计值实时可视化动态展示</w:t>
            </w:r>
          </w:p>
          <w:p w14:paraId="2805DEAD">
            <w:pPr>
              <w:widowControl/>
              <w:numPr>
                <w:ilvl w:val="0"/>
                <w:numId w:val="153"/>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骨质疏松数据驾驶舱</w:t>
            </w:r>
          </w:p>
          <w:p w14:paraId="72A59AF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支持对骨质疏松筛查的系统覆盖范围、智能筛查情况、街道分布情况、换着管控状态、医生管理情况、纳入换着分层情况、随访管理、随访top5、预警提醒等相关指标梳理；</w:t>
            </w:r>
          </w:p>
          <w:p w14:paraId="4524E75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支持指标数值统计值实时可视化动态展示</w:t>
            </w:r>
          </w:p>
          <w:p w14:paraId="22B05498">
            <w:pPr>
              <w:widowControl/>
              <w:numPr>
                <w:ilvl w:val="0"/>
                <w:numId w:val="153"/>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糖尿病眼病数据驾驶舱</w:t>
            </w:r>
          </w:p>
          <w:p w14:paraId="4C906AA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支持对糖尿病眼病筛查的系统覆盖范围、智能筛查情况、街道分布情况、换着管控状态、医生管理情况、纳入换着分层情况、随访管理、随访top5、预警提醒等相关指标梳理；</w:t>
            </w:r>
          </w:p>
          <w:p w14:paraId="783C576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支持指标数值统计值实时可视化动态展示</w:t>
            </w:r>
          </w:p>
        </w:tc>
      </w:tr>
      <w:tr w14:paraId="41A34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5" w:type="dxa"/>
            <w:vMerge w:val="continue"/>
            <w:tcBorders>
              <w:tl2br w:val="nil"/>
              <w:tr2bl w:val="nil"/>
            </w:tcBorders>
            <w:noWrap w:val="0"/>
            <w:vAlign w:val="center"/>
          </w:tcPr>
          <w:p w14:paraId="3BF81809">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1B1219E4">
            <w:pPr>
              <w:jc w:val="center"/>
              <w:rPr>
                <w:rFonts w:hint="eastAsia" w:ascii="宋体" w:hAnsi="宋体" w:eastAsia="宋体" w:cs="宋体"/>
                <w:color w:val="auto"/>
                <w:sz w:val="21"/>
                <w:szCs w:val="21"/>
                <w:highlight w:val="none"/>
              </w:rPr>
            </w:pPr>
          </w:p>
        </w:tc>
        <w:tc>
          <w:tcPr>
            <w:tcW w:w="7528" w:type="dxa"/>
            <w:tcBorders>
              <w:tl2br w:val="nil"/>
              <w:tr2bl w:val="nil"/>
            </w:tcBorders>
            <w:noWrap w:val="0"/>
            <w:vAlign w:val="center"/>
          </w:tcPr>
          <w:p w14:paraId="07CE35ED">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业务报表</w:t>
            </w:r>
          </w:p>
          <w:p w14:paraId="381CE7B5">
            <w:pPr>
              <w:widowControl/>
              <w:numPr>
                <w:ilvl w:val="0"/>
                <w:numId w:val="15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筛查管控情况统计</w:t>
            </w:r>
          </w:p>
          <w:p w14:paraId="144C6944">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支持按区县、机构查询统计筛查管控情况，并支持下钻查看数据详情操作</w:t>
            </w:r>
          </w:p>
          <w:p w14:paraId="6F01F96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支持查询结果导出，和下钻数据详情导出，并查看导出记录</w:t>
            </w:r>
          </w:p>
          <w:p w14:paraId="112B44CE">
            <w:pPr>
              <w:widowControl/>
              <w:numPr>
                <w:ilvl w:val="0"/>
                <w:numId w:val="15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筛查分级统计</w:t>
            </w:r>
          </w:p>
          <w:p w14:paraId="19D1E6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支持按区县、机构查询筛查分级情况，并支持下钻查看数据详情操作；</w:t>
            </w:r>
          </w:p>
          <w:p w14:paraId="10E8746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支持查询结果导出，和下钻数据详情导出，并查看导出记录。</w:t>
            </w:r>
          </w:p>
          <w:p w14:paraId="4DA72262">
            <w:pPr>
              <w:widowControl/>
              <w:numPr>
                <w:ilvl w:val="0"/>
                <w:numId w:val="15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随访情况统计</w:t>
            </w:r>
          </w:p>
          <w:p w14:paraId="288770D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支持按区县、机构查询随访情况，并支持下钻查看数据详情操作；</w:t>
            </w:r>
          </w:p>
          <w:p w14:paraId="739628A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支持查询结果导出，和下钻数据详情导出，并查看导出记录。</w:t>
            </w:r>
          </w:p>
          <w:p w14:paraId="71D0ABFA">
            <w:pPr>
              <w:widowControl/>
              <w:numPr>
                <w:ilvl w:val="0"/>
                <w:numId w:val="15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患者跟进统计</w:t>
            </w:r>
          </w:p>
          <w:p w14:paraId="66255F6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支持区县、机构查询患者跟进情况，并支持下钻查看数据详情操作；</w:t>
            </w:r>
          </w:p>
          <w:p w14:paraId="5D8DBBB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支持查询结果导出，和下钻数据详情导出，并查看导出记录。</w:t>
            </w:r>
          </w:p>
          <w:p w14:paraId="10933E9A">
            <w:pPr>
              <w:widowControl/>
              <w:numPr>
                <w:ilvl w:val="0"/>
                <w:numId w:val="15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筛查统计</w:t>
            </w:r>
          </w:p>
          <w:p w14:paraId="555FDDD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支持区县、机构查询疾病筛查监测情况，可以按区县和机构维度统计：筛查人次、疑似人数、纳入管理人数、纳入占比、排除人数、排除占比等数据，并支持下钻查看数据详情操作；</w:t>
            </w:r>
          </w:p>
          <w:p w14:paraId="787DC61B">
            <w:pPr>
              <w:rPr>
                <w:rFonts w:ascii="Calibri" w:hAnsi="Calibri" w:eastAsia="宋体" w:cs="Times New Roman"/>
                <w:color w:val="auto"/>
                <w:sz w:val="21"/>
                <w:szCs w:val="21"/>
                <w:highlight w:val="none"/>
              </w:rPr>
            </w:pPr>
            <w:r>
              <w:rPr>
                <w:rFonts w:hint="eastAsia" w:ascii="宋体" w:hAnsi="宋体" w:eastAsia="宋体" w:cs="宋体"/>
                <w:color w:val="auto"/>
                <w:kern w:val="0"/>
                <w:sz w:val="21"/>
                <w:szCs w:val="21"/>
                <w:highlight w:val="none"/>
                <w:lang w:bidi="ar"/>
              </w:rPr>
              <w:t>支持查询结果导出，和下钻数据详情导出，并查看导出记录。</w:t>
            </w:r>
          </w:p>
          <w:p w14:paraId="02B2757C">
            <w:pPr>
              <w:widowControl/>
              <w:numPr>
                <w:ilvl w:val="0"/>
                <w:numId w:val="15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下发统计</w:t>
            </w:r>
          </w:p>
          <w:p w14:paraId="5E73163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支持区县、机构查询疑似人群下发情况，并支持下钻查看数据详情操作</w:t>
            </w:r>
          </w:p>
          <w:p w14:paraId="55E5FA9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支持查询结果导出，和下钻数据详情导出，并查看导出记录</w:t>
            </w:r>
          </w:p>
        </w:tc>
      </w:tr>
      <w:tr w14:paraId="4E642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725" w:type="dxa"/>
            <w:vMerge w:val="continue"/>
            <w:tcBorders>
              <w:tl2br w:val="nil"/>
              <w:tr2bl w:val="nil"/>
            </w:tcBorders>
            <w:noWrap w:val="0"/>
            <w:vAlign w:val="center"/>
          </w:tcPr>
          <w:p w14:paraId="5507806B">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41554BE9">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72DFE4B2">
            <w:pPr>
              <w:widowControl/>
              <w:numPr>
                <w:ilvl w:val="0"/>
                <w:numId w:val="13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档案抽样</w:t>
            </w:r>
          </w:p>
          <w:p w14:paraId="70522B15">
            <w:pPr>
              <w:widowControl/>
              <w:numPr>
                <w:ilvl w:val="0"/>
                <w:numId w:val="15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专病档案抽样</w:t>
            </w:r>
          </w:p>
          <w:p w14:paraId="1932ED72">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支持查询抽样任务，并查看任务中详细的样本列表</w:t>
            </w:r>
          </w:p>
          <w:p w14:paraId="64B7023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支持新增抽样任务的自定义配置</w:t>
            </w:r>
          </w:p>
          <w:p w14:paraId="1C42A5F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支持提供对抽样任务列表中所有档案进行审核管理工具</w:t>
            </w:r>
          </w:p>
          <w:p w14:paraId="3F9AFE9F">
            <w:pPr>
              <w:widowControl/>
              <w:numPr>
                <w:ilvl w:val="0"/>
                <w:numId w:val="15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抽样结果查看</w:t>
            </w:r>
          </w:p>
          <w:p w14:paraId="13A569A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支持查询抽样任务，并支持查看抽样任务审核详情</w:t>
            </w:r>
          </w:p>
          <w:p w14:paraId="644B93AD">
            <w:pPr>
              <w:widowControl/>
              <w:numPr>
                <w:ilvl w:val="0"/>
                <w:numId w:val="15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抽样统计报表</w:t>
            </w:r>
          </w:p>
          <w:p w14:paraId="3C1F14D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支持对抽样任务和审核结果进行统计展示</w:t>
            </w:r>
          </w:p>
          <w:p w14:paraId="0AB1955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支持统计报表的下钻查询，并支持导出查询结果</w:t>
            </w:r>
          </w:p>
        </w:tc>
      </w:tr>
      <w:tr w14:paraId="0E7B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trPr>
        <w:tc>
          <w:tcPr>
            <w:tcW w:w="725" w:type="dxa"/>
            <w:vMerge w:val="restart"/>
            <w:tcBorders>
              <w:tl2br w:val="nil"/>
              <w:tr2bl w:val="nil"/>
            </w:tcBorders>
            <w:noWrap/>
            <w:vAlign w:val="center"/>
          </w:tcPr>
          <w:p w14:paraId="621AEF6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808" w:type="dxa"/>
            <w:vMerge w:val="restart"/>
            <w:tcBorders>
              <w:tl2br w:val="nil"/>
              <w:tr2bl w:val="nil"/>
            </w:tcBorders>
            <w:noWrap/>
            <w:vAlign w:val="center"/>
          </w:tcPr>
          <w:p w14:paraId="3697E64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管理平台（移动端）</w:t>
            </w:r>
          </w:p>
        </w:tc>
        <w:tc>
          <w:tcPr>
            <w:tcW w:w="7528" w:type="dxa"/>
            <w:tcBorders>
              <w:tl2br w:val="nil"/>
              <w:tr2bl w:val="nil"/>
            </w:tcBorders>
            <w:noWrap/>
            <w:vAlign w:val="center"/>
          </w:tcPr>
          <w:p w14:paraId="642230F5">
            <w:pPr>
              <w:widowControl/>
              <w:numPr>
                <w:ilvl w:val="0"/>
                <w:numId w:val="156"/>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医生首页</w:t>
            </w:r>
          </w:p>
          <w:p w14:paraId="3C723F3F">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支持展示联合评估、待随访、待分级管理的待办事项，并统计总数展示</w:t>
            </w:r>
          </w:p>
          <w:p w14:paraId="27AFF50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支持管理流程各环节状态待处理事项的展示，并统计总数展示</w:t>
            </w:r>
          </w:p>
          <w:p w14:paraId="4049EE0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支持展示各分级人数总和统计值展示</w:t>
            </w:r>
          </w:p>
          <w:p w14:paraId="3B651B7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支持提供处理待办事项的入口</w:t>
            </w:r>
          </w:p>
        </w:tc>
      </w:tr>
      <w:tr w14:paraId="4849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trPr>
        <w:tc>
          <w:tcPr>
            <w:tcW w:w="725" w:type="dxa"/>
            <w:vMerge w:val="continue"/>
            <w:tcBorders>
              <w:tl2br w:val="nil"/>
              <w:tr2bl w:val="nil"/>
            </w:tcBorders>
            <w:noWrap/>
            <w:vAlign w:val="center"/>
          </w:tcPr>
          <w:p w14:paraId="4F2465B3">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ign w:val="center"/>
          </w:tcPr>
          <w:p w14:paraId="0C9053CE">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0DF0D04F">
            <w:pPr>
              <w:widowControl/>
              <w:numPr>
                <w:ilvl w:val="0"/>
                <w:numId w:val="156"/>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患者管理</w:t>
            </w:r>
          </w:p>
          <w:p w14:paraId="1D046EFD">
            <w:pPr>
              <w:widowControl/>
              <w:numPr>
                <w:ilvl w:val="0"/>
                <w:numId w:val="15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患者管理列表</w:t>
            </w:r>
          </w:p>
          <w:p w14:paraId="663E66C1">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支持查看纳管人群名单</w:t>
            </w:r>
          </w:p>
          <w:p w14:paraId="3ADB21F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支持查询纳管人群名单</w:t>
            </w:r>
          </w:p>
          <w:p w14:paraId="3AEDDF4F">
            <w:pPr>
              <w:widowControl/>
              <w:numPr>
                <w:ilvl w:val="0"/>
                <w:numId w:val="15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患者专项档案</w:t>
            </w:r>
          </w:p>
          <w:p w14:paraId="3CE00038">
            <w:pPr>
              <w:widowControl/>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支持患者疾病专项档案新增，录入基本信息、病情描述和病史记录、检验信息等。</w:t>
            </w:r>
          </w:p>
          <w:p w14:paraId="3415334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支持查看纳管人群的专病专项档案详情</w:t>
            </w:r>
          </w:p>
          <w:p w14:paraId="106242D4">
            <w:pPr>
              <w:widowControl/>
              <w:numPr>
                <w:ilvl w:val="0"/>
                <w:numId w:val="15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患者分级记录</w:t>
            </w:r>
          </w:p>
          <w:p w14:paraId="28E9559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支持查看纳管人群的分级记录</w:t>
            </w:r>
          </w:p>
          <w:p w14:paraId="2539F670">
            <w:pPr>
              <w:widowControl/>
              <w:numPr>
                <w:ilvl w:val="0"/>
                <w:numId w:val="157"/>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随访记录</w:t>
            </w:r>
          </w:p>
          <w:p w14:paraId="29D6DDD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支持查看纳管人群的随访记录</w:t>
            </w:r>
          </w:p>
        </w:tc>
      </w:tr>
      <w:tr w14:paraId="4750E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25" w:type="dxa"/>
            <w:vMerge w:val="continue"/>
            <w:tcBorders>
              <w:tl2br w:val="nil"/>
              <w:tr2bl w:val="nil"/>
            </w:tcBorders>
            <w:noWrap/>
            <w:vAlign w:val="center"/>
          </w:tcPr>
          <w:p w14:paraId="75C96DC1">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ign w:val="center"/>
          </w:tcPr>
          <w:p w14:paraId="363D47A3">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6A802CE0">
            <w:pPr>
              <w:widowControl/>
              <w:numPr>
                <w:ilvl w:val="0"/>
                <w:numId w:val="156"/>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分级管理</w:t>
            </w:r>
          </w:p>
          <w:p w14:paraId="4CB9A5B5">
            <w:pPr>
              <w:widowControl/>
              <w:numPr>
                <w:ilvl w:val="0"/>
                <w:numId w:val="15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待分级列表</w:t>
            </w:r>
          </w:p>
          <w:p w14:paraId="7B4BB57E">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支持查看待分级列表</w:t>
            </w:r>
          </w:p>
          <w:p w14:paraId="6DF582FA">
            <w:pPr>
              <w:widowControl/>
              <w:numPr>
                <w:ilvl w:val="0"/>
                <w:numId w:val="15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新增分级管理</w:t>
            </w:r>
          </w:p>
          <w:p w14:paraId="7607095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支持查询纳管人群待分级人员</w:t>
            </w:r>
          </w:p>
          <w:p w14:paraId="0CA9BD3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支持新增分级记录</w:t>
            </w:r>
          </w:p>
          <w:p w14:paraId="41798A39">
            <w:pPr>
              <w:widowControl/>
              <w:numPr>
                <w:ilvl w:val="0"/>
                <w:numId w:val="15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引入指标</w:t>
            </w:r>
          </w:p>
          <w:p w14:paraId="0423D11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支持新增分级记录后引入最新检查指标结果</w:t>
            </w:r>
          </w:p>
          <w:p w14:paraId="26036FA4">
            <w:pPr>
              <w:widowControl/>
              <w:numPr>
                <w:ilvl w:val="0"/>
                <w:numId w:val="158"/>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自动评估</w:t>
            </w:r>
          </w:p>
          <w:p w14:paraId="027A358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支持引入最近检查指标结果后，自动评估患者本次的分级结果</w:t>
            </w:r>
          </w:p>
        </w:tc>
      </w:tr>
      <w:tr w14:paraId="2F395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4" w:hRule="atLeast"/>
        </w:trPr>
        <w:tc>
          <w:tcPr>
            <w:tcW w:w="725" w:type="dxa"/>
            <w:vMerge w:val="continue"/>
            <w:tcBorders>
              <w:tl2br w:val="nil"/>
              <w:tr2bl w:val="nil"/>
            </w:tcBorders>
            <w:noWrap/>
            <w:vAlign w:val="center"/>
          </w:tcPr>
          <w:p w14:paraId="2D863EA0">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ign w:val="center"/>
          </w:tcPr>
          <w:p w14:paraId="7106781A">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08268CCF">
            <w:pPr>
              <w:widowControl/>
              <w:numPr>
                <w:ilvl w:val="0"/>
                <w:numId w:val="156"/>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随访管理</w:t>
            </w:r>
          </w:p>
          <w:p w14:paraId="02C45BDB">
            <w:pPr>
              <w:widowControl/>
              <w:numPr>
                <w:ilvl w:val="0"/>
                <w:numId w:val="15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待随访列表</w:t>
            </w:r>
          </w:p>
          <w:p w14:paraId="7E85512B">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支持查看纳管人群待分级列表</w:t>
            </w:r>
          </w:p>
          <w:p w14:paraId="65348F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支持查询纳管人群待分级人员</w:t>
            </w:r>
          </w:p>
          <w:p w14:paraId="1E4E1870">
            <w:pPr>
              <w:widowControl/>
              <w:numPr>
                <w:ilvl w:val="0"/>
                <w:numId w:val="15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新增随访</w:t>
            </w:r>
          </w:p>
          <w:p w14:paraId="39A1A7C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支持新增随访记录</w:t>
            </w:r>
          </w:p>
          <w:p w14:paraId="7C20D07D">
            <w:pPr>
              <w:widowControl/>
              <w:numPr>
                <w:ilvl w:val="0"/>
                <w:numId w:val="15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随访指标引入</w:t>
            </w:r>
          </w:p>
          <w:p w14:paraId="6DE1EDA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支持新增发随访记录后，可以点击引入指标，方便医生快速完成随访表单</w:t>
            </w:r>
          </w:p>
          <w:p w14:paraId="0CF81545">
            <w:pPr>
              <w:widowControl/>
              <w:numPr>
                <w:ilvl w:val="0"/>
                <w:numId w:val="159"/>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随访结果评估</w:t>
            </w:r>
          </w:p>
          <w:p w14:paraId="5ED1AAA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支持对每次随访结果进行评估，可以了解患者本次的随访情况</w:t>
            </w:r>
          </w:p>
        </w:tc>
      </w:tr>
      <w:tr w14:paraId="12A0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4" w:hRule="atLeast"/>
        </w:trPr>
        <w:tc>
          <w:tcPr>
            <w:tcW w:w="725" w:type="dxa"/>
            <w:vMerge w:val="continue"/>
            <w:tcBorders>
              <w:tl2br w:val="nil"/>
              <w:tr2bl w:val="nil"/>
            </w:tcBorders>
            <w:noWrap/>
            <w:vAlign w:val="center"/>
          </w:tcPr>
          <w:p w14:paraId="5CD9AD56">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ign w:val="center"/>
          </w:tcPr>
          <w:p w14:paraId="1D7BC465">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22301D8D">
            <w:pPr>
              <w:widowControl/>
              <w:numPr>
                <w:ilvl w:val="0"/>
                <w:numId w:val="156"/>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联合评估</w:t>
            </w:r>
          </w:p>
          <w:p w14:paraId="282EEC58">
            <w:pPr>
              <w:widowControl/>
              <w:numPr>
                <w:ilvl w:val="0"/>
                <w:numId w:val="16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联合评估跟进</w:t>
            </w:r>
          </w:p>
          <w:p w14:paraId="34B8F2B7">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支持对待跟进疑似人群进行跟进操作</w:t>
            </w:r>
          </w:p>
          <w:p w14:paraId="113054ED">
            <w:pPr>
              <w:widowControl/>
              <w:numPr>
                <w:ilvl w:val="0"/>
                <w:numId w:val="16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联合评估发起</w:t>
            </w:r>
          </w:p>
          <w:p w14:paraId="6B1ADB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支持提供基层医生因为超出诊断经验而无法诊断的疑似人群采取发起联合评估的操作，一旦发起联合评估，该疑似人群将被转诊到总院医生处，由总院医生审核查看。</w:t>
            </w:r>
          </w:p>
          <w:p w14:paraId="746C1379">
            <w:pPr>
              <w:widowControl/>
              <w:numPr>
                <w:ilvl w:val="0"/>
                <w:numId w:val="160"/>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联合评估审核</w:t>
            </w:r>
          </w:p>
          <w:p w14:paraId="75CF56E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支持总院医生对基层医生发起联合评估的患者进行审核，生成评估结果，并下发指导意见</w:t>
            </w:r>
          </w:p>
        </w:tc>
      </w:tr>
      <w:tr w14:paraId="6D60E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725" w:type="dxa"/>
            <w:vMerge w:val="restart"/>
            <w:tcBorders>
              <w:tl2br w:val="nil"/>
              <w:tr2bl w:val="nil"/>
            </w:tcBorders>
            <w:noWrap w:val="0"/>
            <w:vAlign w:val="center"/>
          </w:tcPr>
          <w:p w14:paraId="00C738A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808" w:type="dxa"/>
            <w:vMerge w:val="restart"/>
            <w:tcBorders>
              <w:tl2br w:val="nil"/>
              <w:tr2bl w:val="nil"/>
            </w:tcBorders>
            <w:noWrap w:val="0"/>
            <w:vAlign w:val="center"/>
          </w:tcPr>
          <w:p w14:paraId="48DBC2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知识库构建</w:t>
            </w:r>
          </w:p>
        </w:tc>
        <w:tc>
          <w:tcPr>
            <w:tcW w:w="7528" w:type="dxa"/>
            <w:tcBorders>
              <w:tl2br w:val="nil"/>
              <w:tr2bl w:val="nil"/>
            </w:tcBorders>
            <w:noWrap/>
            <w:vAlign w:val="center"/>
          </w:tcPr>
          <w:p w14:paraId="4B7042C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▲总体要求：至少完成10种疾病的知识库，其中慢性肾病、血液病、骨质疏松、肝病4种疾病的知识库必须建设，其余6种在项目建设中根据建设单位实际需求建设。</w:t>
            </w:r>
          </w:p>
        </w:tc>
      </w:tr>
      <w:tr w14:paraId="173A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725" w:type="dxa"/>
            <w:vMerge w:val="continue"/>
            <w:tcBorders>
              <w:tl2br w:val="nil"/>
              <w:tr2bl w:val="nil"/>
            </w:tcBorders>
            <w:noWrap w:val="0"/>
            <w:vAlign w:val="center"/>
          </w:tcPr>
          <w:p w14:paraId="22C221AF">
            <w:pPr>
              <w:widowControl/>
              <w:jc w:val="center"/>
              <w:textAlignment w:val="center"/>
              <w:rPr>
                <w:rFonts w:hint="eastAsia" w:ascii="宋体" w:hAnsi="宋体" w:eastAsia="宋体" w:cs="宋体"/>
                <w:color w:val="auto"/>
                <w:kern w:val="0"/>
                <w:sz w:val="21"/>
                <w:szCs w:val="21"/>
                <w:highlight w:val="none"/>
                <w:lang w:bidi="ar"/>
              </w:rPr>
            </w:pPr>
          </w:p>
        </w:tc>
        <w:tc>
          <w:tcPr>
            <w:tcW w:w="808" w:type="dxa"/>
            <w:vMerge w:val="continue"/>
            <w:tcBorders>
              <w:tl2br w:val="nil"/>
              <w:tr2bl w:val="nil"/>
            </w:tcBorders>
            <w:noWrap w:val="0"/>
            <w:vAlign w:val="center"/>
          </w:tcPr>
          <w:p w14:paraId="65AD4415">
            <w:pPr>
              <w:widowControl/>
              <w:jc w:val="center"/>
              <w:textAlignment w:val="center"/>
              <w:rPr>
                <w:rFonts w:hint="eastAsia" w:ascii="宋体" w:hAnsi="宋体" w:eastAsia="宋体" w:cs="宋体"/>
                <w:color w:val="auto"/>
                <w:kern w:val="0"/>
                <w:sz w:val="21"/>
                <w:szCs w:val="21"/>
                <w:highlight w:val="none"/>
                <w:lang w:bidi="ar"/>
              </w:rPr>
            </w:pPr>
          </w:p>
        </w:tc>
        <w:tc>
          <w:tcPr>
            <w:tcW w:w="7528" w:type="dxa"/>
            <w:tcBorders>
              <w:tl2br w:val="nil"/>
              <w:tr2bl w:val="nil"/>
            </w:tcBorders>
            <w:noWrap/>
            <w:vAlign w:val="center"/>
          </w:tcPr>
          <w:p w14:paraId="5D33B0C5">
            <w:pPr>
              <w:widowControl/>
              <w:numPr>
                <w:ilvl w:val="0"/>
                <w:numId w:val="16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疾病相关因素数据治理</w:t>
            </w:r>
          </w:p>
          <w:p w14:paraId="4156AD03">
            <w:pPr>
              <w:widowControl/>
              <w:numPr>
                <w:ilvl w:val="0"/>
                <w:numId w:val="16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肾病危险因素信息</w:t>
            </w:r>
          </w:p>
          <w:p w14:paraId="0CA4A9E5">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支持基于区域全民健康信息平台，利用大数据处理技术，采集慢性肾病全人群的危险因素信息，形成慢性肾病危险因素信息库。</w:t>
            </w:r>
          </w:p>
          <w:p w14:paraId="0B79810C">
            <w:pPr>
              <w:widowControl/>
              <w:numPr>
                <w:ilvl w:val="0"/>
                <w:numId w:val="16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血液病危险因素信息</w:t>
            </w:r>
          </w:p>
          <w:p w14:paraId="7F1643E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支持基于区域全民健康信息平台，利用大数据处理技术，采集血液病全人群的危险因素信息，形成血液病危险因素信息库。</w:t>
            </w:r>
          </w:p>
          <w:p w14:paraId="483A5E05">
            <w:pPr>
              <w:widowControl/>
              <w:numPr>
                <w:ilvl w:val="0"/>
                <w:numId w:val="16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骨质疏松危险因素信息</w:t>
            </w:r>
          </w:p>
          <w:p w14:paraId="0CAC683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支持基于区域全民健康信息平台，利用大数据处理技术，采集骨质疏松全人群的危险因素信息，形成骨质疏松危险因素信息库。</w:t>
            </w:r>
          </w:p>
          <w:p w14:paraId="4611B9F5">
            <w:pPr>
              <w:widowControl/>
              <w:numPr>
                <w:ilvl w:val="0"/>
                <w:numId w:val="162"/>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糖尿病眼病危险因素信息</w:t>
            </w:r>
          </w:p>
          <w:p w14:paraId="3CDF3FE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支持基于区域全民健康信息平台，利用大数据处理技术，采集糖尿病眼病全人群的危险因素信息，形成糖尿病眼病危险因素信息库。</w:t>
            </w:r>
          </w:p>
        </w:tc>
      </w:tr>
      <w:tr w14:paraId="0779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0" w:hRule="atLeast"/>
        </w:trPr>
        <w:tc>
          <w:tcPr>
            <w:tcW w:w="725" w:type="dxa"/>
            <w:vMerge w:val="continue"/>
            <w:tcBorders>
              <w:tl2br w:val="nil"/>
              <w:tr2bl w:val="nil"/>
            </w:tcBorders>
            <w:noWrap w:val="0"/>
            <w:vAlign w:val="center"/>
          </w:tcPr>
          <w:p w14:paraId="0B4A9894">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4C75026C">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3344C09E">
            <w:pPr>
              <w:widowControl/>
              <w:numPr>
                <w:ilvl w:val="0"/>
                <w:numId w:val="16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筛查模型</w:t>
            </w:r>
          </w:p>
          <w:p w14:paraId="4CA0D9E3">
            <w:pPr>
              <w:widowControl/>
              <w:numPr>
                <w:ilvl w:val="0"/>
                <w:numId w:val="163"/>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肾病筛查模型构建</w:t>
            </w:r>
          </w:p>
          <w:p w14:paraId="769C2A2B">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支持在肾病危险因素信息库基础上采用自然语言处理、逻辑回归、随机森林、贝叶斯、极端梯度提升等多种人工智能算法进行处理分析，训练风险预测筛查模型，辅助早期慢性肾病筛查快速推进。</w:t>
            </w:r>
          </w:p>
          <w:p w14:paraId="4E8F4DAE">
            <w:pPr>
              <w:widowControl/>
              <w:numPr>
                <w:ilvl w:val="0"/>
                <w:numId w:val="163"/>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血液病筛查模型构建</w:t>
            </w:r>
          </w:p>
          <w:p w14:paraId="0B3EA0F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支持在血液病危险因素信息库基础上采用自然语言处理、逻辑回归、随机森林、贝叶斯、极端梯度提升等多种人工智能算法进行处理分析，训练风险预测筛查模型，辅助血液病筛查快速推进。</w:t>
            </w:r>
          </w:p>
          <w:p w14:paraId="1C59DFE1">
            <w:pPr>
              <w:widowControl/>
              <w:numPr>
                <w:ilvl w:val="0"/>
                <w:numId w:val="163"/>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骨质疏松筛查模型构建</w:t>
            </w:r>
          </w:p>
          <w:p w14:paraId="1E0CAB7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支持在骨质疏松危险因素信息库基础上采用自然语言处理、逻辑回归、随机森林、贝叶斯、极端梯度提升等多种人工智能算法进行处理分析，训练风险预测筛查模型，辅助骨质疏松筛查快速推进。</w:t>
            </w:r>
          </w:p>
          <w:p w14:paraId="5BDD1D60">
            <w:pPr>
              <w:widowControl/>
              <w:numPr>
                <w:ilvl w:val="0"/>
                <w:numId w:val="163"/>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糖尿病眼病筛查模型构建</w:t>
            </w:r>
          </w:p>
          <w:p w14:paraId="0F9FB7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支持在糖尿病眼病危险因素信息库基础上采用自然语言处理、逻辑回归、随机森林、贝叶斯、极端梯度提升等多种人工智能算法进行处理分析，训练风险预测筛查模型，辅助糖尿病眼病筛查快速推进。</w:t>
            </w:r>
          </w:p>
        </w:tc>
      </w:tr>
      <w:tr w14:paraId="136C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725" w:type="dxa"/>
            <w:vMerge w:val="continue"/>
            <w:tcBorders>
              <w:tl2br w:val="nil"/>
              <w:tr2bl w:val="nil"/>
            </w:tcBorders>
            <w:noWrap w:val="0"/>
            <w:vAlign w:val="center"/>
          </w:tcPr>
          <w:p w14:paraId="109DDD5C">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013A7255">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0F86B5AE">
            <w:pPr>
              <w:widowControl/>
              <w:numPr>
                <w:ilvl w:val="0"/>
                <w:numId w:val="16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分级模型</w:t>
            </w:r>
          </w:p>
          <w:p w14:paraId="7B24413F">
            <w:pPr>
              <w:widowControl/>
              <w:numPr>
                <w:ilvl w:val="0"/>
                <w:numId w:val="16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肾病分级模型构建</w:t>
            </w:r>
          </w:p>
          <w:p w14:paraId="6A73A195">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支持根据总院专科医生经验对慢性肾病的分级标准进行模型构建，方便肾病在管理过程中进行自动分级</w:t>
            </w:r>
          </w:p>
          <w:p w14:paraId="32B925BA">
            <w:pPr>
              <w:widowControl/>
              <w:numPr>
                <w:ilvl w:val="0"/>
                <w:numId w:val="16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血液病分级模型构建</w:t>
            </w:r>
          </w:p>
          <w:p w14:paraId="603662F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支持根据总院专科医生经验对血液病的分级标准进行模型构建，方便血液病在管理过程中进行自动分级</w:t>
            </w:r>
          </w:p>
          <w:p w14:paraId="369842BB">
            <w:pPr>
              <w:widowControl/>
              <w:numPr>
                <w:ilvl w:val="0"/>
                <w:numId w:val="16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骨质疏松分级模型构建</w:t>
            </w:r>
          </w:p>
          <w:p w14:paraId="67442E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支持根据总院专科医生经验对骨质疏松的分级标准进行模型构建，方便骨质疏松在管理过程中进行自动分级</w:t>
            </w:r>
          </w:p>
          <w:p w14:paraId="59CA242E">
            <w:pPr>
              <w:widowControl/>
              <w:numPr>
                <w:ilvl w:val="0"/>
                <w:numId w:val="164"/>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糖尿病眼病分级模型构建</w:t>
            </w:r>
          </w:p>
          <w:p w14:paraId="2E8F3AE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支持根据总院专科医生经验对糖尿病眼病的分级标准进行模型构建，方便糖尿病眼病在管理过程中进行自动分级</w:t>
            </w:r>
          </w:p>
        </w:tc>
      </w:tr>
      <w:tr w14:paraId="31841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725" w:type="dxa"/>
            <w:vMerge w:val="continue"/>
            <w:tcBorders>
              <w:tl2br w:val="nil"/>
              <w:tr2bl w:val="nil"/>
            </w:tcBorders>
            <w:noWrap w:val="0"/>
            <w:vAlign w:val="center"/>
          </w:tcPr>
          <w:p w14:paraId="651C7C96">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34B6AD20">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1CF9AA0B">
            <w:pPr>
              <w:widowControl/>
              <w:numPr>
                <w:ilvl w:val="0"/>
                <w:numId w:val="16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管理模型</w:t>
            </w:r>
          </w:p>
          <w:p w14:paraId="280FD2E4">
            <w:pPr>
              <w:widowControl/>
              <w:numPr>
                <w:ilvl w:val="0"/>
                <w:numId w:val="16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肾病管理模型构建</w:t>
            </w:r>
          </w:p>
          <w:p w14:paraId="0EAF1D0F">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支持根据总院专科医生经验对肾病的随访计划模型进行构建，方便肾病在随访管理中自动生成随访计划，包括随访频率、随访内容</w:t>
            </w:r>
          </w:p>
          <w:p w14:paraId="44E037B0">
            <w:pPr>
              <w:widowControl/>
              <w:numPr>
                <w:ilvl w:val="0"/>
                <w:numId w:val="16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血液病管理模型构建</w:t>
            </w:r>
          </w:p>
          <w:p w14:paraId="6760133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支持根据总院专科医生经验对血液病的随访计划模型进行构建，方便血液病在随访管理中自动生成随访计划，包括随访频率、随访内容</w:t>
            </w:r>
          </w:p>
          <w:p w14:paraId="35773260">
            <w:pPr>
              <w:widowControl/>
              <w:numPr>
                <w:ilvl w:val="0"/>
                <w:numId w:val="16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骨质疏松管理模型构建</w:t>
            </w:r>
          </w:p>
          <w:p w14:paraId="6F0A955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支持根据总院专科医生经验对骨质疏松的随访计划模型进行构建，方便骨质疏松在随访管理中自动生成随访计划，包括随访频率、随访内容</w:t>
            </w:r>
          </w:p>
          <w:p w14:paraId="467C6B8F">
            <w:pPr>
              <w:widowControl/>
              <w:numPr>
                <w:ilvl w:val="0"/>
                <w:numId w:val="165"/>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糖尿病眼病管理模型构建</w:t>
            </w:r>
          </w:p>
          <w:p w14:paraId="569101C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支持根据总院专科医生经验对糖尿病眼病的随访计划模型进行构建，方便糖尿病眼病在随访管理中自动生成随访计划，包括随访频率、随访内容</w:t>
            </w:r>
          </w:p>
        </w:tc>
      </w:tr>
      <w:tr w14:paraId="6FD7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725" w:type="dxa"/>
            <w:vMerge w:val="continue"/>
            <w:tcBorders>
              <w:tl2br w:val="nil"/>
              <w:tr2bl w:val="nil"/>
            </w:tcBorders>
            <w:noWrap w:val="0"/>
            <w:vAlign w:val="center"/>
          </w:tcPr>
          <w:p w14:paraId="3F639405">
            <w:pPr>
              <w:jc w:val="center"/>
              <w:rPr>
                <w:rFonts w:hint="eastAsia" w:ascii="宋体" w:hAnsi="宋体" w:eastAsia="宋体" w:cs="宋体"/>
                <w:color w:val="auto"/>
                <w:sz w:val="21"/>
                <w:szCs w:val="21"/>
                <w:highlight w:val="none"/>
              </w:rPr>
            </w:pPr>
          </w:p>
        </w:tc>
        <w:tc>
          <w:tcPr>
            <w:tcW w:w="808" w:type="dxa"/>
            <w:vMerge w:val="continue"/>
            <w:tcBorders>
              <w:tl2br w:val="nil"/>
              <w:tr2bl w:val="nil"/>
            </w:tcBorders>
            <w:noWrap w:val="0"/>
            <w:vAlign w:val="center"/>
          </w:tcPr>
          <w:p w14:paraId="1A44470F">
            <w:pPr>
              <w:jc w:val="center"/>
              <w:rPr>
                <w:rFonts w:hint="eastAsia" w:ascii="宋体" w:hAnsi="宋体" w:eastAsia="宋体" w:cs="宋体"/>
                <w:color w:val="auto"/>
                <w:sz w:val="21"/>
                <w:szCs w:val="21"/>
                <w:highlight w:val="none"/>
              </w:rPr>
            </w:pPr>
          </w:p>
        </w:tc>
        <w:tc>
          <w:tcPr>
            <w:tcW w:w="7528" w:type="dxa"/>
            <w:tcBorders>
              <w:tl2br w:val="nil"/>
              <w:tr2bl w:val="nil"/>
            </w:tcBorders>
            <w:noWrap/>
            <w:vAlign w:val="center"/>
          </w:tcPr>
          <w:p w14:paraId="3DF53AA5">
            <w:pPr>
              <w:widowControl/>
              <w:numPr>
                <w:ilvl w:val="0"/>
                <w:numId w:val="161"/>
              </w:numPr>
              <w:ind w:left="0" w:leftChars="0" w:firstLine="0" w:firstLine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随访自动判断病情模型</w:t>
            </w:r>
          </w:p>
          <w:p w14:paraId="08F95EEE">
            <w:pPr>
              <w:widowControl/>
              <w:numPr>
                <w:ilvl w:val="0"/>
                <w:numId w:val="166"/>
              </w:numPr>
              <w:ind w:left="425" w:hanging="425"/>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肾病随访自动判断病情模型构建</w:t>
            </w:r>
          </w:p>
          <w:p w14:paraId="7E0B0C7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支持根据总院肾病专科医生的经验对肾病随访评估规则进行构建，方便肾病随访过程中对肾病的情况进行自动评估</w:t>
            </w:r>
          </w:p>
        </w:tc>
      </w:tr>
    </w:tbl>
    <w:p w14:paraId="357E559F">
      <w:pPr>
        <w:rPr>
          <w:rFonts w:hint="eastAsia" w:ascii="Calibri" w:hAnsi="Calibri" w:eastAsia="宋体" w:cs="Times New Roman"/>
          <w:color w:val="auto"/>
          <w:sz w:val="21"/>
          <w:szCs w:val="21"/>
          <w:lang w:val="en-US" w:eastAsia="zh-CN"/>
        </w:rPr>
      </w:pPr>
    </w:p>
    <w:p w14:paraId="71864FB9">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区域医后付（改造+新增）</w:t>
      </w:r>
    </w:p>
    <w:tbl>
      <w:tblPr>
        <w:tblStyle w:val="13"/>
        <w:tblW w:w="5009" w:type="pct"/>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3"/>
        <w:gridCol w:w="788"/>
        <w:gridCol w:w="6966"/>
      </w:tblGrid>
      <w:tr w14:paraId="64C2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00" w:type="dxa"/>
            <w:tcBorders>
              <w:tl2br w:val="nil"/>
              <w:tr2bl w:val="nil"/>
            </w:tcBorders>
            <w:noWrap w:val="0"/>
            <w:tcFitText/>
            <w:vAlign w:val="center"/>
          </w:tcPr>
          <w:p w14:paraId="64D6A282">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pacing w:val="0"/>
                <w:kern w:val="0"/>
                <w:sz w:val="21"/>
                <w:szCs w:val="21"/>
                <w:lang w:bidi="ar"/>
              </w:rPr>
            </w:pPr>
            <w:r>
              <w:rPr>
                <w:rFonts w:hint="eastAsia" w:ascii="宋体" w:hAnsi="宋体" w:eastAsia="宋体" w:cs="宋体"/>
                <w:b/>
                <w:bCs/>
                <w:color w:val="auto"/>
                <w:spacing w:val="86"/>
                <w:w w:val="95"/>
                <w:kern w:val="0"/>
                <w:sz w:val="21"/>
                <w:szCs w:val="21"/>
                <w:lang w:bidi="ar"/>
              </w:rPr>
              <w:t>序</w:t>
            </w:r>
            <w:r>
              <w:rPr>
                <w:rFonts w:hint="eastAsia" w:ascii="宋体" w:hAnsi="宋体" w:eastAsia="宋体" w:cs="宋体"/>
                <w:b/>
                <w:bCs/>
                <w:color w:val="auto"/>
                <w:spacing w:val="0"/>
                <w:w w:val="95"/>
                <w:kern w:val="0"/>
                <w:sz w:val="21"/>
                <w:szCs w:val="21"/>
                <w:lang w:bidi="ar"/>
              </w:rPr>
              <w:t>号</w:t>
            </w:r>
          </w:p>
        </w:tc>
        <w:tc>
          <w:tcPr>
            <w:tcW w:w="802" w:type="dxa"/>
            <w:tcBorders>
              <w:tl2br w:val="nil"/>
              <w:tr2bl w:val="nil"/>
            </w:tcBorders>
            <w:noWrap w:val="0"/>
            <w:vAlign w:val="center"/>
          </w:tcPr>
          <w:p w14:paraId="0A9F5DBF">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7476" w:type="dxa"/>
            <w:tcBorders>
              <w:tl2br w:val="nil"/>
              <w:tr2bl w:val="nil"/>
            </w:tcBorders>
            <w:noWrap w:val="0"/>
            <w:vAlign w:val="center"/>
          </w:tcPr>
          <w:p w14:paraId="6C53FC0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135E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800" w:type="dxa"/>
            <w:tcBorders>
              <w:tl2br w:val="nil"/>
              <w:tr2bl w:val="nil"/>
            </w:tcBorders>
            <w:noWrap w:val="0"/>
            <w:vAlign w:val="center"/>
          </w:tcPr>
          <w:p w14:paraId="52D1D77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802" w:type="dxa"/>
            <w:tcBorders>
              <w:tl2br w:val="nil"/>
              <w:tr2bl w:val="nil"/>
            </w:tcBorders>
            <w:noWrap w:val="0"/>
            <w:vAlign w:val="center"/>
          </w:tcPr>
          <w:p w14:paraId="4525A235">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医疗机构管理（改造）</w:t>
            </w:r>
          </w:p>
        </w:tc>
        <w:tc>
          <w:tcPr>
            <w:tcW w:w="7476" w:type="dxa"/>
            <w:tcBorders>
              <w:tl2br w:val="nil"/>
              <w:tr2bl w:val="nil"/>
            </w:tcBorders>
            <w:noWrap w:val="0"/>
            <w:vAlign w:val="center"/>
          </w:tcPr>
          <w:p w14:paraId="34DB616E">
            <w:pPr>
              <w:pageBreakBefore w:val="0"/>
              <w:widowControl/>
              <w:numPr>
                <w:ilvl w:val="0"/>
                <w:numId w:val="1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医疗机构管理</w:t>
            </w:r>
          </w:p>
          <w:p w14:paraId="11D31BF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支持按机构编号、机构名称、机构状态搜索</w:t>
            </w:r>
          </w:p>
          <w:p w14:paraId="1F91F01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支持新增机构信息</w:t>
            </w:r>
          </w:p>
          <w:p w14:paraId="1C257EF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支持查看、编辑、删除机构信息</w:t>
            </w:r>
          </w:p>
        </w:tc>
      </w:tr>
      <w:tr w14:paraId="3890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trPr>
        <w:tc>
          <w:tcPr>
            <w:tcW w:w="800" w:type="dxa"/>
            <w:tcBorders>
              <w:tl2br w:val="nil"/>
              <w:tr2bl w:val="nil"/>
            </w:tcBorders>
            <w:noWrap w:val="0"/>
            <w:vAlign w:val="center"/>
          </w:tcPr>
          <w:p w14:paraId="2CCFE36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802" w:type="dxa"/>
            <w:tcBorders>
              <w:tl2br w:val="nil"/>
              <w:tr2bl w:val="nil"/>
            </w:tcBorders>
            <w:noWrap w:val="0"/>
            <w:vAlign w:val="center"/>
          </w:tcPr>
          <w:p w14:paraId="27842391">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登录首页（改造）</w:t>
            </w:r>
          </w:p>
        </w:tc>
        <w:tc>
          <w:tcPr>
            <w:tcW w:w="7476" w:type="dxa"/>
            <w:tcBorders>
              <w:tl2br w:val="nil"/>
              <w:tr2bl w:val="nil"/>
            </w:tcBorders>
            <w:noWrap w:val="0"/>
            <w:vAlign w:val="center"/>
          </w:tcPr>
          <w:p w14:paraId="03A52F15">
            <w:pPr>
              <w:pageBreakBefore w:val="0"/>
              <w:widowControl/>
              <w:numPr>
                <w:ilvl w:val="0"/>
                <w:numId w:val="16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登录首页</w:t>
            </w:r>
          </w:p>
          <w:p w14:paraId="4F9848D4">
            <w:pPr>
              <w:keepNext w:val="0"/>
              <w:keepLines w:val="0"/>
              <w:pageBreakBefore w:val="0"/>
              <w:widowControl/>
              <w:numPr>
                <w:ilvl w:val="0"/>
                <w:numId w:val="168"/>
              </w:numPr>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数据总览</w:t>
            </w:r>
          </w:p>
          <w:p w14:paraId="7FFE46D7">
            <w:pPr>
              <w:widowControl/>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展示医后付交易量、实收交易量、未支付交易量、医后付签约人数</w:t>
            </w:r>
          </w:p>
          <w:p w14:paraId="757C5FAF">
            <w:pPr>
              <w:widowControl/>
              <w:numPr>
                <w:ilvl w:val="0"/>
                <w:numId w:val="168"/>
              </w:numPr>
              <w:adjustRightInd w:val="0"/>
              <w:snapToGrid w:val="0"/>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支持柱状图形式展示欠费人次和欠费金额</w:t>
            </w:r>
          </w:p>
          <w:p w14:paraId="7B323F48">
            <w:pPr>
              <w:widowControl/>
              <w:numPr>
                <w:ilvl w:val="0"/>
                <w:numId w:val="168"/>
              </w:numPr>
              <w:adjustRightInd w:val="0"/>
              <w:snapToGrid w:val="0"/>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收入支出统计</w:t>
            </w:r>
          </w:p>
          <w:p w14:paraId="3A6851D1">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支持折线图展示支付总额和账单总额；</w:t>
            </w:r>
          </w:p>
          <w:p w14:paraId="09F887B6">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支持根据年/月来调整时间轴</w:t>
            </w:r>
          </w:p>
          <w:p w14:paraId="1ACE65B9">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支持选择日期</w:t>
            </w:r>
          </w:p>
          <w:p w14:paraId="6A487A4E">
            <w:pPr>
              <w:widowControl/>
              <w:numPr>
                <w:ilvl w:val="0"/>
                <w:numId w:val="168"/>
              </w:numPr>
              <w:adjustRightInd w:val="0"/>
              <w:snapToGrid w:val="0"/>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支付统计</w:t>
            </w:r>
          </w:p>
          <w:p w14:paraId="39F7B07F">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支持柱状图展示支付情况</w:t>
            </w:r>
          </w:p>
          <w:p w14:paraId="4035FAE1">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支持选择机构</w:t>
            </w:r>
          </w:p>
          <w:p w14:paraId="21C749B2">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支持选择时间范围</w:t>
            </w:r>
          </w:p>
          <w:p w14:paraId="32DE0162">
            <w:pPr>
              <w:widowControl/>
              <w:adjustRightInd w:val="0"/>
              <w:snapToGrid w:val="0"/>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支持展示本月新签约人次、环比增长、累计签约总人数</w:t>
            </w:r>
          </w:p>
          <w:p w14:paraId="187EC1D6">
            <w:pPr>
              <w:widowControl/>
              <w:numPr>
                <w:ilvl w:val="0"/>
                <w:numId w:val="168"/>
              </w:numPr>
              <w:adjustRightInd w:val="0"/>
              <w:snapToGrid w:val="0"/>
              <w:ind w:left="0" w:leftChars="0" w:firstLine="0" w:firstLineChars="0"/>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签约统计</w:t>
            </w:r>
          </w:p>
          <w:p w14:paraId="682E94BC">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支持展示本月新签约人次、环比增长、累计签约总人数</w:t>
            </w:r>
          </w:p>
          <w:p w14:paraId="0ABE1308">
            <w:pPr>
              <w:widowControl/>
              <w:numPr>
                <w:ilvl w:val="0"/>
                <w:numId w:val="168"/>
              </w:numPr>
              <w:adjustRightInd w:val="0"/>
              <w:snapToGrid w:val="0"/>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对账清分统计</w:t>
            </w:r>
          </w:p>
          <w:p w14:paraId="2C07A4D3">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支持饼图展示医后付账户余额</w:t>
            </w:r>
          </w:p>
          <w:p w14:paraId="3063D94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支持展示本月对帐清分情况</w:t>
            </w:r>
          </w:p>
        </w:tc>
      </w:tr>
      <w:tr w14:paraId="1BED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800" w:type="dxa"/>
            <w:vMerge w:val="restart"/>
            <w:tcBorders>
              <w:tl2br w:val="nil"/>
              <w:tr2bl w:val="nil"/>
            </w:tcBorders>
            <w:noWrap w:val="0"/>
            <w:vAlign w:val="center"/>
          </w:tcPr>
          <w:p w14:paraId="1D8C2DD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c>
          <w:tcPr>
            <w:tcW w:w="802" w:type="dxa"/>
            <w:vMerge w:val="restart"/>
            <w:tcBorders>
              <w:tl2br w:val="nil"/>
              <w:tr2bl w:val="nil"/>
            </w:tcBorders>
            <w:noWrap w:val="0"/>
            <w:vAlign w:val="center"/>
          </w:tcPr>
          <w:p w14:paraId="00182B9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签约管理（改造）</w:t>
            </w:r>
          </w:p>
        </w:tc>
        <w:tc>
          <w:tcPr>
            <w:tcW w:w="7476" w:type="dxa"/>
            <w:tcBorders>
              <w:tl2br w:val="nil"/>
              <w:tr2bl w:val="nil"/>
            </w:tcBorders>
            <w:noWrap w:val="0"/>
            <w:vAlign w:val="center"/>
          </w:tcPr>
          <w:p w14:paraId="67CFF376">
            <w:pPr>
              <w:pageBreakBefore w:val="0"/>
              <w:widowControl/>
              <w:numPr>
                <w:ilvl w:val="0"/>
                <w:numId w:val="1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签约</w:t>
            </w:r>
          </w:p>
          <w:p w14:paraId="4221A5C4">
            <w:pPr>
              <w:pageBreakBefore w:val="0"/>
              <w:widowControl/>
              <w:numPr>
                <w:ilvl w:val="0"/>
                <w:numId w:val="17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签约协议确认</w:t>
            </w:r>
          </w:p>
          <w:p w14:paraId="73AAABD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支持签约协议展示</w:t>
            </w:r>
          </w:p>
          <w:p w14:paraId="7079E25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支持协议确认</w:t>
            </w:r>
          </w:p>
          <w:p w14:paraId="1959778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支持协议取消</w:t>
            </w:r>
          </w:p>
          <w:p w14:paraId="57C55E3C">
            <w:pPr>
              <w:pageBreakBefore w:val="0"/>
              <w:widowControl/>
              <w:numPr>
                <w:ilvl w:val="0"/>
                <w:numId w:val="17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签约身份验证</w:t>
            </w:r>
          </w:p>
          <w:p w14:paraId="30C1763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支持填写用户基本信息</w:t>
            </w:r>
          </w:p>
          <w:p w14:paraId="743E206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支持发送短信验证码</w:t>
            </w:r>
          </w:p>
          <w:p w14:paraId="5A75894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支持完成签约</w:t>
            </w:r>
          </w:p>
          <w:p w14:paraId="3AE026A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支持协议取消</w:t>
            </w:r>
          </w:p>
        </w:tc>
      </w:tr>
      <w:tr w14:paraId="3706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rPr>
        <w:tc>
          <w:tcPr>
            <w:tcW w:w="800" w:type="dxa"/>
            <w:vMerge w:val="continue"/>
            <w:tcBorders>
              <w:tl2br w:val="nil"/>
              <w:tr2bl w:val="nil"/>
            </w:tcBorders>
            <w:noWrap w:val="0"/>
            <w:vAlign w:val="center"/>
          </w:tcPr>
          <w:p w14:paraId="6B23265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6227607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7B9A4866">
            <w:pPr>
              <w:pageBreakBefore w:val="0"/>
              <w:widowControl/>
              <w:numPr>
                <w:ilvl w:val="0"/>
                <w:numId w:val="1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签约居民管理</w:t>
            </w:r>
          </w:p>
          <w:p w14:paraId="26452308">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患者查询</w:t>
            </w:r>
          </w:p>
          <w:p w14:paraId="38A4057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支持根据条件查询患者</w:t>
            </w:r>
          </w:p>
          <w:p w14:paraId="07471A7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0FC383A9">
            <w:pPr>
              <w:pageBreakBefore w:val="0"/>
              <w:widowControl/>
              <w:numPr>
                <w:ilvl w:val="0"/>
                <w:numId w:val="171"/>
              </w:numPr>
              <w:kinsoku/>
              <w:wordWrap/>
              <w:overflowPunct/>
              <w:topLinePunct w:val="0"/>
              <w:autoSpaceDE/>
              <w:autoSpaceDN/>
              <w:bidi w:val="0"/>
              <w:adjustRightInd w:val="0"/>
              <w:snapToGrid w:val="0"/>
              <w:ind w:left="0" w:firstLine="4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支持以列表形式展示已签约的居民信息</w:t>
            </w:r>
            <w:r>
              <w:rPr>
                <w:rFonts w:hint="eastAsia" w:ascii="宋体" w:hAnsi="宋体" w:eastAsia="宋体" w:cs="宋体"/>
                <w:color w:val="auto"/>
                <w:sz w:val="21"/>
                <w:szCs w:val="21"/>
              </w:rPr>
              <w:t xml:space="preserve"> </w:t>
            </w:r>
          </w:p>
          <w:p w14:paraId="3C527F22">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自定义列表</w:t>
            </w:r>
          </w:p>
          <w:p w14:paraId="649772F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支持对签约居民列表展示列进行个性化调整</w:t>
            </w:r>
          </w:p>
          <w:p w14:paraId="08AA1AF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支持一键全选</w:t>
            </w:r>
          </w:p>
          <w:p w14:paraId="742501E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支持恢复默认</w:t>
            </w:r>
          </w:p>
          <w:p w14:paraId="7201E42B">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支持调用签约功能</w:t>
            </w:r>
            <w:r>
              <w:rPr>
                <w:rFonts w:hint="eastAsia" w:ascii="宋体" w:hAnsi="宋体" w:eastAsia="宋体" w:cs="宋体"/>
                <w:color w:val="auto"/>
                <w:sz w:val="21"/>
                <w:szCs w:val="21"/>
              </w:rPr>
              <w:t xml:space="preserve"> </w:t>
            </w:r>
          </w:p>
          <w:p w14:paraId="78988E35">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支持调用解约功能</w:t>
            </w:r>
          </w:p>
          <w:p w14:paraId="4C4407F0">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签约信息查看</w:t>
            </w:r>
          </w:p>
          <w:p w14:paraId="17DD146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支持查看居民签约信息</w:t>
            </w:r>
          </w:p>
          <w:p w14:paraId="6AFF458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支持调用解约功能</w:t>
            </w:r>
          </w:p>
          <w:p w14:paraId="4D059928">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签约信息修改</w:t>
            </w:r>
          </w:p>
          <w:p w14:paraId="7CCB71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支持修改家庭地址</w:t>
            </w:r>
          </w:p>
          <w:p w14:paraId="3B26A31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支持修改手机号</w:t>
            </w:r>
          </w:p>
          <w:p w14:paraId="1049AD8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支持更改签约人姓名</w:t>
            </w:r>
          </w:p>
          <w:p w14:paraId="704E6DE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支持调整授信额度</w:t>
            </w:r>
          </w:p>
          <w:p w14:paraId="401A8290">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支持导出签约居民信息</w:t>
            </w:r>
          </w:p>
          <w:p w14:paraId="7A4700D3">
            <w:pPr>
              <w:pageBreakBefore w:val="0"/>
              <w:widowControl/>
              <w:numPr>
                <w:ilvl w:val="0"/>
                <w:numId w:val="17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支持查看患者的情亲账号</w:t>
            </w:r>
          </w:p>
        </w:tc>
      </w:tr>
      <w:tr w14:paraId="22CD5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800" w:type="dxa"/>
            <w:vMerge w:val="continue"/>
            <w:tcBorders>
              <w:tl2br w:val="nil"/>
              <w:tr2bl w:val="nil"/>
            </w:tcBorders>
            <w:noWrap w:val="0"/>
            <w:vAlign w:val="center"/>
          </w:tcPr>
          <w:p w14:paraId="31B0D5AA">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59BB106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7ECA2A6E">
            <w:pPr>
              <w:pageBreakBefore w:val="0"/>
              <w:widowControl/>
              <w:numPr>
                <w:ilvl w:val="0"/>
                <w:numId w:val="1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违约管理</w:t>
            </w:r>
          </w:p>
          <w:p w14:paraId="40999623">
            <w:pPr>
              <w:pageBreakBefore w:val="0"/>
              <w:widowControl/>
              <w:numPr>
                <w:ilvl w:val="0"/>
                <w:numId w:val="17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违约患者查询</w:t>
            </w:r>
          </w:p>
          <w:p w14:paraId="25104CA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支持根据条件查询患者</w:t>
            </w:r>
          </w:p>
          <w:p w14:paraId="5BCDB4E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0B498849">
            <w:pPr>
              <w:pageBreakBefore w:val="0"/>
              <w:widowControl/>
              <w:numPr>
                <w:ilvl w:val="0"/>
                <w:numId w:val="172"/>
              </w:numPr>
              <w:kinsoku/>
              <w:wordWrap/>
              <w:overflowPunct/>
              <w:topLinePunct w:val="0"/>
              <w:autoSpaceDE/>
              <w:autoSpaceDN/>
              <w:bidi w:val="0"/>
              <w:adjustRightInd w:val="0"/>
              <w:snapToGrid w:val="0"/>
              <w:ind w:left="0" w:firstLine="4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支持以列表形式展示已违约的居民信息</w:t>
            </w:r>
          </w:p>
          <w:p w14:paraId="7064D2F6">
            <w:pPr>
              <w:pageBreakBefore w:val="0"/>
              <w:widowControl/>
              <w:numPr>
                <w:ilvl w:val="0"/>
                <w:numId w:val="17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自定义列表</w:t>
            </w:r>
          </w:p>
          <w:p w14:paraId="330AB36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支持对违约居民列表展示列进行个性化调整</w:t>
            </w:r>
          </w:p>
          <w:p w14:paraId="504FA1B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支持一键全选</w:t>
            </w:r>
          </w:p>
          <w:p w14:paraId="174834A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支持恢复默认</w:t>
            </w:r>
          </w:p>
        </w:tc>
      </w:tr>
      <w:tr w14:paraId="3A48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00" w:type="dxa"/>
            <w:vMerge w:val="continue"/>
            <w:tcBorders>
              <w:tl2br w:val="nil"/>
              <w:tr2bl w:val="nil"/>
            </w:tcBorders>
            <w:noWrap w:val="0"/>
            <w:vAlign w:val="center"/>
          </w:tcPr>
          <w:p w14:paraId="0C317253">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5259742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50C65AD8">
            <w:pPr>
              <w:pageBreakBefore w:val="0"/>
              <w:widowControl/>
              <w:numPr>
                <w:ilvl w:val="0"/>
                <w:numId w:val="1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解约</w:t>
            </w:r>
          </w:p>
          <w:p w14:paraId="0E318422">
            <w:pPr>
              <w:pageBreakBefore w:val="0"/>
              <w:widowControl/>
              <w:numPr>
                <w:ilvl w:val="0"/>
                <w:numId w:val="17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支持根据社保卡号、证件号查询患者</w:t>
            </w:r>
          </w:p>
          <w:p w14:paraId="54A2330C">
            <w:pPr>
              <w:pageBreakBefore w:val="0"/>
              <w:widowControl/>
              <w:numPr>
                <w:ilvl w:val="0"/>
                <w:numId w:val="17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解约信息确认</w:t>
            </w:r>
          </w:p>
          <w:p w14:paraId="53F4A4B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支持输入解约原因</w:t>
            </w:r>
          </w:p>
          <w:p w14:paraId="74503E5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支持数据患者解约验证码</w:t>
            </w:r>
          </w:p>
          <w:p w14:paraId="689EB65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支持解约操作</w:t>
            </w:r>
          </w:p>
        </w:tc>
      </w:tr>
      <w:tr w14:paraId="57E1F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00" w:type="dxa"/>
            <w:vMerge w:val="continue"/>
            <w:tcBorders>
              <w:tl2br w:val="nil"/>
              <w:tr2bl w:val="nil"/>
            </w:tcBorders>
            <w:noWrap w:val="0"/>
            <w:vAlign w:val="center"/>
          </w:tcPr>
          <w:p w14:paraId="5748475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141B9DD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08D2AF8F">
            <w:pPr>
              <w:pageBreakBefore w:val="0"/>
              <w:widowControl/>
              <w:numPr>
                <w:ilvl w:val="0"/>
                <w:numId w:val="1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协议模板管理</w:t>
            </w:r>
          </w:p>
          <w:p w14:paraId="0D368183">
            <w:pPr>
              <w:pageBreakBefore w:val="0"/>
              <w:widowControl/>
              <w:numPr>
                <w:ilvl w:val="0"/>
                <w:numId w:val="17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协议模板新增</w:t>
            </w:r>
          </w:p>
          <w:p w14:paraId="71F956C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支持新增协议模板</w:t>
            </w:r>
          </w:p>
          <w:p w14:paraId="4947E30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支持输入协议详细内容</w:t>
            </w:r>
          </w:p>
          <w:p w14:paraId="4A3543FB">
            <w:pPr>
              <w:pageBreakBefore w:val="0"/>
              <w:widowControl/>
              <w:numPr>
                <w:ilvl w:val="0"/>
                <w:numId w:val="174"/>
              </w:numPr>
              <w:kinsoku/>
              <w:wordWrap/>
              <w:overflowPunct/>
              <w:topLinePunct w:val="0"/>
              <w:autoSpaceDE/>
              <w:autoSpaceDN/>
              <w:bidi w:val="0"/>
              <w:adjustRightInd w:val="0"/>
              <w:snapToGrid w:val="0"/>
              <w:ind w:left="0" w:firstLine="4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支持查看已输入的协议内容</w:t>
            </w:r>
          </w:p>
          <w:p w14:paraId="5003EADB">
            <w:pPr>
              <w:pageBreakBefore w:val="0"/>
              <w:widowControl/>
              <w:numPr>
                <w:ilvl w:val="0"/>
                <w:numId w:val="17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协议修改</w:t>
            </w:r>
          </w:p>
          <w:p w14:paraId="098E1E6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支持修改协议模板</w:t>
            </w:r>
          </w:p>
          <w:p w14:paraId="36753C7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支持预览修改后的协议模板</w:t>
            </w:r>
          </w:p>
        </w:tc>
      </w:tr>
      <w:tr w14:paraId="3571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800" w:type="dxa"/>
            <w:vMerge w:val="continue"/>
            <w:tcBorders>
              <w:tl2br w:val="nil"/>
              <w:tr2bl w:val="nil"/>
            </w:tcBorders>
            <w:noWrap w:val="0"/>
            <w:vAlign w:val="center"/>
          </w:tcPr>
          <w:p w14:paraId="52BD0312">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2C236512">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4FA053E9">
            <w:pPr>
              <w:pageBreakBefore w:val="0"/>
              <w:widowControl/>
              <w:numPr>
                <w:ilvl w:val="0"/>
                <w:numId w:val="1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逾期管理</w:t>
            </w:r>
          </w:p>
          <w:p w14:paraId="22C3F419">
            <w:pPr>
              <w:pageBreakBefore w:val="0"/>
              <w:widowControl/>
              <w:numPr>
                <w:ilvl w:val="0"/>
                <w:numId w:val="17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逾期查询</w:t>
            </w:r>
          </w:p>
          <w:p w14:paraId="0D58735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支持根据条件查询逾期患者</w:t>
            </w:r>
          </w:p>
          <w:p w14:paraId="362BFF3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663BBAA7">
            <w:pPr>
              <w:pageBreakBefore w:val="0"/>
              <w:widowControl/>
              <w:numPr>
                <w:ilvl w:val="0"/>
                <w:numId w:val="17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支持以列表形式展示逾期的居民信息</w:t>
            </w:r>
          </w:p>
          <w:p w14:paraId="55D9D678">
            <w:pPr>
              <w:pageBreakBefore w:val="0"/>
              <w:widowControl/>
              <w:numPr>
                <w:ilvl w:val="0"/>
                <w:numId w:val="17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自定义列表</w:t>
            </w:r>
          </w:p>
          <w:p w14:paraId="7CB0BCE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支持对逾期居民列表展示列进行个性化调整</w:t>
            </w:r>
          </w:p>
          <w:p w14:paraId="078F54D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支持一键全选</w:t>
            </w:r>
          </w:p>
          <w:p w14:paraId="67BDCAD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支持恢复默认</w:t>
            </w:r>
          </w:p>
          <w:p w14:paraId="1FFFF7A2">
            <w:pPr>
              <w:pageBreakBefore w:val="0"/>
              <w:widowControl/>
              <w:numPr>
                <w:ilvl w:val="0"/>
                <w:numId w:val="17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支持撤销患者的逾期账单</w:t>
            </w:r>
          </w:p>
        </w:tc>
      </w:tr>
      <w:tr w14:paraId="08B27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00" w:type="dxa"/>
            <w:vMerge w:val="restart"/>
            <w:tcBorders>
              <w:tl2br w:val="nil"/>
              <w:tr2bl w:val="nil"/>
            </w:tcBorders>
            <w:noWrap w:val="0"/>
            <w:vAlign w:val="center"/>
          </w:tcPr>
          <w:p w14:paraId="242BBEAB">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c>
          <w:tcPr>
            <w:tcW w:w="802" w:type="dxa"/>
            <w:vMerge w:val="restart"/>
            <w:tcBorders>
              <w:tl2br w:val="nil"/>
              <w:tr2bl w:val="nil"/>
            </w:tcBorders>
            <w:noWrap w:val="0"/>
            <w:vAlign w:val="center"/>
          </w:tcPr>
          <w:p w14:paraId="0E98A7F1">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账单管理（改造）</w:t>
            </w:r>
          </w:p>
        </w:tc>
        <w:tc>
          <w:tcPr>
            <w:tcW w:w="7476" w:type="dxa"/>
            <w:tcBorders>
              <w:tl2br w:val="nil"/>
              <w:tr2bl w:val="nil"/>
            </w:tcBorders>
            <w:noWrap w:val="0"/>
            <w:vAlign w:val="center"/>
          </w:tcPr>
          <w:p w14:paraId="4135CC8B">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账单汇总查询</w:t>
            </w:r>
          </w:p>
          <w:p w14:paraId="19254FD2">
            <w:pPr>
              <w:pageBreakBefore w:val="0"/>
              <w:widowControl/>
              <w:numPr>
                <w:ilvl w:val="0"/>
                <w:numId w:val="17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账单查询</w:t>
            </w:r>
          </w:p>
          <w:p w14:paraId="5D21A9A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支持根据条件查询账单</w:t>
            </w:r>
          </w:p>
          <w:p w14:paraId="2FA07E6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4BD70AF4">
            <w:pPr>
              <w:pageBreakBefore w:val="0"/>
              <w:widowControl/>
              <w:numPr>
                <w:ilvl w:val="0"/>
                <w:numId w:val="17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支持以列表形式</w:t>
            </w:r>
          </w:p>
          <w:p w14:paraId="2993689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展示账单明细</w:t>
            </w:r>
          </w:p>
        </w:tc>
      </w:tr>
      <w:tr w14:paraId="44EF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00" w:type="dxa"/>
            <w:vMerge w:val="continue"/>
            <w:tcBorders>
              <w:tl2br w:val="nil"/>
              <w:tr2bl w:val="nil"/>
            </w:tcBorders>
            <w:noWrap w:val="0"/>
            <w:vAlign w:val="center"/>
          </w:tcPr>
          <w:p w14:paraId="28E0754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33A290F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5819A7EF">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账单明细查询</w:t>
            </w:r>
          </w:p>
          <w:p w14:paraId="4AB0B59F">
            <w:pPr>
              <w:pageBreakBefore w:val="0"/>
              <w:widowControl/>
              <w:numPr>
                <w:ilvl w:val="0"/>
                <w:numId w:val="1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缴费明细查询</w:t>
            </w:r>
          </w:p>
          <w:p w14:paraId="6D28126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支持根据条件查询账单</w:t>
            </w:r>
          </w:p>
          <w:p w14:paraId="4385B6F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0AD8263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支持过滤已改已退记录</w:t>
            </w:r>
          </w:p>
          <w:p w14:paraId="17989B84">
            <w:pPr>
              <w:pageBreakBefore w:val="0"/>
              <w:widowControl/>
              <w:numPr>
                <w:ilvl w:val="0"/>
                <w:numId w:val="1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坏账标记</w:t>
            </w:r>
          </w:p>
          <w:p w14:paraId="715758A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支持标记坏账</w:t>
            </w:r>
          </w:p>
          <w:p w14:paraId="679B974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支持批量标记坏账</w:t>
            </w:r>
          </w:p>
          <w:p w14:paraId="14A0EB66">
            <w:pPr>
              <w:pageBreakBefore w:val="0"/>
              <w:widowControl/>
              <w:numPr>
                <w:ilvl w:val="0"/>
                <w:numId w:val="1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支持列表形式展示账单明细</w:t>
            </w:r>
          </w:p>
          <w:p w14:paraId="4DCE2306">
            <w:pPr>
              <w:pageBreakBefore w:val="0"/>
              <w:widowControl/>
              <w:numPr>
                <w:ilvl w:val="0"/>
                <w:numId w:val="1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支持一键发送催缴短信</w:t>
            </w:r>
          </w:p>
          <w:p w14:paraId="31A05A46">
            <w:pPr>
              <w:pageBreakBefore w:val="0"/>
              <w:widowControl/>
              <w:numPr>
                <w:ilvl w:val="0"/>
                <w:numId w:val="1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支持查询患者账单明细</w:t>
            </w:r>
          </w:p>
          <w:p w14:paraId="18DDDB60">
            <w:pPr>
              <w:pageBreakBefore w:val="0"/>
              <w:widowControl/>
              <w:numPr>
                <w:ilvl w:val="0"/>
                <w:numId w:val="17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支持表格导出</w:t>
            </w:r>
          </w:p>
        </w:tc>
      </w:tr>
      <w:tr w14:paraId="78A6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00" w:type="dxa"/>
            <w:vMerge w:val="continue"/>
            <w:tcBorders>
              <w:tl2br w:val="nil"/>
              <w:tr2bl w:val="nil"/>
            </w:tcBorders>
            <w:noWrap w:val="0"/>
            <w:vAlign w:val="center"/>
          </w:tcPr>
          <w:p w14:paraId="2440DED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435652D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1013777E">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医后付对账</w:t>
            </w:r>
          </w:p>
          <w:p w14:paraId="7E763C8C">
            <w:pPr>
              <w:pageBreakBefore w:val="0"/>
              <w:widowControl/>
              <w:numPr>
                <w:ilvl w:val="0"/>
                <w:numId w:val="17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对账查询</w:t>
            </w:r>
          </w:p>
          <w:p w14:paraId="647D025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w:t>
            </w:r>
          </w:p>
          <w:p w14:paraId="7FAEF21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690CAD41">
            <w:pPr>
              <w:pageBreakBefore w:val="0"/>
              <w:widowControl/>
              <w:numPr>
                <w:ilvl w:val="0"/>
                <w:numId w:val="17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支持列表形式展示</w:t>
            </w:r>
          </w:p>
          <w:p w14:paraId="2671C279">
            <w:pPr>
              <w:pageBreakBefore w:val="0"/>
              <w:widowControl/>
              <w:numPr>
                <w:ilvl w:val="0"/>
                <w:numId w:val="17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支持系统自动对账</w:t>
            </w:r>
          </w:p>
          <w:p w14:paraId="23F0AF15">
            <w:pPr>
              <w:pageBreakBefore w:val="0"/>
              <w:widowControl/>
              <w:numPr>
                <w:ilvl w:val="0"/>
                <w:numId w:val="17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支持手动对账</w:t>
            </w:r>
          </w:p>
        </w:tc>
      </w:tr>
      <w:tr w14:paraId="689E6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800" w:type="dxa"/>
            <w:vMerge w:val="continue"/>
            <w:tcBorders>
              <w:tl2br w:val="nil"/>
              <w:tr2bl w:val="nil"/>
            </w:tcBorders>
            <w:noWrap w:val="0"/>
            <w:vAlign w:val="center"/>
          </w:tcPr>
          <w:p w14:paraId="29CDF01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1522ACFA">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04382D5D">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坏账查询</w:t>
            </w:r>
          </w:p>
          <w:p w14:paraId="603DB8B1">
            <w:pPr>
              <w:pageBreakBefore w:val="0"/>
              <w:widowControl/>
              <w:numPr>
                <w:ilvl w:val="0"/>
                <w:numId w:val="18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坏账查询</w:t>
            </w:r>
          </w:p>
          <w:p w14:paraId="2D004A4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w:t>
            </w:r>
          </w:p>
          <w:p w14:paraId="4366AA7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2E5231DC">
            <w:pPr>
              <w:pageBreakBefore w:val="0"/>
              <w:widowControl/>
              <w:numPr>
                <w:ilvl w:val="0"/>
                <w:numId w:val="18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支持列表形式展示</w:t>
            </w:r>
          </w:p>
          <w:p w14:paraId="23DD3EB2">
            <w:pPr>
              <w:pageBreakBefore w:val="0"/>
              <w:widowControl/>
              <w:numPr>
                <w:ilvl w:val="0"/>
                <w:numId w:val="18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坏账处理</w:t>
            </w:r>
          </w:p>
          <w:p w14:paraId="3E1808E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支持选择机构</w:t>
            </w:r>
          </w:p>
          <w:p w14:paraId="425D454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支持选择时间</w:t>
            </w:r>
          </w:p>
          <w:p w14:paraId="4FBFCA0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支持处理坏账</w:t>
            </w:r>
          </w:p>
        </w:tc>
      </w:tr>
      <w:tr w14:paraId="7AAD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00" w:type="dxa"/>
            <w:vMerge w:val="continue"/>
            <w:tcBorders>
              <w:tl2br w:val="nil"/>
              <w:tr2bl w:val="nil"/>
            </w:tcBorders>
            <w:noWrap w:val="0"/>
            <w:vAlign w:val="center"/>
          </w:tcPr>
          <w:p w14:paraId="493FE9D2">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2BE8402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0DC5210C">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机构对账查询</w:t>
            </w:r>
          </w:p>
          <w:p w14:paraId="4F7F8255">
            <w:pPr>
              <w:pageBreakBefore w:val="0"/>
              <w:widowControl/>
              <w:numPr>
                <w:ilvl w:val="0"/>
                <w:numId w:val="18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对账清单</w:t>
            </w:r>
          </w:p>
          <w:p w14:paraId="7FB419A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w:t>
            </w:r>
          </w:p>
          <w:p w14:paraId="27B47C6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2D32B8BD">
            <w:pPr>
              <w:pageBreakBefore w:val="0"/>
              <w:widowControl/>
              <w:numPr>
                <w:ilvl w:val="0"/>
                <w:numId w:val="18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支持列表形式展示</w:t>
            </w:r>
          </w:p>
          <w:p w14:paraId="29BDA83D">
            <w:pPr>
              <w:pageBreakBefore w:val="0"/>
              <w:widowControl/>
              <w:numPr>
                <w:ilvl w:val="0"/>
                <w:numId w:val="18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支持查看机构对账明细</w:t>
            </w:r>
          </w:p>
        </w:tc>
      </w:tr>
      <w:tr w14:paraId="18A1B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00" w:type="dxa"/>
            <w:vMerge w:val="continue"/>
            <w:tcBorders>
              <w:tl2br w:val="nil"/>
              <w:tr2bl w:val="nil"/>
            </w:tcBorders>
            <w:noWrap w:val="0"/>
            <w:vAlign w:val="center"/>
          </w:tcPr>
          <w:p w14:paraId="56DE43E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6C62B3C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75F82945">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结算报表</w:t>
            </w:r>
          </w:p>
          <w:p w14:paraId="15B5696A">
            <w:pPr>
              <w:pageBreakBefore w:val="0"/>
              <w:widowControl/>
              <w:numPr>
                <w:ilvl w:val="0"/>
                <w:numId w:val="18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结算报表查询</w:t>
            </w:r>
          </w:p>
          <w:p w14:paraId="3B2492F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w:t>
            </w:r>
          </w:p>
          <w:p w14:paraId="1CD4C23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4330F8DD">
            <w:pPr>
              <w:pageBreakBefore w:val="0"/>
              <w:widowControl/>
              <w:numPr>
                <w:ilvl w:val="0"/>
                <w:numId w:val="182"/>
              </w:numPr>
              <w:kinsoku/>
              <w:wordWrap/>
              <w:overflowPunct/>
              <w:topLinePunct w:val="0"/>
              <w:autoSpaceDE/>
              <w:autoSpaceDN/>
              <w:bidi w:val="0"/>
              <w:adjustRightInd w:val="0"/>
              <w:snapToGrid w:val="0"/>
              <w:ind w:left="0" w:firstLine="4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支持以列表形式展示各机构结算情况</w:t>
            </w:r>
          </w:p>
          <w:p w14:paraId="40EEDAB8">
            <w:pPr>
              <w:pageBreakBefore w:val="0"/>
              <w:widowControl/>
              <w:numPr>
                <w:ilvl w:val="0"/>
                <w:numId w:val="18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报表生成</w:t>
            </w:r>
          </w:p>
          <w:p w14:paraId="77B6260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支持根据时间生成报表</w:t>
            </w:r>
          </w:p>
          <w:p w14:paraId="171CDFB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支持报表打印</w:t>
            </w:r>
          </w:p>
        </w:tc>
      </w:tr>
      <w:tr w14:paraId="4F89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00" w:type="dxa"/>
            <w:vMerge w:val="continue"/>
            <w:tcBorders>
              <w:tl2br w:val="nil"/>
              <w:tr2bl w:val="nil"/>
            </w:tcBorders>
            <w:noWrap w:val="0"/>
            <w:vAlign w:val="center"/>
          </w:tcPr>
          <w:p w14:paraId="654F127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7EDE19E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5413B162">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医后付日报</w:t>
            </w:r>
          </w:p>
          <w:p w14:paraId="5A8DACC2">
            <w:pPr>
              <w:pageBreakBefore w:val="0"/>
              <w:widowControl/>
              <w:numPr>
                <w:ilvl w:val="0"/>
                <w:numId w:val="18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日报生成</w:t>
            </w:r>
          </w:p>
          <w:p w14:paraId="4F74539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支持选择机构</w:t>
            </w:r>
          </w:p>
          <w:p w14:paraId="3821AFF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支持选择账单日期</w:t>
            </w:r>
          </w:p>
          <w:p w14:paraId="392812E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支持生成日报</w:t>
            </w:r>
          </w:p>
          <w:p w14:paraId="2ECC073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支持日报打印</w:t>
            </w:r>
          </w:p>
        </w:tc>
      </w:tr>
      <w:tr w14:paraId="4A6F3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00" w:type="dxa"/>
            <w:vMerge w:val="continue"/>
            <w:tcBorders>
              <w:tl2br w:val="nil"/>
              <w:tr2bl w:val="nil"/>
            </w:tcBorders>
            <w:noWrap w:val="0"/>
            <w:vAlign w:val="center"/>
          </w:tcPr>
          <w:p w14:paraId="6D51942A">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20ADACF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216F4B00">
            <w:pPr>
              <w:pageBreakBefore w:val="0"/>
              <w:widowControl/>
              <w:numPr>
                <w:ilvl w:val="0"/>
                <w:numId w:val="17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结算明细查询</w:t>
            </w:r>
          </w:p>
          <w:p w14:paraId="41CA9F36">
            <w:pPr>
              <w:pageBreakBefore w:val="0"/>
              <w:widowControl/>
              <w:numPr>
                <w:ilvl w:val="0"/>
                <w:numId w:val="18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支持展示结算概览</w:t>
            </w:r>
          </w:p>
          <w:p w14:paraId="0F75E073">
            <w:pPr>
              <w:pageBreakBefore w:val="0"/>
              <w:widowControl/>
              <w:numPr>
                <w:ilvl w:val="0"/>
                <w:numId w:val="18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支持以列表形式展示结算明细</w:t>
            </w:r>
          </w:p>
          <w:p w14:paraId="2AD11CA0">
            <w:pPr>
              <w:pageBreakBefore w:val="0"/>
              <w:widowControl/>
              <w:numPr>
                <w:ilvl w:val="0"/>
                <w:numId w:val="18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结算筛选</w:t>
            </w:r>
          </w:p>
          <w:p w14:paraId="624D2C7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支持根据条件查询</w:t>
            </w:r>
          </w:p>
          <w:p w14:paraId="6794B77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195F2110">
            <w:pPr>
              <w:pageBreakBefore w:val="0"/>
              <w:widowControl/>
              <w:numPr>
                <w:ilvl w:val="0"/>
                <w:numId w:val="18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支持表格导出</w:t>
            </w:r>
          </w:p>
        </w:tc>
      </w:tr>
      <w:tr w14:paraId="4AF1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800" w:type="dxa"/>
            <w:vMerge w:val="restart"/>
            <w:tcBorders>
              <w:tl2br w:val="nil"/>
              <w:tr2bl w:val="nil"/>
            </w:tcBorders>
            <w:noWrap w:val="0"/>
            <w:vAlign w:val="center"/>
          </w:tcPr>
          <w:p w14:paraId="5E61C6CD">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w:t>
            </w:r>
          </w:p>
        </w:tc>
        <w:tc>
          <w:tcPr>
            <w:tcW w:w="802" w:type="dxa"/>
            <w:vMerge w:val="restart"/>
            <w:tcBorders>
              <w:tl2br w:val="nil"/>
              <w:tr2bl w:val="nil"/>
            </w:tcBorders>
            <w:noWrap w:val="0"/>
            <w:vAlign w:val="center"/>
          </w:tcPr>
          <w:p w14:paraId="1E8F0975">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缴费管理（改造）</w:t>
            </w:r>
          </w:p>
        </w:tc>
        <w:tc>
          <w:tcPr>
            <w:tcW w:w="7476" w:type="dxa"/>
            <w:tcBorders>
              <w:tl2br w:val="nil"/>
              <w:tr2bl w:val="nil"/>
            </w:tcBorders>
            <w:noWrap w:val="0"/>
            <w:vAlign w:val="center"/>
          </w:tcPr>
          <w:p w14:paraId="11B4BEC5">
            <w:pPr>
              <w:pageBreakBefore w:val="0"/>
              <w:widowControl/>
              <w:numPr>
                <w:ilvl w:val="0"/>
                <w:numId w:val="18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医后付缴费</w:t>
            </w:r>
          </w:p>
          <w:p w14:paraId="05E69C11">
            <w:pPr>
              <w:pageBreakBefore w:val="0"/>
              <w:widowControl/>
              <w:numPr>
                <w:ilvl w:val="0"/>
                <w:numId w:val="18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支持根据证件号、社保卡、账单查询</w:t>
            </w:r>
          </w:p>
          <w:p w14:paraId="2504EE7D">
            <w:pPr>
              <w:pageBreakBefore w:val="0"/>
              <w:widowControl/>
              <w:numPr>
                <w:ilvl w:val="0"/>
                <w:numId w:val="18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账单缴费</w:t>
            </w:r>
          </w:p>
          <w:p w14:paraId="168BDEF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支持展示患者账单缴费明细</w:t>
            </w:r>
          </w:p>
          <w:p w14:paraId="4B0C355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支持缴费</w:t>
            </w:r>
          </w:p>
        </w:tc>
      </w:tr>
      <w:tr w14:paraId="329A2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800" w:type="dxa"/>
            <w:vMerge w:val="continue"/>
            <w:tcBorders>
              <w:tl2br w:val="nil"/>
              <w:tr2bl w:val="nil"/>
            </w:tcBorders>
            <w:noWrap w:val="0"/>
            <w:vAlign w:val="center"/>
          </w:tcPr>
          <w:p w14:paraId="6FE9C13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1B5FDC9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55A40E13">
            <w:pPr>
              <w:pageBreakBefore w:val="0"/>
              <w:widowControl/>
              <w:numPr>
                <w:ilvl w:val="0"/>
                <w:numId w:val="18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医后付退费</w:t>
            </w:r>
          </w:p>
          <w:p w14:paraId="44BA8642">
            <w:pPr>
              <w:pageBreakBefore w:val="0"/>
              <w:widowControl/>
              <w:numPr>
                <w:ilvl w:val="0"/>
                <w:numId w:val="18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支持根据证件号、社保卡、账单查询</w:t>
            </w:r>
          </w:p>
          <w:p w14:paraId="19A3FBA9">
            <w:pPr>
              <w:pageBreakBefore w:val="0"/>
              <w:widowControl/>
              <w:numPr>
                <w:ilvl w:val="0"/>
                <w:numId w:val="18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支持退费</w:t>
            </w:r>
          </w:p>
        </w:tc>
      </w:tr>
      <w:tr w14:paraId="704F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00" w:type="dxa"/>
            <w:vMerge w:val="continue"/>
            <w:tcBorders>
              <w:tl2br w:val="nil"/>
              <w:tr2bl w:val="nil"/>
            </w:tcBorders>
            <w:noWrap w:val="0"/>
            <w:vAlign w:val="center"/>
          </w:tcPr>
          <w:p w14:paraId="06ECB25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5954764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5E36BBF4">
            <w:pPr>
              <w:pageBreakBefore w:val="0"/>
              <w:widowControl/>
              <w:numPr>
                <w:ilvl w:val="0"/>
                <w:numId w:val="18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收费人员现金缴费日报</w:t>
            </w:r>
          </w:p>
          <w:p w14:paraId="6477F3B1">
            <w:pPr>
              <w:pageBreakBefore w:val="0"/>
              <w:widowControl/>
              <w:numPr>
                <w:ilvl w:val="0"/>
                <w:numId w:val="18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日报筛选</w:t>
            </w:r>
          </w:p>
          <w:p w14:paraId="32A9C4C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w:t>
            </w:r>
          </w:p>
          <w:p w14:paraId="2A916DF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2C574E2E">
            <w:pPr>
              <w:pageBreakBefore w:val="0"/>
              <w:widowControl/>
              <w:numPr>
                <w:ilvl w:val="0"/>
                <w:numId w:val="18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支持根据查询条件展示日报明细</w:t>
            </w:r>
          </w:p>
          <w:p w14:paraId="0A18BFE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支持一键生成日报</w:t>
            </w:r>
          </w:p>
        </w:tc>
      </w:tr>
      <w:tr w14:paraId="1996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800" w:type="dxa"/>
            <w:vMerge w:val="continue"/>
            <w:tcBorders>
              <w:tl2br w:val="nil"/>
              <w:tr2bl w:val="nil"/>
            </w:tcBorders>
            <w:noWrap w:val="0"/>
            <w:vAlign w:val="center"/>
          </w:tcPr>
          <w:p w14:paraId="49EC4BB7">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67EE82B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49BC9BB1">
            <w:pPr>
              <w:pageBreakBefore w:val="0"/>
              <w:widowControl/>
              <w:numPr>
                <w:ilvl w:val="0"/>
                <w:numId w:val="18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订单管理</w:t>
            </w:r>
          </w:p>
          <w:p w14:paraId="35D1CB90">
            <w:pPr>
              <w:pageBreakBefore w:val="0"/>
              <w:widowControl/>
              <w:numPr>
                <w:ilvl w:val="0"/>
                <w:numId w:val="18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支持展示展示订单情况明细</w:t>
            </w:r>
          </w:p>
          <w:p w14:paraId="329F43CF">
            <w:pPr>
              <w:pageBreakBefore w:val="0"/>
              <w:widowControl/>
              <w:numPr>
                <w:ilvl w:val="0"/>
                <w:numId w:val="18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支持发起订单</w:t>
            </w:r>
          </w:p>
          <w:p w14:paraId="5E05D574">
            <w:pPr>
              <w:pageBreakBefore w:val="0"/>
              <w:widowControl/>
              <w:numPr>
                <w:ilvl w:val="0"/>
                <w:numId w:val="18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支持删除订单</w:t>
            </w:r>
          </w:p>
        </w:tc>
      </w:tr>
      <w:tr w14:paraId="5545E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800" w:type="dxa"/>
            <w:vMerge w:val="restart"/>
            <w:tcBorders>
              <w:tl2br w:val="nil"/>
              <w:tr2bl w:val="nil"/>
            </w:tcBorders>
            <w:noWrap w:val="0"/>
            <w:vAlign w:val="center"/>
          </w:tcPr>
          <w:p w14:paraId="7B824BA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802" w:type="dxa"/>
            <w:vMerge w:val="restart"/>
            <w:tcBorders>
              <w:tl2br w:val="nil"/>
              <w:tr2bl w:val="nil"/>
            </w:tcBorders>
            <w:noWrap w:val="0"/>
            <w:vAlign w:val="center"/>
          </w:tcPr>
          <w:p w14:paraId="0DBE28E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消息通知管理（改造）</w:t>
            </w:r>
          </w:p>
        </w:tc>
        <w:tc>
          <w:tcPr>
            <w:tcW w:w="7476" w:type="dxa"/>
            <w:tcBorders>
              <w:tl2br w:val="nil"/>
              <w:tr2bl w:val="nil"/>
            </w:tcBorders>
            <w:noWrap w:val="0"/>
            <w:vAlign w:val="center"/>
          </w:tcPr>
          <w:p w14:paraId="5D51721C">
            <w:pPr>
              <w:pageBreakBefore w:val="0"/>
              <w:widowControl/>
              <w:numPr>
                <w:ilvl w:val="0"/>
                <w:numId w:val="19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短消息查询</w:t>
            </w:r>
          </w:p>
          <w:p w14:paraId="6A73D80F">
            <w:pPr>
              <w:pageBreakBefore w:val="0"/>
              <w:widowControl/>
              <w:numPr>
                <w:ilvl w:val="0"/>
                <w:numId w:val="19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短信发送查询</w:t>
            </w:r>
          </w:p>
          <w:p w14:paraId="0EE6BB1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支持根据条件查询</w:t>
            </w:r>
          </w:p>
          <w:p w14:paraId="3CA266C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支持重置查询条件</w:t>
            </w:r>
          </w:p>
          <w:p w14:paraId="70278894">
            <w:pPr>
              <w:pageBreakBefore w:val="0"/>
              <w:widowControl/>
              <w:numPr>
                <w:ilvl w:val="0"/>
                <w:numId w:val="191"/>
              </w:numPr>
              <w:kinsoku/>
              <w:wordWrap/>
              <w:overflowPunct/>
              <w:topLinePunct w:val="0"/>
              <w:autoSpaceDE/>
              <w:autoSpaceDN/>
              <w:bidi w:val="0"/>
              <w:adjustRightInd w:val="0"/>
              <w:snapToGrid w:val="0"/>
              <w:ind w:left="0" w:firstLine="4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支持列表形式展示</w:t>
            </w:r>
          </w:p>
        </w:tc>
      </w:tr>
      <w:tr w14:paraId="3508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00" w:type="dxa"/>
            <w:vMerge w:val="continue"/>
            <w:tcBorders>
              <w:tl2br w:val="nil"/>
              <w:tr2bl w:val="nil"/>
            </w:tcBorders>
            <w:noWrap w:val="0"/>
            <w:vAlign w:val="center"/>
          </w:tcPr>
          <w:p w14:paraId="05AD2EF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5A5AA2D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0FE6358A">
            <w:pPr>
              <w:pageBreakBefore w:val="0"/>
              <w:widowControl/>
              <w:numPr>
                <w:ilvl w:val="0"/>
                <w:numId w:val="19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短信模板管理</w:t>
            </w:r>
          </w:p>
          <w:p w14:paraId="079C4E47">
            <w:pPr>
              <w:pageBreakBefore w:val="0"/>
              <w:widowControl/>
              <w:numPr>
                <w:ilvl w:val="0"/>
                <w:numId w:val="19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新增短信模板</w:t>
            </w:r>
          </w:p>
          <w:p w14:paraId="683D0C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支持新增短信模板</w:t>
            </w:r>
          </w:p>
          <w:p w14:paraId="24DC38F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支持选择不同类型的短信</w:t>
            </w:r>
          </w:p>
          <w:p w14:paraId="3CDE851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支持模板保存</w:t>
            </w:r>
          </w:p>
          <w:p w14:paraId="23F06AAE">
            <w:pPr>
              <w:pageBreakBefore w:val="0"/>
              <w:widowControl/>
              <w:numPr>
                <w:ilvl w:val="0"/>
                <w:numId w:val="19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支持列表形式展示</w:t>
            </w:r>
          </w:p>
          <w:p w14:paraId="0E3770BD">
            <w:pPr>
              <w:pageBreakBefore w:val="0"/>
              <w:widowControl/>
              <w:numPr>
                <w:ilvl w:val="0"/>
                <w:numId w:val="19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支持对短信模板进行启停</w:t>
            </w:r>
          </w:p>
          <w:p w14:paraId="169D7CC8">
            <w:pPr>
              <w:pageBreakBefore w:val="0"/>
              <w:widowControl/>
              <w:numPr>
                <w:ilvl w:val="0"/>
                <w:numId w:val="19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支持对已创建的短信模板进行编辑调整</w:t>
            </w:r>
          </w:p>
        </w:tc>
      </w:tr>
      <w:tr w14:paraId="1F81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00" w:type="dxa"/>
            <w:tcBorders>
              <w:tl2br w:val="nil"/>
              <w:tr2bl w:val="nil"/>
            </w:tcBorders>
            <w:noWrap w:val="0"/>
            <w:vAlign w:val="center"/>
          </w:tcPr>
          <w:p w14:paraId="55BCB96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802" w:type="dxa"/>
            <w:tcBorders>
              <w:tl2br w:val="nil"/>
              <w:tr2bl w:val="nil"/>
            </w:tcBorders>
            <w:noWrap w:val="0"/>
            <w:vAlign w:val="center"/>
          </w:tcPr>
          <w:p w14:paraId="558755F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推广管理（改造）</w:t>
            </w:r>
          </w:p>
        </w:tc>
        <w:tc>
          <w:tcPr>
            <w:tcW w:w="7476" w:type="dxa"/>
            <w:tcBorders>
              <w:tl2br w:val="nil"/>
              <w:tr2bl w:val="nil"/>
            </w:tcBorders>
            <w:noWrap w:val="0"/>
            <w:vAlign w:val="center"/>
          </w:tcPr>
          <w:p w14:paraId="22E3D5B7">
            <w:pPr>
              <w:pageBreakBefore w:val="0"/>
              <w:widowControl/>
              <w:numPr>
                <w:ilvl w:val="0"/>
                <w:numId w:val="19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推广人员管理</w:t>
            </w:r>
          </w:p>
          <w:p w14:paraId="6EE816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支持新增推广人员</w:t>
            </w:r>
          </w:p>
          <w:p w14:paraId="127F938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支持录入推广人员信息</w:t>
            </w:r>
          </w:p>
          <w:p w14:paraId="2F3B753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支持查看已创建人员的信息</w:t>
            </w:r>
          </w:p>
          <w:p w14:paraId="25FDF39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支持编辑已创建人员的信息</w:t>
            </w:r>
          </w:p>
          <w:p w14:paraId="2CF6FB1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支持删除操作</w:t>
            </w:r>
          </w:p>
          <w:p w14:paraId="03F98EA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支持展示推广人员二维码</w:t>
            </w:r>
          </w:p>
          <w:p w14:paraId="1B8D4E5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支持下载推广人员二维码</w:t>
            </w:r>
          </w:p>
        </w:tc>
      </w:tr>
      <w:tr w14:paraId="02160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800" w:type="dxa"/>
            <w:tcBorders>
              <w:tl2br w:val="nil"/>
              <w:tr2bl w:val="nil"/>
            </w:tcBorders>
            <w:noWrap w:val="0"/>
            <w:vAlign w:val="center"/>
          </w:tcPr>
          <w:p w14:paraId="159B886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p>
        </w:tc>
        <w:tc>
          <w:tcPr>
            <w:tcW w:w="802" w:type="dxa"/>
            <w:tcBorders>
              <w:tl2br w:val="nil"/>
              <w:tr2bl w:val="nil"/>
            </w:tcBorders>
            <w:noWrap w:val="0"/>
            <w:vAlign w:val="center"/>
          </w:tcPr>
          <w:p w14:paraId="779799A5">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统计分析（改造）</w:t>
            </w:r>
          </w:p>
        </w:tc>
        <w:tc>
          <w:tcPr>
            <w:tcW w:w="7476" w:type="dxa"/>
            <w:tcBorders>
              <w:tl2br w:val="nil"/>
              <w:tr2bl w:val="nil"/>
            </w:tcBorders>
            <w:noWrap w:val="0"/>
            <w:vAlign w:val="center"/>
          </w:tcPr>
          <w:p w14:paraId="354275DB">
            <w:pPr>
              <w:pageBreakBefore w:val="0"/>
              <w:widowControl/>
              <w:numPr>
                <w:ilvl w:val="0"/>
                <w:numId w:val="19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用户推广统计</w:t>
            </w:r>
          </w:p>
          <w:p w14:paraId="477A28E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支持展示推人院业务情况</w:t>
            </w:r>
          </w:p>
        </w:tc>
      </w:tr>
      <w:tr w14:paraId="42C72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00" w:type="dxa"/>
            <w:vMerge w:val="restart"/>
            <w:tcBorders>
              <w:tl2br w:val="nil"/>
              <w:tr2bl w:val="nil"/>
            </w:tcBorders>
            <w:noWrap w:val="0"/>
            <w:vAlign w:val="center"/>
          </w:tcPr>
          <w:p w14:paraId="6C74DE95">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w:t>
            </w:r>
          </w:p>
        </w:tc>
        <w:tc>
          <w:tcPr>
            <w:tcW w:w="802" w:type="dxa"/>
            <w:vMerge w:val="restart"/>
            <w:tcBorders>
              <w:tl2br w:val="nil"/>
              <w:tr2bl w:val="nil"/>
            </w:tcBorders>
            <w:noWrap w:val="0"/>
            <w:vAlign w:val="center"/>
          </w:tcPr>
          <w:p w14:paraId="3B43C045">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移动端（改造）</w:t>
            </w:r>
          </w:p>
        </w:tc>
        <w:tc>
          <w:tcPr>
            <w:tcW w:w="7476" w:type="dxa"/>
            <w:tcBorders>
              <w:tl2br w:val="nil"/>
              <w:tr2bl w:val="nil"/>
            </w:tcBorders>
            <w:noWrap w:val="0"/>
            <w:vAlign w:val="center"/>
          </w:tcPr>
          <w:p w14:paraId="67B4EC81">
            <w:pPr>
              <w:pageBreakBefore w:val="0"/>
              <w:widowControl/>
              <w:numPr>
                <w:ilvl w:val="0"/>
                <w:numId w:val="19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用户首页</w:t>
            </w:r>
          </w:p>
          <w:p w14:paraId="4B664A6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支持展示用户基础信息</w:t>
            </w:r>
          </w:p>
          <w:p w14:paraId="67D36F8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支持切换账号</w:t>
            </w:r>
          </w:p>
          <w:p w14:paraId="386BAEA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支持展示账号状态</w:t>
            </w:r>
          </w:p>
          <w:p w14:paraId="3055EBF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支持展示签约信息</w:t>
            </w:r>
          </w:p>
          <w:p w14:paraId="4550AE9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支持签约操作</w:t>
            </w:r>
          </w:p>
          <w:p w14:paraId="64C693F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支持解约操作</w:t>
            </w:r>
          </w:p>
          <w:p w14:paraId="134A32A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支持展示近期账单信息</w:t>
            </w:r>
          </w:p>
        </w:tc>
      </w:tr>
      <w:tr w14:paraId="148E5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trPr>
        <w:tc>
          <w:tcPr>
            <w:tcW w:w="800" w:type="dxa"/>
            <w:vMerge w:val="continue"/>
            <w:tcBorders>
              <w:tl2br w:val="nil"/>
              <w:tr2bl w:val="nil"/>
            </w:tcBorders>
            <w:noWrap w:val="0"/>
            <w:vAlign w:val="center"/>
          </w:tcPr>
          <w:p w14:paraId="61CCB16A">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5B8C7F4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41995CA3">
            <w:pPr>
              <w:pageBreakBefore w:val="0"/>
              <w:widowControl/>
              <w:numPr>
                <w:ilvl w:val="0"/>
                <w:numId w:val="19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我的签约</w:t>
            </w:r>
          </w:p>
          <w:p w14:paraId="0D1B59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支持查看签约协议</w:t>
            </w:r>
          </w:p>
        </w:tc>
      </w:tr>
      <w:tr w14:paraId="5D745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800" w:type="dxa"/>
            <w:vMerge w:val="continue"/>
            <w:tcBorders>
              <w:tl2br w:val="nil"/>
              <w:tr2bl w:val="nil"/>
            </w:tcBorders>
            <w:noWrap w:val="0"/>
            <w:vAlign w:val="center"/>
          </w:tcPr>
          <w:p w14:paraId="30B521E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66FA894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75971621">
            <w:pPr>
              <w:pageBreakBefore w:val="0"/>
              <w:widowControl/>
              <w:numPr>
                <w:ilvl w:val="0"/>
                <w:numId w:val="19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我的账单</w:t>
            </w:r>
          </w:p>
          <w:p w14:paraId="62AAF13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支持展示待支付账单</w:t>
            </w:r>
          </w:p>
          <w:p w14:paraId="2286A71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支持展示结算中账单</w:t>
            </w:r>
          </w:p>
          <w:p w14:paraId="20D40F6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支持展示已支付账单</w:t>
            </w:r>
          </w:p>
          <w:p w14:paraId="105830C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支持展示已取消账单</w:t>
            </w:r>
          </w:p>
          <w:p w14:paraId="0F7750C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支持展示已退款账单</w:t>
            </w:r>
          </w:p>
        </w:tc>
      </w:tr>
      <w:tr w14:paraId="1942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00" w:type="dxa"/>
            <w:vMerge w:val="continue"/>
            <w:tcBorders>
              <w:tl2br w:val="nil"/>
              <w:tr2bl w:val="nil"/>
            </w:tcBorders>
            <w:noWrap w:val="0"/>
            <w:vAlign w:val="center"/>
          </w:tcPr>
          <w:p w14:paraId="61083B2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802" w:type="dxa"/>
            <w:vMerge w:val="continue"/>
            <w:tcBorders>
              <w:tl2br w:val="nil"/>
              <w:tr2bl w:val="nil"/>
            </w:tcBorders>
            <w:noWrap w:val="0"/>
            <w:vAlign w:val="center"/>
          </w:tcPr>
          <w:p w14:paraId="299034B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76" w:type="dxa"/>
            <w:tcBorders>
              <w:tl2br w:val="nil"/>
              <w:tr2bl w:val="nil"/>
            </w:tcBorders>
            <w:noWrap w:val="0"/>
            <w:vAlign w:val="center"/>
          </w:tcPr>
          <w:p w14:paraId="14C5BCED">
            <w:pPr>
              <w:pageBreakBefore w:val="0"/>
              <w:widowControl/>
              <w:numPr>
                <w:ilvl w:val="0"/>
                <w:numId w:val="195"/>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账号管理</w:t>
            </w:r>
          </w:p>
          <w:p w14:paraId="0D683F0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支持展示用户账单信息</w:t>
            </w:r>
          </w:p>
          <w:p w14:paraId="2EAD419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支持展示用户签约信息</w:t>
            </w:r>
          </w:p>
          <w:p w14:paraId="77A49C3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支持查看常见问题解决方案</w:t>
            </w:r>
          </w:p>
          <w:p w14:paraId="7D7585A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支持修改姓名、手机号、家庭地址</w:t>
            </w:r>
          </w:p>
          <w:p w14:paraId="24AC01F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支持账号退出</w:t>
            </w:r>
          </w:p>
        </w:tc>
      </w:tr>
      <w:tr w14:paraId="165DA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00" w:type="dxa"/>
            <w:tcBorders>
              <w:tl2br w:val="nil"/>
              <w:tr2bl w:val="nil"/>
            </w:tcBorders>
            <w:noWrap w:val="0"/>
            <w:vAlign w:val="center"/>
          </w:tcPr>
          <w:p w14:paraId="2ABF63C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w:t>
            </w:r>
          </w:p>
        </w:tc>
        <w:tc>
          <w:tcPr>
            <w:tcW w:w="802" w:type="dxa"/>
            <w:tcBorders>
              <w:tl2br w:val="nil"/>
              <w:tr2bl w:val="nil"/>
            </w:tcBorders>
            <w:noWrap w:val="0"/>
            <w:vAlign w:val="center"/>
          </w:tcPr>
          <w:p w14:paraId="56F845B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出院结算免密支付（新增）</w:t>
            </w:r>
          </w:p>
        </w:tc>
        <w:tc>
          <w:tcPr>
            <w:tcW w:w="7476" w:type="dxa"/>
            <w:tcBorders>
              <w:tl2br w:val="nil"/>
              <w:tr2bl w:val="nil"/>
            </w:tcBorders>
            <w:noWrap w:val="0"/>
            <w:vAlign w:val="center"/>
          </w:tcPr>
          <w:p w14:paraId="0331C11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支持出院结算免密支付</w:t>
            </w:r>
          </w:p>
        </w:tc>
      </w:tr>
    </w:tbl>
    <w:p w14:paraId="3604DAA4">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远程门诊（改造）</w:t>
      </w:r>
    </w:p>
    <w:tbl>
      <w:tblPr>
        <w:tblStyle w:val="13"/>
        <w:tblW w:w="903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
        <w:gridCol w:w="785"/>
        <w:gridCol w:w="7468"/>
      </w:tblGrid>
      <w:tr w14:paraId="215C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trPr>
        <w:tc>
          <w:tcPr>
            <w:tcW w:w="785" w:type="dxa"/>
            <w:tcBorders>
              <w:tl2br w:val="nil"/>
              <w:tr2bl w:val="nil"/>
            </w:tcBorders>
            <w:noWrap w:val="0"/>
            <w:tcFitText/>
            <w:vAlign w:val="center"/>
          </w:tcPr>
          <w:p w14:paraId="04164A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78"/>
                <w:w w:val="95"/>
                <w:kern w:val="0"/>
                <w:sz w:val="21"/>
                <w:szCs w:val="21"/>
                <w:u w:val="none"/>
                <w:lang w:val="en-US" w:eastAsia="zh-CN" w:bidi="ar"/>
              </w:rPr>
              <w:t>序</w:t>
            </w:r>
            <w:r>
              <w:rPr>
                <w:rFonts w:hint="eastAsia" w:ascii="宋体" w:hAnsi="宋体" w:eastAsia="宋体" w:cs="宋体"/>
                <w:b/>
                <w:bCs/>
                <w:i w:val="0"/>
                <w:iCs w:val="0"/>
                <w:color w:val="auto"/>
                <w:spacing w:val="0"/>
                <w:w w:val="95"/>
                <w:kern w:val="0"/>
                <w:sz w:val="21"/>
                <w:szCs w:val="21"/>
                <w:u w:val="none"/>
                <w:lang w:val="en-US" w:eastAsia="zh-CN" w:bidi="ar"/>
              </w:rPr>
              <w:t>号</w:t>
            </w:r>
          </w:p>
        </w:tc>
        <w:tc>
          <w:tcPr>
            <w:tcW w:w="785" w:type="dxa"/>
            <w:tcBorders>
              <w:tl2br w:val="nil"/>
              <w:tr2bl w:val="nil"/>
            </w:tcBorders>
            <w:noWrap w:val="0"/>
            <w:vAlign w:val="center"/>
          </w:tcPr>
          <w:p w14:paraId="2D7AE1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7468" w:type="dxa"/>
            <w:tcBorders>
              <w:tl2br w:val="nil"/>
              <w:tr2bl w:val="nil"/>
            </w:tcBorders>
            <w:noWrap w:val="0"/>
            <w:vAlign w:val="center"/>
          </w:tcPr>
          <w:p w14:paraId="07BCB9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1E18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5" w:hRule="atLeast"/>
        </w:trPr>
        <w:tc>
          <w:tcPr>
            <w:tcW w:w="785" w:type="dxa"/>
            <w:vMerge w:val="restart"/>
            <w:tcBorders>
              <w:tl2br w:val="nil"/>
              <w:tr2bl w:val="nil"/>
            </w:tcBorders>
            <w:noWrap w:val="0"/>
            <w:vAlign w:val="center"/>
          </w:tcPr>
          <w:p w14:paraId="62E394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85" w:type="dxa"/>
            <w:vMerge w:val="restart"/>
            <w:tcBorders>
              <w:tl2br w:val="nil"/>
              <w:tr2bl w:val="nil"/>
            </w:tcBorders>
            <w:noWrap w:val="0"/>
            <w:vAlign w:val="center"/>
          </w:tcPr>
          <w:p w14:paraId="55AEDA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远程门诊专栏</w:t>
            </w:r>
          </w:p>
        </w:tc>
        <w:tc>
          <w:tcPr>
            <w:tcW w:w="7468" w:type="dxa"/>
            <w:tcBorders>
              <w:tl2br w:val="nil"/>
              <w:tr2bl w:val="nil"/>
            </w:tcBorders>
            <w:noWrap w:val="0"/>
            <w:vAlign w:val="center"/>
          </w:tcPr>
          <w:p w14:paraId="087F35B6">
            <w:pPr>
              <w:keepNext w:val="0"/>
              <w:keepLines w:val="0"/>
              <w:pageBreakBefore w:val="0"/>
              <w:widowControl/>
              <w:numPr>
                <w:ilvl w:val="0"/>
                <w:numId w:val="19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远程门诊首页</w:t>
            </w:r>
          </w:p>
          <w:p w14:paraId="47F92B56">
            <w:pPr>
              <w:keepNext w:val="0"/>
              <w:keepLines w:val="0"/>
              <w:pageBreakBefore w:val="0"/>
              <w:widowControl/>
              <w:numPr>
                <w:ilvl w:val="0"/>
                <w:numId w:val="19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功能入口集成</w:t>
            </w:r>
          </w:p>
          <w:p w14:paraId="460A59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集成预约挂号、门诊信息、候诊查询、预约记录等功能入口</w:t>
            </w:r>
          </w:p>
          <w:p w14:paraId="003287F3">
            <w:pPr>
              <w:keepNext w:val="0"/>
              <w:keepLines w:val="0"/>
              <w:pageBreakBefore w:val="0"/>
              <w:widowControl/>
              <w:numPr>
                <w:ilvl w:val="0"/>
                <w:numId w:val="19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待诊提醒卡片</w:t>
            </w:r>
          </w:p>
          <w:p w14:paraId="438D9D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展示待诊卡片，直观提醒患者按时就诊</w:t>
            </w:r>
          </w:p>
          <w:p w14:paraId="42833A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支持点击卡片中的候诊查询按钮，快速查看候诊信息</w:t>
            </w:r>
          </w:p>
          <w:p w14:paraId="4FB9EA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支持点击补充资料，重新调整或上传的图片</w:t>
            </w:r>
          </w:p>
          <w:p w14:paraId="6FFACE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支持点击卡片，快速查看预约详细信息</w:t>
            </w:r>
          </w:p>
          <w:p w14:paraId="00835A64">
            <w:pPr>
              <w:keepNext w:val="0"/>
              <w:keepLines w:val="0"/>
              <w:pageBreakBefore w:val="0"/>
              <w:widowControl/>
              <w:numPr>
                <w:ilvl w:val="0"/>
                <w:numId w:val="19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推荐医生列表</w:t>
            </w:r>
          </w:p>
          <w:p w14:paraId="3FCE84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智能推荐医生，展示医生姓名、职称、科室、简介、擅长等信息</w:t>
            </w:r>
          </w:p>
          <w:p w14:paraId="451BA5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支持点击进入医生主页</w:t>
            </w:r>
          </w:p>
        </w:tc>
      </w:tr>
      <w:tr w14:paraId="41E25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785" w:type="dxa"/>
            <w:vMerge w:val="continue"/>
            <w:tcBorders>
              <w:tl2br w:val="nil"/>
              <w:tr2bl w:val="nil"/>
            </w:tcBorders>
            <w:noWrap w:val="0"/>
            <w:vAlign w:val="center"/>
          </w:tcPr>
          <w:p w14:paraId="73360D2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7F22B25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2AAC074E">
            <w:pPr>
              <w:keepNext w:val="0"/>
              <w:keepLines w:val="0"/>
              <w:pageBreakBefore w:val="0"/>
              <w:widowControl/>
              <w:numPr>
                <w:ilvl w:val="0"/>
                <w:numId w:val="19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远程门诊预约</w:t>
            </w:r>
          </w:p>
          <w:p w14:paraId="4F0297FF">
            <w:pPr>
              <w:keepNext w:val="0"/>
              <w:keepLines w:val="0"/>
              <w:pageBreakBefore w:val="0"/>
              <w:widowControl/>
              <w:numPr>
                <w:ilvl w:val="0"/>
                <w:numId w:val="19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号源预约</w:t>
            </w:r>
          </w:p>
          <w:p w14:paraId="16277B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支持按医院、按科室、按日期查询排班医生</w:t>
            </w:r>
          </w:p>
          <w:p w14:paraId="2AD67D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支持按医生姓名查询医生</w:t>
            </w:r>
          </w:p>
          <w:p w14:paraId="71751F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支持预约远程门诊医生号源，包括选择科室、就诊日期、就诊医生、就诊机构、就诊诊室、就诊号等</w:t>
            </w:r>
          </w:p>
          <w:p w14:paraId="6CFA8E7C">
            <w:pPr>
              <w:keepNext w:val="0"/>
              <w:keepLines w:val="0"/>
              <w:pageBreakBefore w:val="0"/>
              <w:widowControl/>
              <w:numPr>
                <w:ilvl w:val="0"/>
                <w:numId w:val="19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补充资料上传</w:t>
            </w:r>
          </w:p>
          <w:p w14:paraId="789928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支持支持补充上传一张或多张图片资料</w:t>
            </w:r>
          </w:p>
          <w:p w14:paraId="2C09B6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支持删除已经选择的照片</w:t>
            </w:r>
          </w:p>
        </w:tc>
      </w:tr>
      <w:tr w14:paraId="6E918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785" w:type="dxa"/>
            <w:vMerge w:val="continue"/>
            <w:tcBorders>
              <w:tl2br w:val="nil"/>
              <w:tr2bl w:val="nil"/>
            </w:tcBorders>
            <w:noWrap w:val="0"/>
            <w:vAlign w:val="center"/>
          </w:tcPr>
          <w:p w14:paraId="5B8919E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702FD73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7E175962">
            <w:pPr>
              <w:keepNext w:val="0"/>
              <w:keepLines w:val="0"/>
              <w:pageBreakBefore w:val="0"/>
              <w:widowControl/>
              <w:numPr>
                <w:ilvl w:val="0"/>
                <w:numId w:val="19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候诊查询</w:t>
            </w:r>
          </w:p>
          <w:p w14:paraId="28F07E30">
            <w:pPr>
              <w:keepNext w:val="0"/>
              <w:keepLines w:val="0"/>
              <w:pageBreakBefore w:val="0"/>
              <w:widowControl/>
              <w:numPr>
                <w:ilvl w:val="0"/>
                <w:numId w:val="19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候诊队列查询</w:t>
            </w:r>
          </w:p>
          <w:p w14:paraId="440EDA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展示当前诊室医生的候诊队伍列表</w:t>
            </w:r>
          </w:p>
          <w:p w14:paraId="0032CCC8">
            <w:pPr>
              <w:keepNext w:val="0"/>
              <w:keepLines w:val="0"/>
              <w:pageBreakBefore w:val="0"/>
              <w:widowControl/>
              <w:numPr>
                <w:ilvl w:val="0"/>
                <w:numId w:val="19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进度查询</w:t>
            </w:r>
          </w:p>
          <w:p w14:paraId="7F4866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支持查看当前就诊号信息、我的序号信息等查询</w:t>
            </w:r>
          </w:p>
        </w:tc>
      </w:tr>
      <w:tr w14:paraId="3897A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785" w:type="dxa"/>
            <w:vMerge w:val="continue"/>
            <w:tcBorders>
              <w:tl2br w:val="nil"/>
              <w:tr2bl w:val="nil"/>
            </w:tcBorders>
            <w:noWrap w:val="0"/>
            <w:vAlign w:val="center"/>
          </w:tcPr>
          <w:p w14:paraId="1237A5D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5F6BB5E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1D0153D0">
            <w:pPr>
              <w:keepNext w:val="0"/>
              <w:keepLines w:val="0"/>
              <w:pageBreakBefore w:val="0"/>
              <w:widowControl/>
              <w:numPr>
                <w:ilvl w:val="0"/>
                <w:numId w:val="19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门诊信息</w:t>
            </w:r>
          </w:p>
          <w:p w14:paraId="3B8EC7A8">
            <w:pPr>
              <w:keepNext w:val="0"/>
              <w:keepLines w:val="0"/>
              <w:pageBreakBefore w:val="0"/>
              <w:widowControl/>
              <w:numPr>
                <w:ilvl w:val="0"/>
                <w:numId w:val="20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就诊记录查看</w:t>
            </w:r>
          </w:p>
          <w:p w14:paraId="1649FD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支持查询历史门诊记录</w:t>
            </w:r>
          </w:p>
          <w:p w14:paraId="31C9113E">
            <w:pPr>
              <w:keepNext w:val="0"/>
              <w:keepLines w:val="0"/>
              <w:pageBreakBefore w:val="0"/>
              <w:widowControl/>
              <w:numPr>
                <w:ilvl w:val="0"/>
                <w:numId w:val="20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就诊信息调阅</w:t>
            </w:r>
          </w:p>
          <w:p w14:paraId="405157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支持查看详细的就诊信息，包括就诊的医生、就诊科室、就诊时间、就诊机构等信息</w:t>
            </w:r>
          </w:p>
          <w:p w14:paraId="5C3D8E05">
            <w:pPr>
              <w:keepNext w:val="0"/>
              <w:keepLines w:val="0"/>
              <w:pageBreakBefore w:val="0"/>
              <w:widowControl/>
              <w:numPr>
                <w:ilvl w:val="0"/>
                <w:numId w:val="20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处方信息调阅</w:t>
            </w:r>
          </w:p>
          <w:p w14:paraId="0FF74F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支持查看详细的处方信息，包括药品名称、药品规格、用法、用量频次等信息</w:t>
            </w:r>
          </w:p>
        </w:tc>
      </w:tr>
      <w:tr w14:paraId="19A5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trPr>
        <w:tc>
          <w:tcPr>
            <w:tcW w:w="785" w:type="dxa"/>
            <w:vMerge w:val="continue"/>
            <w:tcBorders>
              <w:tl2br w:val="nil"/>
              <w:tr2bl w:val="nil"/>
            </w:tcBorders>
            <w:noWrap w:val="0"/>
            <w:vAlign w:val="center"/>
          </w:tcPr>
          <w:p w14:paraId="329008F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6227883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56230696">
            <w:pPr>
              <w:keepNext w:val="0"/>
              <w:keepLines w:val="0"/>
              <w:pageBreakBefore w:val="0"/>
              <w:widowControl/>
              <w:numPr>
                <w:ilvl w:val="0"/>
                <w:numId w:val="19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预约记录</w:t>
            </w:r>
          </w:p>
          <w:p w14:paraId="3E463570">
            <w:pPr>
              <w:keepNext w:val="0"/>
              <w:keepLines w:val="0"/>
              <w:pageBreakBefore w:val="0"/>
              <w:widowControl/>
              <w:numPr>
                <w:ilvl w:val="0"/>
                <w:numId w:val="20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预约记录查询</w:t>
            </w:r>
          </w:p>
          <w:p w14:paraId="4CC8C5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支持查看历史预约记录</w:t>
            </w:r>
          </w:p>
          <w:p w14:paraId="289EDF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支持根据预约状态进行检索预约记录，包括已预约、已完成、已退号、已作废等</w:t>
            </w:r>
          </w:p>
          <w:p w14:paraId="6AB4BA93">
            <w:pPr>
              <w:keepNext w:val="0"/>
              <w:keepLines w:val="0"/>
              <w:pageBreakBefore w:val="0"/>
              <w:widowControl/>
              <w:numPr>
                <w:ilvl w:val="0"/>
                <w:numId w:val="20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取消预约</w:t>
            </w:r>
          </w:p>
          <w:p w14:paraId="0DF567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支持对已预约状态下的预约记录执行取消预约操作</w:t>
            </w:r>
          </w:p>
          <w:p w14:paraId="692FA1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支持取消预约后自动释放号源</w:t>
            </w:r>
          </w:p>
          <w:p w14:paraId="20E4105A">
            <w:pPr>
              <w:keepNext w:val="0"/>
              <w:keepLines w:val="0"/>
              <w:pageBreakBefore w:val="0"/>
              <w:widowControl/>
              <w:numPr>
                <w:ilvl w:val="0"/>
                <w:numId w:val="20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预约详情调阅</w:t>
            </w:r>
          </w:p>
          <w:p w14:paraId="517D60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支持看向详细的预约信息，包括预约的医生、预约的就诊时间信息、预约的科室信息等</w:t>
            </w:r>
          </w:p>
          <w:p w14:paraId="7C269C4B">
            <w:pPr>
              <w:keepNext w:val="0"/>
              <w:keepLines w:val="0"/>
              <w:pageBreakBefore w:val="0"/>
              <w:widowControl/>
              <w:numPr>
                <w:ilvl w:val="0"/>
                <w:numId w:val="20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补充资料</w:t>
            </w:r>
          </w:p>
          <w:p w14:paraId="5A11F6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支持点击补充资料，重新调整或上传的图片</w:t>
            </w:r>
          </w:p>
        </w:tc>
      </w:tr>
      <w:tr w14:paraId="006B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785" w:type="dxa"/>
            <w:tcBorders>
              <w:tl2br w:val="nil"/>
              <w:tr2bl w:val="nil"/>
            </w:tcBorders>
            <w:noWrap w:val="0"/>
            <w:vAlign w:val="center"/>
          </w:tcPr>
          <w:p w14:paraId="257DBF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85" w:type="dxa"/>
            <w:tcBorders>
              <w:tl2br w:val="nil"/>
              <w:tr2bl w:val="nil"/>
            </w:tcBorders>
            <w:noWrap w:val="0"/>
            <w:vAlign w:val="center"/>
          </w:tcPr>
          <w:p w14:paraId="41A93A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医院HIS系统</w:t>
            </w:r>
          </w:p>
        </w:tc>
        <w:tc>
          <w:tcPr>
            <w:tcW w:w="7468" w:type="dxa"/>
            <w:tcBorders>
              <w:tl2br w:val="nil"/>
              <w:tr2bl w:val="nil"/>
            </w:tcBorders>
            <w:noWrap w:val="0"/>
            <w:vAlign w:val="center"/>
          </w:tcPr>
          <w:p w14:paraId="7FD1384D">
            <w:pPr>
              <w:keepNext w:val="0"/>
              <w:keepLines w:val="0"/>
              <w:pageBreakBefore w:val="0"/>
              <w:widowControl/>
              <w:numPr>
                <w:ilvl w:val="0"/>
                <w:numId w:val="20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远程门诊预约挂号</w:t>
            </w:r>
          </w:p>
          <w:p w14:paraId="417CBD5F">
            <w:pPr>
              <w:keepNext w:val="0"/>
              <w:keepLines w:val="0"/>
              <w:pageBreakBefore w:val="0"/>
              <w:widowControl/>
              <w:numPr>
                <w:ilvl w:val="0"/>
                <w:numId w:val="20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远程门诊预约</w:t>
            </w:r>
          </w:p>
          <w:p w14:paraId="142BFA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支持按医院、按科室、按日期查询排班医生</w:t>
            </w:r>
          </w:p>
          <w:p w14:paraId="552FF3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支持按医生姓名查询医生</w:t>
            </w:r>
          </w:p>
          <w:p w14:paraId="058ACF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支持预约远程门诊医生号源，包括选择科室、就诊日期、就诊医生、就诊机构、就诊诊室、就诊号等</w:t>
            </w:r>
          </w:p>
          <w:p w14:paraId="016FA218">
            <w:pPr>
              <w:keepNext w:val="0"/>
              <w:keepLines w:val="0"/>
              <w:pageBreakBefore w:val="0"/>
              <w:widowControl/>
              <w:numPr>
                <w:ilvl w:val="0"/>
                <w:numId w:val="20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预约取消</w:t>
            </w:r>
          </w:p>
          <w:p w14:paraId="5064FD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支持对已预约状态下的预约记录执行取消预约操作</w:t>
            </w:r>
          </w:p>
          <w:p w14:paraId="100352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支持取消预约后自动释放号源</w:t>
            </w:r>
          </w:p>
          <w:p w14:paraId="128F368B">
            <w:pPr>
              <w:keepNext w:val="0"/>
              <w:keepLines w:val="0"/>
              <w:pageBreakBefore w:val="0"/>
              <w:widowControl/>
              <w:numPr>
                <w:ilvl w:val="0"/>
                <w:numId w:val="20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挂号结算</w:t>
            </w:r>
          </w:p>
          <w:p w14:paraId="157DC0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对接医院现有的挂号结算服务，支持对预约成功的远程门诊号源进行挂号结算操作</w:t>
            </w:r>
          </w:p>
        </w:tc>
      </w:tr>
      <w:tr w14:paraId="6ED9C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785" w:type="dxa"/>
            <w:vMerge w:val="restart"/>
            <w:tcBorders>
              <w:tl2br w:val="nil"/>
              <w:tr2bl w:val="nil"/>
            </w:tcBorders>
            <w:noWrap w:val="0"/>
            <w:vAlign w:val="center"/>
          </w:tcPr>
          <w:p w14:paraId="1C833B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85" w:type="dxa"/>
            <w:vMerge w:val="restart"/>
            <w:tcBorders>
              <w:tl2br w:val="nil"/>
              <w:tr2bl w:val="nil"/>
            </w:tcBorders>
            <w:noWrap w:val="0"/>
            <w:vAlign w:val="center"/>
          </w:tcPr>
          <w:p w14:paraId="745F9D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医生处置站</w:t>
            </w:r>
          </w:p>
        </w:tc>
        <w:tc>
          <w:tcPr>
            <w:tcW w:w="7468" w:type="dxa"/>
            <w:tcBorders>
              <w:tl2br w:val="nil"/>
              <w:tr2bl w:val="nil"/>
            </w:tcBorders>
            <w:noWrap w:val="0"/>
            <w:vAlign w:val="center"/>
          </w:tcPr>
          <w:p w14:paraId="554F0F54">
            <w:pPr>
              <w:keepNext w:val="0"/>
              <w:keepLines w:val="0"/>
              <w:pageBreakBefore w:val="0"/>
              <w:widowControl/>
              <w:numPr>
                <w:ilvl w:val="0"/>
                <w:numId w:val="20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门户首页</w:t>
            </w:r>
          </w:p>
          <w:p w14:paraId="1D854A57">
            <w:pPr>
              <w:keepNext w:val="0"/>
              <w:keepLines w:val="0"/>
              <w:pageBreakBefore w:val="0"/>
              <w:widowControl/>
              <w:numPr>
                <w:ilvl w:val="0"/>
                <w:numId w:val="20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值班信息卡片</w:t>
            </w:r>
          </w:p>
          <w:p w14:paraId="4BBD55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支持展示医生的值班班次信息、科室信息、服务分点信息</w:t>
            </w:r>
          </w:p>
          <w:p w14:paraId="5FBAB41F">
            <w:pPr>
              <w:keepNext w:val="0"/>
              <w:keepLines w:val="0"/>
              <w:pageBreakBefore w:val="0"/>
              <w:widowControl/>
              <w:numPr>
                <w:ilvl w:val="0"/>
                <w:numId w:val="20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值班地图</w:t>
            </w:r>
          </w:p>
          <w:p w14:paraId="035880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支持切换分点，查看分点待诊列表情况</w:t>
            </w:r>
          </w:p>
          <w:p w14:paraId="76A509CD">
            <w:pPr>
              <w:keepNext w:val="0"/>
              <w:keepLines w:val="0"/>
              <w:pageBreakBefore w:val="0"/>
              <w:widowControl/>
              <w:numPr>
                <w:ilvl w:val="0"/>
                <w:numId w:val="20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待诊队列</w:t>
            </w:r>
          </w:p>
          <w:p w14:paraId="4FF255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支持医生筛选/选择患者信息，查看患者的健康信息，执行接诊等操作</w:t>
            </w:r>
          </w:p>
        </w:tc>
      </w:tr>
      <w:tr w14:paraId="4E24E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785" w:type="dxa"/>
            <w:vMerge w:val="continue"/>
            <w:tcBorders>
              <w:tl2br w:val="nil"/>
              <w:tr2bl w:val="nil"/>
            </w:tcBorders>
            <w:noWrap w:val="0"/>
            <w:vAlign w:val="center"/>
          </w:tcPr>
          <w:p w14:paraId="31A5196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3EC589D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3C29C014">
            <w:pPr>
              <w:keepNext w:val="0"/>
              <w:keepLines w:val="0"/>
              <w:pageBreakBefore w:val="0"/>
              <w:widowControl/>
              <w:numPr>
                <w:ilvl w:val="0"/>
                <w:numId w:val="20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健康信息调阅</w:t>
            </w:r>
          </w:p>
          <w:p w14:paraId="7901BD8A">
            <w:pPr>
              <w:keepNext w:val="0"/>
              <w:keepLines w:val="0"/>
              <w:pageBreakBefore w:val="0"/>
              <w:widowControl/>
              <w:numPr>
                <w:ilvl w:val="0"/>
                <w:numId w:val="20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健康画像</w:t>
            </w:r>
          </w:p>
          <w:p w14:paraId="27383C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展示患者的健康画像，包括历史诊断信息、过敏史信息、目前存在的风险健康因素、可能会增加的疾病风险等健康数据</w:t>
            </w:r>
          </w:p>
          <w:p w14:paraId="2E5B83E2">
            <w:pPr>
              <w:keepNext w:val="0"/>
              <w:keepLines w:val="0"/>
              <w:pageBreakBefore w:val="0"/>
              <w:widowControl/>
              <w:numPr>
                <w:ilvl w:val="0"/>
                <w:numId w:val="20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体征信息</w:t>
            </w:r>
          </w:p>
          <w:p w14:paraId="61698F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展示当前接诊患者最新一次的体征信息，包括体温、身高、血压等数据</w:t>
            </w:r>
          </w:p>
          <w:p w14:paraId="6DDAE7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支持实时刷新，获取并展示最新体征数据</w:t>
            </w:r>
          </w:p>
          <w:p w14:paraId="3F2FF70C">
            <w:pPr>
              <w:keepNext w:val="0"/>
              <w:keepLines w:val="0"/>
              <w:pageBreakBefore w:val="0"/>
              <w:widowControl/>
              <w:numPr>
                <w:ilvl w:val="0"/>
                <w:numId w:val="20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补充资料调阅</w:t>
            </w:r>
          </w:p>
          <w:p w14:paraId="5DA225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展示患者在预约挂号时上传的补充资料</w:t>
            </w:r>
          </w:p>
          <w:p w14:paraId="16BB6F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支持点击图片，放大上传的图片</w:t>
            </w:r>
          </w:p>
          <w:p w14:paraId="18761CB9">
            <w:pPr>
              <w:keepNext w:val="0"/>
              <w:keepLines w:val="0"/>
              <w:pageBreakBefore w:val="0"/>
              <w:widowControl/>
              <w:numPr>
                <w:ilvl w:val="0"/>
                <w:numId w:val="20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健康档案</w:t>
            </w:r>
          </w:p>
          <w:p w14:paraId="16BFCF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对接健康档案浏览器，支持点击自动唤起</w:t>
            </w:r>
          </w:p>
        </w:tc>
      </w:tr>
      <w:tr w14:paraId="4DDD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trPr>
        <w:tc>
          <w:tcPr>
            <w:tcW w:w="785" w:type="dxa"/>
            <w:vMerge w:val="continue"/>
            <w:tcBorders>
              <w:tl2br w:val="nil"/>
              <w:tr2bl w:val="nil"/>
            </w:tcBorders>
            <w:noWrap w:val="0"/>
            <w:vAlign w:val="center"/>
          </w:tcPr>
          <w:p w14:paraId="04072F9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1DB2FCE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798E2EF5">
            <w:pPr>
              <w:keepNext w:val="0"/>
              <w:keepLines w:val="0"/>
              <w:pageBreakBefore w:val="0"/>
              <w:widowControl/>
              <w:numPr>
                <w:ilvl w:val="0"/>
                <w:numId w:val="20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视频问诊</w:t>
            </w:r>
          </w:p>
          <w:p w14:paraId="11348B82">
            <w:pPr>
              <w:keepNext w:val="0"/>
              <w:keepLines w:val="0"/>
              <w:pageBreakBefore w:val="0"/>
              <w:widowControl/>
              <w:numPr>
                <w:ilvl w:val="0"/>
                <w:numId w:val="20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自动视频呼叫</w:t>
            </w:r>
          </w:p>
          <w:p w14:paraId="654A74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支持医生点击接诊操作后，自动向患者所在诊室对应的处置候诊系统发起视频呼叫请求</w:t>
            </w:r>
          </w:p>
          <w:p w14:paraId="168C382F">
            <w:pPr>
              <w:keepNext w:val="0"/>
              <w:keepLines w:val="0"/>
              <w:pageBreakBefore w:val="0"/>
              <w:widowControl/>
              <w:numPr>
                <w:ilvl w:val="0"/>
                <w:numId w:val="20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音视频切换</w:t>
            </w:r>
          </w:p>
          <w:p w14:paraId="16D7C0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支持医生自主设置视频画面的开关</w:t>
            </w:r>
          </w:p>
          <w:p w14:paraId="58C50822">
            <w:pPr>
              <w:keepNext w:val="0"/>
              <w:keepLines w:val="0"/>
              <w:pageBreakBefore w:val="0"/>
              <w:widowControl/>
              <w:numPr>
                <w:ilvl w:val="0"/>
                <w:numId w:val="20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通话管理</w:t>
            </w:r>
          </w:p>
          <w:p w14:paraId="46F4EF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支持医生自主设置麦克风的开关</w:t>
            </w:r>
          </w:p>
          <w:p w14:paraId="7B16A8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支持点击视频通话向下发起通话</w:t>
            </w:r>
          </w:p>
          <w:p w14:paraId="43EB9D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支持接听和挂断通话</w:t>
            </w:r>
          </w:p>
        </w:tc>
      </w:tr>
      <w:tr w14:paraId="1E702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85" w:type="dxa"/>
            <w:vMerge w:val="continue"/>
            <w:tcBorders>
              <w:tl2br w:val="nil"/>
              <w:tr2bl w:val="nil"/>
            </w:tcBorders>
            <w:noWrap w:val="0"/>
            <w:vAlign w:val="center"/>
          </w:tcPr>
          <w:p w14:paraId="1018BFC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7DCF237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5D544F8A">
            <w:pPr>
              <w:keepNext w:val="0"/>
              <w:keepLines w:val="0"/>
              <w:pageBreakBefore w:val="0"/>
              <w:widowControl/>
              <w:numPr>
                <w:ilvl w:val="0"/>
                <w:numId w:val="20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门诊病历书写</w:t>
            </w:r>
          </w:p>
          <w:p w14:paraId="02D8B88A">
            <w:pPr>
              <w:keepNext w:val="0"/>
              <w:keepLines w:val="0"/>
              <w:pageBreakBefore w:val="0"/>
              <w:widowControl/>
              <w:numPr>
                <w:ilvl w:val="0"/>
                <w:numId w:val="208"/>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门诊病例书写</w:t>
            </w:r>
          </w:p>
          <w:p w14:paraId="0918CF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支持记录患者主诉信息</w:t>
            </w:r>
          </w:p>
          <w:p w14:paraId="53C4DC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支持维护患者的诊断信息</w:t>
            </w:r>
          </w:p>
          <w:p w14:paraId="314EB7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支持医生书写过程中实时自动保存病历书</w:t>
            </w:r>
          </w:p>
          <w:p w14:paraId="68CB9C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支持保存后开启远方开端权限</w:t>
            </w:r>
          </w:p>
        </w:tc>
      </w:tr>
      <w:tr w14:paraId="4C17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2" w:hRule="atLeast"/>
        </w:trPr>
        <w:tc>
          <w:tcPr>
            <w:tcW w:w="785" w:type="dxa"/>
            <w:vMerge w:val="continue"/>
            <w:tcBorders>
              <w:tl2br w:val="nil"/>
              <w:tr2bl w:val="nil"/>
            </w:tcBorders>
            <w:noWrap w:val="0"/>
            <w:vAlign w:val="center"/>
          </w:tcPr>
          <w:p w14:paraId="29E1D74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00B0C3F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15837876">
            <w:pPr>
              <w:keepNext w:val="0"/>
              <w:keepLines w:val="0"/>
              <w:pageBreakBefore w:val="0"/>
              <w:widowControl/>
              <w:numPr>
                <w:ilvl w:val="0"/>
                <w:numId w:val="20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西药开方</w:t>
            </w:r>
          </w:p>
          <w:p w14:paraId="6F2455D9">
            <w:pPr>
              <w:keepNext w:val="0"/>
              <w:keepLines w:val="0"/>
              <w:pageBreakBefore w:val="0"/>
              <w:widowControl/>
              <w:numPr>
                <w:ilvl w:val="0"/>
                <w:numId w:val="20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处方单管理</w:t>
            </w:r>
          </w:p>
          <w:p w14:paraId="06D093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支持处方单的新增、删除、编辑操作</w:t>
            </w:r>
          </w:p>
          <w:p w14:paraId="6F46D5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支持医生根据诊断结果开具一张/多张处方单</w:t>
            </w:r>
          </w:p>
          <w:p w14:paraId="4D8FCDA2">
            <w:pPr>
              <w:keepNext w:val="0"/>
              <w:keepLines w:val="0"/>
              <w:pageBreakBefore w:val="0"/>
              <w:widowControl/>
              <w:numPr>
                <w:ilvl w:val="0"/>
                <w:numId w:val="20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处方类型维护</w:t>
            </w:r>
          </w:p>
          <w:p w14:paraId="6F4EC3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支持设置每张处方单的处方类型</w:t>
            </w:r>
          </w:p>
          <w:p w14:paraId="3F4742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支持毒、麻、精处方类型的处方单，弹窗提示并让医生补充取药人信息</w:t>
            </w:r>
          </w:p>
          <w:p w14:paraId="3C028920">
            <w:pPr>
              <w:keepNext w:val="0"/>
              <w:keepLines w:val="0"/>
              <w:pageBreakBefore w:val="0"/>
              <w:widowControl/>
              <w:numPr>
                <w:ilvl w:val="0"/>
                <w:numId w:val="209"/>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处方药品维护</w:t>
            </w:r>
          </w:p>
          <w:p w14:paraId="36F058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支持增加、删除每张处方单的药品信息</w:t>
            </w:r>
          </w:p>
          <w:p w14:paraId="51B70D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支持每张处方单可以包含一种/多种药品信息</w:t>
            </w:r>
          </w:p>
          <w:p w14:paraId="528E87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支持根据医生信息与处方分类信息，筛选控制可维护药品信息</w:t>
            </w:r>
          </w:p>
          <w:p w14:paraId="25069F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支持开具药品时检索药品库存</w:t>
            </w:r>
          </w:p>
          <w:p w14:paraId="12DA15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持根据医生快捷输入信息进进行检索，匹配药品</w:t>
            </w:r>
          </w:p>
          <w:p w14:paraId="685173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支持医生书写过程中实时自动保存处方信息</w:t>
            </w:r>
          </w:p>
        </w:tc>
      </w:tr>
      <w:tr w14:paraId="34FA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85" w:type="dxa"/>
            <w:vMerge w:val="continue"/>
            <w:tcBorders>
              <w:tl2br w:val="nil"/>
              <w:tr2bl w:val="nil"/>
            </w:tcBorders>
            <w:noWrap w:val="0"/>
            <w:vAlign w:val="center"/>
          </w:tcPr>
          <w:p w14:paraId="2A23380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755D54C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1B491DA0">
            <w:pPr>
              <w:keepNext w:val="0"/>
              <w:keepLines w:val="0"/>
              <w:pageBreakBefore w:val="0"/>
              <w:widowControl/>
              <w:numPr>
                <w:ilvl w:val="0"/>
                <w:numId w:val="20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药品目录</w:t>
            </w:r>
          </w:p>
          <w:p w14:paraId="43F5CA0E">
            <w:pPr>
              <w:keepNext w:val="0"/>
              <w:keepLines w:val="0"/>
              <w:pageBreakBefore w:val="0"/>
              <w:widowControl/>
              <w:numPr>
                <w:ilvl w:val="0"/>
                <w:numId w:val="21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药品目录调阅</w:t>
            </w:r>
          </w:p>
          <w:p w14:paraId="0FAFED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支持根据患者所在机构与诊室信息，展示药房中医生可以开具的药品目录</w:t>
            </w:r>
          </w:p>
        </w:tc>
      </w:tr>
      <w:tr w14:paraId="35D7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85" w:type="dxa"/>
            <w:vMerge w:val="continue"/>
            <w:tcBorders>
              <w:tl2br w:val="nil"/>
              <w:tr2bl w:val="nil"/>
            </w:tcBorders>
            <w:noWrap w:val="0"/>
            <w:vAlign w:val="center"/>
          </w:tcPr>
          <w:p w14:paraId="3131AE6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4F97E41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6C9F2940">
            <w:pPr>
              <w:keepNext w:val="0"/>
              <w:keepLines w:val="0"/>
              <w:pageBreakBefore w:val="0"/>
              <w:widowControl/>
              <w:numPr>
                <w:ilvl w:val="0"/>
                <w:numId w:val="204"/>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历史处方</w:t>
            </w:r>
          </w:p>
          <w:p w14:paraId="6432BB2E">
            <w:pPr>
              <w:keepNext w:val="0"/>
              <w:keepLines w:val="0"/>
              <w:pageBreakBefore w:val="0"/>
              <w:widowControl/>
              <w:numPr>
                <w:ilvl w:val="0"/>
                <w:numId w:val="21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处方时间轴</w:t>
            </w:r>
          </w:p>
          <w:p w14:paraId="35246B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支持根据就诊时间，展示处方历史记录</w:t>
            </w:r>
          </w:p>
          <w:p w14:paraId="3498F4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支持根据处方类型和时间筛选历史处方</w:t>
            </w:r>
          </w:p>
          <w:p w14:paraId="1FA3D1EA">
            <w:pPr>
              <w:keepNext w:val="0"/>
              <w:keepLines w:val="0"/>
              <w:pageBreakBefore w:val="0"/>
              <w:widowControl/>
              <w:numPr>
                <w:ilvl w:val="0"/>
                <w:numId w:val="21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处方详情</w:t>
            </w:r>
          </w:p>
          <w:p w14:paraId="770458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支持查看处方详情，包括药品名称、用法、用量等</w:t>
            </w:r>
          </w:p>
        </w:tc>
      </w:tr>
      <w:tr w14:paraId="6A58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85" w:type="dxa"/>
            <w:vMerge w:val="restart"/>
            <w:tcBorders>
              <w:tl2br w:val="nil"/>
              <w:tr2bl w:val="nil"/>
            </w:tcBorders>
            <w:noWrap w:val="0"/>
            <w:vAlign w:val="center"/>
          </w:tcPr>
          <w:p w14:paraId="19FC3E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85" w:type="dxa"/>
            <w:vMerge w:val="restart"/>
            <w:tcBorders>
              <w:tl2br w:val="nil"/>
              <w:tr2bl w:val="nil"/>
            </w:tcBorders>
            <w:noWrap w:val="0"/>
            <w:vAlign w:val="center"/>
          </w:tcPr>
          <w:p w14:paraId="22245B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处置候诊系统</w:t>
            </w:r>
          </w:p>
        </w:tc>
        <w:tc>
          <w:tcPr>
            <w:tcW w:w="7468" w:type="dxa"/>
            <w:tcBorders>
              <w:tl2br w:val="nil"/>
              <w:tr2bl w:val="nil"/>
            </w:tcBorders>
            <w:noWrap w:val="0"/>
            <w:vAlign w:val="center"/>
          </w:tcPr>
          <w:p w14:paraId="0CD6DFC5">
            <w:pPr>
              <w:keepNext w:val="0"/>
              <w:keepLines w:val="0"/>
              <w:pageBreakBefore w:val="0"/>
              <w:widowControl/>
              <w:numPr>
                <w:ilvl w:val="0"/>
                <w:numId w:val="2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候诊队列</w:t>
            </w:r>
          </w:p>
          <w:p w14:paraId="100DAF93">
            <w:pPr>
              <w:keepNext w:val="0"/>
              <w:keepLines w:val="0"/>
              <w:pageBreakBefore w:val="0"/>
              <w:widowControl/>
              <w:numPr>
                <w:ilvl w:val="0"/>
                <w:numId w:val="213"/>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候诊队列</w:t>
            </w:r>
          </w:p>
          <w:p w14:paraId="5E01AF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根据远程协作规则，展示对应医生的候诊队伍列表</w:t>
            </w:r>
          </w:p>
          <w:p w14:paraId="49EEE8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支持查看当前就诊号信息</w:t>
            </w:r>
          </w:p>
        </w:tc>
      </w:tr>
      <w:tr w14:paraId="47E8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785" w:type="dxa"/>
            <w:vMerge w:val="continue"/>
            <w:tcBorders>
              <w:tl2br w:val="nil"/>
              <w:tr2bl w:val="nil"/>
            </w:tcBorders>
            <w:noWrap w:val="0"/>
            <w:vAlign w:val="center"/>
          </w:tcPr>
          <w:p w14:paraId="679F0B9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1103082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297B9AAA">
            <w:pPr>
              <w:keepNext w:val="0"/>
              <w:keepLines w:val="0"/>
              <w:pageBreakBefore w:val="0"/>
              <w:widowControl/>
              <w:numPr>
                <w:ilvl w:val="0"/>
                <w:numId w:val="2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诊疗信息查看</w:t>
            </w:r>
          </w:p>
          <w:p w14:paraId="7ACDEC56">
            <w:pPr>
              <w:keepNext w:val="0"/>
              <w:keepLines w:val="0"/>
              <w:pageBreakBefore w:val="0"/>
              <w:widowControl/>
              <w:numPr>
                <w:ilvl w:val="0"/>
                <w:numId w:val="21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诊断查看</w:t>
            </w:r>
          </w:p>
          <w:p w14:paraId="782EA2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支持查看上级医生远程诊断患者的结论信息</w:t>
            </w:r>
          </w:p>
          <w:p w14:paraId="5A0809F1">
            <w:pPr>
              <w:keepNext w:val="0"/>
              <w:keepLines w:val="0"/>
              <w:pageBreakBefore w:val="0"/>
              <w:widowControl/>
              <w:numPr>
                <w:ilvl w:val="0"/>
                <w:numId w:val="214"/>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处方查看</w:t>
            </w:r>
          </w:p>
          <w:p w14:paraId="5DE9CA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支持查看已诊毕患者的处方信息，包括药品、用户、用量等</w:t>
            </w:r>
          </w:p>
        </w:tc>
      </w:tr>
      <w:tr w14:paraId="6B82A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785" w:type="dxa"/>
            <w:vMerge w:val="continue"/>
            <w:tcBorders>
              <w:tl2br w:val="nil"/>
              <w:tr2bl w:val="nil"/>
            </w:tcBorders>
            <w:noWrap w:val="0"/>
            <w:vAlign w:val="center"/>
          </w:tcPr>
          <w:p w14:paraId="1D3DE81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0FE1D87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1C229EFA">
            <w:pPr>
              <w:keepNext w:val="0"/>
              <w:keepLines w:val="0"/>
              <w:pageBreakBefore w:val="0"/>
              <w:widowControl/>
              <w:numPr>
                <w:ilvl w:val="0"/>
                <w:numId w:val="212"/>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语音视频通讯</w:t>
            </w:r>
          </w:p>
          <w:p w14:paraId="786B131F">
            <w:pPr>
              <w:keepNext w:val="0"/>
              <w:keepLines w:val="0"/>
              <w:pageBreakBefore w:val="0"/>
              <w:widowControl/>
              <w:numPr>
                <w:ilvl w:val="0"/>
                <w:numId w:val="21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音视频切换</w:t>
            </w:r>
          </w:p>
          <w:p w14:paraId="5C2968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支持医生自主设置视频画面的开关</w:t>
            </w:r>
          </w:p>
          <w:p w14:paraId="2CEC905D">
            <w:pPr>
              <w:keepNext w:val="0"/>
              <w:keepLines w:val="0"/>
              <w:pageBreakBefore w:val="0"/>
              <w:widowControl/>
              <w:numPr>
                <w:ilvl w:val="0"/>
                <w:numId w:val="215"/>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通话管理</w:t>
            </w:r>
          </w:p>
          <w:p w14:paraId="4C8265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支持医生自主设置麦克风的开关</w:t>
            </w:r>
          </w:p>
          <w:p w14:paraId="46E5C2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支持点击视频通话向下发起通话</w:t>
            </w:r>
          </w:p>
          <w:p w14:paraId="45C312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支持接听和挂断通话</w:t>
            </w:r>
          </w:p>
        </w:tc>
      </w:tr>
      <w:tr w14:paraId="09046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785" w:type="dxa"/>
            <w:vMerge w:val="restart"/>
            <w:tcBorders>
              <w:tl2br w:val="nil"/>
              <w:tr2bl w:val="nil"/>
            </w:tcBorders>
            <w:noWrap w:val="0"/>
            <w:vAlign w:val="center"/>
          </w:tcPr>
          <w:p w14:paraId="0F5846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85" w:type="dxa"/>
            <w:vMerge w:val="restart"/>
            <w:tcBorders>
              <w:tl2br w:val="nil"/>
              <w:tr2bl w:val="nil"/>
            </w:tcBorders>
            <w:noWrap w:val="0"/>
            <w:vAlign w:val="center"/>
          </w:tcPr>
          <w:p w14:paraId="5FE2DC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后台管理</w:t>
            </w:r>
          </w:p>
        </w:tc>
        <w:tc>
          <w:tcPr>
            <w:tcW w:w="7468" w:type="dxa"/>
            <w:tcBorders>
              <w:tl2br w:val="nil"/>
              <w:tr2bl w:val="nil"/>
            </w:tcBorders>
            <w:noWrap w:val="0"/>
            <w:vAlign w:val="center"/>
          </w:tcPr>
          <w:p w14:paraId="5C4C85CF">
            <w:pPr>
              <w:keepNext w:val="0"/>
              <w:keepLines w:val="0"/>
              <w:pageBreakBefore w:val="0"/>
              <w:widowControl/>
              <w:numPr>
                <w:ilvl w:val="0"/>
                <w:numId w:val="2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基础管理</w:t>
            </w:r>
          </w:p>
          <w:p w14:paraId="08CF2166">
            <w:pPr>
              <w:keepNext w:val="0"/>
              <w:keepLines w:val="0"/>
              <w:pageBreakBefore w:val="0"/>
              <w:widowControl/>
              <w:numPr>
                <w:ilvl w:val="0"/>
                <w:numId w:val="21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机构管理</w:t>
            </w:r>
          </w:p>
          <w:p w14:paraId="192D7C42">
            <w:pPr>
              <w:keepNext w:val="0"/>
              <w:keepLines w:val="0"/>
              <w:pageBreakBefore w:val="0"/>
              <w:widowControl/>
              <w:numPr>
                <w:ilvl w:val="0"/>
                <w:numId w:val="21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机构管理</w:t>
            </w:r>
          </w:p>
          <w:p w14:paraId="1A837E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支持平台上对机构信息进行新增、删除</w:t>
            </w:r>
          </w:p>
          <w:p w14:paraId="6C5280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提供医院机构的信息维护功能，包括机构的名称、详细地址、负责人姓名、负责人手机号等机构信息</w:t>
            </w:r>
          </w:p>
          <w:p w14:paraId="150EB988">
            <w:pPr>
              <w:keepNext w:val="0"/>
              <w:keepLines w:val="0"/>
              <w:pageBreakBefore w:val="0"/>
              <w:widowControl/>
              <w:numPr>
                <w:ilvl w:val="0"/>
                <w:numId w:val="21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实体管理</w:t>
            </w:r>
          </w:p>
          <w:p w14:paraId="459D9B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支持平台上对机构实体信息进行新增、删除</w:t>
            </w:r>
          </w:p>
          <w:p w14:paraId="39DC49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提供机构实体信息维护功能，包括实体名称、实体介绍、交通指南等信息</w:t>
            </w:r>
          </w:p>
          <w:p w14:paraId="042B2D8D">
            <w:pPr>
              <w:keepNext w:val="0"/>
              <w:keepLines w:val="0"/>
              <w:pageBreakBefore w:val="0"/>
              <w:widowControl/>
              <w:numPr>
                <w:ilvl w:val="0"/>
                <w:numId w:val="21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实体信息导入</w:t>
            </w:r>
          </w:p>
          <w:p w14:paraId="31D65C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支持批量导入实体机构信息</w:t>
            </w:r>
          </w:p>
          <w:p w14:paraId="7CF89409">
            <w:pPr>
              <w:keepNext w:val="0"/>
              <w:keepLines w:val="0"/>
              <w:pageBreakBefore w:val="0"/>
              <w:widowControl/>
              <w:numPr>
                <w:ilvl w:val="0"/>
                <w:numId w:val="21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机构状态维护</w:t>
            </w:r>
          </w:p>
          <w:p w14:paraId="2F7D7E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支持机构服务状态（启停）的设置</w:t>
            </w:r>
          </w:p>
          <w:p w14:paraId="7F1EA8DA">
            <w:pPr>
              <w:keepNext w:val="0"/>
              <w:keepLines w:val="0"/>
              <w:pageBreakBefore w:val="0"/>
              <w:widowControl/>
              <w:numPr>
                <w:ilvl w:val="0"/>
                <w:numId w:val="21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实体状态维护</w:t>
            </w:r>
          </w:p>
          <w:p w14:paraId="4EEC91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支持实体服务状态（启停）的设置</w:t>
            </w:r>
          </w:p>
          <w:p w14:paraId="48C3D6C8">
            <w:pPr>
              <w:keepNext w:val="0"/>
              <w:keepLines w:val="0"/>
              <w:pageBreakBefore w:val="0"/>
              <w:widowControl/>
              <w:numPr>
                <w:ilvl w:val="0"/>
                <w:numId w:val="21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79D2E2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支持根据机构的实体标号、实体名称、负责人信息、服务状态、所在区域等元素进行检索</w:t>
            </w:r>
          </w:p>
          <w:p w14:paraId="7359739F">
            <w:pPr>
              <w:keepNext w:val="0"/>
              <w:keepLines w:val="0"/>
              <w:pageBreakBefore w:val="0"/>
              <w:widowControl/>
              <w:numPr>
                <w:ilvl w:val="0"/>
                <w:numId w:val="21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科室管理</w:t>
            </w:r>
          </w:p>
          <w:p w14:paraId="319D4248">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科室管理</w:t>
            </w:r>
          </w:p>
          <w:p w14:paraId="00FEBB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提供平台直接进行科室的新增、修改等管理功能</w:t>
            </w:r>
          </w:p>
          <w:p w14:paraId="5E95FA1A">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科室信息导入</w:t>
            </w:r>
          </w:p>
          <w:p w14:paraId="5C50C8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支持批量导入科室</w:t>
            </w:r>
          </w:p>
          <w:p w14:paraId="601F670A">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科室服务管理</w:t>
            </w:r>
          </w:p>
          <w:p w14:paraId="1CB72E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支持根据科室动态配置服务</w:t>
            </w:r>
          </w:p>
          <w:p w14:paraId="0E6EBC6A">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科室关联医生</w:t>
            </w:r>
          </w:p>
          <w:p w14:paraId="73A0F3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支持查看科室关联的医生信息</w:t>
            </w:r>
          </w:p>
          <w:p w14:paraId="5813EB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支持批量移除科室关联的医生</w:t>
            </w:r>
          </w:p>
          <w:p w14:paraId="43998C72">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07AED7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支持根据机构的科室名称、开通的服务情况等元素进行检索</w:t>
            </w:r>
          </w:p>
          <w:p w14:paraId="278E5DB5">
            <w:pPr>
              <w:keepNext w:val="0"/>
              <w:keepLines w:val="0"/>
              <w:pageBreakBefore w:val="0"/>
              <w:widowControl/>
              <w:numPr>
                <w:ilvl w:val="0"/>
                <w:numId w:val="217"/>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医生管理</w:t>
            </w:r>
          </w:p>
          <w:p w14:paraId="58006F13">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医生管理</w:t>
            </w:r>
          </w:p>
          <w:p w14:paraId="769F0B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提供医生的信息维护功能，包括医生个人信息、资质信息的维护</w:t>
            </w:r>
          </w:p>
          <w:p w14:paraId="5A39A050">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医生信息导入</w:t>
            </w:r>
          </w:p>
          <w:p w14:paraId="0FE751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支持批量导入医生</w:t>
            </w:r>
          </w:p>
          <w:p w14:paraId="2E092451">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医生账号管理</w:t>
            </w:r>
          </w:p>
          <w:p w14:paraId="27CD26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支持为医生创建账号</w:t>
            </w:r>
          </w:p>
          <w:p w14:paraId="6D0A9C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支持配置医生的账号信息，如重置密码等</w:t>
            </w:r>
          </w:p>
          <w:p w14:paraId="1D3CAC58">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医生科室关系管理</w:t>
            </w:r>
          </w:p>
          <w:p w14:paraId="14C8EB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支持医生关联科室信息</w:t>
            </w:r>
          </w:p>
          <w:p w14:paraId="2B785B93">
            <w:pPr>
              <w:keepNext w:val="0"/>
              <w:keepLines w:val="0"/>
              <w:pageBreakBefore w:val="0"/>
              <w:widowControl/>
              <w:numPr>
                <w:ilvl w:val="0"/>
                <w:numId w:val="21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6FA641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支持通过医生姓名、手机号进行检索</w:t>
            </w:r>
          </w:p>
        </w:tc>
      </w:tr>
      <w:tr w14:paraId="248D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785" w:type="dxa"/>
            <w:vMerge w:val="continue"/>
            <w:tcBorders>
              <w:tl2br w:val="nil"/>
              <w:tr2bl w:val="nil"/>
            </w:tcBorders>
            <w:noWrap w:val="0"/>
            <w:vAlign w:val="center"/>
          </w:tcPr>
          <w:p w14:paraId="6FE847B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45B6010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1D2A463C">
            <w:pPr>
              <w:keepNext w:val="0"/>
              <w:keepLines w:val="0"/>
              <w:pageBreakBefore w:val="0"/>
              <w:widowControl/>
              <w:numPr>
                <w:ilvl w:val="0"/>
                <w:numId w:val="2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用户管理</w:t>
            </w:r>
          </w:p>
          <w:p w14:paraId="7FA589DD">
            <w:pPr>
              <w:keepNext w:val="0"/>
              <w:keepLines w:val="0"/>
              <w:pageBreakBefore w:val="0"/>
              <w:widowControl/>
              <w:numPr>
                <w:ilvl w:val="0"/>
                <w:numId w:val="22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用户信息管理</w:t>
            </w:r>
          </w:p>
          <w:p w14:paraId="2B3C24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支持新增、编辑平台用户信息</w:t>
            </w:r>
          </w:p>
          <w:p w14:paraId="2EB7AAEE">
            <w:pPr>
              <w:keepNext w:val="0"/>
              <w:keepLines w:val="0"/>
              <w:pageBreakBefore w:val="0"/>
              <w:widowControl/>
              <w:numPr>
                <w:ilvl w:val="0"/>
                <w:numId w:val="22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用户账号管理</w:t>
            </w:r>
          </w:p>
          <w:p w14:paraId="2968EA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支持新增、编辑平台账号信息</w:t>
            </w:r>
          </w:p>
          <w:p w14:paraId="7A569248">
            <w:pPr>
              <w:keepNext w:val="0"/>
              <w:keepLines w:val="0"/>
              <w:pageBreakBefore w:val="0"/>
              <w:widowControl/>
              <w:numPr>
                <w:ilvl w:val="0"/>
                <w:numId w:val="220"/>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168910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支持根据用户姓名、手机号、身份证号、性别、认证级别的条件检索用户</w:t>
            </w:r>
          </w:p>
        </w:tc>
      </w:tr>
      <w:tr w14:paraId="1DE09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785" w:type="dxa"/>
            <w:vMerge w:val="continue"/>
            <w:tcBorders>
              <w:tl2br w:val="nil"/>
              <w:tr2bl w:val="nil"/>
            </w:tcBorders>
            <w:noWrap w:val="0"/>
            <w:vAlign w:val="center"/>
          </w:tcPr>
          <w:p w14:paraId="2D0FA77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5B49CCE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75ECD1DF">
            <w:pPr>
              <w:keepNext w:val="0"/>
              <w:keepLines w:val="0"/>
              <w:pageBreakBefore w:val="0"/>
              <w:widowControl/>
              <w:numPr>
                <w:ilvl w:val="0"/>
                <w:numId w:val="2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门诊排班</w:t>
            </w:r>
          </w:p>
          <w:p w14:paraId="0ADE3FD9">
            <w:pPr>
              <w:keepNext w:val="0"/>
              <w:keepLines w:val="0"/>
              <w:pageBreakBefore w:val="0"/>
              <w:widowControl/>
              <w:numPr>
                <w:ilvl w:val="0"/>
                <w:numId w:val="22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班次设置</w:t>
            </w:r>
          </w:p>
          <w:p w14:paraId="333929BF">
            <w:pPr>
              <w:keepNext w:val="0"/>
              <w:keepLines w:val="0"/>
              <w:pageBreakBefore w:val="0"/>
              <w:widowControl/>
              <w:numPr>
                <w:ilvl w:val="0"/>
                <w:numId w:val="22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班次管理</w:t>
            </w:r>
          </w:p>
          <w:p w14:paraId="46B261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支持平台上直接新增班次(每日工作时段)管理</w:t>
            </w:r>
          </w:p>
          <w:p w14:paraId="3F3F1F6A">
            <w:pPr>
              <w:keepNext w:val="0"/>
              <w:keepLines w:val="0"/>
              <w:pageBreakBefore w:val="0"/>
              <w:widowControl/>
              <w:numPr>
                <w:ilvl w:val="0"/>
                <w:numId w:val="22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班次状态管理</w:t>
            </w:r>
          </w:p>
          <w:p w14:paraId="746710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支持启用禁用状态的设置</w:t>
            </w:r>
          </w:p>
          <w:p w14:paraId="092DEFA1">
            <w:pPr>
              <w:keepNext w:val="0"/>
              <w:keepLines w:val="0"/>
              <w:pageBreakBefore w:val="0"/>
              <w:widowControl/>
              <w:numPr>
                <w:ilvl w:val="0"/>
                <w:numId w:val="22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预约规则设置</w:t>
            </w:r>
          </w:p>
          <w:p w14:paraId="635056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支持开始预约时间、结束预约时间、最晚预约时间的设置，满足各医院各项目的时间设置需求</w:t>
            </w:r>
          </w:p>
          <w:p w14:paraId="71930777">
            <w:pPr>
              <w:keepNext w:val="0"/>
              <w:keepLines w:val="0"/>
              <w:pageBreakBefore w:val="0"/>
              <w:widowControl/>
              <w:numPr>
                <w:ilvl w:val="0"/>
                <w:numId w:val="22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5B4E2B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支持根据机构名称检索班次</w:t>
            </w:r>
          </w:p>
          <w:p w14:paraId="01934711">
            <w:pPr>
              <w:keepNext w:val="0"/>
              <w:keepLines w:val="0"/>
              <w:pageBreakBefore w:val="0"/>
              <w:widowControl/>
              <w:numPr>
                <w:ilvl w:val="0"/>
                <w:numId w:val="22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排班管理</w:t>
            </w:r>
          </w:p>
          <w:p w14:paraId="007CF128">
            <w:pPr>
              <w:keepNext w:val="0"/>
              <w:keepLines w:val="0"/>
              <w:pageBreakBefore w:val="0"/>
              <w:widowControl/>
              <w:numPr>
                <w:ilvl w:val="0"/>
                <w:numId w:val="22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排班管理</w:t>
            </w:r>
          </w:p>
          <w:p w14:paraId="1B3AD6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支持新增、废弃、停诊排班信息</w:t>
            </w:r>
          </w:p>
          <w:p w14:paraId="0B1485AF">
            <w:pPr>
              <w:keepNext w:val="0"/>
              <w:keepLines w:val="0"/>
              <w:pageBreakBefore w:val="0"/>
              <w:widowControl/>
              <w:numPr>
                <w:ilvl w:val="0"/>
                <w:numId w:val="22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号源设置</w:t>
            </w:r>
          </w:p>
          <w:p w14:paraId="493209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支持加号、停号、设置号源是否可以被预约、设置可被预约途径、编辑就诊时间等操作</w:t>
            </w:r>
          </w:p>
          <w:p w14:paraId="00C1B4F2">
            <w:pPr>
              <w:keepNext w:val="0"/>
              <w:keepLines w:val="0"/>
              <w:pageBreakBefore w:val="0"/>
              <w:widowControl/>
              <w:numPr>
                <w:ilvl w:val="0"/>
                <w:numId w:val="22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设置自动排班</w:t>
            </w:r>
          </w:p>
          <w:p w14:paraId="0BC2A2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支持通过设置排班计划，实现上一周的排班定时滚动到下一周</w:t>
            </w:r>
          </w:p>
          <w:p w14:paraId="2B85DFAB">
            <w:pPr>
              <w:keepNext w:val="0"/>
              <w:keepLines w:val="0"/>
              <w:pageBreakBefore w:val="0"/>
              <w:widowControl/>
              <w:numPr>
                <w:ilvl w:val="0"/>
                <w:numId w:val="22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排班计划管理</w:t>
            </w:r>
          </w:p>
          <w:p w14:paraId="54E716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支持查看排班计划列表</w:t>
            </w:r>
          </w:p>
          <w:p w14:paraId="74AAC7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支持立即执行某一排班计划</w:t>
            </w:r>
          </w:p>
          <w:p w14:paraId="21AD32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支持启用/停用排班计划</w:t>
            </w:r>
          </w:p>
          <w:p w14:paraId="4E86D3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支持删除排班计划</w:t>
            </w:r>
          </w:p>
          <w:p w14:paraId="74DC15B9">
            <w:pPr>
              <w:keepNext w:val="0"/>
              <w:keepLines w:val="0"/>
              <w:pageBreakBefore w:val="0"/>
              <w:widowControl/>
              <w:numPr>
                <w:ilvl w:val="0"/>
                <w:numId w:val="22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机构配置</w:t>
            </w:r>
          </w:p>
          <w:p w14:paraId="50BDFB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支持配置排班开放的机构范围</w:t>
            </w:r>
          </w:p>
          <w:p w14:paraId="4EAFA7F0">
            <w:pPr>
              <w:keepNext w:val="0"/>
              <w:keepLines w:val="0"/>
              <w:pageBreakBefore w:val="0"/>
              <w:widowControl/>
              <w:numPr>
                <w:ilvl w:val="0"/>
                <w:numId w:val="22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排班发布</w:t>
            </w:r>
          </w:p>
          <w:p w14:paraId="05F910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支持发布排班，发布成功后的排班可被预约</w:t>
            </w:r>
          </w:p>
          <w:p w14:paraId="3F6F00A5">
            <w:pPr>
              <w:keepNext w:val="0"/>
              <w:keepLines w:val="0"/>
              <w:pageBreakBefore w:val="0"/>
              <w:widowControl/>
              <w:numPr>
                <w:ilvl w:val="0"/>
                <w:numId w:val="22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492772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支持根据医生名称、机构名称、科室信息、排班日期等元素进行检索</w:t>
            </w:r>
          </w:p>
          <w:p w14:paraId="71624FF3">
            <w:pPr>
              <w:keepNext w:val="0"/>
              <w:keepLines w:val="0"/>
              <w:pageBreakBefore w:val="0"/>
              <w:widowControl/>
              <w:numPr>
                <w:ilvl w:val="0"/>
                <w:numId w:val="22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诊室管理</w:t>
            </w:r>
          </w:p>
          <w:p w14:paraId="238C5A8B">
            <w:pPr>
              <w:keepNext w:val="0"/>
              <w:keepLines w:val="0"/>
              <w:pageBreakBefore w:val="0"/>
              <w:widowControl/>
              <w:numPr>
                <w:ilvl w:val="0"/>
                <w:numId w:val="224"/>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诊室管理</w:t>
            </w:r>
          </w:p>
          <w:p w14:paraId="537A79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提供平台直接进行远程门诊诊室的新增、修改等管理功能</w:t>
            </w:r>
          </w:p>
          <w:p w14:paraId="4AA70D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支持单个/批量删除诊室信息</w:t>
            </w:r>
          </w:p>
          <w:p w14:paraId="2DA66206">
            <w:pPr>
              <w:keepNext w:val="0"/>
              <w:keepLines w:val="0"/>
              <w:pageBreakBefore w:val="0"/>
              <w:widowControl/>
              <w:numPr>
                <w:ilvl w:val="0"/>
                <w:numId w:val="224"/>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诊室状态管理</w:t>
            </w:r>
          </w:p>
          <w:p w14:paraId="4BDB94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支持设置诊室的启用禁用状态</w:t>
            </w:r>
          </w:p>
          <w:p w14:paraId="13BF9CE6">
            <w:pPr>
              <w:keepNext w:val="0"/>
              <w:keepLines w:val="0"/>
              <w:pageBreakBefore w:val="0"/>
              <w:widowControl/>
              <w:numPr>
                <w:ilvl w:val="0"/>
                <w:numId w:val="224"/>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263D20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支持根据机构等信息检索诊室</w:t>
            </w:r>
          </w:p>
          <w:p w14:paraId="275454C9">
            <w:pPr>
              <w:keepNext w:val="0"/>
              <w:keepLines w:val="0"/>
              <w:pageBreakBefore w:val="0"/>
              <w:widowControl/>
              <w:numPr>
                <w:ilvl w:val="0"/>
                <w:numId w:val="22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诊室值班管理</w:t>
            </w:r>
          </w:p>
          <w:p w14:paraId="212CE727">
            <w:pPr>
              <w:keepNext w:val="0"/>
              <w:keepLines w:val="0"/>
              <w:pageBreakBefore w:val="0"/>
              <w:widowControl/>
              <w:numPr>
                <w:ilvl w:val="0"/>
                <w:numId w:val="225"/>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诊室值班管理</w:t>
            </w:r>
          </w:p>
          <w:p w14:paraId="153C44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支持新增、编辑、删除下级医院诊室值班信息</w:t>
            </w:r>
          </w:p>
          <w:p w14:paraId="7B268D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支持按指定日期进行设置排班</w:t>
            </w:r>
          </w:p>
          <w:p w14:paraId="1CBEABBE">
            <w:pPr>
              <w:keepNext w:val="0"/>
              <w:keepLines w:val="0"/>
              <w:pageBreakBefore w:val="0"/>
              <w:widowControl/>
              <w:numPr>
                <w:ilvl w:val="0"/>
                <w:numId w:val="225"/>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24B196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支持按指定日期检索排班信息</w:t>
            </w:r>
          </w:p>
        </w:tc>
      </w:tr>
      <w:tr w14:paraId="7DAE4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5" w:type="dxa"/>
            <w:vMerge w:val="continue"/>
            <w:tcBorders>
              <w:tl2br w:val="nil"/>
              <w:tr2bl w:val="nil"/>
            </w:tcBorders>
            <w:noWrap w:val="0"/>
            <w:vAlign w:val="center"/>
          </w:tcPr>
          <w:p w14:paraId="7104A12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3F9CB04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49F4A61B">
            <w:pPr>
              <w:keepNext w:val="0"/>
              <w:keepLines w:val="0"/>
              <w:pageBreakBefore w:val="0"/>
              <w:widowControl/>
              <w:numPr>
                <w:ilvl w:val="0"/>
                <w:numId w:val="2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字典管理</w:t>
            </w:r>
          </w:p>
          <w:p w14:paraId="1BE6AAA3">
            <w:pPr>
              <w:keepNext w:val="0"/>
              <w:keepLines w:val="0"/>
              <w:pageBreakBefore w:val="0"/>
              <w:widowControl/>
              <w:numPr>
                <w:ilvl w:val="0"/>
                <w:numId w:val="22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药品字典管理</w:t>
            </w:r>
          </w:p>
          <w:p w14:paraId="5467FE36">
            <w:pPr>
              <w:keepNext w:val="0"/>
              <w:keepLines w:val="0"/>
              <w:pageBreakBefore w:val="0"/>
              <w:widowControl/>
              <w:numPr>
                <w:ilvl w:val="0"/>
                <w:numId w:val="227"/>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药品管理</w:t>
            </w:r>
          </w:p>
          <w:p w14:paraId="46EF7E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支持药品的新增、删除、启停、等综合管理</w:t>
            </w:r>
          </w:p>
          <w:p w14:paraId="32856E35">
            <w:pPr>
              <w:keepNext w:val="0"/>
              <w:keepLines w:val="0"/>
              <w:pageBreakBefore w:val="0"/>
              <w:widowControl/>
              <w:numPr>
                <w:ilvl w:val="0"/>
                <w:numId w:val="227"/>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药品信息导入</w:t>
            </w:r>
          </w:p>
          <w:p w14:paraId="129C5D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支持一键导入药品信息</w:t>
            </w:r>
          </w:p>
          <w:p w14:paraId="15635797">
            <w:pPr>
              <w:keepNext w:val="0"/>
              <w:keepLines w:val="0"/>
              <w:pageBreakBefore w:val="0"/>
              <w:widowControl/>
              <w:numPr>
                <w:ilvl w:val="0"/>
                <w:numId w:val="227"/>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62315D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支持根据药品名称等信息检索药品字典</w:t>
            </w:r>
          </w:p>
          <w:p w14:paraId="361E6954">
            <w:pPr>
              <w:keepNext w:val="0"/>
              <w:keepLines w:val="0"/>
              <w:pageBreakBefore w:val="0"/>
              <w:widowControl/>
              <w:numPr>
                <w:ilvl w:val="0"/>
                <w:numId w:val="22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给药频次字典管理</w:t>
            </w:r>
          </w:p>
          <w:p w14:paraId="0EA7A5E8">
            <w:pPr>
              <w:keepNext w:val="0"/>
              <w:keepLines w:val="0"/>
              <w:pageBreakBefore w:val="0"/>
              <w:widowControl/>
              <w:numPr>
                <w:ilvl w:val="0"/>
                <w:numId w:val="22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给药频次管理</w:t>
            </w:r>
          </w:p>
          <w:p w14:paraId="57E963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支持新增、导入、维护、删除给药频次</w:t>
            </w:r>
          </w:p>
          <w:p w14:paraId="2EC9AF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支持根据机构主体，进行单机构个性化定制给药频次字典管理</w:t>
            </w:r>
          </w:p>
          <w:p w14:paraId="0B84DB81">
            <w:pPr>
              <w:keepNext w:val="0"/>
              <w:keepLines w:val="0"/>
              <w:pageBreakBefore w:val="0"/>
              <w:widowControl/>
              <w:numPr>
                <w:ilvl w:val="0"/>
                <w:numId w:val="228"/>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55B83B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支持根据编号、频次名称、医院频次编码、状态等检索字典</w:t>
            </w:r>
          </w:p>
          <w:p w14:paraId="0007D220">
            <w:pPr>
              <w:keepNext w:val="0"/>
              <w:keepLines w:val="0"/>
              <w:pageBreakBefore w:val="0"/>
              <w:widowControl/>
              <w:numPr>
                <w:ilvl w:val="0"/>
                <w:numId w:val="22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给药途径字典管理</w:t>
            </w:r>
          </w:p>
          <w:p w14:paraId="3F69DDD8">
            <w:pPr>
              <w:keepNext w:val="0"/>
              <w:keepLines w:val="0"/>
              <w:pageBreakBefore w:val="0"/>
              <w:widowControl/>
              <w:numPr>
                <w:ilvl w:val="0"/>
                <w:numId w:val="22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给药途径管理</w:t>
            </w:r>
          </w:p>
          <w:p w14:paraId="392CC2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支持新增、导入、维护、删除给药途径</w:t>
            </w:r>
          </w:p>
          <w:p w14:paraId="4350F7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支持根据机构主体，进行单机构个性化定制给药途径字典管理</w:t>
            </w:r>
          </w:p>
          <w:p w14:paraId="62763AA1">
            <w:pPr>
              <w:keepNext w:val="0"/>
              <w:keepLines w:val="0"/>
              <w:pageBreakBefore w:val="0"/>
              <w:widowControl/>
              <w:numPr>
                <w:ilvl w:val="0"/>
                <w:numId w:val="229"/>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数据检索查询</w:t>
            </w:r>
          </w:p>
          <w:p w14:paraId="398DE1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支持根据编号、频次名称、医院途径编码、状态等检索字典</w:t>
            </w:r>
          </w:p>
          <w:p w14:paraId="7A1873CF">
            <w:pPr>
              <w:keepNext w:val="0"/>
              <w:keepLines w:val="0"/>
              <w:pageBreakBefore w:val="0"/>
              <w:widowControl/>
              <w:numPr>
                <w:ilvl w:val="0"/>
                <w:numId w:val="226"/>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处方分类字典管理</w:t>
            </w:r>
          </w:p>
          <w:p w14:paraId="6A10AF54">
            <w:pPr>
              <w:keepNext w:val="0"/>
              <w:keepLines w:val="0"/>
              <w:pageBreakBefore w:val="0"/>
              <w:widowControl/>
              <w:numPr>
                <w:ilvl w:val="0"/>
                <w:numId w:val="230"/>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处方分类管理</w:t>
            </w:r>
          </w:p>
          <w:p w14:paraId="7920D4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支持进行新增、删除、新增、导入、维护、删除处方分类等综合性操作</w:t>
            </w:r>
          </w:p>
          <w:p w14:paraId="245788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支持根据机构主体，进行单机构个性化定制给处方分类管理</w:t>
            </w:r>
          </w:p>
          <w:p w14:paraId="34BAF589">
            <w:pPr>
              <w:keepNext w:val="0"/>
              <w:keepLines w:val="0"/>
              <w:pageBreakBefore w:val="0"/>
              <w:widowControl/>
              <w:numPr>
                <w:ilvl w:val="0"/>
                <w:numId w:val="230"/>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数据检错查询</w:t>
            </w:r>
          </w:p>
          <w:p w14:paraId="07787C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支持根据编号、分类名称、处方类型、特殊药品限制、状态等检索字典</w:t>
            </w:r>
          </w:p>
        </w:tc>
      </w:tr>
      <w:tr w14:paraId="69589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6" w:hRule="atLeast"/>
        </w:trPr>
        <w:tc>
          <w:tcPr>
            <w:tcW w:w="785" w:type="dxa"/>
            <w:vMerge w:val="continue"/>
            <w:tcBorders>
              <w:tl2br w:val="nil"/>
              <w:tr2bl w:val="nil"/>
            </w:tcBorders>
            <w:noWrap w:val="0"/>
            <w:vAlign w:val="center"/>
          </w:tcPr>
          <w:p w14:paraId="7FD86EA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85" w:type="dxa"/>
            <w:vMerge w:val="continue"/>
            <w:tcBorders>
              <w:tl2br w:val="nil"/>
              <w:tr2bl w:val="nil"/>
            </w:tcBorders>
            <w:noWrap w:val="0"/>
            <w:vAlign w:val="center"/>
          </w:tcPr>
          <w:p w14:paraId="33ED94D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7468" w:type="dxa"/>
            <w:tcBorders>
              <w:tl2br w:val="nil"/>
              <w:tr2bl w:val="nil"/>
            </w:tcBorders>
            <w:noWrap w:val="0"/>
            <w:vAlign w:val="center"/>
          </w:tcPr>
          <w:p w14:paraId="273A9EAD">
            <w:pPr>
              <w:keepNext w:val="0"/>
              <w:keepLines w:val="0"/>
              <w:pageBreakBefore w:val="0"/>
              <w:widowControl/>
              <w:numPr>
                <w:ilvl w:val="0"/>
                <w:numId w:val="216"/>
              </w:numPr>
              <w:suppressLineNumbers w:val="0"/>
              <w:kinsoku/>
              <w:wordWrap/>
              <w:overflowPunct/>
              <w:topLinePunct w:val="0"/>
              <w:autoSpaceDE/>
              <w:autoSpaceDN/>
              <w:bidi w:val="0"/>
              <w:adjustRightInd w:val="0"/>
              <w:snapToGrid w:val="0"/>
              <w:ind w:left="0" w:leftChars="0" w:firstLine="420" w:firstLineChars="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统计报表</w:t>
            </w:r>
          </w:p>
          <w:p w14:paraId="3CF1EA0B">
            <w:pPr>
              <w:keepNext w:val="0"/>
              <w:keepLines w:val="0"/>
              <w:pageBreakBefore w:val="0"/>
              <w:widowControl/>
              <w:numPr>
                <w:ilvl w:val="0"/>
                <w:numId w:val="23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远程门诊情况监管</w:t>
            </w:r>
          </w:p>
          <w:p w14:paraId="6AE39A18">
            <w:pPr>
              <w:keepNext w:val="0"/>
              <w:keepLines w:val="0"/>
              <w:pageBreakBefore w:val="0"/>
              <w:widowControl/>
              <w:numPr>
                <w:ilvl w:val="0"/>
                <w:numId w:val="23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预约人次统计</w:t>
            </w:r>
          </w:p>
          <w:p w14:paraId="5B410B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支持按机构统计预约人次</w:t>
            </w:r>
          </w:p>
          <w:p w14:paraId="1C15B537">
            <w:pPr>
              <w:keepNext w:val="0"/>
              <w:keepLines w:val="0"/>
              <w:pageBreakBefore w:val="0"/>
              <w:widowControl/>
              <w:numPr>
                <w:ilvl w:val="0"/>
                <w:numId w:val="23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服务人次统计</w:t>
            </w:r>
          </w:p>
          <w:p w14:paraId="0BE34C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支持按机构统计服务人次</w:t>
            </w:r>
          </w:p>
          <w:p w14:paraId="63B91ACB">
            <w:pPr>
              <w:keepNext w:val="0"/>
              <w:keepLines w:val="0"/>
              <w:pageBreakBefore w:val="0"/>
              <w:widowControl/>
              <w:numPr>
                <w:ilvl w:val="0"/>
                <w:numId w:val="23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挂号收费统计</w:t>
            </w:r>
          </w:p>
          <w:p w14:paraId="19AC58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支持按机构统计挂号收费情况</w:t>
            </w:r>
          </w:p>
          <w:p w14:paraId="412EF24A">
            <w:pPr>
              <w:keepNext w:val="0"/>
              <w:keepLines w:val="0"/>
              <w:pageBreakBefore w:val="0"/>
              <w:widowControl/>
              <w:numPr>
                <w:ilvl w:val="0"/>
                <w:numId w:val="232"/>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处方费用统计</w:t>
            </w:r>
          </w:p>
          <w:p w14:paraId="188CA0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支持按机构统计处方费用情况</w:t>
            </w:r>
          </w:p>
          <w:p w14:paraId="1946BA69">
            <w:pPr>
              <w:keepNext w:val="0"/>
              <w:keepLines w:val="0"/>
              <w:pageBreakBefore w:val="0"/>
              <w:widowControl/>
              <w:numPr>
                <w:ilvl w:val="0"/>
                <w:numId w:val="231"/>
              </w:numPr>
              <w:suppressLineNumbers w:val="0"/>
              <w:kinsoku/>
              <w:wordWrap/>
              <w:overflowPunct/>
              <w:topLinePunct w:val="0"/>
              <w:autoSpaceDE/>
              <w:autoSpaceDN/>
              <w:bidi w:val="0"/>
              <w:adjustRightInd w:val="0"/>
              <w:snapToGrid w:val="0"/>
              <w:ind w:left="0" w:leftChars="0" w:firstLine="40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预约挂号情况监管</w:t>
            </w:r>
          </w:p>
          <w:p w14:paraId="7ED7528A">
            <w:pPr>
              <w:keepNext w:val="0"/>
              <w:keepLines w:val="0"/>
              <w:pageBreakBefore w:val="0"/>
              <w:widowControl/>
              <w:numPr>
                <w:ilvl w:val="0"/>
                <w:numId w:val="233"/>
              </w:numPr>
              <w:suppressLineNumbers w:val="0"/>
              <w:kinsoku/>
              <w:wordWrap/>
              <w:overflowPunct/>
              <w:topLinePunct w:val="0"/>
              <w:autoSpaceDE/>
              <w:autoSpaceDN/>
              <w:bidi w:val="0"/>
              <w:adjustRightInd w:val="0"/>
              <w:snapToGrid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历史挂号记录</w:t>
            </w:r>
          </w:p>
          <w:p w14:paraId="56E636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支持展示平台历史挂号记录</w:t>
            </w:r>
          </w:p>
        </w:tc>
      </w:tr>
    </w:tbl>
    <w:p w14:paraId="0C93A92B">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25F94BBD">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鄞领健康（改造）</w:t>
      </w:r>
    </w:p>
    <w:tbl>
      <w:tblPr>
        <w:tblStyle w:val="13"/>
        <w:tblW w:w="4998" w:type="pct"/>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767"/>
        <w:gridCol w:w="6973"/>
      </w:tblGrid>
      <w:tr w14:paraId="2970E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6" w:type="dxa"/>
            <w:tcBorders>
              <w:tl2br w:val="nil"/>
              <w:tr2bl w:val="nil"/>
            </w:tcBorders>
            <w:noWrap w:val="0"/>
            <w:tcMar>
              <w:top w:w="0" w:type="dxa"/>
              <w:left w:w="108" w:type="dxa"/>
              <w:bottom w:w="0" w:type="dxa"/>
              <w:right w:w="108" w:type="dxa"/>
            </w:tcMar>
            <w:tcFitText/>
            <w:vAlign w:val="center"/>
          </w:tcPr>
          <w:p w14:paraId="7B6ADA1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pacing w:val="0"/>
                <w:kern w:val="0"/>
                <w:sz w:val="21"/>
                <w:szCs w:val="21"/>
                <w:lang w:bidi="ar"/>
              </w:rPr>
            </w:pPr>
            <w:r>
              <w:rPr>
                <w:rFonts w:hint="eastAsia" w:ascii="宋体" w:hAnsi="宋体" w:eastAsia="宋体" w:cs="宋体"/>
                <w:b/>
                <w:bCs/>
                <w:color w:val="auto"/>
                <w:spacing w:val="79"/>
                <w:w w:val="97"/>
                <w:kern w:val="0"/>
                <w:sz w:val="21"/>
                <w:szCs w:val="21"/>
                <w:lang w:bidi="ar"/>
              </w:rPr>
              <w:t>序</w:t>
            </w:r>
            <w:r>
              <w:rPr>
                <w:rFonts w:hint="eastAsia" w:ascii="宋体" w:hAnsi="宋体" w:eastAsia="宋体" w:cs="宋体"/>
                <w:b/>
                <w:bCs/>
                <w:color w:val="auto"/>
                <w:spacing w:val="0"/>
                <w:w w:val="97"/>
                <w:kern w:val="0"/>
                <w:sz w:val="21"/>
                <w:szCs w:val="21"/>
                <w:lang w:bidi="ar"/>
              </w:rPr>
              <w:t>号</w:t>
            </w:r>
          </w:p>
        </w:tc>
        <w:tc>
          <w:tcPr>
            <w:tcW w:w="796" w:type="dxa"/>
            <w:tcBorders>
              <w:tl2br w:val="nil"/>
              <w:tr2bl w:val="nil"/>
            </w:tcBorders>
            <w:noWrap w:val="0"/>
            <w:vAlign w:val="center"/>
          </w:tcPr>
          <w:p w14:paraId="46F67D9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模块</w:t>
            </w:r>
          </w:p>
        </w:tc>
        <w:tc>
          <w:tcPr>
            <w:tcW w:w="7466" w:type="dxa"/>
            <w:tcBorders>
              <w:tl2br w:val="nil"/>
              <w:tr2bl w:val="nil"/>
            </w:tcBorders>
            <w:noWrap w:val="0"/>
            <w:vAlign w:val="center"/>
          </w:tcPr>
          <w:p w14:paraId="6AD321B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功能及技术参数</w:t>
            </w:r>
          </w:p>
        </w:tc>
      </w:tr>
      <w:tr w14:paraId="327E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796" w:type="dxa"/>
            <w:vMerge w:val="restart"/>
            <w:tcBorders>
              <w:tl2br w:val="nil"/>
              <w:tr2bl w:val="nil"/>
            </w:tcBorders>
            <w:noWrap w:val="0"/>
            <w:vAlign w:val="center"/>
          </w:tcPr>
          <w:p w14:paraId="3C7323DD">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796" w:type="dxa"/>
            <w:vMerge w:val="restart"/>
            <w:tcBorders>
              <w:tl2br w:val="nil"/>
              <w:tr2bl w:val="nil"/>
            </w:tcBorders>
            <w:noWrap w:val="0"/>
            <w:vAlign w:val="center"/>
          </w:tcPr>
          <w:p w14:paraId="310CB8A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家医签约</w:t>
            </w:r>
          </w:p>
        </w:tc>
        <w:tc>
          <w:tcPr>
            <w:tcW w:w="7466" w:type="dxa"/>
            <w:tcBorders>
              <w:tl2br w:val="nil"/>
              <w:tr2bl w:val="nil"/>
            </w:tcBorders>
            <w:noWrap w:val="0"/>
            <w:vAlign w:val="center"/>
          </w:tcPr>
          <w:p w14:paraId="7ED8BE44">
            <w:pPr>
              <w:pageBreakBefore w:val="0"/>
              <w:widowControl/>
              <w:numPr>
                <w:ilvl w:val="0"/>
                <w:numId w:val="23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家庭医生签约</w:t>
            </w:r>
          </w:p>
          <w:p w14:paraId="6B56EBD9">
            <w:pPr>
              <w:pageBreakBefore w:val="0"/>
              <w:widowControl/>
              <w:numPr>
                <w:ilvl w:val="0"/>
                <w:numId w:val="23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支持居民选择医疗机构、团队信息后进行在线签约</w:t>
            </w:r>
          </w:p>
          <w:p w14:paraId="2187E76B">
            <w:pPr>
              <w:pageBreakBefore w:val="0"/>
              <w:widowControl/>
              <w:numPr>
                <w:ilvl w:val="0"/>
                <w:numId w:val="23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支持居民查看签约信息，包括有效期、医生团队信息等</w:t>
            </w:r>
          </w:p>
          <w:p w14:paraId="2FCDD4DD">
            <w:pPr>
              <w:pageBreakBefore w:val="0"/>
              <w:widowControl/>
              <w:numPr>
                <w:ilvl w:val="0"/>
                <w:numId w:val="23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支持居民在签约到期时在线续签</w:t>
            </w:r>
          </w:p>
        </w:tc>
      </w:tr>
      <w:tr w14:paraId="110E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796" w:type="dxa"/>
            <w:vMerge w:val="continue"/>
            <w:tcBorders>
              <w:tl2br w:val="nil"/>
              <w:tr2bl w:val="nil"/>
            </w:tcBorders>
            <w:noWrap w:val="0"/>
            <w:vAlign w:val="center"/>
          </w:tcPr>
          <w:p w14:paraId="2855B949">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40A404A4">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50025947">
            <w:pPr>
              <w:pageBreakBefore w:val="0"/>
              <w:widowControl/>
              <w:numPr>
                <w:ilvl w:val="0"/>
                <w:numId w:val="23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亲情代签</w:t>
            </w:r>
          </w:p>
          <w:p w14:paraId="0EDF420E">
            <w:pPr>
              <w:pageBreakBefore w:val="0"/>
              <w:widowControl/>
              <w:numPr>
                <w:ilvl w:val="0"/>
                <w:numId w:val="23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color w:val="auto"/>
                <w:kern w:val="0"/>
                <w:sz w:val="21"/>
                <w:szCs w:val="21"/>
                <w:lang w:bidi="ar"/>
              </w:rPr>
              <w:t>支持居民绑定亲人账号</w:t>
            </w:r>
          </w:p>
          <w:p w14:paraId="7D2D2C5F">
            <w:pPr>
              <w:pageBreakBefore w:val="0"/>
              <w:widowControl/>
              <w:numPr>
                <w:ilvl w:val="0"/>
                <w:numId w:val="23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支持居民在线帮亲人代签约</w:t>
            </w:r>
          </w:p>
        </w:tc>
      </w:tr>
      <w:tr w14:paraId="6A6B0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6" w:type="dxa"/>
            <w:vMerge w:val="continue"/>
            <w:tcBorders>
              <w:tl2br w:val="nil"/>
              <w:tr2bl w:val="nil"/>
            </w:tcBorders>
            <w:noWrap w:val="0"/>
            <w:vAlign w:val="center"/>
          </w:tcPr>
          <w:p w14:paraId="36D271F5">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7A8F76E8">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6A76C33A">
            <w:pPr>
              <w:pageBreakBefore w:val="0"/>
              <w:widowControl/>
              <w:numPr>
                <w:ilvl w:val="0"/>
                <w:numId w:val="23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签约满意度评价</w:t>
            </w:r>
          </w:p>
          <w:p w14:paraId="162942C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支持居民进行满意度评价</w:t>
            </w:r>
          </w:p>
        </w:tc>
      </w:tr>
      <w:tr w14:paraId="2892C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6" w:type="dxa"/>
            <w:vMerge w:val="continue"/>
            <w:tcBorders>
              <w:tl2br w:val="nil"/>
              <w:tr2bl w:val="nil"/>
            </w:tcBorders>
            <w:noWrap w:val="0"/>
            <w:vAlign w:val="center"/>
          </w:tcPr>
          <w:p w14:paraId="36D5ACCF">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399D23B1">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679B951C">
            <w:pPr>
              <w:pageBreakBefore w:val="0"/>
              <w:widowControl/>
              <w:numPr>
                <w:ilvl w:val="0"/>
                <w:numId w:val="23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签约信息查询</w:t>
            </w:r>
          </w:p>
          <w:p w14:paraId="0E8E29A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支持居民查询签约信息</w:t>
            </w:r>
          </w:p>
        </w:tc>
      </w:tr>
      <w:tr w14:paraId="4A5C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6" w:type="dxa"/>
            <w:vMerge w:val="continue"/>
            <w:tcBorders>
              <w:tl2br w:val="nil"/>
              <w:tr2bl w:val="nil"/>
            </w:tcBorders>
            <w:noWrap w:val="0"/>
            <w:vAlign w:val="center"/>
          </w:tcPr>
          <w:p w14:paraId="74334EC3">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25AAA728">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216FE4DF">
            <w:pPr>
              <w:pageBreakBefore w:val="0"/>
              <w:widowControl/>
              <w:numPr>
                <w:ilvl w:val="0"/>
                <w:numId w:val="23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签约电子优惠券查询</w:t>
            </w:r>
          </w:p>
          <w:p w14:paraId="369843E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支持居民查看签约电子优惠券</w:t>
            </w:r>
          </w:p>
        </w:tc>
      </w:tr>
      <w:tr w14:paraId="3CFDF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6" w:type="dxa"/>
            <w:vMerge w:val="restart"/>
            <w:tcBorders>
              <w:tl2br w:val="nil"/>
              <w:tr2bl w:val="nil"/>
            </w:tcBorders>
            <w:noWrap w:val="0"/>
            <w:vAlign w:val="center"/>
          </w:tcPr>
          <w:p w14:paraId="1D170F5C">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796" w:type="dxa"/>
            <w:vMerge w:val="restart"/>
            <w:tcBorders>
              <w:tl2br w:val="nil"/>
              <w:tr2bl w:val="nil"/>
            </w:tcBorders>
            <w:noWrap w:val="0"/>
            <w:vAlign w:val="center"/>
          </w:tcPr>
          <w:p w14:paraId="2C7C5601">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家医访视</w:t>
            </w:r>
          </w:p>
        </w:tc>
        <w:tc>
          <w:tcPr>
            <w:tcW w:w="7466" w:type="dxa"/>
            <w:tcBorders>
              <w:tl2br w:val="nil"/>
              <w:tr2bl w:val="nil"/>
            </w:tcBorders>
            <w:noWrap w:val="0"/>
            <w:vAlign w:val="center"/>
          </w:tcPr>
          <w:p w14:paraId="6E4FDBF6">
            <w:pPr>
              <w:pageBreakBefore w:val="0"/>
              <w:widowControl/>
              <w:numPr>
                <w:ilvl w:val="0"/>
                <w:numId w:val="23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复诊预约</w:t>
            </w:r>
          </w:p>
          <w:p w14:paraId="5C405BF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支持居民查看复诊时间和检查项目</w:t>
            </w:r>
          </w:p>
        </w:tc>
      </w:tr>
      <w:tr w14:paraId="53884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6" w:type="dxa"/>
            <w:vMerge w:val="continue"/>
            <w:tcBorders>
              <w:tl2br w:val="nil"/>
              <w:tr2bl w:val="nil"/>
            </w:tcBorders>
            <w:noWrap w:val="0"/>
            <w:vAlign w:val="center"/>
          </w:tcPr>
          <w:p w14:paraId="5A2863AF">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1E8E35B9">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680C9C5A">
            <w:pPr>
              <w:pageBreakBefore w:val="0"/>
              <w:widowControl/>
              <w:numPr>
                <w:ilvl w:val="0"/>
                <w:numId w:val="23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随访提醒</w:t>
            </w:r>
          </w:p>
          <w:p w14:paraId="6E7AB53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支持提醒居民进行随访</w:t>
            </w:r>
          </w:p>
        </w:tc>
      </w:tr>
      <w:tr w14:paraId="2457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6" w:type="dxa"/>
            <w:vMerge w:val="continue"/>
            <w:tcBorders>
              <w:tl2br w:val="nil"/>
              <w:tr2bl w:val="nil"/>
            </w:tcBorders>
            <w:noWrap w:val="0"/>
            <w:vAlign w:val="center"/>
          </w:tcPr>
          <w:p w14:paraId="74B2413B">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3FB24936">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16E9BA0D">
            <w:pPr>
              <w:pageBreakBefore w:val="0"/>
              <w:widowControl/>
              <w:numPr>
                <w:ilvl w:val="0"/>
                <w:numId w:val="23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复诊提醒</w:t>
            </w:r>
          </w:p>
          <w:p w14:paraId="6C72154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支持短信提醒居民到院复诊</w:t>
            </w:r>
          </w:p>
        </w:tc>
      </w:tr>
      <w:tr w14:paraId="05534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796" w:type="dxa"/>
            <w:vMerge w:val="continue"/>
            <w:tcBorders>
              <w:tl2br w:val="nil"/>
              <w:tr2bl w:val="nil"/>
            </w:tcBorders>
            <w:noWrap w:val="0"/>
            <w:vAlign w:val="center"/>
          </w:tcPr>
          <w:p w14:paraId="2C9ED76E">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5CD22C87">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3C1908EA">
            <w:pPr>
              <w:pageBreakBefore w:val="0"/>
              <w:widowControl/>
              <w:numPr>
                <w:ilvl w:val="0"/>
                <w:numId w:val="23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慢病随访</w:t>
            </w:r>
          </w:p>
          <w:p w14:paraId="0D44D8D2">
            <w:pPr>
              <w:pageBreakBefore w:val="0"/>
              <w:widowControl/>
              <w:numPr>
                <w:ilvl w:val="0"/>
                <w:numId w:val="23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获取体征数据</w:t>
            </w:r>
          </w:p>
          <w:p w14:paraId="0BF19C8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支持居民进行体征数据记录</w:t>
            </w:r>
          </w:p>
          <w:p w14:paraId="2C0E4C02">
            <w:pPr>
              <w:pageBreakBefore w:val="0"/>
              <w:widowControl/>
              <w:numPr>
                <w:ilvl w:val="0"/>
                <w:numId w:val="23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自理评估</w:t>
            </w:r>
          </w:p>
          <w:p w14:paraId="7BA5280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向居民提供老年人自理能力评估，方便了解生活自理能力</w:t>
            </w:r>
          </w:p>
          <w:p w14:paraId="7645BB07">
            <w:pPr>
              <w:pageBreakBefore w:val="0"/>
              <w:widowControl/>
              <w:numPr>
                <w:ilvl w:val="0"/>
                <w:numId w:val="23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心理素质</w:t>
            </w:r>
          </w:p>
          <w:p w14:paraId="4FD3775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向居民提供宗氏抑郁自测量表（SDS）、宗氏焦虑自测量表（SAS）、人际关系测试、青少年忧郁情绪自我检视等量表，居民可根据自身事情情况、症状进行测试</w:t>
            </w:r>
          </w:p>
        </w:tc>
      </w:tr>
      <w:tr w14:paraId="1EBC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796" w:type="dxa"/>
            <w:vMerge w:val="continue"/>
            <w:tcBorders>
              <w:tl2br w:val="nil"/>
              <w:tr2bl w:val="nil"/>
            </w:tcBorders>
            <w:noWrap w:val="0"/>
            <w:vAlign w:val="center"/>
          </w:tcPr>
          <w:p w14:paraId="3AF1BE25">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5BD0E600">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1A3C34F9">
            <w:pPr>
              <w:pageBreakBefore w:val="0"/>
              <w:widowControl/>
              <w:numPr>
                <w:ilvl w:val="0"/>
                <w:numId w:val="23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网上评估</w:t>
            </w:r>
          </w:p>
          <w:p w14:paraId="693B1B1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向居民提供中医体质辨识量表，居民可根据自身事情情况、症状进行测试，从体质状态及不同体质分类的特性</w:t>
            </w:r>
          </w:p>
        </w:tc>
      </w:tr>
      <w:tr w14:paraId="520D7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96" w:type="dxa"/>
            <w:vMerge w:val="continue"/>
            <w:tcBorders>
              <w:tl2br w:val="nil"/>
              <w:tr2bl w:val="nil"/>
            </w:tcBorders>
            <w:noWrap w:val="0"/>
            <w:vAlign w:val="center"/>
          </w:tcPr>
          <w:p w14:paraId="2DBFF1EE">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335923B6">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6A3DEA7A">
            <w:pPr>
              <w:pageBreakBefore w:val="0"/>
              <w:widowControl/>
              <w:numPr>
                <w:ilvl w:val="0"/>
                <w:numId w:val="23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健康档案管理</w:t>
            </w:r>
          </w:p>
          <w:p w14:paraId="4E35954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支持居民查看各类健康信息</w:t>
            </w:r>
          </w:p>
        </w:tc>
      </w:tr>
      <w:tr w14:paraId="3B274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96" w:type="dxa"/>
            <w:vMerge w:val="restart"/>
            <w:tcBorders>
              <w:tl2br w:val="nil"/>
              <w:tr2bl w:val="nil"/>
            </w:tcBorders>
            <w:noWrap w:val="0"/>
            <w:vAlign w:val="center"/>
          </w:tcPr>
          <w:p w14:paraId="2DD3CBF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c>
          <w:tcPr>
            <w:tcW w:w="796" w:type="dxa"/>
            <w:vMerge w:val="restart"/>
            <w:tcBorders>
              <w:tl2br w:val="nil"/>
              <w:tr2bl w:val="nil"/>
            </w:tcBorders>
            <w:noWrap w:val="0"/>
            <w:vAlign w:val="center"/>
          </w:tcPr>
          <w:p w14:paraId="448FC3B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健康积分</w:t>
            </w:r>
            <w:r>
              <w:rPr>
                <w:rFonts w:hint="eastAsia" w:ascii="宋体" w:hAnsi="宋体" w:eastAsia="宋体" w:cs="宋体"/>
                <w:color w:val="auto"/>
                <w:kern w:val="0"/>
                <w:sz w:val="21"/>
                <w:szCs w:val="21"/>
                <w:lang w:val="en-US" w:eastAsia="zh-CN" w:bidi="ar"/>
              </w:rPr>
              <w:t>对接</w:t>
            </w:r>
          </w:p>
        </w:tc>
        <w:tc>
          <w:tcPr>
            <w:tcW w:w="7466" w:type="dxa"/>
            <w:tcBorders>
              <w:tl2br w:val="nil"/>
              <w:tr2bl w:val="nil"/>
            </w:tcBorders>
            <w:noWrap w:val="0"/>
            <w:vAlign w:val="center"/>
          </w:tcPr>
          <w:p w14:paraId="50F3D85F">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门户首页</w:t>
            </w:r>
          </w:p>
          <w:p w14:paraId="3502AC13">
            <w:pPr>
              <w:pageBreakBefore w:val="0"/>
              <w:widowControl/>
              <w:numPr>
                <w:ilvl w:val="0"/>
                <w:numId w:val="24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门户首页</w:t>
            </w:r>
          </w:p>
          <w:p w14:paraId="2C9E171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集成健康商城、邀请有礼、积分记录、兑换记录、积分规则、评价与建议、问题与反馈等功能入口</w:t>
            </w:r>
          </w:p>
          <w:p w14:paraId="631B2F97">
            <w:pPr>
              <w:pageBreakBefore w:val="0"/>
              <w:widowControl/>
              <w:numPr>
                <w:ilvl w:val="0"/>
                <w:numId w:val="24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积分任务专区</w:t>
            </w:r>
          </w:p>
          <w:p w14:paraId="27DA4E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对积分任务进行分类，按模块展示积分任务分类</w:t>
            </w:r>
          </w:p>
        </w:tc>
      </w:tr>
      <w:tr w14:paraId="0396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796" w:type="dxa"/>
            <w:vMerge w:val="continue"/>
            <w:tcBorders>
              <w:tl2br w:val="nil"/>
              <w:tr2bl w:val="nil"/>
            </w:tcBorders>
            <w:noWrap w:val="0"/>
            <w:vAlign w:val="center"/>
          </w:tcPr>
          <w:p w14:paraId="29F7C08A">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62416A77">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1D6DFC12">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积分任务</w:t>
            </w:r>
          </w:p>
          <w:p w14:paraId="036C543B">
            <w:pPr>
              <w:pageBreakBefore w:val="0"/>
              <w:widowControl/>
              <w:numPr>
                <w:ilvl w:val="0"/>
                <w:numId w:val="24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积分任务列表</w:t>
            </w:r>
          </w:p>
          <w:p w14:paraId="128861C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集成邀请好友注册、签约医生处就诊、完成体征检测登记、控制血压达标达标等积分任务</w:t>
            </w:r>
          </w:p>
          <w:p w14:paraId="5A59FCF4">
            <w:pPr>
              <w:pageBreakBefore w:val="0"/>
              <w:widowControl/>
              <w:numPr>
                <w:ilvl w:val="0"/>
                <w:numId w:val="24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积分任务详情</w:t>
            </w:r>
          </w:p>
          <w:p w14:paraId="1789530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展示积分任务名称，积分任务的达成规则，任务累计完成情况</w:t>
            </w:r>
          </w:p>
          <w:p w14:paraId="0BC444FA">
            <w:pPr>
              <w:pageBreakBefore w:val="0"/>
              <w:widowControl/>
              <w:numPr>
                <w:ilvl w:val="0"/>
                <w:numId w:val="24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达成进度识别</w:t>
            </w:r>
          </w:p>
          <w:p w14:paraId="6EDE5E2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支持实时接收到任务的完成信息</w:t>
            </w:r>
          </w:p>
          <w:p w14:paraId="710EF5C7">
            <w:pPr>
              <w:pageBreakBefore w:val="0"/>
              <w:widowControl/>
              <w:numPr>
                <w:ilvl w:val="0"/>
                <w:numId w:val="24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积分实时发放</w:t>
            </w:r>
          </w:p>
          <w:p w14:paraId="4011629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接收到任务的完成信息，支持实时发放积分</w:t>
            </w:r>
          </w:p>
          <w:p w14:paraId="09173F13">
            <w:pPr>
              <w:pageBreakBefore w:val="0"/>
              <w:widowControl/>
              <w:numPr>
                <w:ilvl w:val="0"/>
                <w:numId w:val="24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任务达成记录</w:t>
            </w:r>
          </w:p>
          <w:p w14:paraId="4CB9670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展示居民详细的参与任务情况、任务达成情况、积分奖励明细</w:t>
            </w:r>
          </w:p>
        </w:tc>
      </w:tr>
      <w:tr w14:paraId="143D4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796" w:type="dxa"/>
            <w:vMerge w:val="continue"/>
            <w:tcBorders>
              <w:tl2br w:val="nil"/>
              <w:tr2bl w:val="nil"/>
            </w:tcBorders>
            <w:noWrap w:val="0"/>
            <w:vAlign w:val="center"/>
          </w:tcPr>
          <w:p w14:paraId="72F7E1D3">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764ECC4D">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682C7259">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健康商城</w:t>
            </w:r>
          </w:p>
          <w:p w14:paraId="7ED3B8FC">
            <w:pPr>
              <w:pageBreakBefore w:val="0"/>
              <w:widowControl/>
              <w:numPr>
                <w:ilvl w:val="0"/>
                <w:numId w:val="24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健康商城首页</w:t>
            </w:r>
          </w:p>
          <w:p w14:paraId="3A6D7CB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集成全部商品数据与服务数据</w:t>
            </w:r>
          </w:p>
          <w:p w14:paraId="5AAB8FB6">
            <w:pPr>
              <w:pageBreakBefore w:val="0"/>
              <w:widowControl/>
              <w:numPr>
                <w:ilvl w:val="0"/>
                <w:numId w:val="24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商品列表</w:t>
            </w:r>
          </w:p>
          <w:p w14:paraId="094EA81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支持居民查看积分可以兑换的商品列表</w:t>
            </w:r>
          </w:p>
          <w:p w14:paraId="168326C1">
            <w:pPr>
              <w:pageBreakBefore w:val="0"/>
              <w:widowControl/>
              <w:numPr>
                <w:ilvl w:val="0"/>
                <w:numId w:val="24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商品详情</w:t>
            </w:r>
          </w:p>
          <w:p w14:paraId="20BEA4F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支持居民查看详细的商品信息，包括价格，商品介绍等等</w:t>
            </w:r>
          </w:p>
          <w:p w14:paraId="78E92CFA">
            <w:pPr>
              <w:pageBreakBefore w:val="0"/>
              <w:widowControl/>
              <w:numPr>
                <w:ilvl w:val="0"/>
                <w:numId w:val="24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商品兑换</w:t>
            </w:r>
          </w:p>
          <w:p w14:paraId="46EB3FD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支持前往线下医疗机构兑换健康医疗中的商品</w:t>
            </w:r>
          </w:p>
          <w:p w14:paraId="4A3CA64F">
            <w:pPr>
              <w:pageBreakBefore w:val="0"/>
              <w:widowControl/>
              <w:numPr>
                <w:ilvl w:val="0"/>
                <w:numId w:val="24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商品筛选</w:t>
            </w:r>
          </w:p>
          <w:p w14:paraId="2986681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支持用户根据商品名称、价格、机构等信息筛选商品信息</w:t>
            </w:r>
          </w:p>
          <w:p w14:paraId="08AAEBE0">
            <w:pPr>
              <w:pageBreakBefore w:val="0"/>
              <w:widowControl/>
              <w:numPr>
                <w:ilvl w:val="0"/>
                <w:numId w:val="24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积分支付</w:t>
            </w:r>
          </w:p>
          <w:p w14:paraId="2AC1586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支持生成订单后，自动扣除相应积分资产</w:t>
            </w:r>
          </w:p>
        </w:tc>
      </w:tr>
      <w:tr w14:paraId="3566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796" w:type="dxa"/>
            <w:vMerge w:val="continue"/>
            <w:tcBorders>
              <w:tl2br w:val="nil"/>
              <w:tr2bl w:val="nil"/>
            </w:tcBorders>
            <w:noWrap w:val="0"/>
            <w:vAlign w:val="center"/>
          </w:tcPr>
          <w:p w14:paraId="06279CB2">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2A414F44">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202C23AC">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邀请有礼</w:t>
            </w:r>
          </w:p>
          <w:p w14:paraId="1F741B19">
            <w:pPr>
              <w:pageBreakBefore w:val="0"/>
              <w:widowControl/>
              <w:numPr>
                <w:ilvl w:val="0"/>
                <w:numId w:val="24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生成邀请链接</w:t>
            </w:r>
          </w:p>
          <w:p w14:paraId="3B8EA66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支持生成邀请链接，链接信息在绑定邀请码功能中会被自动识别</w:t>
            </w:r>
          </w:p>
          <w:p w14:paraId="746DE42E">
            <w:pPr>
              <w:pageBreakBefore w:val="0"/>
              <w:widowControl/>
              <w:numPr>
                <w:ilvl w:val="0"/>
                <w:numId w:val="24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生成邀请二维码</w:t>
            </w:r>
          </w:p>
          <w:p w14:paraId="4E791E0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支持生成邀请二维码，链接信息在绑定邀请码功能中会被自动识别</w:t>
            </w:r>
          </w:p>
          <w:p w14:paraId="079289B8">
            <w:pPr>
              <w:pageBreakBefore w:val="0"/>
              <w:widowControl/>
              <w:numPr>
                <w:ilvl w:val="0"/>
                <w:numId w:val="24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复制邀请码</w:t>
            </w:r>
          </w:p>
          <w:p w14:paraId="18BB4E7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支持对生成的邀请码链接进行复制操作</w:t>
            </w:r>
          </w:p>
          <w:p w14:paraId="7E70A1D3">
            <w:pPr>
              <w:pageBreakBefore w:val="0"/>
              <w:widowControl/>
              <w:numPr>
                <w:ilvl w:val="0"/>
                <w:numId w:val="24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存为图片</w:t>
            </w:r>
          </w:p>
          <w:p w14:paraId="507B90B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支持将生成的邀请二维码保存为图片</w:t>
            </w:r>
          </w:p>
        </w:tc>
      </w:tr>
      <w:tr w14:paraId="3FAA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796" w:type="dxa"/>
            <w:vMerge w:val="continue"/>
            <w:tcBorders>
              <w:tl2br w:val="nil"/>
              <w:tr2bl w:val="nil"/>
            </w:tcBorders>
            <w:noWrap w:val="0"/>
            <w:vAlign w:val="center"/>
          </w:tcPr>
          <w:p w14:paraId="10DDBC23">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7A8BE488">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59455187">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绑定邀请码</w:t>
            </w:r>
          </w:p>
          <w:p w14:paraId="2B0CA3F3">
            <w:pPr>
              <w:pageBreakBefore w:val="0"/>
              <w:widowControl/>
              <w:numPr>
                <w:ilvl w:val="0"/>
                <w:numId w:val="24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扫一扫</w:t>
            </w:r>
          </w:p>
          <w:p w14:paraId="317D109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支持通过扫一扫邀请二维码，绑定邀请码</w:t>
            </w:r>
          </w:p>
          <w:p w14:paraId="14957953">
            <w:pPr>
              <w:pageBreakBefore w:val="0"/>
              <w:widowControl/>
              <w:numPr>
                <w:ilvl w:val="0"/>
                <w:numId w:val="244"/>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手动绑定邀请码</w:t>
            </w:r>
          </w:p>
          <w:p w14:paraId="3F09495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支持手动输入邀请码进行绑定</w:t>
            </w:r>
          </w:p>
          <w:p w14:paraId="2C758B8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支持粘贴邀请链接，自动识别并填充邀请码进行绑定</w:t>
            </w:r>
          </w:p>
        </w:tc>
      </w:tr>
      <w:tr w14:paraId="41A51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796" w:type="dxa"/>
            <w:vMerge w:val="continue"/>
            <w:tcBorders>
              <w:tl2br w:val="nil"/>
              <w:tr2bl w:val="nil"/>
            </w:tcBorders>
            <w:noWrap w:val="0"/>
            <w:vAlign w:val="center"/>
          </w:tcPr>
          <w:p w14:paraId="42B3E893">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408CF892">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1F06989F">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积分记录</w:t>
            </w:r>
          </w:p>
          <w:p w14:paraId="266CD18B">
            <w:pPr>
              <w:pageBreakBefore w:val="0"/>
              <w:widowControl/>
              <w:numPr>
                <w:ilvl w:val="0"/>
                <w:numId w:val="24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积分资产统计</w:t>
            </w:r>
          </w:p>
          <w:p w14:paraId="237EE38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支持查看我的积分资产以及累计获取</w:t>
            </w:r>
          </w:p>
          <w:p w14:paraId="73A33CFC">
            <w:pPr>
              <w:pageBreakBefore w:val="0"/>
              <w:widowControl/>
              <w:numPr>
                <w:ilvl w:val="0"/>
                <w:numId w:val="24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积分账单</w:t>
            </w:r>
          </w:p>
          <w:p w14:paraId="1BB31F3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支持查看我的积分账单（详细积分资产变更明细）</w:t>
            </w:r>
          </w:p>
          <w:p w14:paraId="51FA962A">
            <w:pPr>
              <w:pageBreakBefore w:val="0"/>
              <w:widowControl/>
              <w:numPr>
                <w:ilvl w:val="0"/>
                <w:numId w:val="24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账单记录检索</w:t>
            </w:r>
          </w:p>
          <w:p w14:paraId="280602D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支持根据收入、支出检索账单</w:t>
            </w:r>
          </w:p>
          <w:p w14:paraId="4C53EF1F">
            <w:pPr>
              <w:pageBreakBefore w:val="0"/>
              <w:widowControl/>
              <w:numPr>
                <w:ilvl w:val="0"/>
                <w:numId w:val="24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积分定期失效</w:t>
            </w:r>
          </w:p>
          <w:p w14:paraId="2872485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积分定时失效清除</w:t>
            </w:r>
          </w:p>
        </w:tc>
      </w:tr>
      <w:tr w14:paraId="39FDA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796" w:type="dxa"/>
            <w:vMerge w:val="continue"/>
            <w:tcBorders>
              <w:tl2br w:val="nil"/>
              <w:tr2bl w:val="nil"/>
            </w:tcBorders>
            <w:noWrap w:val="0"/>
            <w:vAlign w:val="center"/>
          </w:tcPr>
          <w:p w14:paraId="02BF6842">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02FDFB28">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0A263F9E">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兑换记录</w:t>
            </w:r>
          </w:p>
          <w:p w14:paraId="45E8BDD0">
            <w:pPr>
              <w:pageBreakBefore w:val="0"/>
              <w:widowControl/>
              <w:numPr>
                <w:ilvl w:val="0"/>
                <w:numId w:val="24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历史兑换记录</w:t>
            </w:r>
          </w:p>
          <w:p w14:paraId="530712C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支持用户查看自己的历史兑换记录</w:t>
            </w:r>
          </w:p>
          <w:p w14:paraId="0E75A6DB">
            <w:pPr>
              <w:pageBreakBefore w:val="0"/>
              <w:widowControl/>
              <w:numPr>
                <w:ilvl w:val="0"/>
                <w:numId w:val="24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订单详情</w:t>
            </w:r>
          </w:p>
          <w:p w14:paraId="5F4C451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支持查看具体的订单信息，包括兑换的商品、使用的积分、订单生成时间等</w:t>
            </w:r>
          </w:p>
        </w:tc>
      </w:tr>
      <w:tr w14:paraId="6FC22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96" w:type="dxa"/>
            <w:vMerge w:val="continue"/>
            <w:tcBorders>
              <w:tl2br w:val="nil"/>
              <w:tr2bl w:val="nil"/>
            </w:tcBorders>
            <w:noWrap w:val="0"/>
            <w:vAlign w:val="center"/>
          </w:tcPr>
          <w:p w14:paraId="51988459">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0C8A031B">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0017DB65">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积分规则</w:t>
            </w:r>
          </w:p>
          <w:p w14:paraId="5C5A3593">
            <w:pPr>
              <w:pageBreakBefore w:val="0"/>
              <w:widowControl/>
              <w:numPr>
                <w:ilvl w:val="0"/>
                <w:numId w:val="24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积分定义介绍</w:t>
            </w:r>
          </w:p>
          <w:p w14:paraId="7DC3776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展示积分的定义</w:t>
            </w:r>
          </w:p>
          <w:p w14:paraId="0CB50395">
            <w:pPr>
              <w:pageBreakBefore w:val="0"/>
              <w:widowControl/>
              <w:numPr>
                <w:ilvl w:val="0"/>
                <w:numId w:val="24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平台规则介绍</w:t>
            </w:r>
          </w:p>
          <w:p w14:paraId="69767D4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展示健康银行的运营规则，包括积分的获取方式、积分的使用方式、积分的有效期等内容</w:t>
            </w:r>
          </w:p>
        </w:tc>
      </w:tr>
      <w:tr w14:paraId="5228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796" w:type="dxa"/>
            <w:vMerge w:val="continue"/>
            <w:tcBorders>
              <w:tl2br w:val="nil"/>
              <w:tr2bl w:val="nil"/>
            </w:tcBorders>
            <w:noWrap w:val="0"/>
            <w:vAlign w:val="center"/>
          </w:tcPr>
          <w:p w14:paraId="15E898AB">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6532EDF1">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183E9FF1">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评价与建议</w:t>
            </w:r>
          </w:p>
          <w:p w14:paraId="464BFF1E">
            <w:pPr>
              <w:pageBreakBefore w:val="0"/>
              <w:widowControl/>
              <w:numPr>
                <w:ilvl w:val="0"/>
                <w:numId w:val="24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满意度评价</w:t>
            </w:r>
          </w:p>
          <w:p w14:paraId="61F5857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支持服务对象自主参与满意度评价，包含填写评分，影响评分的主要原因</w:t>
            </w:r>
          </w:p>
          <w:p w14:paraId="232A75C0">
            <w:pPr>
              <w:pageBreakBefore w:val="0"/>
              <w:widowControl/>
              <w:numPr>
                <w:ilvl w:val="0"/>
                <w:numId w:val="24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建议书写</w:t>
            </w:r>
          </w:p>
          <w:p w14:paraId="3CF40D5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支持服务对象自主参与建议信息反馈，书写并提交希望改进的建议点</w:t>
            </w:r>
          </w:p>
        </w:tc>
      </w:tr>
      <w:tr w14:paraId="73C95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796" w:type="dxa"/>
            <w:vMerge w:val="continue"/>
            <w:tcBorders>
              <w:tl2br w:val="nil"/>
              <w:tr2bl w:val="nil"/>
            </w:tcBorders>
            <w:noWrap w:val="0"/>
            <w:vAlign w:val="center"/>
          </w:tcPr>
          <w:p w14:paraId="0D8209C9">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96" w:type="dxa"/>
            <w:vMerge w:val="continue"/>
            <w:tcBorders>
              <w:tl2br w:val="nil"/>
              <w:tr2bl w:val="nil"/>
            </w:tcBorders>
            <w:noWrap w:val="0"/>
            <w:vAlign w:val="center"/>
          </w:tcPr>
          <w:p w14:paraId="55E02F99">
            <w:pPr>
              <w:pageBreakBefore w:val="0"/>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466" w:type="dxa"/>
            <w:tcBorders>
              <w:tl2br w:val="nil"/>
              <w:tr2bl w:val="nil"/>
            </w:tcBorders>
            <w:noWrap w:val="0"/>
            <w:vAlign w:val="center"/>
          </w:tcPr>
          <w:p w14:paraId="014DE7F7">
            <w:pPr>
              <w:pageBreakBefore w:val="0"/>
              <w:widowControl/>
              <w:numPr>
                <w:ilvl w:val="0"/>
                <w:numId w:val="23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问题与反馈</w:t>
            </w:r>
          </w:p>
          <w:p w14:paraId="28FC3275">
            <w:pPr>
              <w:pageBreakBefore w:val="0"/>
              <w:widowControl/>
              <w:numPr>
                <w:ilvl w:val="0"/>
                <w:numId w:val="24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问题描述撰写</w:t>
            </w:r>
          </w:p>
          <w:p w14:paraId="024491E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支持用户在使用过程中如遇到问题，填写与反馈遇到的问题情况</w:t>
            </w:r>
          </w:p>
          <w:p w14:paraId="349FD785">
            <w:pPr>
              <w:pageBreakBefore w:val="0"/>
              <w:widowControl/>
              <w:numPr>
                <w:ilvl w:val="0"/>
                <w:numId w:val="24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证明材料上传</w:t>
            </w:r>
          </w:p>
          <w:p w14:paraId="0000786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支持遇到的问题的图片资料</w:t>
            </w:r>
          </w:p>
        </w:tc>
      </w:tr>
      <w:tr w14:paraId="2741D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trPr>
        <w:tc>
          <w:tcPr>
            <w:tcW w:w="796" w:type="dxa"/>
            <w:tcBorders>
              <w:tl2br w:val="nil"/>
              <w:tr2bl w:val="nil"/>
            </w:tcBorders>
            <w:noWrap w:val="0"/>
            <w:vAlign w:val="center"/>
          </w:tcPr>
          <w:p w14:paraId="7288359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c>
          <w:tcPr>
            <w:tcW w:w="796" w:type="dxa"/>
            <w:tcBorders>
              <w:tl2br w:val="nil"/>
              <w:tr2bl w:val="nil"/>
            </w:tcBorders>
            <w:noWrap w:val="0"/>
            <w:vAlign w:val="center"/>
          </w:tcPr>
          <w:p w14:paraId="167D64CD">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数字评价</w:t>
            </w:r>
          </w:p>
        </w:tc>
        <w:tc>
          <w:tcPr>
            <w:tcW w:w="7466" w:type="dxa"/>
            <w:tcBorders>
              <w:tl2br w:val="nil"/>
              <w:tr2bl w:val="nil"/>
            </w:tcBorders>
            <w:noWrap w:val="0"/>
            <w:vAlign w:val="center"/>
          </w:tcPr>
          <w:p w14:paraId="6619955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支持患者在线进行评价</w:t>
            </w:r>
          </w:p>
        </w:tc>
      </w:tr>
    </w:tbl>
    <w:p w14:paraId="6EDEB3ED">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5D0B7064">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鄞领妇幼（新建）</w:t>
      </w:r>
    </w:p>
    <w:tbl>
      <w:tblPr>
        <w:tblStyle w:val="13"/>
        <w:tblW w:w="5000" w:type="pct"/>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751"/>
        <w:gridCol w:w="7020"/>
      </w:tblGrid>
      <w:tr w14:paraId="6A01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698A2EEB">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0"/>
            <w:vAlign w:val="center"/>
          </w:tcPr>
          <w:p w14:paraId="46104562">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7061" w:type="dxa"/>
            <w:tcBorders>
              <w:tl2br w:val="nil"/>
              <w:tr2bl w:val="nil"/>
            </w:tcBorders>
            <w:noWrap w:val="0"/>
            <w:vAlign w:val="center"/>
          </w:tcPr>
          <w:p w14:paraId="58B36D2E">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7317B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FBB6B26">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754" w:type="dxa"/>
            <w:vMerge w:val="restart"/>
            <w:tcBorders>
              <w:tl2br w:val="nil"/>
              <w:tr2bl w:val="nil"/>
            </w:tcBorders>
            <w:noWrap w:val="0"/>
            <w:vAlign w:val="center"/>
          </w:tcPr>
          <w:p w14:paraId="24A580D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妇幼综合决策驾驶舱</w:t>
            </w:r>
          </w:p>
        </w:tc>
        <w:tc>
          <w:tcPr>
            <w:tcW w:w="7061" w:type="dxa"/>
            <w:tcBorders>
              <w:tl2br w:val="nil"/>
              <w:tr2bl w:val="nil"/>
            </w:tcBorders>
            <w:noWrap w:val="0"/>
            <w:vAlign w:val="center"/>
          </w:tcPr>
          <w:p w14:paraId="01506C86">
            <w:pPr>
              <w:pageBreakBefore w:val="0"/>
              <w:widowControl/>
              <w:numPr>
                <w:ilvl w:val="0"/>
                <w:numId w:val="25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健康地图</w:t>
            </w:r>
          </w:p>
          <w:p w14:paraId="715F40DE">
            <w:pPr>
              <w:widowControl/>
              <w:numPr>
                <w:ilvl w:val="0"/>
                <w:numId w:val="251"/>
              </w:numPr>
              <w:adjustRightInd w:val="0"/>
              <w:snapToGrid w:val="0"/>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鄞州区妇幼健康数据总览</w:t>
            </w:r>
          </w:p>
          <w:p w14:paraId="169DBB30">
            <w:pPr>
              <w:widowControl/>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支持展示鄞州区妇幼健康地图；</w:t>
            </w:r>
          </w:p>
          <w:p w14:paraId="213454BF">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支持分别展示孕产妇和儿童健康地图；</w:t>
            </w:r>
          </w:p>
          <w:p w14:paraId="319786D2">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支持不同地图展示不同重点内容；</w:t>
            </w:r>
          </w:p>
          <w:p w14:paraId="2A1C10CA">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鄞州区妇幼健康数据总览支持展示孕产妇、儿童的重要指标，包括孕产妇历年建册情况、孕卡建册数、高危孕产妇数、当年助产机构分娩情况、产妇数、活产数等，及时了解区域内妇幼健康管理实况；</w:t>
            </w:r>
          </w:p>
          <w:p w14:paraId="4A8173E0">
            <w:pPr>
              <w:widowControl/>
              <w:numPr>
                <w:ilvl w:val="0"/>
                <w:numId w:val="251"/>
              </w:numPr>
              <w:adjustRightInd w:val="0"/>
              <w:snapToGrid w:val="0"/>
              <w:ind w:left="0" w:leftChars="0" w:firstLine="0" w:firstLineChars="0"/>
              <w:jc w:val="left"/>
              <w:textAlignment w:val="center"/>
              <w:rPr>
                <w:rFonts w:ascii="Calibri" w:hAnsi="Calibri" w:eastAsia="宋体" w:cs="Times New Roman"/>
                <w:color w:val="auto"/>
                <w:sz w:val="21"/>
                <w:szCs w:val="21"/>
              </w:rPr>
            </w:pPr>
            <w:r>
              <w:rPr>
                <w:rFonts w:hint="eastAsia" w:ascii="宋体" w:hAnsi="宋体" w:eastAsia="宋体" w:cs="宋体"/>
                <w:color w:val="auto"/>
                <w:kern w:val="0"/>
                <w:sz w:val="21"/>
                <w:szCs w:val="21"/>
                <w:lang w:bidi="ar"/>
              </w:rPr>
              <w:t>鄞州区妇幼健康数据总览-孕产保健</w:t>
            </w:r>
          </w:p>
          <w:p w14:paraId="75FA6DBA">
            <w:pPr>
              <w:widowControl/>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展示孕产妇历年户籍分娩总数、孕产妇历年非户籍分娩总数，今年孕产妇高危分布统计、今年孕产妇高危五色人数，今年产妇街道访视情况、今年孕产妇已访视人数、今年孕产妇未访视人数、今年孕产妇访视率，今日产检动态、今日建册人数、今日产检人数、今日高危人数、今日预约人数、今日预约未到人数、今日高危预约未到人数，今年产前筛查统计情况、各个街道（镇）/村/社区的产前筛查人数统计，今年分娩总数户籍和非户籍人数，产前系管率的年份趋势等，直观展示区域各层级的孕产妇健康管理情况。</w:t>
            </w:r>
          </w:p>
          <w:p w14:paraId="1E582F24">
            <w:pPr>
              <w:widowControl/>
              <w:numPr>
                <w:ilvl w:val="0"/>
                <w:numId w:val="251"/>
              </w:numPr>
              <w:adjustRightInd w:val="0"/>
              <w:snapToGrid w:val="0"/>
              <w:ind w:left="0" w:leftChars="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鄞州区妇幼健康数据总览-儿童保健</w:t>
            </w:r>
          </w:p>
          <w:p w14:paraId="020E6054">
            <w:pPr>
              <w:widowControl/>
              <w:adjustRightInd w:val="0"/>
              <w:snapToGrid w:val="0"/>
              <w:jc w:val="left"/>
              <w:textAlignment w:val="center"/>
              <w:rPr>
                <w:rFonts w:ascii="宋体" w:hAnsi="宋体" w:eastAsia="宋体" w:cs="宋体"/>
                <w:color w:val="auto"/>
                <w:kern w:val="0"/>
                <w:sz w:val="21"/>
                <w:szCs w:val="21"/>
                <w:lang w:bidi="ar"/>
              </w:rPr>
            </w:pPr>
          </w:p>
          <w:p w14:paraId="5DFE977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逐级钻取展示鄞州区今年新生儿访视人数、今年儿童建册人数、今年高危儿童人数、今年出生人数，鄞州区及鄞州区下属街道/镇/村/社区的0-3岁儿童管理率，鄞州区及鄞州区下属街道/镇/村/社区的0-6岁眼保健、高危儿童分布情况，婴幼儿历年建册情况、出生缺陷统计情况，今日建册人数、今日体检人数、今日预约人次、今日预约未到人数、今日体弱儿人次、今日体弱儿预约未到人次，分娩数的年份趋势等</w:t>
            </w:r>
          </w:p>
        </w:tc>
      </w:tr>
      <w:tr w14:paraId="516F1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F85880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2B32A9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27E7337C">
            <w:pPr>
              <w:pageBreakBefore w:val="0"/>
              <w:widowControl/>
              <w:numPr>
                <w:ilvl w:val="0"/>
                <w:numId w:val="25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卫统报表</w:t>
            </w:r>
          </w:p>
          <w:p w14:paraId="3B73F72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制作各类卫统报表，例如宁波市产后出血情况调查表、非户籍儿童与孕产妇健康状况调查表、浙江省出生医学证明管理报表、孕产妇保健情况调查表、接生情况工作量一览表、产后孕妇一览表等报表（不少于25张报表）。</w:t>
            </w:r>
          </w:p>
        </w:tc>
      </w:tr>
      <w:tr w14:paraId="1EF3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ADE3B93">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E0416A7">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184F7BF8">
            <w:pPr>
              <w:pageBreakBefore w:val="0"/>
              <w:widowControl/>
              <w:numPr>
                <w:ilvl w:val="0"/>
                <w:numId w:val="25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管理主题分析图表</w:t>
            </w:r>
          </w:p>
          <w:p w14:paraId="4B660A2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用数字、圆环图、柱状图、饼状图等各种形式的可视化图表展现鄞州区妇保数据，包括产前筛查率、建册人数、产后访视数、产后访视率、产妇系管率、剖宫产率、高危产妇数、高危产妇率围产儿情况分布等数据。</w:t>
            </w:r>
          </w:p>
        </w:tc>
      </w:tr>
      <w:tr w14:paraId="75DDB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92D48D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754" w:type="dxa"/>
            <w:vMerge w:val="restart"/>
            <w:tcBorders>
              <w:tl2br w:val="nil"/>
              <w:tr2bl w:val="nil"/>
            </w:tcBorders>
            <w:noWrap w:val="0"/>
            <w:vAlign w:val="center"/>
          </w:tcPr>
          <w:p w14:paraId="75331874">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精准健康教育</w:t>
            </w:r>
          </w:p>
        </w:tc>
        <w:tc>
          <w:tcPr>
            <w:tcW w:w="7061" w:type="dxa"/>
            <w:tcBorders>
              <w:tl2br w:val="nil"/>
              <w:tr2bl w:val="nil"/>
            </w:tcBorders>
            <w:noWrap w:val="0"/>
            <w:vAlign w:val="center"/>
          </w:tcPr>
          <w:p w14:paraId="4FA262E8">
            <w:pPr>
              <w:pageBreakBefore w:val="0"/>
              <w:widowControl/>
              <w:numPr>
                <w:ilvl w:val="0"/>
                <w:numId w:val="252"/>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孕产全周期精准健康教育</w:t>
            </w:r>
          </w:p>
          <w:p w14:paraId="5ECEDE6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支持妇女怀孕、产检、产时、产后、42天访视的孕期全周期精准健康教育；</w:t>
            </w:r>
          </w:p>
          <w:p w14:paraId="01765FD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支持根据孕周变化推送对应孕周的健康宣教内容。</w:t>
            </w:r>
          </w:p>
        </w:tc>
      </w:tr>
      <w:tr w14:paraId="5255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529CE0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97A56B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68FF5347">
            <w:pPr>
              <w:pageBreakBefore w:val="0"/>
              <w:widowControl/>
              <w:numPr>
                <w:ilvl w:val="0"/>
                <w:numId w:val="252"/>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儿童全周期精准健康教育</w:t>
            </w:r>
          </w:p>
          <w:p w14:paraId="385637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支持儿童出生到6岁的全周期精准健康教育；</w:t>
            </w:r>
          </w:p>
          <w:p w14:paraId="5C0E58C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支持根据儿童成长月龄（满月、3月龄、6月龄、8月龄、12月龄、18月龄、24月龄、30月龄等）推送对应月龄体检事项、检查项目、国家政策等。</w:t>
            </w:r>
          </w:p>
        </w:tc>
      </w:tr>
      <w:tr w14:paraId="0CD33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47DB66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61E067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3E6E2D03">
            <w:pPr>
              <w:pageBreakBefore w:val="0"/>
              <w:widowControl/>
              <w:numPr>
                <w:ilvl w:val="0"/>
                <w:numId w:val="252"/>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健康宣教管理</w:t>
            </w:r>
          </w:p>
          <w:p w14:paraId="0A12D14E">
            <w:pPr>
              <w:pageBreakBefore w:val="0"/>
              <w:widowControl/>
              <w:numPr>
                <w:ilvl w:val="0"/>
                <w:numId w:val="25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健康宣教计划</w:t>
            </w:r>
          </w:p>
          <w:p w14:paraId="0C6C193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支持制定宣教计划、选择宣教路径，进行宣教推送；</w:t>
            </w:r>
          </w:p>
          <w:p w14:paraId="34BAA32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支持自动执行宣教计划，通过微信、短信等形式推送给居民。</w:t>
            </w:r>
          </w:p>
          <w:p w14:paraId="27A53F2F">
            <w:pPr>
              <w:pageBreakBefore w:val="0"/>
              <w:widowControl/>
              <w:numPr>
                <w:ilvl w:val="0"/>
                <w:numId w:val="25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健康宣教记录</w:t>
            </w:r>
          </w:p>
          <w:p w14:paraId="1511238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支持查看系统执行的健康宣教记录；</w:t>
            </w:r>
          </w:p>
          <w:p w14:paraId="0AB9650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支持查看宣教已读状态。</w:t>
            </w:r>
          </w:p>
          <w:p w14:paraId="0F0B2421">
            <w:pPr>
              <w:pageBreakBefore w:val="0"/>
              <w:widowControl/>
              <w:numPr>
                <w:ilvl w:val="0"/>
                <w:numId w:val="25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宣教路径</w:t>
            </w:r>
          </w:p>
          <w:p w14:paraId="14C4572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支持对宣教路径进行增加、修改、删除；</w:t>
            </w:r>
          </w:p>
          <w:p w14:paraId="353E27DB">
            <w:pPr>
              <w:pageBreakBefore w:val="0"/>
              <w:widowControl/>
              <w:numPr>
                <w:ilvl w:val="0"/>
                <w:numId w:val="25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宣教知识库</w:t>
            </w:r>
          </w:p>
          <w:p w14:paraId="11FFD4A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提供一套权威的健康知识库（包括图文、视频健康知识），按照孕产妇、儿童健康管理服务项目、政策法规、随访路径、妇幼保健、健康生活等不同的类型；</w:t>
            </w:r>
          </w:p>
          <w:p w14:paraId="33738713">
            <w:pPr>
              <w:pageBreakBefore w:val="0"/>
              <w:widowControl/>
              <w:numPr>
                <w:ilvl w:val="0"/>
                <w:numId w:val="25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知识库审核</w:t>
            </w:r>
          </w:p>
          <w:p w14:paraId="671513C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支持知识库内容审核；</w:t>
            </w:r>
          </w:p>
          <w:p w14:paraId="71D19AA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支持审核通过、审核不通过；</w:t>
            </w:r>
          </w:p>
          <w:p w14:paraId="2B9A5072">
            <w:pPr>
              <w:pageBreakBefore w:val="0"/>
              <w:widowControl/>
              <w:numPr>
                <w:ilvl w:val="0"/>
                <w:numId w:val="25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知识库内容发布</w:t>
            </w:r>
          </w:p>
          <w:p w14:paraId="7639077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支持发布通过审核的知识库内容到移动端；</w:t>
            </w:r>
          </w:p>
        </w:tc>
      </w:tr>
      <w:tr w14:paraId="0AA0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0EBFE17">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75FCA1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0A70F531">
            <w:pPr>
              <w:pageBreakBefore w:val="0"/>
              <w:widowControl/>
              <w:numPr>
                <w:ilvl w:val="0"/>
                <w:numId w:val="252"/>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健康宣教服务</w:t>
            </w:r>
          </w:p>
          <w:p w14:paraId="3D7A19B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支持孕妇、儿童在手机上查看健康宣教信息；</w:t>
            </w:r>
          </w:p>
          <w:p w14:paraId="0CBCDF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支持查看推送的健康宣教信息。</w:t>
            </w:r>
          </w:p>
        </w:tc>
      </w:tr>
      <w:tr w14:paraId="4117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C977801">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490DD8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58EE0F8A">
            <w:pPr>
              <w:pageBreakBefore w:val="0"/>
              <w:widowControl/>
              <w:numPr>
                <w:ilvl w:val="0"/>
                <w:numId w:val="252"/>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产后访视宣教</w:t>
            </w:r>
          </w:p>
          <w:p w14:paraId="1487C94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支持随访医护人员在进行产后访视时选择宣教内容推送至居民移动端。</w:t>
            </w:r>
          </w:p>
        </w:tc>
      </w:tr>
      <w:tr w14:paraId="59D5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2228A4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E75F38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4273ADD8">
            <w:pPr>
              <w:pageBreakBefore w:val="0"/>
              <w:widowControl/>
              <w:numPr>
                <w:ilvl w:val="0"/>
                <w:numId w:val="252"/>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val="0"/>
                <w:bCs w:val="0"/>
                <w:color w:val="auto"/>
                <w:kern w:val="0"/>
                <w:sz w:val="21"/>
                <w:szCs w:val="21"/>
                <w:lang w:bidi="ar"/>
              </w:rPr>
              <w:t>新生儿访视宣教</w:t>
            </w:r>
          </w:p>
          <w:p w14:paraId="539C2EA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支持随访医护人员在进行新生儿访视时选择宣教内容推送至居民移动端。</w:t>
            </w:r>
          </w:p>
        </w:tc>
      </w:tr>
      <w:tr w14:paraId="42224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945032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262384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5CB5DEA5">
            <w:pPr>
              <w:pageBreakBefore w:val="0"/>
              <w:widowControl/>
              <w:numPr>
                <w:ilvl w:val="0"/>
                <w:numId w:val="252"/>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提醒服务</w:t>
            </w:r>
          </w:p>
          <w:p w14:paraId="4658D41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支持检验异常报告短信提醒；</w:t>
            </w:r>
          </w:p>
          <w:p w14:paraId="5F5D078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支持产检时间提醒；</w:t>
            </w:r>
          </w:p>
          <w:p w14:paraId="5E833B2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支持儿童体检时间提醒；</w:t>
            </w:r>
          </w:p>
          <w:p w14:paraId="16577D3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支持健康问卷推送提醒。</w:t>
            </w:r>
          </w:p>
        </w:tc>
      </w:tr>
      <w:tr w14:paraId="77D8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070218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c>
          <w:tcPr>
            <w:tcW w:w="754" w:type="dxa"/>
            <w:vMerge w:val="restart"/>
            <w:tcBorders>
              <w:tl2br w:val="nil"/>
              <w:tr2bl w:val="nil"/>
            </w:tcBorders>
            <w:noWrap w:val="0"/>
            <w:vAlign w:val="center"/>
          </w:tcPr>
          <w:p w14:paraId="1A91B9AC">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妇幼专项电子病历</w:t>
            </w:r>
          </w:p>
        </w:tc>
        <w:tc>
          <w:tcPr>
            <w:tcW w:w="7061" w:type="dxa"/>
            <w:tcBorders>
              <w:tl2br w:val="nil"/>
              <w:tr2bl w:val="nil"/>
            </w:tcBorders>
            <w:noWrap w:val="0"/>
            <w:vAlign w:val="center"/>
          </w:tcPr>
          <w:p w14:paraId="62A54640">
            <w:pPr>
              <w:pageBreakBefore w:val="0"/>
              <w:widowControl/>
              <w:numPr>
                <w:ilvl w:val="0"/>
                <w:numId w:val="25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妇保专项电子病历</w:t>
            </w:r>
          </w:p>
          <w:p w14:paraId="2D5B77EE">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基本信息</w:t>
            </w:r>
          </w:p>
          <w:p w14:paraId="6C40A61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支持孕产妇基本信息的管理和维护；</w:t>
            </w:r>
          </w:p>
          <w:p w14:paraId="04D5A13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支持管理孕产妇的就诊卡信息。</w:t>
            </w:r>
          </w:p>
          <w:p w14:paraId="2E8426DB">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建册信息</w:t>
            </w:r>
          </w:p>
          <w:p w14:paraId="2B1CCAC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支持对孕妇基本信息、配偶基本信息、孕妇一般情况等信息进行管理和维护；</w:t>
            </w:r>
          </w:p>
          <w:p w14:paraId="743A5E0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支持调阅居民健康档案、填写心脏病病例报告卡；</w:t>
            </w:r>
          </w:p>
          <w:p w14:paraId="4AEE235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支持打印孕卡建册内容和全本内容。</w:t>
            </w:r>
          </w:p>
          <w:p w14:paraId="635C15FA">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初次产检</w:t>
            </w:r>
          </w:p>
          <w:p w14:paraId="320AD24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支持对初次产检信息管理和维护；</w:t>
            </w:r>
          </w:p>
          <w:p w14:paraId="7F664E1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支持对接HIS、LIS系统一键获取化验结果、一键获取B超报告信息；</w:t>
            </w:r>
          </w:p>
          <w:p w14:paraId="5F10198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支持查看居民的检验信息记录和云端B超报告影像；</w:t>
            </w:r>
          </w:p>
          <w:p w14:paraId="34052D0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支持调阅孕妇基本信息按钮；</w:t>
            </w:r>
          </w:p>
          <w:p w14:paraId="28E0CF6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支持打印本页和全本内容。</w:t>
            </w:r>
          </w:p>
          <w:p w14:paraId="329C8142">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产前检查</w:t>
            </w:r>
          </w:p>
          <w:p w14:paraId="60CDB4D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支持产检检查记录管理和维护；</w:t>
            </w:r>
          </w:p>
          <w:p w14:paraId="6F47FB2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支持高危转诊、高危病历报卡、心脏病报卡功能；</w:t>
            </w:r>
          </w:p>
          <w:p w14:paraId="0721A6A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支持获取化验数据、获取B超数据等；</w:t>
            </w:r>
          </w:p>
          <w:p w14:paraId="683A77A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支持妊娠风险评估分级报告查看；</w:t>
            </w:r>
          </w:p>
          <w:p w14:paraId="43579BD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支持宫高记录列表和图表查看；</w:t>
            </w:r>
          </w:p>
          <w:p w14:paraId="71F5E9F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支持高危专案管理和维护；</w:t>
            </w:r>
          </w:p>
          <w:p w14:paraId="0313C5C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支持打印本页和全本内容。</w:t>
            </w:r>
          </w:p>
          <w:p w14:paraId="408BC7DE">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产前筛查</w:t>
            </w:r>
          </w:p>
          <w:p w14:paraId="48BACAC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支持产检筛查信息的管理和维护；</w:t>
            </w:r>
          </w:p>
          <w:p w14:paraId="7D24509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支持调阅孕妇基本信息；</w:t>
            </w:r>
          </w:p>
          <w:p w14:paraId="415BADB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支持调阅居民健康档案；</w:t>
            </w:r>
          </w:p>
          <w:p w14:paraId="589D10E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支持打印本页和全本内容。</w:t>
            </w:r>
          </w:p>
          <w:p w14:paraId="027A5A96">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高危情况</w:t>
            </w:r>
          </w:p>
          <w:p w14:paraId="6CD00BF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支持高危信息列表查看和详情查看；</w:t>
            </w:r>
          </w:p>
          <w:p w14:paraId="394B80A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支持转诊记录列表查看和维护；</w:t>
            </w:r>
          </w:p>
          <w:p w14:paraId="351B6D3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支持危重产后抢救情况记录列表查看维护；</w:t>
            </w:r>
          </w:p>
          <w:p w14:paraId="5660974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支持危重产妇转诊情况记录列表查看维护；</w:t>
            </w:r>
          </w:p>
          <w:p w14:paraId="4BF1062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支持危重病人出院告知单记录列表查看和维护；</w:t>
            </w:r>
          </w:p>
          <w:p w14:paraId="36AC213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针对高危孕产妇做专门的未到体检预警提示，支持在每次打开电子监测系统都提醒医生。</w:t>
            </w:r>
          </w:p>
          <w:p w14:paraId="6DCC2809">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产时情况</w:t>
            </w:r>
          </w:p>
          <w:p w14:paraId="3775E65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支持新生儿情况记录列表查看；</w:t>
            </w:r>
          </w:p>
          <w:p w14:paraId="14403A5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支持产妇情况管理和维护；</w:t>
            </w:r>
          </w:p>
          <w:p w14:paraId="5799C8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支持围产儿死亡登记、围产儿死亡个案、出血病历报卡、高危病历报卡、转诊等功能；</w:t>
            </w:r>
          </w:p>
          <w:p w14:paraId="6D6526A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支持新生儿情况管理和维护。</w:t>
            </w:r>
          </w:p>
          <w:p w14:paraId="75C816BD">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产后访视</w:t>
            </w:r>
          </w:p>
          <w:p w14:paraId="4CAF214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支持产后访视记录的管理和维护；</w:t>
            </w:r>
          </w:p>
          <w:p w14:paraId="57727F6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支持出血病历报卡、高危病历报卡等功能；</w:t>
            </w:r>
          </w:p>
          <w:p w14:paraId="490ADED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支持查看新生儿随访，新生儿随访记录列表；</w:t>
            </w:r>
          </w:p>
          <w:p w14:paraId="7B49C8A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支持新生儿随访记录管理和维护；</w:t>
            </w:r>
          </w:p>
          <w:p w14:paraId="6DBC358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支持新生儿病历报卡、高危病历报卡、转诊等功能。</w:t>
            </w:r>
          </w:p>
          <w:p w14:paraId="6C59A123">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产后42天检查</w:t>
            </w:r>
          </w:p>
          <w:p w14:paraId="74B7696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支持产后42天检查记录管理；</w:t>
            </w:r>
          </w:p>
          <w:p w14:paraId="00948DF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支持对产妇产后42天检查记录的删除、编辑、保存；</w:t>
            </w:r>
          </w:p>
          <w:p w14:paraId="118DF86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支持登记心脏病个案；</w:t>
            </w:r>
          </w:p>
          <w:p w14:paraId="2CD688D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支持调阅居民健康档案；</w:t>
            </w:r>
          </w:p>
          <w:p w14:paraId="1F55C53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支持打印本页和全本内容。</w:t>
            </w:r>
          </w:p>
          <w:p w14:paraId="4300EC54">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问卷调查/健康评估</w:t>
            </w:r>
          </w:p>
          <w:p w14:paraId="517B62D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支持查看问卷内容；</w:t>
            </w:r>
          </w:p>
          <w:p w14:paraId="170B60A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支持PHQ-9(抑郁症筛查)自评估量表，GAD-7(广泛性焦虑障碍)自评估量表，防范妊娠风险和预防出生缺陷自评估量表，促进自然分布和母乳喂养自评估量表。</w:t>
            </w:r>
          </w:p>
          <w:p w14:paraId="2A5D219D">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检查化验报告</w:t>
            </w:r>
          </w:p>
          <w:p w14:paraId="3CD1C1D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为医生提供孕产妇检查报告记录列表和报告详情查看；</w:t>
            </w:r>
          </w:p>
          <w:p w14:paraId="65D7681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支持化验报告记录和报告详情查看；</w:t>
            </w:r>
          </w:p>
          <w:p w14:paraId="38CA740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支持报告影像调阅；</w:t>
            </w:r>
          </w:p>
          <w:p w14:paraId="5E02700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支持从LIS、PACS系统获取报告并将报告打印出来。</w:t>
            </w:r>
          </w:p>
          <w:p w14:paraId="2119F567">
            <w:pPr>
              <w:pageBreakBefore w:val="0"/>
              <w:widowControl/>
              <w:numPr>
                <w:ilvl w:val="0"/>
                <w:numId w:val="25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保健册一键打印</w:t>
            </w:r>
          </w:p>
          <w:p w14:paraId="569592E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系统支持按需要将保健册一键分阶段或者全本打印，将纸质文档给到需要的孕产妇或者是转往宁波大市外的孕产妇。</w:t>
            </w:r>
          </w:p>
        </w:tc>
      </w:tr>
      <w:tr w14:paraId="2CBB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44E2FF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83E88D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20AA1C15">
            <w:pPr>
              <w:pageBreakBefore w:val="0"/>
              <w:widowControl/>
              <w:numPr>
                <w:ilvl w:val="0"/>
                <w:numId w:val="25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儿保专项电子病历</w:t>
            </w:r>
          </w:p>
          <w:p w14:paraId="394AB38A">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基本信息</w:t>
            </w:r>
          </w:p>
          <w:p w14:paraId="5B27C97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支持儿童基本信息的管理和维护；</w:t>
            </w:r>
          </w:p>
          <w:p w14:paraId="1A5BF69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支持管理儿童的就诊卡信息。</w:t>
            </w:r>
          </w:p>
          <w:p w14:paraId="2A51DAA0">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建册信息</w:t>
            </w:r>
          </w:p>
          <w:p w14:paraId="54E2F89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支持对儿童的基本信息、家庭信息、出生情况、监测地等信息管理和维护；</w:t>
            </w:r>
          </w:p>
          <w:p w14:paraId="27E0D6A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支持调阅健康档案；</w:t>
            </w:r>
          </w:p>
          <w:p w14:paraId="014C090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支持调阅儿童信息；</w:t>
            </w:r>
          </w:p>
          <w:p w14:paraId="6882655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支持打印本页和全本内容。</w:t>
            </w:r>
          </w:p>
          <w:p w14:paraId="0B3076AE">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新生儿访视</w:t>
            </w:r>
          </w:p>
          <w:p w14:paraId="2D745FE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为医生提供新生儿访视信息管理和维护；</w:t>
            </w:r>
          </w:p>
          <w:p w14:paraId="542485D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支持从移动端产后访视中导入数据。</w:t>
            </w:r>
          </w:p>
          <w:p w14:paraId="1EC750C4">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0-3岁保健体检</w:t>
            </w:r>
          </w:p>
          <w:p w14:paraId="1D19C3A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提供体检信息记录列表查看；</w:t>
            </w:r>
          </w:p>
          <w:p w14:paraId="6E7052B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支持对儿童0-3岁的体检信息登记和维护；</w:t>
            </w:r>
          </w:p>
          <w:p w14:paraId="166CD60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支持查看身高体检曲线；</w:t>
            </w:r>
          </w:p>
          <w:p w14:paraId="2A2077A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支持眼保健操登记和维护；</w:t>
            </w:r>
          </w:p>
          <w:p w14:paraId="5B63686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支持DDST儿童筛查发育评估；</w:t>
            </w:r>
          </w:p>
          <w:p w14:paraId="37385C5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支持一键获取检验结果获取检查检验数据；</w:t>
            </w:r>
          </w:p>
          <w:p w14:paraId="407A586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支持儿童死亡登记；</w:t>
            </w:r>
          </w:p>
          <w:p w14:paraId="0BD62DC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支持为医生体检结论设置模板话术；</w:t>
            </w:r>
          </w:p>
          <w:p w14:paraId="063F2C0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支持转诊儿童。</w:t>
            </w:r>
          </w:p>
          <w:p w14:paraId="495F3F94">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3-6岁保健体检</w:t>
            </w:r>
          </w:p>
          <w:p w14:paraId="275AC02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提供体检信息登记列表查看；</w:t>
            </w:r>
          </w:p>
          <w:p w14:paraId="60D4D5E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支持对体检信息的管理和维护；</w:t>
            </w:r>
          </w:p>
          <w:p w14:paraId="6CCFE11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支持眼保健登记、查看、管理和维护；</w:t>
            </w:r>
          </w:p>
          <w:p w14:paraId="2E27F2D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支持一键获取检验结果获取检查检验数据；</w:t>
            </w:r>
          </w:p>
          <w:p w14:paraId="11F49D2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支持儿童死亡登记；</w:t>
            </w:r>
          </w:p>
          <w:p w14:paraId="7D0C77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支持为医生体检结论设置模板话术；</w:t>
            </w:r>
          </w:p>
          <w:p w14:paraId="264BD52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支持转诊儿童。</w:t>
            </w:r>
          </w:p>
          <w:p w14:paraId="49A21096">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周岁小结</w:t>
            </w:r>
          </w:p>
          <w:p w14:paraId="52CF62E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支持医生登记个人信息、营养状况、日常生活、健康情况以及疾病筛查情况；</w:t>
            </w:r>
          </w:p>
          <w:p w14:paraId="361C9CD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支持调阅健康档案；</w:t>
            </w:r>
          </w:p>
          <w:p w14:paraId="585DB48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支持打印本页和全本内容。</w:t>
            </w:r>
          </w:p>
          <w:p w14:paraId="150C78D7">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听力筛查</w:t>
            </w:r>
          </w:p>
          <w:p w14:paraId="5309B6F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为医生提供筛查记录查看记录列表；</w:t>
            </w:r>
          </w:p>
          <w:p w14:paraId="6CBAA1C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支持医生对基本信息、听力检查信息、检查结论等进行新增、修改；</w:t>
            </w:r>
          </w:p>
          <w:p w14:paraId="4B44322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支持调阅儿童信息；</w:t>
            </w:r>
          </w:p>
          <w:p w14:paraId="4CB1174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支持医生调阅健康档案；</w:t>
            </w:r>
          </w:p>
          <w:p w14:paraId="0361278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支持本页和全本打印。</w:t>
            </w:r>
          </w:p>
          <w:p w14:paraId="6599028D">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眼保健</w:t>
            </w:r>
          </w:p>
          <w:p w14:paraId="41A6AAF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为医生提供眼保健筛查记录列表查看；</w:t>
            </w:r>
          </w:p>
          <w:p w14:paraId="4468399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支持医生对不同阶段儿童的基本信息、眼保健筛查信息进行新增、修改；</w:t>
            </w:r>
          </w:p>
          <w:p w14:paraId="0D23B0C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支持调阅儿童信息；</w:t>
            </w:r>
          </w:p>
          <w:p w14:paraId="20DEE93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支持医生调阅健康档案；</w:t>
            </w:r>
          </w:p>
          <w:p w14:paraId="1172B2A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支持本页和全本打印。眼保健模块内容不单独做页面展示，内嵌到每次儿童健康体检内。</w:t>
            </w:r>
          </w:p>
          <w:p w14:paraId="633A788D">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养育风险</w:t>
            </w:r>
          </w:p>
          <w:p w14:paraId="53AA7E7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养育风险分为0-6月龄养育风险筛查、6-12月龄养育风险筛查、1-3岁养育风险筛查，每个风险筛查表单字段不相同，为医生提供不同年龄段的养育风险筛查列表；</w:t>
            </w:r>
          </w:p>
          <w:p w14:paraId="0A6679C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支持医生对儿童基本信息、养育风险筛查新增、修改；</w:t>
            </w:r>
          </w:p>
          <w:p w14:paraId="6EB9A30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支持调阅儿童信息；</w:t>
            </w:r>
          </w:p>
          <w:p w14:paraId="1E9F38D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支持医生查看保健指导；</w:t>
            </w:r>
          </w:p>
          <w:p w14:paraId="39421E9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支持本页和全本打印。养育风险模块内容不单独做页面展示，内嵌到每次儿童健康体检内。</w:t>
            </w:r>
          </w:p>
          <w:p w14:paraId="0E2C6F17">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儿保评测</w:t>
            </w:r>
          </w:p>
          <w:p w14:paraId="685BAC4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提供M-CHAT婴幼儿孤独症评估表；</w:t>
            </w:r>
          </w:p>
          <w:p w14:paraId="2A716B9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支持对接移动端填写评测内容。</w:t>
            </w:r>
          </w:p>
          <w:p w14:paraId="4DB5585D">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营养评价</w:t>
            </w:r>
          </w:p>
          <w:p w14:paraId="5B01019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为医生提供体检情况列表，年龄身高评价，年龄体重评价，身高体重评价（0-2岁），身高体重评价（2-5岁）；</w:t>
            </w:r>
          </w:p>
          <w:p w14:paraId="0D724C6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支持医生按年度查看儿童的营养评价情况；</w:t>
            </w:r>
          </w:p>
          <w:p w14:paraId="0AFF86F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支持打印营养评价图。</w:t>
            </w:r>
          </w:p>
          <w:p w14:paraId="4DB40CCD">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高危专案</w:t>
            </w:r>
          </w:p>
          <w:p w14:paraId="5D3E831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高危专案包括高危儿ABC专案、肥胖专案、营养不良专案、佝偻病专案、先天性心脏病专案、贫血专案、其它专案，每个专案内都为医生提供体检记录列表；</w:t>
            </w:r>
          </w:p>
          <w:p w14:paraId="07D3546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支持医生对各个专案信息、随访记录进行新增、编辑；</w:t>
            </w:r>
          </w:p>
          <w:p w14:paraId="28BA748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支持对专案内的治疗指导、主要症状、诊断意见设置模板话术。</w:t>
            </w:r>
          </w:p>
          <w:p w14:paraId="7165C5BF">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检查化验报告</w:t>
            </w:r>
          </w:p>
          <w:p w14:paraId="7CBFB31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为医生提供儿童检查报告记录列表和报告详情查看；</w:t>
            </w:r>
          </w:p>
          <w:p w14:paraId="3997C69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支持报告影像调阅；</w:t>
            </w:r>
          </w:p>
          <w:p w14:paraId="368B6E3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支持化验报告记录和报告详情查看；</w:t>
            </w:r>
          </w:p>
          <w:p w14:paraId="1BF10F4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支持从LIS、PACS系统获取报告并将报告打印出来。</w:t>
            </w:r>
          </w:p>
          <w:p w14:paraId="7B650930">
            <w:pPr>
              <w:pageBreakBefore w:val="0"/>
              <w:widowControl/>
              <w:numPr>
                <w:ilvl w:val="0"/>
                <w:numId w:val="256"/>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保健册一键打印</w:t>
            </w:r>
          </w:p>
          <w:p w14:paraId="6788D62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系统支持按需要将保健册一键分阶段或者全本打印，将纸质文档给到需要的儿童或者是转往宁波大市外的儿童。</w:t>
            </w:r>
          </w:p>
        </w:tc>
      </w:tr>
      <w:tr w14:paraId="2F9A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1973C5AC">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c>
          <w:tcPr>
            <w:tcW w:w="754" w:type="dxa"/>
            <w:vMerge w:val="restart"/>
            <w:tcBorders>
              <w:tl2br w:val="nil"/>
              <w:tr2bl w:val="nil"/>
            </w:tcBorders>
            <w:noWrap w:val="0"/>
            <w:vAlign w:val="center"/>
          </w:tcPr>
          <w:p w14:paraId="412428B1">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区域产后(新生儿)访视管理</w:t>
            </w:r>
          </w:p>
        </w:tc>
        <w:tc>
          <w:tcPr>
            <w:tcW w:w="7061" w:type="dxa"/>
            <w:tcBorders>
              <w:tl2br w:val="nil"/>
              <w:tr2bl w:val="nil"/>
            </w:tcBorders>
            <w:noWrap w:val="0"/>
            <w:vAlign w:val="center"/>
          </w:tcPr>
          <w:p w14:paraId="6CCD5DA8">
            <w:pPr>
              <w:pageBreakBefore w:val="0"/>
              <w:widowControl/>
              <w:numPr>
                <w:ilvl w:val="0"/>
                <w:numId w:val="25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产后访视</w:t>
            </w:r>
          </w:p>
          <w:p w14:paraId="4A5F0C29">
            <w:pPr>
              <w:pageBreakBefore w:val="0"/>
              <w:widowControl/>
              <w:numPr>
                <w:ilvl w:val="0"/>
                <w:numId w:val="25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访视计划</w:t>
            </w:r>
          </w:p>
          <w:p w14:paraId="3438741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支持为纳入管理的产妇制定产后访视计划表。</w:t>
            </w:r>
          </w:p>
          <w:p w14:paraId="51F3A37A">
            <w:pPr>
              <w:pageBreakBefore w:val="0"/>
              <w:widowControl/>
              <w:numPr>
                <w:ilvl w:val="0"/>
                <w:numId w:val="25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访视提醒</w:t>
            </w:r>
          </w:p>
          <w:p w14:paraId="23A0022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对于访视计划列表中迫近访视日期的孕产妇，系统支持自动对访视人员进行名单提醒让访视人员尽快对孕产妇进行访视。</w:t>
            </w:r>
          </w:p>
          <w:p w14:paraId="3644DF7D">
            <w:pPr>
              <w:pageBreakBefore w:val="0"/>
              <w:widowControl/>
              <w:numPr>
                <w:ilvl w:val="0"/>
                <w:numId w:val="25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随访打卡</w:t>
            </w:r>
          </w:p>
          <w:p w14:paraId="60CB6CF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支持开始随访前，进行打卡签到；</w:t>
            </w:r>
          </w:p>
          <w:p w14:paraId="3916693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支持随访内容结束之后再次打卡签退；</w:t>
            </w:r>
          </w:p>
          <w:p w14:paraId="1B07226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支持配置是否需要结束打卡。</w:t>
            </w:r>
          </w:p>
          <w:p w14:paraId="6174656E">
            <w:pPr>
              <w:pageBreakBefore w:val="0"/>
              <w:widowControl/>
              <w:numPr>
                <w:ilvl w:val="0"/>
                <w:numId w:val="25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随访登记</w:t>
            </w:r>
          </w:p>
          <w:p w14:paraId="131EE03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支持提供待访视孕产妇列表、已访视孕产妇列表；</w:t>
            </w:r>
          </w:p>
          <w:p w14:paraId="70B65FD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支持进行访视信息登记。</w:t>
            </w:r>
          </w:p>
        </w:tc>
      </w:tr>
      <w:tr w14:paraId="742F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07E2EA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AB52E9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32388D49">
            <w:pPr>
              <w:pageBreakBefore w:val="0"/>
              <w:widowControl/>
              <w:numPr>
                <w:ilvl w:val="0"/>
                <w:numId w:val="257"/>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新生儿随访</w:t>
            </w:r>
          </w:p>
          <w:p w14:paraId="51051B9E">
            <w:pPr>
              <w:pageBreakBefore w:val="0"/>
              <w:widowControl/>
              <w:numPr>
                <w:ilvl w:val="0"/>
                <w:numId w:val="25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新生儿访视计划</w:t>
            </w:r>
          </w:p>
          <w:p w14:paraId="172EE4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支持为纳入管理的儿童制定产后访视计划表。</w:t>
            </w:r>
          </w:p>
          <w:p w14:paraId="1F28D112">
            <w:pPr>
              <w:pageBreakBefore w:val="0"/>
              <w:widowControl/>
              <w:numPr>
                <w:ilvl w:val="0"/>
                <w:numId w:val="25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访视提醒</w:t>
            </w:r>
          </w:p>
          <w:p w14:paraId="3A1A465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对于访视计划列表中迫近访视日期的新生儿，系统自动对访视人员进行名单提醒让访视人员尽快对新生儿进行访视。</w:t>
            </w:r>
          </w:p>
          <w:p w14:paraId="2A89818F">
            <w:pPr>
              <w:pageBreakBefore w:val="0"/>
              <w:widowControl/>
              <w:numPr>
                <w:ilvl w:val="0"/>
                <w:numId w:val="25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随访打卡</w:t>
            </w:r>
          </w:p>
          <w:p w14:paraId="29D1381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支持开始随访前，进行打卡签到；</w:t>
            </w:r>
          </w:p>
          <w:p w14:paraId="3D8FC4B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支持随访内容结束之后再次打卡签退；</w:t>
            </w:r>
          </w:p>
          <w:p w14:paraId="4BCE76A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支持配置是否需要结束打卡。</w:t>
            </w:r>
          </w:p>
          <w:p w14:paraId="4E653102">
            <w:pPr>
              <w:pageBreakBefore w:val="0"/>
              <w:widowControl/>
              <w:numPr>
                <w:ilvl w:val="0"/>
                <w:numId w:val="25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随访登记</w:t>
            </w:r>
          </w:p>
          <w:p w14:paraId="38CAB60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支持提供待访视新生儿列表、已访视新生儿列表；</w:t>
            </w:r>
          </w:p>
          <w:p w14:paraId="38973F5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支持进行访视信息登记。</w:t>
            </w:r>
          </w:p>
          <w:p w14:paraId="63A01B40">
            <w:pPr>
              <w:pageBreakBefore w:val="0"/>
              <w:widowControl/>
              <w:numPr>
                <w:ilvl w:val="0"/>
                <w:numId w:val="259"/>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新生儿建册</w:t>
            </w:r>
          </w:p>
          <w:p w14:paraId="4EDD94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支持访视人员建册，自动获取新生儿的产时信息和访视信息填充建册信息，将建册必填信息补充完整即可成功建册。</w:t>
            </w:r>
          </w:p>
        </w:tc>
      </w:tr>
      <w:tr w14:paraId="145B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188D8E3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w:t>
            </w:r>
          </w:p>
        </w:tc>
        <w:tc>
          <w:tcPr>
            <w:tcW w:w="754" w:type="dxa"/>
            <w:vMerge w:val="restart"/>
            <w:tcBorders>
              <w:tl2br w:val="nil"/>
              <w:tr2bl w:val="nil"/>
            </w:tcBorders>
            <w:noWrap w:val="0"/>
            <w:vAlign w:val="center"/>
          </w:tcPr>
          <w:p w14:paraId="1B08A5A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区域孕产妇五色管理</w:t>
            </w:r>
          </w:p>
        </w:tc>
        <w:tc>
          <w:tcPr>
            <w:tcW w:w="7061" w:type="dxa"/>
            <w:tcBorders>
              <w:tl2br w:val="nil"/>
              <w:tr2bl w:val="nil"/>
            </w:tcBorders>
            <w:noWrap w:val="0"/>
            <w:vAlign w:val="center"/>
          </w:tcPr>
          <w:p w14:paraId="123717C6">
            <w:pPr>
              <w:pageBreakBefore w:val="0"/>
              <w:widowControl/>
              <w:numPr>
                <w:ilvl w:val="0"/>
                <w:numId w:val="26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风险管理</w:t>
            </w:r>
          </w:p>
          <w:p w14:paraId="598B4F6F">
            <w:pPr>
              <w:pageBreakBefore w:val="0"/>
              <w:widowControl/>
              <w:numPr>
                <w:ilvl w:val="0"/>
                <w:numId w:val="26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孕产妇五色管理</w:t>
            </w:r>
          </w:p>
          <w:p w14:paraId="0CCB532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支持对孕产妇进行五色分级管理；</w:t>
            </w:r>
          </w:p>
          <w:p w14:paraId="3EBA882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支持通过数据集成服务，将各个业务系统的数据汇总到数据仓，再根据五色管理的业务需要从数据仓中按需要提取数据，为五色管理提供数据调用接口服务，获取进行风险评估的孕产妇相关数据。</w:t>
            </w:r>
          </w:p>
          <w:p w14:paraId="49780FD8">
            <w:pPr>
              <w:pageBreakBefore w:val="0"/>
              <w:widowControl/>
              <w:numPr>
                <w:ilvl w:val="0"/>
                <w:numId w:val="26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风险评估</w:t>
            </w:r>
          </w:p>
          <w:p w14:paraId="3E3C2B3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支持根据已经获取到的元数据，结合系统规则库中的风险评估标准进行数据治理，初步为孕产妇计算风险等级。</w:t>
            </w:r>
          </w:p>
          <w:p w14:paraId="7DAC5600">
            <w:pPr>
              <w:pageBreakBefore w:val="0"/>
              <w:widowControl/>
              <w:numPr>
                <w:ilvl w:val="0"/>
                <w:numId w:val="26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风险评估审核</w:t>
            </w:r>
          </w:p>
          <w:p w14:paraId="2C3F5EE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系统自动根据孕产妇风险因素生成风险评估后，由审核人员进行人工审核，审核通过无误后，风险等级将自动生效展示。</w:t>
            </w:r>
          </w:p>
          <w:p w14:paraId="205993D5">
            <w:pPr>
              <w:pageBreakBefore w:val="0"/>
              <w:widowControl/>
              <w:numPr>
                <w:ilvl w:val="0"/>
                <w:numId w:val="261"/>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风险评估记录</w:t>
            </w:r>
          </w:p>
          <w:p w14:paraId="2BD3EA5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支持通过数据权限管理，为管理人员及医生分配权限，每个人只能访问其权限范围内的风险评估记录数据，查看孕产妇风险评估记录以及明细评判指标。</w:t>
            </w:r>
          </w:p>
        </w:tc>
      </w:tr>
      <w:tr w14:paraId="2C11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EB7BD5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5CC4FA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6146B039">
            <w:pPr>
              <w:pageBreakBefore w:val="0"/>
              <w:widowControl/>
              <w:numPr>
                <w:ilvl w:val="0"/>
                <w:numId w:val="26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筛查计划</w:t>
            </w:r>
          </w:p>
          <w:p w14:paraId="78BE45E1">
            <w:pPr>
              <w:pageBreakBefore w:val="0"/>
              <w:widowControl/>
              <w:numPr>
                <w:ilvl w:val="0"/>
                <w:numId w:val="26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风险筛查</w:t>
            </w:r>
          </w:p>
          <w:p w14:paraId="48142E5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支持医生根据筛查计划为孕产妇填写筛查表单，并提交审核，审核通过之后系统自动进行风险筛查。</w:t>
            </w:r>
          </w:p>
          <w:p w14:paraId="3328900D">
            <w:pPr>
              <w:pageBreakBefore w:val="0"/>
              <w:widowControl/>
              <w:numPr>
                <w:ilvl w:val="0"/>
                <w:numId w:val="26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筛查记录查询</w:t>
            </w:r>
          </w:p>
          <w:p w14:paraId="2B725F6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支持查看筛查记录查询列表；</w:t>
            </w:r>
          </w:p>
          <w:p w14:paraId="7E86687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支持医生按照时间维度、身份证号等渠道查询到目标孕产妇的筛查记录。</w:t>
            </w:r>
          </w:p>
          <w:p w14:paraId="2EB2DF4D">
            <w:pPr>
              <w:pageBreakBefore w:val="0"/>
              <w:widowControl/>
              <w:numPr>
                <w:ilvl w:val="0"/>
                <w:numId w:val="26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筛查通知</w:t>
            </w:r>
          </w:p>
          <w:p w14:paraId="4EA9051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为医生提供每日通知列表，方便医生及时对需要做筛查的孕产妇进行筛查。</w:t>
            </w:r>
          </w:p>
        </w:tc>
      </w:tr>
      <w:tr w14:paraId="31EA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92FA07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D37637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47C4B48E">
            <w:pPr>
              <w:pageBreakBefore w:val="0"/>
              <w:widowControl/>
              <w:numPr>
                <w:ilvl w:val="0"/>
                <w:numId w:val="26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孕产妇健康干预</w:t>
            </w:r>
          </w:p>
          <w:p w14:paraId="12950F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支持医生为孕产妇制定健康干预方案；</w:t>
            </w:r>
          </w:p>
          <w:p w14:paraId="45571A0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支持推送到孕产妇的微信或短信；</w:t>
            </w:r>
          </w:p>
          <w:p w14:paraId="09C8E3C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支持医生推送调查问卷到孕产妇移动端，孕产妇填写后数据可以同步到医生端。</w:t>
            </w:r>
          </w:p>
        </w:tc>
      </w:tr>
      <w:tr w14:paraId="7DF8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01715C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480A11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3BFFFC1A">
            <w:pPr>
              <w:pageBreakBefore w:val="0"/>
              <w:widowControl/>
              <w:numPr>
                <w:ilvl w:val="0"/>
                <w:numId w:val="260"/>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转诊管理</w:t>
            </w:r>
          </w:p>
          <w:p w14:paraId="338B4D66">
            <w:pPr>
              <w:pageBreakBefore w:val="0"/>
              <w:widowControl/>
              <w:numPr>
                <w:ilvl w:val="0"/>
                <w:numId w:val="26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转诊记录查看</w:t>
            </w:r>
          </w:p>
          <w:p w14:paraId="0A2EBD5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支持查看转诊记录数据，包括转入转出记录查询，查看转诊列表信息；</w:t>
            </w:r>
          </w:p>
          <w:p w14:paraId="7282B5C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支持按转诊时间、患者姓名、转诊状态、发起医生等进行筛选。</w:t>
            </w:r>
          </w:p>
          <w:p w14:paraId="6D90AF75">
            <w:pPr>
              <w:pageBreakBefore w:val="0"/>
              <w:widowControl/>
              <w:numPr>
                <w:ilvl w:val="0"/>
                <w:numId w:val="263"/>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转诊详情查看</w:t>
            </w:r>
          </w:p>
          <w:p w14:paraId="55125430">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支持查看每位高危孕产妇的转诊详细信息；</w:t>
            </w:r>
          </w:p>
          <w:p w14:paraId="4F5FF06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支持对高危妊娠转诊单存根、高危妊娠转诊单回执进行新增、编辑；</w:t>
            </w:r>
          </w:p>
          <w:p w14:paraId="6BDF41A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支持查看对转诊后的风险筛查、评估详细信息；</w:t>
            </w:r>
          </w:p>
          <w:p w14:paraId="4EB6A3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支持调阅基本信息和健康档案。</w:t>
            </w:r>
          </w:p>
        </w:tc>
      </w:tr>
      <w:tr w14:paraId="42B29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FA24911">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754" w:type="dxa"/>
            <w:vMerge w:val="restart"/>
            <w:tcBorders>
              <w:tl2br w:val="nil"/>
              <w:tr2bl w:val="nil"/>
            </w:tcBorders>
            <w:noWrap w:val="0"/>
            <w:vAlign w:val="center"/>
          </w:tcPr>
          <w:p w14:paraId="07EE5121">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掌上妇幼</w:t>
            </w:r>
          </w:p>
        </w:tc>
        <w:tc>
          <w:tcPr>
            <w:tcW w:w="7061" w:type="dxa"/>
            <w:tcBorders>
              <w:tl2br w:val="nil"/>
              <w:tr2bl w:val="nil"/>
            </w:tcBorders>
            <w:noWrap w:val="0"/>
            <w:vAlign w:val="center"/>
          </w:tcPr>
          <w:p w14:paraId="256D51C7">
            <w:pPr>
              <w:pageBreakBefore w:val="0"/>
              <w:widowControl/>
              <w:numPr>
                <w:ilvl w:val="0"/>
                <w:numId w:val="26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孕产妇健康评估</w:t>
            </w:r>
          </w:p>
          <w:p w14:paraId="35F67FE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支持居民端自我评估；</w:t>
            </w:r>
          </w:p>
          <w:p w14:paraId="68301D3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提供产后抑郁自评估量(EPDSZ)、抑郁症筛查自评估量(PHQ-9)、广泛性焦虑障碍自评估(GAD-7)、防范妊娠风险和预防出生缺陷自评估量表、促进自然分娩和母乳喂养；</w:t>
            </w:r>
          </w:p>
          <w:p w14:paraId="6F4FA23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支持查看评估记录及意见；</w:t>
            </w:r>
          </w:p>
          <w:p w14:paraId="7DDB2C7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支持将记录同步到电子监测系统。</w:t>
            </w:r>
          </w:p>
        </w:tc>
      </w:tr>
      <w:tr w14:paraId="467CF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EF147E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B15F3D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1B8CE03C">
            <w:pPr>
              <w:pageBreakBefore w:val="0"/>
              <w:widowControl/>
              <w:numPr>
                <w:ilvl w:val="0"/>
                <w:numId w:val="26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儿童健康评估</w:t>
            </w:r>
          </w:p>
          <w:p w14:paraId="632091F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支持居民端自我评估；</w:t>
            </w:r>
          </w:p>
          <w:p w14:paraId="2ECD81B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提供婴幼儿孤独症筛查量表(CHAT)、儿童孤独症评定表(CARS）、孤独症行为评定表(ABC量表)、0-6岁儿童神经心理发育量表等；</w:t>
            </w:r>
          </w:p>
          <w:p w14:paraId="57CD391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支持查看评估记录及意见；</w:t>
            </w:r>
          </w:p>
          <w:p w14:paraId="35B1A31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支持将记录同步到电子监测系统。</w:t>
            </w:r>
          </w:p>
        </w:tc>
      </w:tr>
      <w:tr w14:paraId="23FBF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15E6D7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037808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3AB2BE44">
            <w:pPr>
              <w:pageBreakBefore w:val="0"/>
              <w:widowControl/>
              <w:numPr>
                <w:ilvl w:val="0"/>
                <w:numId w:val="26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妇保预问诊</w:t>
            </w:r>
          </w:p>
          <w:p w14:paraId="06563DD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支持在进行产前检查之前，孕产妇在产前检查内填写自身相关的信息和症状，点击提交即保存实时同步到医生端，减少医生问诊时间。</w:t>
            </w:r>
          </w:p>
        </w:tc>
      </w:tr>
      <w:tr w14:paraId="191C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EE1C47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968E0EA">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62262368">
            <w:pPr>
              <w:pageBreakBefore w:val="0"/>
              <w:widowControl/>
              <w:numPr>
                <w:ilvl w:val="0"/>
                <w:numId w:val="26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儿保预问诊</w:t>
            </w:r>
          </w:p>
          <w:p w14:paraId="538653B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支持让儿童父母提前填写儿童相关的信息和症状，点击提交即保存实时同步到医生端，减少医生诊间询问的时间。</w:t>
            </w:r>
          </w:p>
        </w:tc>
      </w:tr>
      <w:tr w14:paraId="283A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69087F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675C763">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756E5AE0">
            <w:pPr>
              <w:pageBreakBefore w:val="0"/>
              <w:widowControl/>
              <w:numPr>
                <w:ilvl w:val="0"/>
                <w:numId w:val="264"/>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母子健康手册</w:t>
            </w:r>
          </w:p>
          <w:p w14:paraId="77C1C122">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自助建册</w:t>
            </w:r>
          </w:p>
          <w:p w14:paraId="7C16303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支持儿童保健自助建册和孕产保健自助建册；</w:t>
            </w:r>
          </w:p>
          <w:p w14:paraId="6F08775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支持孕产保健自助建册填写孕妇基本信息、丈夫基本信息、孕妇一般情况模块内容，提交上传到医生端由医生补充确认建册；</w:t>
            </w:r>
          </w:p>
          <w:p w14:paraId="1A8C9D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对于儿童保健自助建册，支持根据母亲信息建册，将妇保信息中已有的儿童信息带过；</w:t>
            </w:r>
          </w:p>
          <w:p w14:paraId="497086E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儿童建册支持直接建册，填写儿童基本信息和家庭基本信息，提交由医生补充确认正式建册。</w:t>
            </w:r>
          </w:p>
          <w:p w14:paraId="73F1FC89">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孕保档案</w:t>
            </w:r>
          </w:p>
          <w:p w14:paraId="31D789D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支持建册孕妇在孕保档案中能够查看对应的建册、产检数据，孕保档案包括：基本信息、产前筛查、初次产检、产前检查、产生情况、产后访视、产后42天健康检查、化验报告和检查报告等数据；</w:t>
            </w:r>
          </w:p>
          <w:p w14:paraId="1C9EE0B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档案开放内容可由医生配置。</w:t>
            </w:r>
          </w:p>
          <w:p w14:paraId="27B3F1E5">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儿保档案</w:t>
            </w:r>
          </w:p>
          <w:p w14:paraId="54BAF53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支持建册儿童在移动端绑定了儿童后能够查看对应的儿童0-6岁儿保档案，包括：基本信息、新生儿访视、0~3岁健康检查、3~6岁健康检查、周岁健康评价、听力筛查、眼保健操、化验报告和检查报告等数据；</w:t>
            </w:r>
          </w:p>
          <w:p w14:paraId="5A9A536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档案开放内容可由医生配置。</w:t>
            </w:r>
          </w:p>
          <w:p w14:paraId="7F475783">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一人一码</w:t>
            </w:r>
          </w:p>
          <w:p w14:paraId="0E82A70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支持根据孕产妇个人信息自动生成对应孕产保健二维码；</w:t>
            </w:r>
          </w:p>
          <w:p w14:paraId="2371069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支持根据儿童个人信息自动生成对应儿童保健二维码。</w:t>
            </w:r>
          </w:p>
          <w:p w14:paraId="0A935E4B">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孕产妇健康监测（孕期体重、血压、血糖、体温、胎心、胎动）</w:t>
            </w:r>
          </w:p>
          <w:p w14:paraId="0398B12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支持登记孕产妇各种健康指标：孕期体重、血压、血糖、体温、胎心、胎动；</w:t>
            </w:r>
          </w:p>
          <w:p w14:paraId="453B344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支持提供各种孕产妇健康监测指标的正确范围和宣教信息。</w:t>
            </w:r>
          </w:p>
          <w:p w14:paraId="0DA49B69">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儿童健康监测（身高体重、头围）</w:t>
            </w:r>
          </w:p>
          <w:p w14:paraId="07B5D60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支持登记儿童各种健康指标：身高、体重、头围；</w:t>
            </w:r>
          </w:p>
          <w:p w14:paraId="2FBCA5D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支持提供各种儿童健康监测指标的正确范围和宣教信息。</w:t>
            </w:r>
          </w:p>
          <w:p w14:paraId="67B46202">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电子版母子健康手册</w:t>
            </w:r>
          </w:p>
          <w:p w14:paraId="2147752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支持查看、翻阅电子母子健康手册。</w:t>
            </w:r>
          </w:p>
          <w:p w14:paraId="04592C8C">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政策宣传</w:t>
            </w:r>
          </w:p>
          <w:p w14:paraId="2EDF57F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支持查看孕产政策、当地政策及其详情。</w:t>
            </w:r>
          </w:p>
          <w:p w14:paraId="02843A5E">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孕育百科</w:t>
            </w:r>
          </w:p>
          <w:p w14:paraId="43B9A42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系统提供图文、视频类型的健康指导，支持居民孕产妇们及时学习和了解。</w:t>
            </w:r>
          </w:p>
          <w:p w14:paraId="57BD4F81">
            <w:pPr>
              <w:pageBreakBefore w:val="0"/>
              <w:widowControl/>
              <w:numPr>
                <w:ilvl w:val="0"/>
                <w:numId w:val="265"/>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健康咨询</w:t>
            </w:r>
          </w:p>
          <w:p w14:paraId="07CD8CD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支持通过母子健康手册对医生进行健康咨询，在线发送图文，询问一些健康知识。</w:t>
            </w:r>
          </w:p>
        </w:tc>
      </w:tr>
      <w:tr w14:paraId="478C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5DC7D557">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754" w:type="dxa"/>
            <w:vMerge w:val="restart"/>
            <w:tcBorders>
              <w:tl2br w:val="nil"/>
              <w:tr2bl w:val="nil"/>
            </w:tcBorders>
            <w:noWrap w:val="0"/>
            <w:vAlign w:val="center"/>
          </w:tcPr>
          <w:p w14:paraId="793A466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孕产妇/婴幼儿健康画像系统</w:t>
            </w:r>
          </w:p>
        </w:tc>
        <w:tc>
          <w:tcPr>
            <w:tcW w:w="7061" w:type="dxa"/>
            <w:tcBorders>
              <w:tl2br w:val="nil"/>
              <w:tr2bl w:val="nil"/>
            </w:tcBorders>
            <w:noWrap w:val="0"/>
            <w:vAlign w:val="center"/>
          </w:tcPr>
          <w:p w14:paraId="13BF0A18">
            <w:pPr>
              <w:pageBreakBefore w:val="0"/>
              <w:widowControl/>
              <w:numPr>
                <w:ilvl w:val="0"/>
                <w:numId w:val="26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孕产妇健康画像</w:t>
            </w:r>
          </w:p>
          <w:p w14:paraId="6F54F50E">
            <w:pPr>
              <w:pageBreakBefore w:val="0"/>
              <w:widowControl/>
              <w:numPr>
                <w:ilvl w:val="0"/>
                <w:numId w:val="26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档案管理</w:t>
            </w:r>
          </w:p>
          <w:p w14:paraId="272879B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支持显示孕产妇的基本信息以及下次预约时间和下次预约门诊科室、上次检查医生等信息；</w:t>
            </w:r>
          </w:p>
          <w:p w14:paraId="2128DE0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支持展示孕产妇的其他病（孕）情和上一次检查医生给孕产妇开具的产前检查保健信息；</w:t>
            </w:r>
          </w:p>
          <w:p w14:paraId="3BA3A04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支持展示孕产妇高危因素，点击可在具体产检记录中查看具体的高危因素情况；</w:t>
            </w:r>
          </w:p>
          <w:p w14:paraId="5E401E3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支持孕产妇在移动端健康画像中也能够查看到自己的健康数据。</w:t>
            </w:r>
          </w:p>
          <w:p w14:paraId="3FB24FFB">
            <w:pPr>
              <w:pageBreakBefore w:val="0"/>
              <w:widowControl/>
              <w:numPr>
                <w:ilvl w:val="0"/>
                <w:numId w:val="26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孕产妇健康指数</w:t>
            </w:r>
          </w:p>
          <w:p w14:paraId="2CC307B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以《宁波市孕产妇妊娠风险评估表（2018）》为标准，生成孕产妇健康指数，展现孕产妇的风险程度情况；</w:t>
            </w:r>
          </w:p>
          <w:p w14:paraId="05CC4B8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支持孕产妇在移动端健康画像中查看自己的健康指数。</w:t>
            </w:r>
          </w:p>
          <w:p w14:paraId="2736A638">
            <w:pPr>
              <w:pageBreakBefore w:val="0"/>
              <w:widowControl/>
              <w:numPr>
                <w:ilvl w:val="0"/>
                <w:numId w:val="26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高危孕产妇五色分级</w:t>
            </w:r>
          </w:p>
          <w:p w14:paraId="168636C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通过《孕产妇妊娠风险评估表》等进行风险评估，产生高危五色分级等级；</w:t>
            </w:r>
          </w:p>
          <w:p w14:paraId="4271ADC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支持根据孕产妇健康状况变化而变化。支持孕产妇在移动端健康画像中查看自己的五色分级等级。</w:t>
            </w:r>
          </w:p>
          <w:p w14:paraId="70CE1058">
            <w:pPr>
              <w:pageBreakBefore w:val="0"/>
              <w:widowControl/>
              <w:numPr>
                <w:ilvl w:val="0"/>
                <w:numId w:val="26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主要健康问题和高危因素</w:t>
            </w:r>
          </w:p>
          <w:p w14:paraId="3FE0D1E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支持查看孕产妇对应五色分级等级中的高危因素；</w:t>
            </w:r>
          </w:p>
          <w:p w14:paraId="58E3283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支持查看孕产妇从建册到产后42天访视的全流程保健服务，显示对应孕周和所做检查，并展示每次检查的风险评估情况，将检查中的危险因素列出，点击对应检查列表即可展示对应危险因素的具体情况。</w:t>
            </w:r>
          </w:p>
          <w:p w14:paraId="53B44D8E">
            <w:pPr>
              <w:pageBreakBefore w:val="0"/>
              <w:widowControl/>
              <w:numPr>
                <w:ilvl w:val="0"/>
                <w:numId w:val="26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高危因素分析</w:t>
            </w:r>
          </w:p>
          <w:p w14:paraId="3CBBB808">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对于影响孕产妇健康的高危因素，系统也会对孕产妇进行提醒，在健康画像中突出显示，达到提醒的目的，点击可以查看到危险因素的具体情况。</w:t>
            </w:r>
          </w:p>
          <w:p w14:paraId="017E9A26">
            <w:pPr>
              <w:pageBreakBefore w:val="0"/>
              <w:widowControl/>
              <w:numPr>
                <w:ilvl w:val="0"/>
                <w:numId w:val="267"/>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健康监测曲线</w:t>
            </w:r>
          </w:p>
          <w:p w14:paraId="3A2A719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提供孕产妇需要重点关注的指标，例如宫高曲线、BMI曲线、胎心曲线、血压曲线、血糖曲线、血红蛋白曲线等。</w:t>
            </w:r>
          </w:p>
        </w:tc>
      </w:tr>
      <w:tr w14:paraId="760F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A37D19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BA1C923">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29B1BBCC">
            <w:pPr>
              <w:pageBreakBefore w:val="0"/>
              <w:widowControl/>
              <w:numPr>
                <w:ilvl w:val="0"/>
                <w:numId w:val="266"/>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儿童成长画像</w:t>
            </w:r>
          </w:p>
          <w:p w14:paraId="2532AFFC">
            <w:pPr>
              <w:pageBreakBefore w:val="0"/>
              <w:widowControl/>
              <w:numPr>
                <w:ilvl w:val="0"/>
                <w:numId w:val="2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档案管理</w:t>
            </w:r>
          </w:p>
          <w:p w14:paraId="59F8E1A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支持显示儿童的基本信息以及下次预约时间和下次预约门诊科室、上次检查医生等信；</w:t>
            </w:r>
          </w:p>
          <w:p w14:paraId="0BBC71D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支持展示儿童的其他病情和上一次检查医生给儿童开具的检查保健信息；</w:t>
            </w:r>
          </w:p>
          <w:p w14:paraId="6BAF9A1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支持展示儿童高危因素，点击即可在具体体检记录中查看具体的高危因素情况；</w:t>
            </w:r>
          </w:p>
          <w:p w14:paraId="64053F0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支持父母在移动端健康画像中也能够查看到自己孩子的健康档案信息。</w:t>
            </w:r>
          </w:p>
          <w:p w14:paraId="31904D50">
            <w:pPr>
              <w:pageBreakBefore w:val="0"/>
              <w:widowControl/>
              <w:numPr>
                <w:ilvl w:val="0"/>
                <w:numId w:val="2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儿童健康指数</w:t>
            </w:r>
          </w:p>
          <w:p w14:paraId="7C47FF2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以《宁波市高危儿和高危因素分级管理评定标准》为标准，生成儿童健康指数，展现儿童的风险程度情况；支持根据儿童健康状况变化而变化。</w:t>
            </w:r>
          </w:p>
          <w:p w14:paraId="67E363C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支持父母在移动端健康画像中查看自己孩子的健康数。</w:t>
            </w:r>
          </w:p>
          <w:p w14:paraId="63119F45">
            <w:pPr>
              <w:pageBreakBefore w:val="0"/>
              <w:widowControl/>
              <w:numPr>
                <w:ilvl w:val="0"/>
                <w:numId w:val="2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主要健康问题和高危因素</w:t>
            </w:r>
          </w:p>
          <w:p w14:paraId="526CC8F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支持查看儿童对应高危指数中的高危因素；</w:t>
            </w:r>
          </w:p>
          <w:p w14:paraId="20F0ECD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支持查看儿童从出生到６岁的全流程保健服务，显示对应年龄和所做检查，并展示每次检查的风险评估情况，将检查中的危险因素列出，点击对应检查列表即可展示对应危险因素的具体情况。</w:t>
            </w:r>
          </w:p>
          <w:p w14:paraId="6B55641C">
            <w:pPr>
              <w:pageBreakBefore w:val="0"/>
              <w:widowControl/>
              <w:numPr>
                <w:ilvl w:val="0"/>
                <w:numId w:val="2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高危因素分析</w:t>
            </w:r>
          </w:p>
          <w:p w14:paraId="20DA583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对于影响婴幼儿健康的高危因素，系统也会对婴幼儿的父母进行提醒，在健康画像中突出显示，达到提醒的目的，点击可以查看到危险因素的具体情况。</w:t>
            </w:r>
          </w:p>
          <w:p w14:paraId="17E942C9">
            <w:pPr>
              <w:pageBreakBefore w:val="0"/>
              <w:widowControl/>
              <w:numPr>
                <w:ilvl w:val="0"/>
                <w:numId w:val="268"/>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儿童成长曲线</w:t>
            </w:r>
          </w:p>
          <w:p w14:paraId="772C6F8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提供儿童需要重点关注的指标，例如身高曲线、体重曲线、头围曲线等。</w:t>
            </w:r>
          </w:p>
        </w:tc>
      </w:tr>
      <w:tr w14:paraId="7CFA0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3F9D6B18">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p>
        </w:tc>
        <w:tc>
          <w:tcPr>
            <w:tcW w:w="754" w:type="dxa"/>
            <w:vMerge w:val="restart"/>
            <w:tcBorders>
              <w:tl2br w:val="nil"/>
              <w:tr2bl w:val="nil"/>
            </w:tcBorders>
            <w:noWrap w:val="0"/>
            <w:vAlign w:val="center"/>
          </w:tcPr>
          <w:p w14:paraId="5D50EB5C">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智能随访</w:t>
            </w:r>
          </w:p>
        </w:tc>
        <w:tc>
          <w:tcPr>
            <w:tcW w:w="7061" w:type="dxa"/>
            <w:tcBorders>
              <w:tl2br w:val="nil"/>
              <w:tr2bl w:val="nil"/>
            </w:tcBorders>
            <w:noWrap w:val="0"/>
            <w:vAlign w:val="center"/>
          </w:tcPr>
          <w:p w14:paraId="1B6E4C08">
            <w:pPr>
              <w:pageBreakBefore w:val="0"/>
              <w:widowControl/>
              <w:numPr>
                <w:ilvl w:val="0"/>
                <w:numId w:val="2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随访管理</w:t>
            </w:r>
          </w:p>
          <w:p w14:paraId="1F12DDA8">
            <w:pPr>
              <w:pageBreakBefore w:val="0"/>
              <w:widowControl/>
              <w:numPr>
                <w:ilvl w:val="0"/>
                <w:numId w:val="27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随访计划</w:t>
            </w:r>
          </w:p>
          <w:p w14:paraId="382CEAE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支持新增随访计划；</w:t>
            </w:r>
          </w:p>
          <w:p w14:paraId="6487913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支持自动执行随访计划。</w:t>
            </w:r>
          </w:p>
          <w:p w14:paraId="35D4390D">
            <w:pPr>
              <w:pageBreakBefore w:val="0"/>
              <w:widowControl/>
              <w:numPr>
                <w:ilvl w:val="0"/>
                <w:numId w:val="270"/>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随访详情</w:t>
            </w:r>
          </w:p>
          <w:p w14:paraId="058665A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支持查看随访任务中的执行情况；</w:t>
            </w:r>
          </w:p>
          <w:p w14:paraId="7371BE7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支持查看居民的随访记录及详情状态。</w:t>
            </w:r>
          </w:p>
        </w:tc>
      </w:tr>
      <w:tr w14:paraId="075B7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143313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3E7847A">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69D2EEB2">
            <w:pPr>
              <w:pageBreakBefore w:val="0"/>
              <w:widowControl/>
              <w:numPr>
                <w:ilvl w:val="0"/>
                <w:numId w:val="2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知识库</w:t>
            </w:r>
          </w:p>
          <w:p w14:paraId="66C123F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支持新增、编辑、删除短信模板。</w:t>
            </w:r>
          </w:p>
          <w:p w14:paraId="69A7D34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支持新增、编辑、删除表单模板。</w:t>
            </w:r>
          </w:p>
          <w:p w14:paraId="4F5F689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支持新增、编辑、删除随访路径。</w:t>
            </w:r>
          </w:p>
        </w:tc>
      </w:tr>
      <w:tr w14:paraId="03F1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FF2F8A3">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D73C11B">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5C2B3F44">
            <w:pPr>
              <w:pageBreakBefore w:val="0"/>
              <w:widowControl/>
              <w:numPr>
                <w:ilvl w:val="0"/>
                <w:numId w:val="269"/>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患者管理</w:t>
            </w:r>
          </w:p>
          <w:p w14:paraId="3892E1A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支持查看患者的完整信息，包括基本信息、门诊信息、住院信息、手术信息和随访记录等；</w:t>
            </w:r>
          </w:p>
          <w:p w14:paraId="001203B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支持多条件检索查询某类患者。</w:t>
            </w:r>
          </w:p>
        </w:tc>
      </w:tr>
      <w:tr w14:paraId="1681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0C13AA3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w:t>
            </w:r>
          </w:p>
        </w:tc>
        <w:tc>
          <w:tcPr>
            <w:tcW w:w="754" w:type="dxa"/>
            <w:vMerge w:val="restart"/>
            <w:tcBorders>
              <w:tl2br w:val="nil"/>
              <w:tr2bl w:val="nil"/>
            </w:tcBorders>
            <w:noWrap w:val="0"/>
            <w:vAlign w:val="center"/>
          </w:tcPr>
          <w:p w14:paraId="0A9F52C5">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孕产妇妊娠风险五色智能评估和监测提醒</w:t>
            </w:r>
          </w:p>
        </w:tc>
        <w:tc>
          <w:tcPr>
            <w:tcW w:w="7061" w:type="dxa"/>
            <w:tcBorders>
              <w:tl2br w:val="nil"/>
              <w:tr2bl w:val="nil"/>
            </w:tcBorders>
            <w:noWrap w:val="0"/>
            <w:vAlign w:val="center"/>
          </w:tcPr>
          <w:p w14:paraId="0DE78156">
            <w:pPr>
              <w:pageBreakBefore w:val="0"/>
              <w:widowControl/>
              <w:numPr>
                <w:ilvl w:val="0"/>
                <w:numId w:val="271"/>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构建妊娠风险评估模型</w:t>
            </w:r>
          </w:p>
          <w:p w14:paraId="216AD78D">
            <w:pPr>
              <w:pageBreakBefore w:val="0"/>
              <w:widowControl/>
              <w:numPr>
                <w:ilvl w:val="0"/>
                <w:numId w:val="27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模型搭建</w:t>
            </w:r>
          </w:p>
          <w:p w14:paraId="26DF390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根据《宁波市孕产妇妊娠风险评估表（2018）》进行标准细化、优化和转化，构建妊娠风险评估模型。</w:t>
            </w:r>
          </w:p>
          <w:p w14:paraId="2DE5213F">
            <w:pPr>
              <w:pageBreakBefore w:val="0"/>
              <w:widowControl/>
              <w:numPr>
                <w:ilvl w:val="0"/>
                <w:numId w:val="27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孕产妇风险评估</w:t>
            </w:r>
          </w:p>
          <w:p w14:paraId="77F5152E">
            <w:pPr>
              <w:widowControl/>
              <w:adjustRightInd w:val="0"/>
              <w:snapToGrid w:val="0"/>
              <w:spacing w:after="120" w:afterLines="0" w:afterAutospacing="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0"/>
                <w:sz w:val="21"/>
                <w:szCs w:val="21"/>
                <w:lang w:val="en-US" w:eastAsia="zh-CN" w:bidi="ar"/>
              </w:rPr>
              <w:t>支持结合系统规则库中的风险评估标准进行数据治理，初步为孕产妇计算风险等级。</w:t>
            </w:r>
            <w:r>
              <w:rPr>
                <w:rFonts w:hint="eastAsia" w:ascii="Calibri" w:hAnsi="Calibri" w:eastAsia="宋体" w:cs="Times New Roman"/>
                <w:color w:val="auto"/>
                <w:kern w:val="2"/>
                <w:sz w:val="21"/>
                <w:szCs w:val="21"/>
                <w:lang w:val="en-US" w:eastAsia="zh-CN" w:bidi="ar"/>
              </w:rPr>
              <w:t>妊娠风险智能评估规则设置支持在每一个高危因素下维护诊断规则、指标规则、电子监测规则、手术规则等；根据妊娠风险智能评估规则获得的产检孕妇等级，查看孕妇的评估记录，支持手动勾选对应高危因素，支持手动排除系统中标指征。</w:t>
            </w:r>
          </w:p>
          <w:p w14:paraId="65D8E5A4">
            <w:pPr>
              <w:rPr>
                <w:rFonts w:ascii="Calibri" w:hAnsi="Calibri" w:eastAsia="宋体" w:cs="Times New Roman"/>
                <w:color w:val="auto"/>
                <w:sz w:val="21"/>
                <w:szCs w:val="21"/>
              </w:rPr>
            </w:pPr>
          </w:p>
          <w:p w14:paraId="712A2AC3">
            <w:pPr>
              <w:pageBreakBefore w:val="0"/>
              <w:widowControl/>
              <w:numPr>
                <w:ilvl w:val="0"/>
                <w:numId w:val="272"/>
              </w:numPr>
              <w:kinsoku/>
              <w:wordWrap/>
              <w:overflowPunct/>
              <w:topLinePunct w:val="0"/>
              <w:autoSpaceDE/>
              <w:autoSpaceDN/>
              <w:bidi w:val="0"/>
              <w:adjustRightInd w:val="0"/>
              <w:snapToGrid w:val="0"/>
              <w:ind w:left="0" w:firstLine="4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高危孕产妇评估列表</w:t>
            </w:r>
          </w:p>
          <w:p w14:paraId="2AC3830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支持提供高危孕产妇的评估列表。</w:t>
            </w:r>
          </w:p>
        </w:tc>
      </w:tr>
      <w:tr w14:paraId="7AAB9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E64F7FE">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C46A319">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4BE6DA66">
            <w:pPr>
              <w:pageBreakBefore w:val="0"/>
              <w:widowControl/>
              <w:numPr>
                <w:ilvl w:val="0"/>
                <w:numId w:val="271"/>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妊娠风险监测和跟踪知识库</w:t>
            </w:r>
          </w:p>
          <w:p w14:paraId="2C0F341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支持对诊断规则进行新增、编辑、删除。</w:t>
            </w:r>
          </w:p>
          <w:p w14:paraId="1CEF281B">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支持维护业务系统路径；只支持删除。</w:t>
            </w:r>
          </w:p>
          <w:p w14:paraId="79B3AE8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支持对指标进行新增、编辑、删除。</w:t>
            </w:r>
          </w:p>
          <w:p w14:paraId="00858CC6">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支持对手术进行新增、编辑、删除。</w:t>
            </w:r>
          </w:p>
        </w:tc>
      </w:tr>
      <w:tr w14:paraId="3A9C7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79B25C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2872E4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352EDB2B">
            <w:pPr>
              <w:pageBreakBefore w:val="0"/>
              <w:widowControl/>
              <w:numPr>
                <w:ilvl w:val="0"/>
                <w:numId w:val="271"/>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智能提醒</w:t>
            </w:r>
          </w:p>
          <w:p w14:paraId="7AC1E8F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b/>
                <w:bCs/>
                <w:color w:val="auto"/>
                <w:kern w:val="0"/>
                <w:sz w:val="21"/>
                <w:szCs w:val="21"/>
                <w:lang w:bidi="ar"/>
              </w:rPr>
            </w:pPr>
            <w:r>
              <w:rPr>
                <w:rFonts w:hint="eastAsia" w:ascii="宋体" w:hAnsi="宋体" w:eastAsia="宋体" w:cs="宋体"/>
                <w:color w:val="auto"/>
                <w:kern w:val="0"/>
                <w:sz w:val="21"/>
                <w:szCs w:val="21"/>
                <w:lang w:bidi="ar"/>
              </w:rPr>
              <w:t>支持对评估模型筛查出的可疑高危孕产妇对象进行提醒医生；</w:t>
            </w:r>
          </w:p>
          <w:p w14:paraId="795ADEF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支持对已标记的高危孕产妇的疾病诊断、检验指标等进行跟踪。</w:t>
            </w:r>
          </w:p>
        </w:tc>
      </w:tr>
      <w:tr w14:paraId="5E7C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3B64A2B9">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w:t>
            </w:r>
          </w:p>
        </w:tc>
        <w:tc>
          <w:tcPr>
            <w:tcW w:w="754" w:type="dxa"/>
            <w:vMerge w:val="restart"/>
            <w:tcBorders>
              <w:tl2br w:val="nil"/>
              <w:tr2bl w:val="nil"/>
            </w:tcBorders>
            <w:noWrap w:val="0"/>
            <w:vAlign w:val="center"/>
          </w:tcPr>
          <w:p w14:paraId="7C0C16A0">
            <w:pPr>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大模型妇幼保健智能客服系统</w:t>
            </w:r>
          </w:p>
        </w:tc>
        <w:tc>
          <w:tcPr>
            <w:tcW w:w="7061" w:type="dxa"/>
            <w:tcBorders>
              <w:tl2br w:val="nil"/>
              <w:tr2bl w:val="nil"/>
            </w:tcBorders>
            <w:noWrap w:val="0"/>
            <w:vAlign w:val="center"/>
          </w:tcPr>
          <w:p w14:paraId="66FE25A0">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妇幼保健业务问答</w:t>
            </w:r>
          </w:p>
          <w:p w14:paraId="1614B81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系统识别到用户的意图为办事咨询时，会通过妇幼知识库检索用户问题，并匹配出匹配度最高的标准问题，然后输出相应的答案。系统支持同时返回多个相似问题，以提高回答的准确率。</w:t>
            </w:r>
          </w:p>
        </w:tc>
      </w:tr>
      <w:tr w14:paraId="308F1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C2B2DC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F25718C">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2427738B">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智能导诊</w:t>
            </w:r>
          </w:p>
          <w:p w14:paraId="684E582A">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支持引导患者描述主要症状</w:t>
            </w:r>
          </w:p>
          <w:p w14:paraId="41FE1BF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支持验证患者提问内容是否合规正确，不合规则会继续澄清追问</w:t>
            </w:r>
          </w:p>
          <w:p w14:paraId="7B7DB6F9">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支持通过AI模型分析患者症状，自动生成收集病情的相关问题</w:t>
            </w:r>
          </w:p>
        </w:tc>
      </w:tr>
      <w:tr w14:paraId="6594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C55D1A7">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2EE976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0A1D681C">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注册登录</w:t>
            </w:r>
          </w:p>
          <w:p w14:paraId="54360CC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支持用户使用手机号，通过短信验证码登录和注册账号</w:t>
            </w:r>
          </w:p>
          <w:p w14:paraId="47F2F6A4">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支持限制短信验证码发送频率，同个手机号一段时间内只允许发一条</w:t>
            </w:r>
          </w:p>
          <w:p w14:paraId="705E974C">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支持用户主动退出登录状态</w:t>
            </w:r>
          </w:p>
        </w:tc>
      </w:tr>
      <w:tr w14:paraId="004D3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6401237">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70A0A4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171F960B">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语音输入</w:t>
            </w:r>
          </w:p>
          <w:p w14:paraId="52C3652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支持患者文字输入，也支持语音输入来描述问题，提高输入效率，简化操作流程</w:t>
            </w:r>
          </w:p>
        </w:tc>
      </w:tr>
      <w:tr w14:paraId="229E3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E2F669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D097A7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394DA0B4">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查找医生</w:t>
            </w:r>
          </w:p>
          <w:p w14:paraId="5E583D43">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支持提问医生姓名，匹配挂号医生，展示医生列表和介绍</w:t>
            </w:r>
          </w:p>
        </w:tc>
      </w:tr>
      <w:tr w14:paraId="7D927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1EB90F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844C05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2C09167D">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查找科室</w:t>
            </w:r>
          </w:p>
          <w:p w14:paraId="19C81D31">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支持提问科室名称，匹配中心挂号科室，展示科室列表</w:t>
            </w:r>
          </w:p>
        </w:tc>
      </w:tr>
      <w:tr w14:paraId="1F40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732478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D905A34">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22BF8E2B">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妇幼保健预约挂号</w:t>
            </w:r>
          </w:p>
          <w:p w14:paraId="4E9B7F15">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支持在对话界面，用户可以点击医生、科室卡片后，展示排班信息，用户可以查看医生的坐诊情况，排班明细。支持查看号源明细，用户选择号子后可以进行预约确认，完成预约挂号</w:t>
            </w:r>
          </w:p>
        </w:tc>
      </w:tr>
      <w:tr w14:paraId="7EFF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0E7A1F8">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8AFACC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0F124C46">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 xml:space="preserve">健康知识问答 </w:t>
            </w:r>
          </w:p>
          <w:p w14:paraId="0F69E81F">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患者提供健康咨询服务，覆盖疾病、用药、检查等多个领域，患者可以向系统提出妇幼健康相关的问题，系统支持快速、准确地回答患者的疑问，帮助他们更好地理解病情和相关健康信息，从而更好地关注和管理自身健康。</w:t>
            </w:r>
          </w:p>
        </w:tc>
      </w:tr>
      <w:tr w14:paraId="55796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0A76985">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B05008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509E81C4">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 xml:space="preserve">智能服务推荐 </w:t>
            </w:r>
          </w:p>
          <w:p w14:paraId="0DBBC9FE">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支持针对医院进行常见应用服务知识库整理，为患者提供个性化服务推荐。根据患者的需求，精准地为他们推荐适合的医疗服务项目。</w:t>
            </w:r>
          </w:p>
        </w:tc>
      </w:tr>
      <w:tr w14:paraId="7DA9A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FC2764D">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578F180">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76EE7246">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 xml:space="preserve">知识库管理 </w:t>
            </w:r>
          </w:p>
          <w:p w14:paraId="550F06F7">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维护医院私有知识库，配置问题与相应回答，支持输入标准问题、相似问题、答案内容等，支持配置文本或链接跳转类型的答案。支持批量导入、导出问题与答案，支持下载导入模板。支持针对不同类型的问答进行分组管理，支持设置热门问题。支持设置常用服务，包括按钮名称、按钮图标、答案类型等，支持查看常驻问题列表。多类型问答维护，应用场景广泛，满足患者多类型提问。</w:t>
            </w:r>
          </w:p>
        </w:tc>
      </w:tr>
      <w:tr w14:paraId="6CF3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8BC65E6">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C6565E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2EFF7EC3">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 xml:space="preserve">回答评价管理 </w:t>
            </w:r>
          </w:p>
          <w:p w14:paraId="28FF9442">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支持查看用户信息、评价、评价内容、创建时间、用户问题、问题ID、标准问题、标准答案，支持快速停用并修改问题和新增问题，以便提升回答的准确性。</w:t>
            </w:r>
          </w:p>
        </w:tc>
      </w:tr>
      <w:tr w14:paraId="2440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DBF78B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25CE35F">
            <w:pPr>
              <w:pageBreakBefore w:val="0"/>
              <w:widowControl/>
              <w:kinsoku/>
              <w:wordWrap/>
              <w:overflowPunct/>
              <w:topLinePunct w:val="0"/>
              <w:autoSpaceDE/>
              <w:autoSpaceDN/>
              <w:bidi w:val="0"/>
              <w:adjustRightInd w:val="0"/>
              <w:snapToGrid w:val="0"/>
              <w:jc w:val="center"/>
              <w:rPr>
                <w:rFonts w:hint="eastAsia" w:ascii="宋体" w:hAnsi="宋体" w:eastAsia="宋体" w:cs="宋体"/>
                <w:color w:val="auto"/>
                <w:sz w:val="21"/>
                <w:szCs w:val="21"/>
              </w:rPr>
            </w:pPr>
          </w:p>
        </w:tc>
        <w:tc>
          <w:tcPr>
            <w:tcW w:w="7061" w:type="dxa"/>
            <w:tcBorders>
              <w:tl2br w:val="nil"/>
              <w:tr2bl w:val="nil"/>
            </w:tcBorders>
            <w:noWrap w:val="0"/>
            <w:vAlign w:val="center"/>
          </w:tcPr>
          <w:p w14:paraId="486167FB">
            <w:pPr>
              <w:pageBreakBefore w:val="0"/>
              <w:widowControl/>
              <w:numPr>
                <w:ilvl w:val="0"/>
                <w:numId w:val="273"/>
              </w:numPr>
              <w:kinsoku/>
              <w:wordWrap/>
              <w:overflowPunct/>
              <w:topLinePunct w:val="0"/>
              <w:autoSpaceDE/>
              <w:autoSpaceDN/>
              <w:bidi w:val="0"/>
              <w:adjustRightInd w:val="0"/>
              <w:snapToGrid w:val="0"/>
              <w:ind w:left="0" w:firstLine="42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未知问题管理</w:t>
            </w:r>
          </w:p>
          <w:p w14:paraId="771D197D">
            <w:pPr>
              <w:pageBreakBefore w:val="0"/>
              <w:widowControl/>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针对未匹配上回答的问题，支持查看问题详情、出现系数、最近提问时间，支持单个/批量删除，支持补充对应的答案，便于医院不断优化完善知识库，提升系统回复的准确性。</w:t>
            </w:r>
          </w:p>
        </w:tc>
      </w:tr>
    </w:tbl>
    <w:p w14:paraId="1920951C">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256180D7">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导诊数字人（新增）</w:t>
      </w:r>
    </w:p>
    <w:tbl>
      <w:tblPr>
        <w:tblStyle w:val="13"/>
        <w:tblW w:w="5000" w:type="pct"/>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922"/>
        <w:gridCol w:w="6846"/>
      </w:tblGrid>
      <w:tr w14:paraId="5610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54" w:type="dxa"/>
            <w:tcBorders>
              <w:top w:val="single" w:color="000000" w:sz="4" w:space="0"/>
              <w:left w:val="single" w:color="000000" w:sz="4" w:space="0"/>
              <w:bottom w:val="single" w:color="000000" w:sz="4" w:space="0"/>
              <w:right w:val="single" w:color="000000" w:sz="4" w:space="0"/>
            </w:tcBorders>
            <w:noWrap w:val="0"/>
            <w:vAlign w:val="center"/>
          </w:tcPr>
          <w:p w14:paraId="009EF4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A53B5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6846" w:type="dxa"/>
            <w:tcBorders>
              <w:top w:val="single" w:color="000000" w:sz="4" w:space="0"/>
              <w:left w:val="single" w:color="000000" w:sz="4" w:space="0"/>
              <w:bottom w:val="single" w:color="000000" w:sz="4" w:space="0"/>
              <w:right w:val="single" w:color="000000" w:sz="4" w:space="0"/>
            </w:tcBorders>
            <w:noWrap w:val="0"/>
            <w:vAlign w:val="center"/>
          </w:tcPr>
          <w:p w14:paraId="62702B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2BA4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2C8E8F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28764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导诊数字人</w:t>
            </w:r>
          </w:p>
        </w:tc>
        <w:tc>
          <w:tcPr>
            <w:tcW w:w="6846" w:type="dxa"/>
            <w:tcBorders>
              <w:top w:val="single" w:color="000000" w:sz="4" w:space="0"/>
              <w:left w:val="single" w:color="000000" w:sz="4" w:space="0"/>
              <w:bottom w:val="single" w:color="000000" w:sz="4" w:space="0"/>
              <w:right w:val="single" w:color="000000" w:sz="4" w:space="0"/>
            </w:tcBorders>
            <w:noWrap w:val="0"/>
            <w:vAlign w:val="center"/>
          </w:tcPr>
          <w:p w14:paraId="34EA85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提供统一的导诊数字人标准赋能渠道，供给导诊应用的调用和流程再造，并能返回导诊数字人的使用数据，实现统一监管。</w:t>
            </w:r>
          </w:p>
        </w:tc>
      </w:tr>
    </w:tbl>
    <w:p w14:paraId="1032D062">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7B4DAF8">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家医数字人（新增）</w:t>
      </w:r>
    </w:p>
    <w:tbl>
      <w:tblPr>
        <w:tblStyle w:val="13"/>
        <w:tblW w:w="8519"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889"/>
        <w:gridCol w:w="6879"/>
      </w:tblGrid>
      <w:tr w14:paraId="0FA02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751" w:type="dxa"/>
            <w:tcBorders>
              <w:tl2br w:val="nil"/>
              <w:tr2bl w:val="nil"/>
            </w:tcBorders>
            <w:noWrap w:val="0"/>
            <w:vAlign w:val="center"/>
          </w:tcPr>
          <w:p w14:paraId="380EB7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889" w:type="dxa"/>
            <w:tcBorders>
              <w:tl2br w:val="nil"/>
              <w:tr2bl w:val="nil"/>
            </w:tcBorders>
            <w:noWrap w:val="0"/>
            <w:vAlign w:val="center"/>
          </w:tcPr>
          <w:p w14:paraId="2B83CF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6879" w:type="dxa"/>
            <w:tcBorders>
              <w:tl2br w:val="nil"/>
              <w:tr2bl w:val="nil"/>
            </w:tcBorders>
            <w:noWrap w:val="0"/>
            <w:vAlign w:val="center"/>
          </w:tcPr>
          <w:p w14:paraId="5115ED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4AFE5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51" w:type="dxa"/>
            <w:tcBorders>
              <w:tl2br w:val="nil"/>
              <w:tr2bl w:val="nil"/>
            </w:tcBorders>
            <w:noWrap w:val="0"/>
            <w:vAlign w:val="center"/>
          </w:tcPr>
          <w:p w14:paraId="2DA628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89" w:type="dxa"/>
            <w:tcBorders>
              <w:tl2br w:val="nil"/>
              <w:tr2bl w:val="nil"/>
            </w:tcBorders>
            <w:noWrap w:val="0"/>
            <w:vAlign w:val="center"/>
          </w:tcPr>
          <w:p w14:paraId="54DF86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家医数字人</w:t>
            </w:r>
          </w:p>
        </w:tc>
        <w:tc>
          <w:tcPr>
            <w:tcW w:w="6879" w:type="dxa"/>
            <w:tcBorders>
              <w:tl2br w:val="nil"/>
              <w:tr2bl w:val="nil"/>
            </w:tcBorders>
            <w:noWrap w:val="0"/>
            <w:vAlign w:val="center"/>
          </w:tcPr>
          <w:p w14:paraId="582B01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提供统一的家医数字人标准赋能渠道，供给家医应用的调用和流程再造，并能返回家医数字人的使用数据，实现统一监管。</w:t>
            </w:r>
          </w:p>
        </w:tc>
      </w:tr>
    </w:tbl>
    <w:p w14:paraId="7E9F038F">
      <w:pPr>
        <w:keepNext/>
        <w:keepLines/>
        <w:widowControl w:val="0"/>
        <w:numPr>
          <w:ilvl w:val="3"/>
          <w:numId w:val="2"/>
        </w:numPr>
        <w:bidi w:val="0"/>
        <w:spacing w:before="280" w:beforeLines="0" w:beforeAutospacing="0" w:after="290" w:afterLines="0" w:afterAutospacing="0" w:line="372" w:lineRule="auto"/>
        <w:ind w:left="864" w:hanging="864"/>
        <w:jc w:val="both"/>
        <w:outlineLvl w:val="3"/>
        <w:rPr>
          <w:rFonts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医政医管</w:t>
      </w:r>
    </w:p>
    <w:p w14:paraId="0637D6BD">
      <w:pPr>
        <w:keepNext/>
        <w:keepLines/>
        <w:widowControl w:val="0"/>
        <w:numPr>
          <w:ilvl w:val="4"/>
          <w:numId w:val="2"/>
        </w:numPr>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综合管理</w:t>
      </w:r>
    </w:p>
    <w:p w14:paraId="0ED0EC92">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hint="eastAsia" w:ascii="Calibri" w:hAnsi="Calibri" w:eastAsia="黑体" w:cs="Times New Roman"/>
          <w:b/>
          <w:color w:val="auto"/>
          <w:kern w:val="2"/>
          <w:sz w:val="21"/>
          <w:szCs w:val="21"/>
          <w:lang w:val="en-US" w:eastAsia="zh-CN" w:bidi="ar-SA"/>
        </w:rPr>
      </w:pPr>
      <w:r>
        <w:rPr>
          <w:rFonts w:hint="eastAsia" w:ascii="Calibri" w:hAnsi="Calibri" w:eastAsia="黑体" w:cs="Times New Roman"/>
          <w:b/>
          <w:i w:val="0"/>
          <w:iCs w:val="0"/>
          <w:color w:val="auto"/>
          <w:kern w:val="2"/>
          <w:sz w:val="21"/>
          <w:szCs w:val="21"/>
          <w:u w:val="none"/>
          <w:lang w:val="en-US" w:eastAsia="zh-CN" w:bidi="ar"/>
        </w:rPr>
        <w:t>健康大脑主题展示</w:t>
      </w:r>
      <w:r>
        <w:rPr>
          <w:rFonts w:hint="eastAsia" w:ascii="Calibri" w:hAnsi="Calibri" w:eastAsia="黑体" w:cs="Times New Roman"/>
          <w:b/>
          <w:color w:val="auto"/>
          <w:kern w:val="2"/>
          <w:sz w:val="21"/>
          <w:szCs w:val="21"/>
          <w:lang w:val="en-US" w:eastAsia="zh-CN" w:bidi="ar-SA"/>
        </w:rPr>
        <w:t>集成</w:t>
      </w:r>
    </w:p>
    <w:tbl>
      <w:tblPr>
        <w:tblStyle w:val="13"/>
        <w:tblW w:w="5000" w:type="pct"/>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1511"/>
        <w:gridCol w:w="6258"/>
      </w:tblGrid>
      <w:tr w14:paraId="4749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tcFitText/>
            <w:vAlign w:val="center"/>
          </w:tcPr>
          <w:p w14:paraId="7057E7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52"/>
                <w:kern w:val="0"/>
                <w:sz w:val="21"/>
                <w:szCs w:val="21"/>
                <w:u w:val="none"/>
                <w:lang w:val="en-US" w:eastAsia="zh-CN" w:bidi="ar"/>
              </w:rPr>
              <w:t>序</w:t>
            </w:r>
            <w:r>
              <w:rPr>
                <w:rFonts w:hint="eastAsia" w:ascii="宋体" w:hAnsi="宋体" w:eastAsia="宋体" w:cs="宋体"/>
                <w:b/>
                <w:bCs/>
                <w:i w:val="0"/>
                <w:iCs w:val="0"/>
                <w:color w:val="auto"/>
                <w:spacing w:val="0"/>
                <w:kern w:val="0"/>
                <w:sz w:val="21"/>
                <w:szCs w:val="21"/>
                <w:u w:val="none"/>
                <w:lang w:val="en-US" w:eastAsia="zh-CN" w:bidi="ar"/>
              </w:rPr>
              <w:t>号</w:t>
            </w:r>
          </w:p>
        </w:tc>
        <w:tc>
          <w:tcPr>
            <w:tcW w:w="1514" w:type="dxa"/>
            <w:tcBorders>
              <w:tl2br w:val="nil"/>
              <w:tr2bl w:val="nil"/>
            </w:tcBorders>
            <w:noWrap w:val="0"/>
            <w:vAlign w:val="center"/>
          </w:tcPr>
          <w:p w14:paraId="4BD42E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6270" w:type="dxa"/>
            <w:tcBorders>
              <w:tl2br w:val="nil"/>
              <w:tr2bl w:val="nil"/>
            </w:tcBorders>
            <w:noWrap w:val="0"/>
            <w:vAlign w:val="center"/>
          </w:tcPr>
          <w:p w14:paraId="1ED9AB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2690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1E01CD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514" w:type="dxa"/>
            <w:tcBorders>
              <w:tl2br w:val="nil"/>
              <w:tr2bl w:val="nil"/>
            </w:tcBorders>
            <w:noWrap w:val="0"/>
            <w:vAlign w:val="center"/>
          </w:tcPr>
          <w:p w14:paraId="49C85C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健康大脑主题展示集成</w:t>
            </w:r>
          </w:p>
        </w:tc>
        <w:tc>
          <w:tcPr>
            <w:tcW w:w="6270" w:type="dxa"/>
            <w:tcBorders>
              <w:tl2br w:val="nil"/>
              <w:tr2bl w:val="nil"/>
            </w:tcBorders>
            <w:noWrap w:val="0"/>
            <w:vAlign w:val="center"/>
          </w:tcPr>
          <w:p w14:paraId="08F7E2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健康大脑主题应用展示包含于鄞州区健康大脑+体系项目中，中标单位需对系统进行适应性改造，整合入本次新一代全民健康平台体系。</w:t>
            </w:r>
          </w:p>
        </w:tc>
      </w:tr>
    </w:tbl>
    <w:p w14:paraId="7FF5CA3F">
      <w:pPr>
        <w:rPr>
          <w:rFonts w:ascii="Calibri" w:hAnsi="Calibri" w:eastAsia="宋体" w:cs="Times New Roman"/>
          <w:color w:val="auto"/>
          <w:sz w:val="21"/>
          <w:szCs w:val="21"/>
          <w:lang w:val="en-US" w:eastAsia="zh-CN"/>
        </w:rPr>
      </w:pPr>
    </w:p>
    <w:p w14:paraId="4D5224C2">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医院运行管理</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762"/>
        <w:gridCol w:w="6905"/>
      </w:tblGrid>
      <w:tr w14:paraId="395A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00" w:type="pct"/>
            <w:noWrap w:val="0"/>
            <w:vAlign w:val="center"/>
          </w:tcPr>
          <w:p w14:paraId="0BFE65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7" w:type="pct"/>
            <w:noWrap w:val="0"/>
            <w:vAlign w:val="center"/>
          </w:tcPr>
          <w:p w14:paraId="419A5F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4052" w:type="pct"/>
            <w:noWrap w:val="0"/>
            <w:vAlign w:val="center"/>
          </w:tcPr>
          <w:p w14:paraId="641ADB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能及技术参数</w:t>
            </w:r>
          </w:p>
        </w:tc>
      </w:tr>
      <w:tr w14:paraId="1AC4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00" w:type="pct"/>
            <w:vMerge w:val="restart"/>
            <w:noWrap w:val="0"/>
            <w:vAlign w:val="center"/>
          </w:tcPr>
          <w:p w14:paraId="284A30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47" w:type="pct"/>
            <w:vMerge w:val="restart"/>
            <w:noWrap w:val="0"/>
            <w:vAlign w:val="center"/>
          </w:tcPr>
          <w:p w14:paraId="26B8A7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驾驶舱（新增/改造）</w:t>
            </w:r>
          </w:p>
        </w:tc>
        <w:tc>
          <w:tcPr>
            <w:tcW w:w="4052" w:type="pct"/>
            <w:noWrap w:val="0"/>
            <w:vAlign w:val="center"/>
          </w:tcPr>
          <w:p w14:paraId="55E83D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区域总览（新增）</w:t>
            </w:r>
          </w:p>
          <w:p w14:paraId="121EA6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支持展示区内医疗运营、公共卫生、财务分析业务的总览页面，集中展示三个业务的重点指标，可根据地图对应模块查看对应医共体数据情况。</w:t>
            </w:r>
          </w:p>
        </w:tc>
      </w:tr>
      <w:tr w14:paraId="3374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00" w:type="pct"/>
            <w:vMerge w:val="continue"/>
            <w:noWrap w:val="0"/>
            <w:vAlign w:val="center"/>
          </w:tcPr>
          <w:p w14:paraId="59F82E7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2FAAA8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4E4F2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医共体总览（新增）</w:t>
            </w:r>
          </w:p>
          <w:p w14:paraId="4494C5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医共体内医疗运营、公共卫生、财务分析业务的总览页面，集中展示三个业务的重点指标，可根据地图对应模块查看对应医共体内对应机构数据情况。根据不同账号登录控制数据权限，使得用户只可看到自己医共体内数据。</w:t>
            </w:r>
          </w:p>
        </w:tc>
      </w:tr>
      <w:tr w14:paraId="6A7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00" w:type="pct"/>
            <w:vMerge w:val="continue"/>
            <w:noWrap w:val="0"/>
            <w:vAlign w:val="center"/>
          </w:tcPr>
          <w:p w14:paraId="3796CFA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635DDC6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6072C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医院总览（新增）</w:t>
            </w:r>
          </w:p>
          <w:p w14:paraId="6B0F83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支持展示医疗机构内医疗运营、公共卫生、财务分析业务的总览页面，集中展示三个业务的重点指标。根据不同账号登录控制数据权限，使得用户只可看到自己医院内数据。</w:t>
            </w:r>
          </w:p>
        </w:tc>
      </w:tr>
      <w:tr w14:paraId="5382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pct"/>
            <w:vMerge w:val="continue"/>
            <w:noWrap w:val="0"/>
            <w:vAlign w:val="center"/>
          </w:tcPr>
          <w:p w14:paraId="7CBFE73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21A13E1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68A210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区域医疗运营（改造）</w:t>
            </w:r>
          </w:p>
          <w:p w14:paraId="4EFDBB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人次、入院人次、出院人次、人次趋势分析、门急诊收入、住院收入、医疗服务收入、药品收入、检查检验收入、次均费用、平均住院日、门诊预约率、预约患者准时接诊率、门诊平均就诊时长、住院手术级别分布、日间手术占比、门诊疾病分析、住院疾病分析、药占比、基本药物使用金额比例、抗菌药物药占比、抗菌药物使用强度（近7天）、抗菌药物使用强度（当月）、医师数、床位数、医师日均担负门诊人次、医师日均担负住院床日、病床使用率、门诊次均费用、住院次均费用指标展示。</w:t>
            </w:r>
          </w:p>
        </w:tc>
      </w:tr>
      <w:tr w14:paraId="2A08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00" w:type="pct"/>
            <w:vMerge w:val="continue"/>
            <w:noWrap w:val="0"/>
            <w:vAlign w:val="center"/>
          </w:tcPr>
          <w:p w14:paraId="31AFCA7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3F6446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55483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医共体医疗运营（改造）</w:t>
            </w:r>
          </w:p>
          <w:p w14:paraId="233033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人次、入院人次、出院人次、人次趋势分析、门急诊收入、住院收入、医疗服务收入、药品收入、检查检验收入、次均费用、平均住院日、门诊预约率、预约患者准时接诊率、门诊平均就诊时长、住院手术级别分布、日间手术占比、门诊疾病分析、住院疾病分析、药占比、基本药物使用金额比例、抗菌药物药占比、抗菌药物使用强度（近7天）、抗菌药物使用强度（当月）、医师数、床位数、医师日均担负门诊人次、医师日均担负住院床日、病床使用率、门诊次均费用、住院次均费用指标展示。根据不同账号登录控制数据权限，使得用户只可看到自己医共体内数据。</w:t>
            </w:r>
          </w:p>
        </w:tc>
      </w:tr>
      <w:tr w14:paraId="6863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00" w:type="pct"/>
            <w:vMerge w:val="continue"/>
            <w:noWrap w:val="0"/>
            <w:vAlign w:val="center"/>
          </w:tcPr>
          <w:p w14:paraId="0031D20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D026CB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68658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eastAsia="宋体" w:cs="宋体"/>
                <w:b/>
                <w:bCs/>
                <w:color w:val="auto"/>
                <w:sz w:val="21"/>
                <w:szCs w:val="21"/>
                <w:u w:val="none"/>
                <w:lang w:val="en-US" w:eastAsia="zh-CN" w:bidi="ar"/>
              </w:rPr>
              <w:t>医院医疗运营（改造）</w:t>
            </w:r>
          </w:p>
          <w:p w14:paraId="3A4A4B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人次、入院人次、出院人次、人次趋势分析、门急诊收入、住院收入、医疗服务收入、药品收入、检查检验收入、次均费用、平均住院日、门诊预约率、预约患者准时接诊率、门诊平均就诊时长、住院手术级别分布、日间手术占比、门诊疾病分析、住院疾病分析、药占比、基本药物使用金额比例、抗菌药物药占比、抗菌药物使用强度（近7天）、抗菌药物使用强度（当月）、医师数、床位数、医师日均担负门诊人次、医师日均担负住院床日、病床使用率、门诊次均费用、住院次均费用指标展示。根据不同账号登录控制数据权限，使得用户只可看到自己医院内数据。</w:t>
            </w:r>
          </w:p>
        </w:tc>
      </w:tr>
      <w:tr w14:paraId="4EFE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 w:type="pct"/>
            <w:vMerge w:val="continue"/>
            <w:noWrap w:val="0"/>
            <w:vAlign w:val="center"/>
          </w:tcPr>
          <w:p w14:paraId="586DEE0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BE2E10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AF6D7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w:t>
            </w:r>
            <w:r>
              <w:rPr>
                <w:rFonts w:hint="eastAsia" w:ascii="宋体" w:hAnsi="宋体" w:eastAsia="宋体" w:cs="宋体"/>
                <w:b/>
                <w:bCs/>
                <w:color w:val="auto"/>
                <w:sz w:val="21"/>
                <w:szCs w:val="21"/>
                <w:u w:val="none"/>
                <w:lang w:val="en-US" w:eastAsia="zh-CN" w:bidi="ar"/>
              </w:rPr>
              <w:t>区域公共卫生（新增）</w:t>
            </w:r>
          </w:p>
          <w:p w14:paraId="135374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常住人口数、电子健康档案建档数、电子健康档案覆盖率、电子健康档案动态使用率、在签数、续签数、在签数医共体分布、基层门急诊就诊率、基层门急诊就诊人次、牵头医院门急诊就诊人次、基层出院人次、牵头医院出院人次、高血压管理数、高血压体检数、高血压血压控制率、高血压规范管理率、高血压管理级别、高血压随访数、高血压随访时间趋势、糖尿病管理数、糖尿病体检数、糖尿病血糖控制率、糖尿病规范管理率、糖尿病随访数、糖尿病随访时间趋势指标展示。</w:t>
            </w:r>
          </w:p>
        </w:tc>
      </w:tr>
      <w:tr w14:paraId="7A7E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00" w:type="pct"/>
            <w:vMerge w:val="continue"/>
            <w:noWrap w:val="0"/>
            <w:vAlign w:val="center"/>
          </w:tcPr>
          <w:p w14:paraId="0A20F2F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1BB6CF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26A6A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w:t>
            </w:r>
            <w:r>
              <w:rPr>
                <w:rFonts w:hint="eastAsia" w:ascii="宋体" w:hAnsi="宋体" w:eastAsia="宋体" w:cs="宋体"/>
                <w:b/>
                <w:bCs/>
                <w:color w:val="auto"/>
                <w:sz w:val="21"/>
                <w:szCs w:val="21"/>
                <w:u w:val="none"/>
                <w:lang w:val="en-US" w:eastAsia="zh-CN" w:bidi="ar"/>
              </w:rPr>
              <w:t>医共体公共卫生（新增）</w:t>
            </w:r>
          </w:p>
          <w:p w14:paraId="4B538E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常住人口数、电子健康档案建档数、电子健康档案覆盖率、电子健康档案动态使用率、在签数、续签数、在签数机构分布、基层门急诊就诊率、基层门急诊就诊人次、牵头医院门急诊就诊人次、基层出院人次、牵头医院出院人次、高血压管理数、高血压体检数、高血压血压控制率、高血压规范管理率、高血压管理级别、高血压随访数、高血压随访时间趋势、糖尿病管理数、糖尿病体检数、糖尿病血糖控制率、糖尿病规范管理率、糖尿病随访数、糖尿病随访时间趋势指标展示。根据不同账号登录控制数据权限，使得用户只可看到自己医共体内数据。</w:t>
            </w:r>
          </w:p>
        </w:tc>
      </w:tr>
      <w:tr w14:paraId="2E9A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pct"/>
            <w:vMerge w:val="continue"/>
            <w:noWrap w:val="0"/>
            <w:vAlign w:val="center"/>
          </w:tcPr>
          <w:p w14:paraId="0BB4045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B545F2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074AC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w:t>
            </w:r>
            <w:r>
              <w:rPr>
                <w:rFonts w:hint="eastAsia" w:ascii="宋体" w:hAnsi="宋体" w:eastAsia="宋体" w:cs="宋体"/>
                <w:b/>
                <w:bCs/>
                <w:color w:val="auto"/>
                <w:sz w:val="21"/>
                <w:szCs w:val="21"/>
                <w:u w:val="none"/>
                <w:lang w:val="en-US" w:eastAsia="zh-CN" w:bidi="ar"/>
              </w:rPr>
              <w:t>基层医院公共卫生（新增）</w:t>
            </w:r>
          </w:p>
          <w:p w14:paraId="20A20A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常住人口数、电子健康档案建档数、电子健康档案覆盖率、电子健康档案动态使用率、在签数、续签数、基层门急诊就诊率、基层门急诊就诊人次、牵头医院门急诊就诊人次、基层出院人次、牵头医院出院人次、高血压管理数、高血压体检数、高血压血压控制率、高血压规范管理率、高血压管理级别、高血压随访数、高血压随访时间趋势、糖尿病管理数、糖尿病体检数、糖尿病血糖控制率、糖尿病规范管理率、糖尿病随访数、糖尿病随访时间趋势指标展示。根据不同账号登录控制数据权限，使得用户只可看到自己医院内数据。</w:t>
            </w:r>
          </w:p>
        </w:tc>
      </w:tr>
      <w:tr w14:paraId="028E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0" w:type="pct"/>
            <w:vMerge w:val="continue"/>
            <w:noWrap w:val="0"/>
            <w:vAlign w:val="center"/>
          </w:tcPr>
          <w:p w14:paraId="07FD499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F1B644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A1BCC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w:t>
            </w:r>
            <w:r>
              <w:rPr>
                <w:rFonts w:hint="eastAsia" w:ascii="宋体" w:hAnsi="宋体" w:eastAsia="宋体" w:cs="宋体"/>
                <w:b/>
                <w:bCs/>
                <w:color w:val="auto"/>
                <w:sz w:val="21"/>
                <w:szCs w:val="21"/>
                <w:u w:val="none"/>
                <w:lang w:val="en-US" w:eastAsia="zh-CN" w:bidi="ar"/>
              </w:rPr>
              <w:t>区域财务分析（新增）</w:t>
            </w:r>
          </w:p>
          <w:p w14:paraId="702F59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总收入、门急诊收入、住院收入、药品收入、材料收入、检查收入、检验收入、医疗服务收入、收入医共体分布、门诊医保收入、住院医保收入、医疗支出、医疗收入/支出趋势分析、结算渠道分析、诊间结算人次、自助机结算人次、床边结算人次、支出构成、药品收入趋势、药品支出趋势指标展示。</w:t>
            </w:r>
          </w:p>
        </w:tc>
      </w:tr>
      <w:tr w14:paraId="62D8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00" w:type="pct"/>
            <w:vMerge w:val="continue"/>
            <w:noWrap w:val="0"/>
            <w:vAlign w:val="center"/>
          </w:tcPr>
          <w:p w14:paraId="4958577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B4CBC6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536E7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十一、</w:t>
            </w:r>
            <w:r>
              <w:rPr>
                <w:rFonts w:hint="eastAsia" w:ascii="宋体" w:hAnsi="宋体" w:eastAsia="宋体" w:cs="宋体"/>
                <w:b/>
                <w:bCs/>
                <w:color w:val="auto"/>
                <w:sz w:val="21"/>
                <w:szCs w:val="21"/>
                <w:u w:val="none"/>
                <w:lang w:val="en-US" w:eastAsia="zh-CN" w:bidi="ar"/>
              </w:rPr>
              <w:t>医共体财务分析（新增）</w:t>
            </w:r>
          </w:p>
        </w:tc>
      </w:tr>
      <w:tr w14:paraId="0178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00" w:type="pct"/>
            <w:vMerge w:val="continue"/>
            <w:noWrap w:val="0"/>
            <w:vAlign w:val="center"/>
          </w:tcPr>
          <w:p w14:paraId="4D7FDE6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8479A1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6B632A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总收入、门急诊收入、住院收入、药品收入、材料收入、检查收入、检验收入、医疗服务收入、收入机构分布、门诊医保收入、住院医保收入、医疗支出、医疗收入/支出趋势分析、结算渠道分析、诊间结算人次、自助机结算人次、床边结算人次、支出构成、药品收入趋势、药品支出趋势指标展示。根据不同账号登录控制数据权限，使得用户只可看到自己医共体内数据。</w:t>
            </w:r>
          </w:p>
        </w:tc>
      </w:tr>
      <w:tr w14:paraId="540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0" w:type="pct"/>
            <w:vMerge w:val="continue"/>
            <w:noWrap w:val="0"/>
            <w:vAlign w:val="center"/>
          </w:tcPr>
          <w:p w14:paraId="3F59607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83EEDA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3B1D7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十二、</w:t>
            </w:r>
            <w:r>
              <w:rPr>
                <w:rFonts w:hint="eastAsia" w:ascii="宋体" w:hAnsi="宋体" w:eastAsia="宋体" w:cs="宋体"/>
                <w:b/>
                <w:bCs/>
                <w:color w:val="auto"/>
                <w:sz w:val="21"/>
                <w:szCs w:val="21"/>
                <w:u w:val="none"/>
                <w:lang w:val="en-US" w:eastAsia="zh-CN" w:bidi="ar"/>
              </w:rPr>
              <w:t>医院财务分析（新增）</w:t>
            </w:r>
          </w:p>
          <w:p w14:paraId="08DED2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总收入、门急诊收入、住院收入、药品收入、材料收入、检查收入、检验收入、医疗服务收入、收入科室分布、门诊医保收入、住院医保收入、医疗支出、医疗收入/支出趋势分析、结算渠道分析、诊间结算人次、自助机结算人次、床边结算人次、支出构成、药品收入趋势、药品支出趋势指标展示。根据不同账号登录控制数据权限，使得用户只可看到自己医院内数据。</w:t>
            </w:r>
          </w:p>
        </w:tc>
      </w:tr>
      <w:tr w14:paraId="0896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00" w:type="pct"/>
            <w:vMerge w:val="restart"/>
            <w:noWrap w:val="0"/>
            <w:vAlign w:val="center"/>
          </w:tcPr>
          <w:p w14:paraId="01C6E7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47" w:type="pct"/>
            <w:vMerge w:val="restart"/>
            <w:noWrap w:val="0"/>
            <w:vAlign w:val="center"/>
          </w:tcPr>
          <w:p w14:paraId="2E498C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医疗资源专题（新增）</w:t>
            </w:r>
          </w:p>
        </w:tc>
        <w:tc>
          <w:tcPr>
            <w:tcW w:w="4052" w:type="pct"/>
            <w:noWrap w:val="0"/>
            <w:vAlign w:val="center"/>
          </w:tcPr>
          <w:p w14:paraId="16F951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医疗卫生人员</w:t>
            </w:r>
          </w:p>
          <w:p w14:paraId="30DCBE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医疗卫生人员情况</w:t>
            </w:r>
          </w:p>
          <w:p w14:paraId="0E5BBE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支持医疗卫生人员情况指标展示，可查看具体的指标说明，支持按不同层级、时间查询数据，支持按同比分析展示</w:t>
            </w:r>
          </w:p>
          <w:p w14:paraId="5C7E17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医护比</w:t>
            </w:r>
          </w:p>
          <w:p w14:paraId="4CC454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支持医护比指标展示，可查看具体的指标说明，支持按不同层级、时间查询数据，支持按同比分析展示</w:t>
            </w:r>
          </w:p>
          <w:p w14:paraId="14D9F7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医疗卫生人员学历情况</w:t>
            </w:r>
          </w:p>
          <w:p w14:paraId="73CB64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支持医疗卫生人员学历情况指标展示，可查看具体的指标说明，支持按不同层级、时间查询数据，支持按同比分析展示</w:t>
            </w:r>
          </w:p>
          <w:p w14:paraId="283B03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医疗卫生人员职称情况</w:t>
            </w:r>
          </w:p>
          <w:p w14:paraId="0E6AF5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支持医疗卫生人员职称情况指标展示，可查看具体的指标说明，支持按不同层级、时间查询数据，支持按同比分析展示</w:t>
            </w:r>
          </w:p>
          <w:p w14:paraId="3E2B19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执业医师执业范围情况</w:t>
            </w:r>
          </w:p>
          <w:p w14:paraId="29E299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支持执业医师执业范围情况指标展示，可查看具体的指标说明，支持按不同层级、时间查询数据，支持按同比分析展示</w:t>
            </w:r>
          </w:p>
          <w:p w14:paraId="42F83A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医师机构分布</w:t>
            </w:r>
          </w:p>
          <w:p w14:paraId="14C599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支持医师机构分布指标展示，可查看具体的指标说明，支持按不同层级、时间查询数据，支持按同比分析展示</w:t>
            </w:r>
          </w:p>
          <w:p w14:paraId="389D38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在岗人员年龄分析</w:t>
            </w:r>
          </w:p>
          <w:p w14:paraId="15FB1B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支持在岗人员年龄分析指标展示，可查看具体的指标说明，支持按不同层级、时间查询数据，支持按同比分析展示</w:t>
            </w:r>
          </w:p>
          <w:p w14:paraId="28B370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在岗人员工作年限</w:t>
            </w:r>
          </w:p>
          <w:p w14:paraId="2520D2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支持在岗人员工作年限指标展示，可查看具体的指标说明，支持按不同层级、时间查询数据，支持按同比分析展示</w:t>
            </w:r>
          </w:p>
        </w:tc>
      </w:tr>
      <w:tr w14:paraId="5A14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00" w:type="pct"/>
            <w:vMerge w:val="continue"/>
            <w:noWrap w:val="0"/>
            <w:vAlign w:val="center"/>
          </w:tcPr>
          <w:p w14:paraId="0AEA926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6368730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6E3322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固定资产</w:t>
            </w:r>
          </w:p>
          <w:p w14:paraId="120487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医疗设备情况</w:t>
            </w:r>
          </w:p>
          <w:p w14:paraId="5FEF6B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支持医疗设备情况指标展示，可查看具体的指标说明，支持按不同层级、时间查询数据，支持按同比分析展示</w:t>
            </w:r>
          </w:p>
          <w:p w14:paraId="51378D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固定资产构成情况</w:t>
            </w:r>
          </w:p>
          <w:p w14:paraId="2A5044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支持固定资产构成情况指标展示，可查看具体的指标说明，支持按不同层级、时间查询数据，支持按同比分析展示</w:t>
            </w:r>
          </w:p>
          <w:p w14:paraId="21B019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固定资产出入库情况</w:t>
            </w:r>
          </w:p>
          <w:p w14:paraId="463EBE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支持固定资产出入库情况指标展示，可查看具体的指标说明，支持按不同层级、时间查询数据，支持按同比分析展示</w:t>
            </w:r>
          </w:p>
          <w:p w14:paraId="513B81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大型医用设备构成情况</w:t>
            </w:r>
          </w:p>
          <w:p w14:paraId="429EE0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支持大型医用设备构成情况指标展示，可查看具体的指标说明，支持按不同层级、时间查询数据，支持按同比分析展示</w:t>
            </w:r>
          </w:p>
          <w:p w14:paraId="1CA5E5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大型医用设备数量情况</w:t>
            </w:r>
          </w:p>
          <w:p w14:paraId="5B82E5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支持大型医用设备数量情况指标展示，可查看具体的指标说明，支持按不同层级、时间查询数据，支持按同比分析展示</w:t>
            </w:r>
          </w:p>
        </w:tc>
      </w:tr>
      <w:tr w14:paraId="4263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00" w:type="pct"/>
            <w:vMerge w:val="restart"/>
            <w:noWrap w:val="0"/>
            <w:vAlign w:val="center"/>
          </w:tcPr>
          <w:p w14:paraId="170430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47" w:type="pct"/>
            <w:vMerge w:val="restart"/>
            <w:noWrap w:val="0"/>
            <w:vAlign w:val="center"/>
          </w:tcPr>
          <w:p w14:paraId="14C58C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医疗服务专题(新增/改造）</w:t>
            </w:r>
          </w:p>
        </w:tc>
        <w:tc>
          <w:tcPr>
            <w:tcW w:w="4052" w:type="pct"/>
            <w:noWrap w:val="0"/>
            <w:vAlign w:val="center"/>
          </w:tcPr>
          <w:p w14:paraId="45F9DA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门急诊医疗服务</w:t>
            </w:r>
          </w:p>
          <w:p w14:paraId="4F88BF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门急诊人次情况（改造）</w:t>
            </w:r>
          </w:p>
          <w:p w14:paraId="2F35FB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支持门急诊人次情况指标展示，可查看具体的指标说明，支持按不同层级、时间查询数据，支持按同比分析展示</w:t>
            </w:r>
          </w:p>
          <w:p w14:paraId="5CAAA6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门诊人头人次比情况（新建）</w:t>
            </w:r>
          </w:p>
          <w:p w14:paraId="540293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支持门诊人头人次比情况指标展示，可查看具体的指标说明，支持按不同层级、时间查询数据，支持按同比分析展示</w:t>
            </w:r>
          </w:p>
          <w:p w14:paraId="284A68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门急诊服务类型分析（改造）</w:t>
            </w:r>
          </w:p>
          <w:p w14:paraId="524C94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支持门急诊服务类型分析指标展示，可查看具体的指标说明，支持按不同层级、时间查询数据，支持按同比分析展示</w:t>
            </w:r>
          </w:p>
          <w:p w14:paraId="2F8E20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门诊复诊率情况（新建）</w:t>
            </w:r>
          </w:p>
          <w:p w14:paraId="783214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支持门诊复诊率情况指标展示，可查看具体的指标说明，支持按不同层级、时间查询数据，支持按同比分析展示</w:t>
            </w:r>
          </w:p>
          <w:p w14:paraId="4FA968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门急诊人次同比增长率分析（改造）</w:t>
            </w:r>
          </w:p>
          <w:p w14:paraId="0EF265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支持门急诊人次同比增长率分析指标展示，可查看具体的指标说明，支持按不同层级、时间查询数据，支持按同比分析展示</w:t>
            </w:r>
          </w:p>
          <w:p w14:paraId="0E42BE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门急诊挂号退号分析（新建）</w:t>
            </w:r>
          </w:p>
          <w:p w14:paraId="74B74A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支持门急诊挂号退号分析指标展示，可查看具体的指标说明，支持按不同层级、时间查询数据，支持按同比分析展示</w:t>
            </w:r>
          </w:p>
          <w:p w14:paraId="2AB704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门急诊患者平均取药时长（新建）</w:t>
            </w:r>
          </w:p>
          <w:p w14:paraId="2A663A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支持门急诊患者平均取药时长指标展示，可查看具体的指标说明，支持按不同层级、时间查询数据，支持按同比分析展示</w:t>
            </w:r>
          </w:p>
          <w:p w14:paraId="6B24E5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门诊患者等待时长分析（新建）</w:t>
            </w:r>
          </w:p>
          <w:p w14:paraId="0906CC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支持门诊患者等待时长分析指标展示，可查看具体的指标说明，支持按不同层级、时间查询数据，支持按同比分析展示</w:t>
            </w:r>
          </w:p>
        </w:tc>
      </w:tr>
      <w:tr w14:paraId="4A31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 w:type="pct"/>
            <w:vMerge w:val="continue"/>
            <w:noWrap w:val="0"/>
            <w:vAlign w:val="center"/>
          </w:tcPr>
          <w:p w14:paraId="26CB9E7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E7D279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78B99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住院医疗服务</w:t>
            </w:r>
          </w:p>
          <w:p w14:paraId="28DE86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入出院人次情况（改造）</w:t>
            </w:r>
          </w:p>
          <w:p w14:paraId="301D09A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支持入出院人次情况指标展示，可查看具体的指标说明，支持按不同层级、时间查询数据，支持按同比分析展示</w:t>
            </w:r>
          </w:p>
          <w:p w14:paraId="42D945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门诊人次与出入院人次之比（改造）</w:t>
            </w:r>
          </w:p>
          <w:p w14:paraId="53AFAD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支持门诊人次与入出院人次之比指标展示，可查看具体的指标说明，支持按不同层级、时间查询数据，支持按同比分析展示</w:t>
            </w:r>
          </w:p>
          <w:p w14:paraId="62494F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优质护理服务病房覆盖率（新建）</w:t>
            </w:r>
          </w:p>
          <w:p w14:paraId="3498E6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支持优质护理服务病房覆盖率指标展示，可查看具体的指标说明，支持按不同层级、时间查询数据，支持按同比分析展示</w:t>
            </w:r>
          </w:p>
          <w:p w14:paraId="65E80D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入出院情况（新建）</w:t>
            </w:r>
          </w:p>
          <w:p w14:paraId="141CD8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支持优质护理服务病房覆盖率指标展示，可查看具体的指标说明，支持按不同层级、时间查询数据，支持按同比分析展示。数据来源手工填报。</w:t>
            </w:r>
          </w:p>
          <w:p w14:paraId="421840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出院患者疾病类型（新建）</w:t>
            </w:r>
          </w:p>
          <w:p w14:paraId="78FF04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支持出院患者疾病类型分析指标展示，可查看具体的指标说明，支持按不同层级、时间查询数据，支持按同比分析展示</w:t>
            </w:r>
          </w:p>
          <w:p w14:paraId="443B7A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平均住院日分析（改造）</w:t>
            </w:r>
          </w:p>
          <w:p w14:paraId="5BADCB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支持平均住院日分析指标展示，可查看具体的指标说明，支持按不同层级、时间查询数据，支持按同比分析展示</w:t>
            </w:r>
          </w:p>
          <w:p w14:paraId="143009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平均术前住院天数分析（改造）</w:t>
            </w:r>
          </w:p>
          <w:p w14:paraId="7478D1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支持平均术前住院天数分析指标展示，可查看具体的指标说明，支持按不同层级、时间查询数据，支持按同比分析展示</w:t>
            </w:r>
          </w:p>
        </w:tc>
      </w:tr>
      <w:tr w14:paraId="0411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00" w:type="pct"/>
            <w:vMerge w:val="continue"/>
            <w:noWrap w:val="0"/>
            <w:vAlign w:val="center"/>
          </w:tcPr>
          <w:p w14:paraId="30FAED1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C87C4A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95806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预约挂号服务</w:t>
            </w:r>
          </w:p>
          <w:p w14:paraId="491900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预约人次分析（改造）</w:t>
            </w:r>
          </w:p>
          <w:p w14:paraId="7E775F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支持预约人次分析指标展示，可查看具体的指标说明，支持按不同层级、时间查询数据，支持按同比分析展示</w:t>
            </w:r>
          </w:p>
          <w:p w14:paraId="18026D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预约服务类型分析（新建）</w:t>
            </w:r>
          </w:p>
          <w:p w14:paraId="6A8690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支持预约服务类型分析指标展示，可查看具体的指标说明，支持按不同层级、时间查询数据，支持按同比分析展示</w:t>
            </w:r>
          </w:p>
          <w:p w14:paraId="3D83E6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预约渠道分析（新建）</w:t>
            </w:r>
          </w:p>
          <w:p w14:paraId="503F54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支持预约渠道分析指标展示，可查看具体的指标说明，支持按不同层级、时间查询数据，支持按同比分析展示</w:t>
            </w:r>
          </w:p>
          <w:p w14:paraId="6F2553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门诊患者预约后平均等待时间（新建）</w:t>
            </w:r>
          </w:p>
          <w:p w14:paraId="15B9E4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支持门诊患者预约后平均等待时间指标展示，可查看具体的指标说明，支持按不同层级、时间查询数据，支持按同比分析展示</w:t>
            </w:r>
          </w:p>
          <w:p w14:paraId="181E96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预约后平均等待时间机构分析（新建）</w:t>
            </w:r>
          </w:p>
          <w:p w14:paraId="007008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支持预约后平均等待时间机构分析指标展示，可查看具体的指标说明，支持按不同层级、时间查询数据，支持按同比分析展示</w:t>
            </w:r>
          </w:p>
          <w:p w14:paraId="7C5838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预约服务类型就诊率分析（新建）</w:t>
            </w:r>
          </w:p>
          <w:p w14:paraId="6603BB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支持预约服务类型就诊率分析指标展示，可查看具体的指标说明，支持按不同层级、时间查询数据，支持按同比分析展示</w:t>
            </w:r>
          </w:p>
          <w:p w14:paraId="14D4F4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预约人次趋势（改造）</w:t>
            </w:r>
          </w:p>
          <w:p w14:paraId="5A048D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支持预约人次趋势指标展示，可查看具体的指标说明，支持按不同层级、时间查询数据，支持按同比分析展示</w:t>
            </w:r>
          </w:p>
        </w:tc>
      </w:tr>
      <w:tr w14:paraId="5113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00" w:type="pct"/>
            <w:vMerge w:val="continue"/>
            <w:noWrap w:val="0"/>
            <w:vAlign w:val="center"/>
          </w:tcPr>
          <w:p w14:paraId="0C52EEE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2F94A8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3DD88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转诊服务</w:t>
            </w:r>
          </w:p>
          <w:p w14:paraId="57C239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转入/出人次情况（改造）</w:t>
            </w:r>
          </w:p>
          <w:p w14:paraId="2F4027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支持转入/出人次情况指标展示，可查看具体的指标说明，支持按不同层级、时间查询数据，支持按同比分析展示</w:t>
            </w:r>
          </w:p>
          <w:p w14:paraId="1E14FE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转入/出疾病TOP分析（新建）</w:t>
            </w:r>
          </w:p>
          <w:p w14:paraId="3BDC55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支持转入/出疾病TOP分析指标展示，可查看具体的指标说明，支持按不同层级、时间查询数据，支持按同比分析展示</w:t>
            </w:r>
          </w:p>
          <w:p w14:paraId="27CF1F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转入/出科室TOP分析（新建）</w:t>
            </w:r>
          </w:p>
          <w:p w14:paraId="63AB99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支持转入/出科室TOP分析指标展示，可查看具体的指标说明，支持按不同层级、时间查询数据，支持按同比分析展示</w:t>
            </w:r>
          </w:p>
          <w:p w14:paraId="752928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转入/出人次趋势（新建）</w:t>
            </w:r>
          </w:p>
          <w:p w14:paraId="6D63A1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支持转入/出人次趋势指标展示，可查看具体的指标说明，支持按不同层级、时间查询数据，支持按同比分析展示</w:t>
            </w:r>
          </w:p>
        </w:tc>
      </w:tr>
      <w:tr w14:paraId="41B0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500" w:type="pct"/>
            <w:vMerge w:val="restart"/>
            <w:noWrap w:val="0"/>
            <w:vAlign w:val="center"/>
          </w:tcPr>
          <w:p w14:paraId="3793F5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47" w:type="pct"/>
            <w:vMerge w:val="restart"/>
            <w:noWrap w:val="0"/>
            <w:vAlign w:val="center"/>
          </w:tcPr>
          <w:p w14:paraId="144D5C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医疗运营专题（新增/改造）</w:t>
            </w:r>
          </w:p>
        </w:tc>
        <w:tc>
          <w:tcPr>
            <w:tcW w:w="4052" w:type="pct"/>
            <w:noWrap w:val="0"/>
            <w:vAlign w:val="center"/>
          </w:tcPr>
          <w:p w14:paraId="4E39C9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医疗总费用分析</w:t>
            </w:r>
          </w:p>
          <w:p w14:paraId="60FF67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医疗收入分析（改造）</w:t>
            </w:r>
          </w:p>
          <w:p w14:paraId="13CE0E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支持医疗收入分析指标展示，可查看具体的指标说明，支持按不同层级、时间查询数据，支持按同比分析展示</w:t>
            </w:r>
          </w:p>
          <w:p w14:paraId="7DE1C7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门急诊收入分析（改造）</w:t>
            </w:r>
          </w:p>
          <w:p w14:paraId="4A8D95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支持门急诊收入分析指标展示，可查看具体的指标说明，支持按不同层级、时间查询数据，支持按同比分析展示</w:t>
            </w:r>
          </w:p>
          <w:p w14:paraId="5E73DC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住院收入分析（改造）</w:t>
            </w:r>
          </w:p>
          <w:p w14:paraId="0A9E79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支持住院收入分析指标展示，可查看具体的指标说明，支持按不同层级、时间查询数据，支持按同比分析展示</w:t>
            </w:r>
          </w:p>
          <w:p w14:paraId="18B0C6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医疗服务收入占比分析（改造）</w:t>
            </w:r>
          </w:p>
          <w:p w14:paraId="584647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支持医疗服务收入占比分析指标展示，可查看具体的指标说明，支持按不同层级、时间查询数据，支持按同比分析展示</w:t>
            </w:r>
          </w:p>
          <w:p w14:paraId="3505A6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特需收入占比分析（新建）</w:t>
            </w:r>
          </w:p>
          <w:p w14:paraId="645482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支持特需收入占比分析指标展示，可查看具体的指标说明，支持按不同层级、时间查询数据，支持按同比分析展示</w:t>
            </w:r>
          </w:p>
          <w:p w14:paraId="54F205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医疗费用趋势分析（改造）</w:t>
            </w:r>
          </w:p>
          <w:p w14:paraId="39D4CD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支持医疗费用趋势分析指标展示，可查看具体的指标说明，支持按不同层级、时间查询数据，支持按同比分析展示</w:t>
            </w:r>
          </w:p>
          <w:p w14:paraId="2A5B44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医疗费用支付方式构成分析（新建）</w:t>
            </w:r>
          </w:p>
          <w:p w14:paraId="56FF85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支持医疗费用支付方式构成分析指标展示，可查看具体的指标说明，支持按不同层级、时间查询数据，支持按同比分析展示</w:t>
            </w:r>
          </w:p>
          <w:p w14:paraId="1D2166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医疗费用类型分析（改造）</w:t>
            </w:r>
          </w:p>
          <w:p w14:paraId="426E65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支持医疗费用类型分析指标展示，可查看具体的指标说明，支持按不同层级、时间查询数据，支持按同比分析展示</w:t>
            </w:r>
          </w:p>
          <w:p w14:paraId="708056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医疗费用机构分布（改造）</w:t>
            </w:r>
          </w:p>
          <w:p w14:paraId="1308A9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支持医疗费用机构分布指标展示，可查看具体的指标说明，支持按不同层级、时间查询数据，支持按同比分析展示</w:t>
            </w:r>
          </w:p>
          <w:p w14:paraId="5B6683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药占比分析（改造）</w:t>
            </w:r>
          </w:p>
          <w:p w14:paraId="160256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支持药占比分析指标展示，可查看具体的指标说明，支持按不同层级、时间查询数据，支持按同比分析展示</w:t>
            </w:r>
          </w:p>
          <w:p w14:paraId="61EEDA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检查检验收入占比分析（改造）</w:t>
            </w:r>
          </w:p>
          <w:p w14:paraId="3BEDDF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支持检查检验收入占比分析指标展示，可查看具体的指标说明，支持按不同层级、时间查询数据，支持按同比分析展示</w:t>
            </w:r>
          </w:p>
        </w:tc>
      </w:tr>
      <w:tr w14:paraId="19D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00" w:type="pct"/>
            <w:vMerge w:val="continue"/>
            <w:noWrap w:val="0"/>
            <w:vAlign w:val="center"/>
          </w:tcPr>
          <w:p w14:paraId="00C9CFA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2A91DAD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BF0C6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门急诊费用分析</w:t>
            </w:r>
          </w:p>
          <w:p w14:paraId="1454BA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门急诊收入占比分析（改造）</w:t>
            </w:r>
          </w:p>
          <w:p w14:paraId="551990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支持门急诊收入占比分析指标展示，可查看具体的指标说明，支持按不同层级、时间查询数据，支持按同比分析展示</w:t>
            </w:r>
          </w:p>
          <w:p w14:paraId="6D4BDD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门急诊收入构成（改造）</w:t>
            </w:r>
          </w:p>
          <w:p w14:paraId="1AD709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支持门急诊收入构成指标展示，可查看具体的指标说明，支持按不同层级、时间查询数据，支持按同比分析展示</w:t>
            </w:r>
          </w:p>
          <w:p w14:paraId="7C0051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门急诊收入预测（改造）</w:t>
            </w:r>
          </w:p>
          <w:p w14:paraId="0E2470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支持门急诊收入预测指标展示，可查看具体的指标说明，支持按不同层级、时间查询数据，支持按同比分析展示</w:t>
            </w:r>
          </w:p>
          <w:p w14:paraId="349801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门急诊医疗服务收入占比分析（新建）</w:t>
            </w:r>
          </w:p>
          <w:p w14:paraId="7B1777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支持门急诊医疗服务收入占比分析指标展示，可查看具体的指标说明，支持按不同层级、时间查询数据，支持按同比分析展示</w:t>
            </w:r>
          </w:p>
          <w:p w14:paraId="674EA0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门诊特需收入占比分析（新建）</w:t>
            </w:r>
          </w:p>
          <w:p w14:paraId="75EF88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支持门诊特需收入占比分析指标展示，可查看具体的指标说明，支持按不同层级、时间查询数据，支持按同比分析展示</w:t>
            </w:r>
          </w:p>
          <w:p w14:paraId="6322DF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门急诊药品收入占比分析（改造）</w:t>
            </w:r>
          </w:p>
          <w:p w14:paraId="224947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支持门急诊药品收入占比分析指标展示，可查看具体的指标说明，支持按不同层级、时间查询数据，支持按同比分析展示</w:t>
            </w:r>
          </w:p>
          <w:p w14:paraId="3572A5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门急诊检查检验收入占比分析（新建）</w:t>
            </w:r>
          </w:p>
          <w:p w14:paraId="01C8D8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支持门急诊检查检验收入占比分析指标展示，可查看具体的指标说明，支持按不同层级、时间查询数据，支持按同比分析展示</w:t>
            </w:r>
          </w:p>
          <w:p w14:paraId="41654D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门急诊收入人次分析（改造）</w:t>
            </w:r>
          </w:p>
          <w:p w14:paraId="1584E4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支持门急诊收入人次分析指标展示，可查看具体的指标说明，支持按不同层级、时间查询数据，支持按同比分析展示</w:t>
            </w:r>
          </w:p>
          <w:p w14:paraId="0EE059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门急诊收入明细分析（改造）</w:t>
            </w:r>
          </w:p>
          <w:p w14:paraId="406A5C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支持门急诊收入明细分析指标展示，可查看具体的指标说明，支持按不同层级、时间查询数据，支持按同比分析展示</w:t>
            </w:r>
          </w:p>
          <w:p w14:paraId="521E72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门急诊收入同比增长率分析（改造）</w:t>
            </w:r>
          </w:p>
          <w:p w14:paraId="025121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支持门急诊收入同比增长率分析指标展示，可查看具体的指标说明，支持按不同层级、时间查询数据，支持按同比分析展示</w:t>
            </w:r>
          </w:p>
          <w:p w14:paraId="64C604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门急诊收入按地域来源收入TOP30分析（新建）</w:t>
            </w:r>
          </w:p>
          <w:p w14:paraId="3AE012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支持门急诊收入按地域来源收入TOP30分析指标展示，可查看具体的指标说明，支持按不同层级、时间查询数据，支持按同比分析展示</w:t>
            </w:r>
          </w:p>
          <w:p w14:paraId="59270C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门急诊机构药占比排行（改造）</w:t>
            </w:r>
          </w:p>
          <w:p w14:paraId="77D02D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支持门急诊机构药占比排行指标展示，可查看具体的指标说明，支持按不同层级、时间查询数据，支持按同比分析展示</w:t>
            </w:r>
          </w:p>
          <w:p w14:paraId="5E8DD9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 门急诊机构药品收入排行（改造）</w:t>
            </w:r>
          </w:p>
          <w:p w14:paraId="1D4442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支持门急诊机构药品收入排行指标展示，可查看具体的指标说明，支持按不同层级、时间查询数据，支持按同比分析展示</w:t>
            </w:r>
          </w:p>
        </w:tc>
      </w:tr>
      <w:tr w14:paraId="1DA3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continue"/>
            <w:noWrap w:val="0"/>
            <w:vAlign w:val="center"/>
          </w:tcPr>
          <w:p w14:paraId="35AA19E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D8E6E2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61DDD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住院费用分析</w:t>
            </w:r>
          </w:p>
          <w:p w14:paraId="3A567E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住院收入占比分析（改造）</w:t>
            </w:r>
          </w:p>
          <w:p w14:paraId="78D76E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支持住院收入占比分析指标展示，可查看具体的指标说明，支持按不同层级、时间查询数据，支持按同比分析展示</w:t>
            </w:r>
          </w:p>
          <w:p w14:paraId="42195F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住院服务收入占比分析(新建)</w:t>
            </w:r>
          </w:p>
          <w:p w14:paraId="3910AB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支持住院服务收入占比分析指标展示，可查看具体的指标说明，支持按不同层级、时间查询数据，支持按同比分析展示</w:t>
            </w:r>
          </w:p>
          <w:p w14:paraId="567BDE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住院收入预测（改造）</w:t>
            </w:r>
          </w:p>
          <w:p w14:paraId="4E61FA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支持住院收入预测指标展示，可查看具体的指标说明，支持按不同层级、时间查询数据，支持按同比分析展示</w:t>
            </w:r>
          </w:p>
          <w:p w14:paraId="3539DF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住院费用分析（改造）</w:t>
            </w:r>
          </w:p>
          <w:p w14:paraId="1215D7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支持住院费用分析指标展示，可查看具体的指标说明，支持按不同层级、时间查询数据，支持按同比分析展示</w:t>
            </w:r>
          </w:p>
          <w:p w14:paraId="037774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住院收入按费用项目类别构成（改造）</w:t>
            </w:r>
          </w:p>
          <w:p w14:paraId="75EA07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支持住院收入按费用项目类别构成指标展示，可查看具体的指标说明，支持按不同层级、时间查询数据，支持按同比分析展示</w:t>
            </w:r>
          </w:p>
          <w:p w14:paraId="5B3AE8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住院收入患者医疗费用构成（改造）</w:t>
            </w:r>
          </w:p>
          <w:p w14:paraId="43F0E4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支持住院收入患者医疗费用构成指标展示，可查看具体的指标说明，支持按不同层级、时间查询数据，支持按同比分析展示</w:t>
            </w:r>
          </w:p>
          <w:p w14:paraId="51886A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住院药品收入占比分析（改造）</w:t>
            </w:r>
          </w:p>
          <w:p w14:paraId="6102F6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支持住院药品收入占比分析指标展示，可查看具体的指标说明，支持按不同层级、时间查询数据，支持按同比分析展示</w:t>
            </w:r>
          </w:p>
          <w:p w14:paraId="6FF1F5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住院检查检验收入占比（改造）</w:t>
            </w:r>
          </w:p>
          <w:p w14:paraId="42614B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支持住院检查检验收入占比指标展示，可查看具体的指标说明，支持按不同层级、时间查询数据，支持按同比分析展示</w:t>
            </w:r>
          </w:p>
          <w:p w14:paraId="508A9C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住院药占比排行（改造）</w:t>
            </w:r>
          </w:p>
          <w:p w14:paraId="085AB4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支持住院药占比排行指标展示，可查看具体的指标说明，支持按不同层级、时间查询数据，支持按同比分析展示</w:t>
            </w:r>
          </w:p>
          <w:p w14:paraId="465E82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住院药品收入排行（改造）</w:t>
            </w:r>
          </w:p>
          <w:p w14:paraId="758190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支持住院药品收入排行指标展示，可查看具体的指标说明，支持按不同层级、时间查询数据，支持按同比分析展示</w:t>
            </w:r>
          </w:p>
          <w:p w14:paraId="078810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病种住院费用分析（改造）</w:t>
            </w:r>
          </w:p>
          <w:p w14:paraId="15DE06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支持住院各诊断费用分析指标展示，可查看具体的指标说明，支持按不同层级、时间查询数据，支持按同比分析展示</w:t>
            </w:r>
          </w:p>
        </w:tc>
      </w:tr>
      <w:tr w14:paraId="75E8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00" w:type="pct"/>
            <w:vMerge w:val="continue"/>
            <w:noWrap w:val="0"/>
            <w:vAlign w:val="center"/>
          </w:tcPr>
          <w:p w14:paraId="24CAB3F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26BB4C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163A8B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药品费用分析</w:t>
            </w:r>
          </w:p>
          <w:p w14:paraId="0F3B43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药品收入分析（改造）</w:t>
            </w:r>
          </w:p>
          <w:p w14:paraId="502304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支持药品收入分析指标展示，可查看具体的指标说明，支持按不同层级、时间查询数据，支持按同比分析展示</w:t>
            </w:r>
          </w:p>
          <w:p w14:paraId="763C3C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基本药物使用金额分析（改造）</w:t>
            </w:r>
          </w:p>
          <w:p w14:paraId="6FE65C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支持基本药物使用金额分析指标展示，可查看具体的指标说明，支持按不同层级、时间查询数据，支持按同比分析展示</w:t>
            </w:r>
          </w:p>
          <w:p w14:paraId="105163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抗菌药物收入分析（改造）</w:t>
            </w:r>
          </w:p>
          <w:p w14:paraId="37A8FC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支持抗菌药物收入分析指标展示，可查看具体的指标说明，支持按不同层级、时间查询数据，支持按同比分析展示</w:t>
            </w:r>
          </w:p>
          <w:p w14:paraId="0A3015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药品类型收入分析（新建）</w:t>
            </w:r>
          </w:p>
          <w:p w14:paraId="7F3DBE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支持药品类型收入分析指标展示，可查看具体的指标说明，支持按不同层级、时间查询数据，支持按同比分析展示</w:t>
            </w:r>
          </w:p>
        </w:tc>
      </w:tr>
      <w:tr w14:paraId="2511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 w:type="pct"/>
            <w:vMerge w:val="restart"/>
            <w:noWrap w:val="0"/>
            <w:vAlign w:val="center"/>
          </w:tcPr>
          <w:p w14:paraId="50467B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47" w:type="pct"/>
            <w:vMerge w:val="restart"/>
            <w:noWrap w:val="0"/>
            <w:vAlign w:val="center"/>
          </w:tcPr>
          <w:p w14:paraId="74CABF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医疗效率专题（新增/改造）</w:t>
            </w:r>
          </w:p>
        </w:tc>
        <w:tc>
          <w:tcPr>
            <w:tcW w:w="4052" w:type="pct"/>
            <w:noWrap w:val="0"/>
            <w:vAlign w:val="center"/>
          </w:tcPr>
          <w:p w14:paraId="6D027A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床位效率分析</w:t>
            </w:r>
          </w:p>
          <w:p w14:paraId="4630C5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床位分布情况（改造）</w:t>
            </w:r>
          </w:p>
          <w:p w14:paraId="7C56D2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支持床位分布情况指标展示，可查看具体的指标说明，支持按不同层级、时间查询数据，支持按同比分析展示</w:t>
            </w:r>
          </w:p>
          <w:p w14:paraId="5FB58E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医师与床位之比（新建）</w:t>
            </w:r>
          </w:p>
          <w:p w14:paraId="790E6A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支持医师与床位之比指标展示，可查看具体的指标说明，支持按不同层级、时间查询数据，支持按同比分析展示</w:t>
            </w:r>
          </w:p>
          <w:p w14:paraId="70A589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护士与床位之比（新建）</w:t>
            </w:r>
          </w:p>
          <w:p w14:paraId="37057F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支持护士与床位之比指标展示，可查看具体的指标说明，支持按不同层级、时间查询数据，支持按同比分析展示</w:t>
            </w:r>
          </w:p>
          <w:p w14:paraId="28A518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平均住院日情况（改造）</w:t>
            </w:r>
          </w:p>
          <w:p w14:paraId="60FA9A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支持平均住院日情况指标展示，可查看具体的指标说明，支持按不同层级、时间查询数据，支持按同比分析展示</w:t>
            </w:r>
          </w:p>
          <w:p w14:paraId="43E229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平均床日情况（改造）</w:t>
            </w:r>
          </w:p>
          <w:p w14:paraId="121354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支持平均床日情况指标展示，可查看具体的指标说明，支持按不同层级、时间查询数据，支持按同比分析展示</w:t>
            </w:r>
          </w:p>
          <w:p w14:paraId="50A077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病床周转次数（改造）</w:t>
            </w:r>
          </w:p>
          <w:p w14:paraId="6AE31A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支持病床周转次数指标展示，可查看具体的指标说明，支持按不同层级、时间查询数据，支持按同比分析展示</w:t>
            </w:r>
          </w:p>
          <w:p w14:paraId="3AA3DB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病床使用率情况（改造）</w:t>
            </w:r>
          </w:p>
          <w:p w14:paraId="387ACF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支持病床使用率情况指标展示，可查看具体的指标说明，支持按不同层级、时间查询数据，支持按同比分析展示</w:t>
            </w:r>
          </w:p>
        </w:tc>
      </w:tr>
      <w:tr w14:paraId="5D41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00" w:type="pct"/>
            <w:vMerge w:val="continue"/>
            <w:noWrap w:val="0"/>
            <w:vAlign w:val="center"/>
          </w:tcPr>
          <w:p w14:paraId="38862FC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DFDC6C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1A75C2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医师担负分析</w:t>
            </w:r>
          </w:p>
          <w:p w14:paraId="588CA1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医师担负诊疗人次情况（改造）</w:t>
            </w:r>
          </w:p>
          <w:p w14:paraId="3DC1AF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支持医师担负诊疗人次情况指标展示，可查看具体的指标说明，支持按不同层级、时间查询数据，支持按同比分析展示</w:t>
            </w:r>
          </w:p>
          <w:p w14:paraId="7AAFDF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医师担负诊疗人次趋势分析（改造）</w:t>
            </w:r>
          </w:p>
          <w:p w14:paraId="12A7C9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支持医师担负诊疗人次趋势分析指标展示，可查看具体的指标说明，支持按不同层级、时间查询数据，支持按同比分析展示</w:t>
            </w:r>
          </w:p>
          <w:p w14:paraId="53F8FA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医师担负住院床日数（改造）</w:t>
            </w:r>
          </w:p>
          <w:p w14:paraId="1DFFE4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支持医师担负住院床日数指标展示，可查看具体的指标说明，支持按不同层级、时间查询数据，支持按同比分析展示</w:t>
            </w:r>
          </w:p>
          <w:p w14:paraId="033CCE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医师担负住院床日数趋势分析（改造）</w:t>
            </w:r>
          </w:p>
          <w:p w14:paraId="0F9D94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支持医师担负住院床日数趋势分析指标展示，可查看具体的指标说明，支持按不同层级、时间查询数据，支持按同比分析展示</w:t>
            </w:r>
          </w:p>
          <w:p w14:paraId="299069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医师担负手术情况（新建）</w:t>
            </w:r>
          </w:p>
          <w:p w14:paraId="5CC86E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支持医师担负手术情况指标展示，可查看具体的指标说明，支持按不同层级、时间查询数据，支持按同比分析展示</w:t>
            </w:r>
          </w:p>
          <w:p w14:paraId="22164A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医师担负手术情况趋势分析（新建）</w:t>
            </w:r>
          </w:p>
          <w:p w14:paraId="76ADBB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支持医师担负手术情况趋势分析指标展示，可查看具体的指标说明，支持按不同层级、时间查询数据，支持按同比分析展示</w:t>
            </w:r>
          </w:p>
          <w:p w14:paraId="384141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医师担负收入情况（新建）</w:t>
            </w:r>
          </w:p>
          <w:p w14:paraId="2C0613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支持医师担负收入情况指标展示，可查看具体的指标说明，支持按不同层级、时间查询数据，支持按同比分析展示</w:t>
            </w:r>
          </w:p>
          <w:p w14:paraId="7045FA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医师担负收入情况趋势分析（新建）</w:t>
            </w:r>
          </w:p>
          <w:p w14:paraId="16C6A3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支持医师担负收入情况趋势分析指标展示，可查看具体的指标说明，支持按不同层级、时间查询数据，支持按同比分析展示</w:t>
            </w:r>
          </w:p>
        </w:tc>
      </w:tr>
      <w:tr w14:paraId="21B5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0" w:type="pct"/>
            <w:vMerge w:val="restart"/>
            <w:noWrap w:val="0"/>
            <w:vAlign w:val="center"/>
          </w:tcPr>
          <w:p w14:paraId="1F400B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47" w:type="pct"/>
            <w:vMerge w:val="restart"/>
            <w:noWrap w:val="0"/>
            <w:vAlign w:val="center"/>
          </w:tcPr>
          <w:p w14:paraId="7FC607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医疗负担专题（新增/改造）</w:t>
            </w:r>
          </w:p>
        </w:tc>
        <w:tc>
          <w:tcPr>
            <w:tcW w:w="4052" w:type="pct"/>
            <w:noWrap w:val="0"/>
            <w:vAlign w:val="center"/>
          </w:tcPr>
          <w:p w14:paraId="2AD21F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门急诊负担分析</w:t>
            </w:r>
          </w:p>
          <w:p w14:paraId="485863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门急诊次均医药费用构成比例构成（新建）</w:t>
            </w:r>
          </w:p>
          <w:p w14:paraId="7DF459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支持门急诊次均医药费用构成比例指标展示，可查看具体的指标说明，支持按不同层级、时间查询数据，支持按同比分析展示</w:t>
            </w:r>
          </w:p>
          <w:p w14:paraId="2F6EB1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门急诊次均药费占比（改造）</w:t>
            </w:r>
          </w:p>
          <w:p w14:paraId="2BFD2A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支持门急诊次均药费占比指标展示，可查看具体的指标说明，支持按不同层级、时间查询数据，支持按同比分析展示</w:t>
            </w:r>
          </w:p>
          <w:p w14:paraId="47DC61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门急诊次均检查费用占比（改造）</w:t>
            </w:r>
          </w:p>
          <w:p w14:paraId="7AF18E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支持门急诊次均检查费用占比指标展示，可查看具体的指标说明，支持按不同层级、时间查询数据，支持按同比分析展示</w:t>
            </w:r>
          </w:p>
          <w:p w14:paraId="72CE9D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门急诊次均检验费用占比（改造）</w:t>
            </w:r>
          </w:p>
          <w:p w14:paraId="73FEF6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支持门急诊次均检验费用占比指标展示，可查看具体的指标说明，支持按不同层级、时间查询数据，支持按同比分析展示</w:t>
            </w:r>
          </w:p>
          <w:p w14:paraId="2FF9DB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门急诊次均费用分析（改造）</w:t>
            </w:r>
          </w:p>
          <w:p w14:paraId="0A1012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支持门急诊次均费用分析指标展示，可查看具体的指标说明，支持按不同层级、时间查询数据，支持按同比分析展示</w:t>
            </w:r>
          </w:p>
          <w:p w14:paraId="437951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门诊次均费用分析（改造）</w:t>
            </w:r>
          </w:p>
          <w:p w14:paraId="4FC6B1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支持门诊次均费用分析指标展示，可查看具体的指标说明，支持按不同层级、时间查询数据，支持按同比分析展示</w:t>
            </w:r>
          </w:p>
          <w:p w14:paraId="55B6A4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急诊次均费用分析（改造）</w:t>
            </w:r>
          </w:p>
          <w:p w14:paraId="03D33F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支持急诊次均费用分析指标展示，可查看具体的指标说明，支持按不同层级、时间查询数据，支持按同比分析展示</w:t>
            </w:r>
          </w:p>
          <w:p w14:paraId="51E8A1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门诊次均药费分析（改造）</w:t>
            </w:r>
          </w:p>
          <w:p w14:paraId="4B0DD6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支持门诊次均药费分析指标展示，可查看具体的指标说明，支持按不同层级、时间查询数据，支持按同比分析展示</w:t>
            </w:r>
          </w:p>
        </w:tc>
      </w:tr>
      <w:tr w14:paraId="6457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00" w:type="pct"/>
            <w:vMerge w:val="continue"/>
            <w:noWrap w:val="0"/>
            <w:vAlign w:val="center"/>
          </w:tcPr>
          <w:p w14:paraId="4ED2E1C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4E4024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8E1BD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住院负担分析</w:t>
            </w:r>
          </w:p>
          <w:p w14:paraId="69656F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住院次均医药费用构成比例（新建）</w:t>
            </w:r>
          </w:p>
          <w:p w14:paraId="6D0313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支持住院次均医药费用构成比例指标展示，可查看具体的指标说明，支持按不同层级、时间查询数据，支持按同比分析展示</w:t>
            </w:r>
          </w:p>
          <w:p w14:paraId="079C56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住院次均药费占比（改造）</w:t>
            </w:r>
          </w:p>
          <w:p w14:paraId="01EDF6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支持住院次均药费占比指标展示，可查看具体的指标说明，支持按不同层级、时间查询数据，支持按同比分析展示</w:t>
            </w:r>
          </w:p>
          <w:p w14:paraId="2326F5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住院次均检查费用占比（改造）</w:t>
            </w:r>
          </w:p>
          <w:p w14:paraId="31208B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支持住院次均检查费用占比指标展示，可查看具体的指标说明，支持按不同层级、时间查询数据，支持按同比分析展示</w:t>
            </w:r>
          </w:p>
          <w:p w14:paraId="282BDE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住院次均检验费用占比（改造）</w:t>
            </w:r>
          </w:p>
          <w:p w14:paraId="0627E6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支持住院次均检验费用占比指标展示，可查看具体的指标说明，支持按不同层级、时间查询数据，支持按同比分析展示</w:t>
            </w:r>
          </w:p>
          <w:p w14:paraId="4D929C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住院次均费用分析（改造）</w:t>
            </w:r>
          </w:p>
          <w:p w14:paraId="7280F3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支持住院次均费用分析指标展示，可查看具体的指标说明，支持按不同层级、时间查询数据，支持按同比分析展示</w:t>
            </w:r>
          </w:p>
          <w:p w14:paraId="7CF4F7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住院次均药费分析（改造）</w:t>
            </w:r>
          </w:p>
          <w:p w14:paraId="7600D6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支持住院次均药费分析指标展示，可查看具体的指标说明，支持按不同层级、时间查询数据，支持按同比分析展示</w:t>
            </w:r>
          </w:p>
          <w:p w14:paraId="54E2EC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不同来源患者住院次均费用分析（新建）</w:t>
            </w:r>
          </w:p>
          <w:p w14:paraId="2310D8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支持不同来源患者住院次均费用分析指标展示，可查看具体的指标说明，支持按不同层级、时间查询数据，支持按同比分析展示</w:t>
            </w:r>
          </w:p>
          <w:p w14:paraId="562634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各病种住院患者次均费用分析（改造）</w:t>
            </w:r>
          </w:p>
          <w:p w14:paraId="1C3101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支持各诊断住院患者次均费用分析指标展示，可查看具体的指标说明，支持按不同层级、时间查询数据，支持按同比分析展示</w:t>
            </w:r>
          </w:p>
        </w:tc>
      </w:tr>
      <w:tr w14:paraId="1B0D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00" w:type="pct"/>
            <w:vMerge w:val="restart"/>
            <w:noWrap w:val="0"/>
            <w:vAlign w:val="center"/>
          </w:tcPr>
          <w:p w14:paraId="4423B8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47" w:type="pct"/>
            <w:vMerge w:val="restart"/>
            <w:noWrap w:val="0"/>
            <w:vAlign w:val="center"/>
          </w:tcPr>
          <w:p w14:paraId="6ADF33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医疗保障专题（改造）</w:t>
            </w:r>
          </w:p>
        </w:tc>
        <w:tc>
          <w:tcPr>
            <w:tcW w:w="4052" w:type="pct"/>
            <w:noWrap w:val="0"/>
            <w:vAlign w:val="center"/>
          </w:tcPr>
          <w:p w14:paraId="63472C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门急诊医疗保障分析</w:t>
            </w:r>
          </w:p>
          <w:p w14:paraId="7DF778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门急诊医保人次情况</w:t>
            </w:r>
          </w:p>
          <w:p w14:paraId="585E34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支持门急诊医保人次情况指标展示，可查看具体的指标说明，支持按不同层级、时间查询数据，支持按同比分析展示</w:t>
            </w:r>
          </w:p>
          <w:p w14:paraId="773EF8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门急诊医保收入情况</w:t>
            </w:r>
          </w:p>
          <w:p w14:paraId="206F5C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支持门急诊医保收入情况指标展示，可查看具体的指标说明，支持按不同层级、时间查询数据，支持按同比分析展示</w:t>
            </w:r>
          </w:p>
          <w:p w14:paraId="2A2D60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门急诊医保费用趋势情况</w:t>
            </w:r>
          </w:p>
          <w:p w14:paraId="7E99DC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支持门急诊医保费用趋势情况指标展示，可查看具体的指标说明，支持按不同层级、时间查询数据，支持按同比分析展示</w:t>
            </w:r>
          </w:p>
          <w:p w14:paraId="2F0213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门急诊医保患者次均费用趋势情况</w:t>
            </w:r>
          </w:p>
          <w:p w14:paraId="4A0D93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支持门急诊医保患者次均费用趋势情况指标展示，可查看具体的指标说明，支持按不同层级、时间查询数据，支持按同比分析展示</w:t>
            </w:r>
          </w:p>
        </w:tc>
      </w:tr>
      <w:tr w14:paraId="211B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0" w:type="pct"/>
            <w:vMerge w:val="continue"/>
            <w:noWrap w:val="0"/>
            <w:vAlign w:val="center"/>
          </w:tcPr>
          <w:p w14:paraId="461AC5F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E85341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F577B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住院医疗保障分析</w:t>
            </w:r>
          </w:p>
          <w:p w14:paraId="2A9D03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入出院医保人次情况</w:t>
            </w:r>
          </w:p>
          <w:p w14:paraId="68EF92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支持入出院医保人次情况指标展示，可查看具体的指标说明，支持按不同层级、时间查询数据，支持按同比分析展示</w:t>
            </w:r>
          </w:p>
          <w:p w14:paraId="616017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住院医保收入情况</w:t>
            </w:r>
          </w:p>
          <w:p w14:paraId="475531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支持住院医保收入情况指标展示，可查看具体的指标说明，支持按不同层级、时间查询数据，支持按同比分析展示</w:t>
            </w:r>
          </w:p>
          <w:p w14:paraId="366E27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住院医保患者费用分析</w:t>
            </w:r>
          </w:p>
          <w:p w14:paraId="20D34C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支持住院医保患者费用分析指标展示，可查看具体的指标说明，支持按不同层级、时间查询数据，支持按同比分析展示</w:t>
            </w:r>
          </w:p>
          <w:p w14:paraId="1496D6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住院医保患者次均费用趋势情况</w:t>
            </w:r>
          </w:p>
          <w:p w14:paraId="6ABBCA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支持住院医保患者次均费用趋势情况指标展示，可查看具体的指标说明，支持按不同层级、时间查询数据，支持按同比分析展示</w:t>
            </w:r>
          </w:p>
        </w:tc>
      </w:tr>
      <w:tr w14:paraId="26B0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restart"/>
            <w:noWrap w:val="0"/>
            <w:vAlign w:val="center"/>
          </w:tcPr>
          <w:p w14:paraId="1A8A76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47" w:type="pct"/>
            <w:vMerge w:val="restart"/>
            <w:noWrap w:val="0"/>
            <w:vAlign w:val="center"/>
          </w:tcPr>
          <w:p w14:paraId="78F19C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医疗质量专题（新建/改造）</w:t>
            </w:r>
          </w:p>
        </w:tc>
        <w:tc>
          <w:tcPr>
            <w:tcW w:w="4052" w:type="pct"/>
            <w:noWrap w:val="0"/>
            <w:vAlign w:val="center"/>
          </w:tcPr>
          <w:p w14:paraId="5DABB0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手术概况分析</w:t>
            </w:r>
          </w:p>
          <w:p w14:paraId="7F21DB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日间手术占比情况(改造)</w:t>
            </w:r>
          </w:p>
          <w:p w14:paraId="3ECE49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支持日间手术占比情况指标展示，可查看具体的指标说明，支持按不同层级、时间查询数据，支持按同比分析展示</w:t>
            </w:r>
          </w:p>
          <w:p w14:paraId="2B4755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出院手术患者占比情况(改造)</w:t>
            </w:r>
          </w:p>
          <w:p w14:paraId="490C63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支持出院手术患者占比情况指标展示，可查看具体的指标说明，支持按不同层级、时间查询数据，支持按同比分析展示</w:t>
            </w:r>
          </w:p>
          <w:p w14:paraId="7F657F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出院患者微创手术占比情况（新建）</w:t>
            </w:r>
          </w:p>
          <w:p w14:paraId="47FDFB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支持出院患者微创手术占比情况指标展示，可查看具体的指标说明，支持按不同层级、时间查询数据，支持按同比分析展示</w:t>
            </w:r>
          </w:p>
          <w:p w14:paraId="20AAFA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手术级别分布(改造)</w:t>
            </w:r>
          </w:p>
          <w:p w14:paraId="4CA13A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支持手术级别分布指标展示，可查看具体的指标说明，支持按不同层级、时间查询数据，支持按同比分析展示</w:t>
            </w:r>
          </w:p>
          <w:p w14:paraId="132085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手术时长分析（新建）</w:t>
            </w:r>
          </w:p>
          <w:p w14:paraId="6AD2B7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支持手术时长分析指标展示，可查看具体的指标说明，支持按不同层级、时间查询数据，支持按同比分析展示</w:t>
            </w:r>
          </w:p>
          <w:p w14:paraId="3DB196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手术排行分析（新建）</w:t>
            </w:r>
          </w:p>
          <w:p w14:paraId="434911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支持手术排行分析指标展示，可查看具体的指标说明，支持按不同层级、时间查询数据，支持按同比分析展示</w:t>
            </w:r>
          </w:p>
          <w:p w14:paraId="18D67F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手术机构排行分析(改造)</w:t>
            </w:r>
          </w:p>
          <w:p w14:paraId="31F669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支持手术机构排行分析指标展示，可查看具体的指标说明，支持按不同层级、时间查询数据，支持按同比分析展示</w:t>
            </w:r>
          </w:p>
        </w:tc>
      </w:tr>
      <w:tr w14:paraId="55D2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00" w:type="pct"/>
            <w:vMerge w:val="continue"/>
            <w:noWrap w:val="0"/>
            <w:vAlign w:val="center"/>
          </w:tcPr>
          <w:p w14:paraId="130A2AA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ADFDC6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3A4595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诊断质量分析</w:t>
            </w:r>
          </w:p>
          <w:p w14:paraId="140199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门诊诊断顺位(改造)</w:t>
            </w:r>
          </w:p>
          <w:p w14:paraId="271C26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支持门诊诊断顺位指标展示，可查看具体的指标说明，支持按不同层级、时间查询数据，支持按同比分析展示</w:t>
            </w:r>
          </w:p>
          <w:p w14:paraId="001AE3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门诊诊断与出院诊断符合率分析（新建）</w:t>
            </w:r>
          </w:p>
          <w:p w14:paraId="0BC7C2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支持门诊诊断与出院诊断符合率分析指标展示，可查看具体的指标说明，支持按不同层级、时间查询数据，支持按同比分析展示</w:t>
            </w:r>
          </w:p>
          <w:p w14:paraId="0E0D87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住院诊断顺位(改造)</w:t>
            </w:r>
          </w:p>
          <w:p w14:paraId="62C891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支持住院诊断顺位指标展示，可查看具体的指标说明，支持按不同层级、时间查询数据，支持按同比分析展示</w:t>
            </w:r>
          </w:p>
          <w:p w14:paraId="7B30EA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入院诊断与出院诊断符合率分析（新建）</w:t>
            </w:r>
          </w:p>
          <w:p w14:paraId="013E6E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支持入院诊断与出院诊断符合率分析指标展示，可查看具体的指标说明，支持按不同层级、时间查询数据，支持按同比分析展示</w:t>
            </w:r>
          </w:p>
          <w:p w14:paraId="4EA772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手术诊断顺位(改造)</w:t>
            </w:r>
          </w:p>
          <w:p w14:paraId="00EF15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支持手术诊断顺位指标展示，可查看具体的指标说明，支持按不同层级、时间查询数据，支持按同比分析展示</w:t>
            </w:r>
          </w:p>
          <w:p w14:paraId="326AC6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术前诊断与术后诊断符合率分析（新建）</w:t>
            </w:r>
          </w:p>
          <w:p w14:paraId="1180F6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支持术前诊断与术后诊断符合率分析指标展示，可查看具体的指标说明，支持按不同层级、时间查询数据，支持按同比分析展示</w:t>
            </w:r>
          </w:p>
        </w:tc>
      </w:tr>
      <w:tr w14:paraId="58FD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 w:type="pct"/>
            <w:vMerge w:val="continue"/>
            <w:noWrap w:val="0"/>
            <w:vAlign w:val="center"/>
          </w:tcPr>
          <w:p w14:paraId="01BFA44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98034D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939C3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重点疾病分析</w:t>
            </w:r>
          </w:p>
          <w:p w14:paraId="1BD017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重点疾病机构分布情况（新建）</w:t>
            </w:r>
          </w:p>
          <w:p w14:paraId="12CD34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支持重点疾病机构分布情况指标展示，可查看具体的指标说明，支持按不同层级、时间查询数据，支持按同比分析展示</w:t>
            </w:r>
          </w:p>
          <w:p w14:paraId="4EF046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重点疾病重返情况（新建）</w:t>
            </w:r>
          </w:p>
          <w:p w14:paraId="60533B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支持重点疾病重返情况指标展示，可查看具体的指标说明，支持按不同层级、时间查询数据，支持按同比分析展示</w:t>
            </w:r>
          </w:p>
          <w:p w14:paraId="1C6923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重点疾病出院及死亡情况（新建）</w:t>
            </w:r>
          </w:p>
          <w:p w14:paraId="015C5E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支持重点疾病出院及死亡情况指标展示，可查看具体的指标说明，支持按不同层级、时间查询数据，支持按同比分析展示</w:t>
            </w:r>
          </w:p>
        </w:tc>
      </w:tr>
      <w:tr w14:paraId="3526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0" w:type="pct"/>
            <w:vMerge w:val="continue"/>
            <w:noWrap w:val="0"/>
            <w:vAlign w:val="center"/>
          </w:tcPr>
          <w:p w14:paraId="1388442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0B36BEF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6AB1B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病死分析</w:t>
            </w:r>
          </w:p>
          <w:p w14:paraId="43241A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急诊患者病死分析（新建）</w:t>
            </w:r>
          </w:p>
          <w:p w14:paraId="2A13F4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支持急诊患者病死分析指标展示，可查看具体的指标说明，支持按不同层级、时间查询数据，支持按同比分析展示</w:t>
            </w:r>
          </w:p>
          <w:p w14:paraId="7FFE5C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住院患者病死分析（新建）</w:t>
            </w:r>
          </w:p>
          <w:p w14:paraId="26FA17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支持住院患者病死分析指标展示，可查看具体的指标说明，支持按不同层级、时间查询数据，支持按同比分析展示</w:t>
            </w:r>
          </w:p>
          <w:p w14:paraId="57D130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急诊患者死亡原因TOP5分析（新建）</w:t>
            </w:r>
          </w:p>
          <w:p w14:paraId="0229B1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支持急诊患者死亡原因TOP5分析指标展示，可查看具体的指标说明，支持按不同层级、时间查询数据，支持按同比分析展示</w:t>
            </w:r>
          </w:p>
          <w:p w14:paraId="13F8F1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住院患者死亡原因TOP5分析（新建）</w:t>
            </w:r>
          </w:p>
          <w:p w14:paraId="66A697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支持住院患者死亡原因TOP5分析指标展示，可查看具体的指标说明，支持按不同层级、时间查询数据，支持按同比分析展示</w:t>
            </w:r>
          </w:p>
        </w:tc>
      </w:tr>
      <w:tr w14:paraId="0D80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 w:type="pct"/>
            <w:vMerge w:val="continue"/>
            <w:noWrap w:val="0"/>
            <w:vAlign w:val="center"/>
          </w:tcPr>
          <w:p w14:paraId="5B29539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192234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4D446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医技质量分析</w:t>
            </w:r>
          </w:p>
          <w:p w14:paraId="13985E6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检查检验人次分析（改造）</w:t>
            </w:r>
          </w:p>
          <w:p w14:paraId="5320D1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支持检查检验人次分析指标展示，可查看具体的指标说明，支持按不同层级、时间查询数据，支持按同比分析展示</w:t>
            </w:r>
          </w:p>
          <w:p w14:paraId="565A3D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检查类型分布（新建）</w:t>
            </w:r>
          </w:p>
          <w:p w14:paraId="464F86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支持检查类型分布指标展示，可查看具体的指标说明，支持按不同层级、时间查询数据，支持按同比分析展示</w:t>
            </w:r>
          </w:p>
          <w:p w14:paraId="1EB0D0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医技检测出报告比例（新建）</w:t>
            </w:r>
          </w:p>
          <w:p w14:paraId="3ED9E8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支持医技检测出报告比例指标展示，可查看具体的指标说明，支持按不同层级、时间查询数据，支持按同比分析展示</w:t>
            </w:r>
          </w:p>
        </w:tc>
      </w:tr>
      <w:tr w14:paraId="13ED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00" w:type="pct"/>
            <w:vMerge w:val="restart"/>
            <w:noWrap w:val="0"/>
            <w:vAlign w:val="center"/>
          </w:tcPr>
          <w:p w14:paraId="7E08E3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47" w:type="pct"/>
            <w:vMerge w:val="restart"/>
            <w:noWrap w:val="0"/>
            <w:vAlign w:val="center"/>
          </w:tcPr>
          <w:p w14:paraId="66A9D9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药品分析专题（新增/改造）</w:t>
            </w:r>
          </w:p>
        </w:tc>
        <w:tc>
          <w:tcPr>
            <w:tcW w:w="4052" w:type="pct"/>
            <w:noWrap w:val="0"/>
            <w:vAlign w:val="center"/>
          </w:tcPr>
          <w:p w14:paraId="67DDD7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处方分析</w:t>
            </w:r>
          </w:p>
          <w:p w14:paraId="718892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处方情况（新建）</w:t>
            </w:r>
          </w:p>
          <w:p w14:paraId="6B50DC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支持处方情况指标展示，可查看具体的指标说明，支持按不同层级、时间查询数据，支持按同比分析展示</w:t>
            </w:r>
          </w:p>
          <w:p w14:paraId="6129DA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处方数量分析（新建）</w:t>
            </w:r>
          </w:p>
          <w:p w14:paraId="5C3AEE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支持处方数量分析指标展示，可查看具体的指标说明，支持按不同层级、时间查询数据，支持按同比分析展示</w:t>
            </w:r>
          </w:p>
          <w:p w14:paraId="4AA0D2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处方金额分析（新建）</w:t>
            </w:r>
          </w:p>
          <w:p w14:paraId="303064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支持处方金额分析指标展示，可查看具体的指标说明，支持按不同层级、时间查询数据，支持按同比分析展示</w:t>
            </w:r>
          </w:p>
          <w:p w14:paraId="78FF0F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抗菌药物处方占比分析（新建）</w:t>
            </w:r>
          </w:p>
          <w:p w14:paraId="575830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支持抗菌药物处方占比分析指标展示，可查看具体的指标说明，支持按不同层级、时间查询数据，支持按同比分析展示</w:t>
            </w:r>
          </w:p>
          <w:p w14:paraId="492A50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静脉注射处方占比分析（新建）</w:t>
            </w:r>
          </w:p>
          <w:p w14:paraId="414987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支持含静脉注射处方占比分析指标展示，可查看具体的指标说明，支持按不同层级、时间查询数据，支持按同比分析展示</w:t>
            </w:r>
          </w:p>
        </w:tc>
      </w:tr>
      <w:tr w14:paraId="7A85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00" w:type="pct"/>
            <w:vMerge w:val="continue"/>
            <w:noWrap w:val="0"/>
            <w:vAlign w:val="center"/>
          </w:tcPr>
          <w:p w14:paraId="648E714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71D816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357879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合理用药分析</w:t>
            </w:r>
          </w:p>
          <w:p w14:paraId="3EDD54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基本药物使用金额比例分析（改造）</w:t>
            </w:r>
          </w:p>
          <w:p w14:paraId="4295D5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支持基本药物使用金额比例分析指标展示，可查看具体的指标说明，支持按不同层级、时间查询数据，支持按同比分析展示</w:t>
            </w:r>
          </w:p>
          <w:p w14:paraId="006CE9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基本药物使用率分析（新建）</w:t>
            </w:r>
          </w:p>
          <w:p w14:paraId="29639C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支持基本药物使用率分析指标展示，可查看具体的指标说明，支持按不同层级、时间查询数据，支持按同比分析展示</w:t>
            </w:r>
          </w:p>
          <w:p w14:paraId="586B43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药品使用分析（新建）</w:t>
            </w:r>
          </w:p>
          <w:p w14:paraId="2C35B7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支持药品使用分析指标展示，可查看具体的指标说明，支持按不同层级、时间查询数据，支持按同比分析展示</w:t>
            </w:r>
          </w:p>
          <w:p w14:paraId="62EF74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抗菌药物分析（改造）</w:t>
            </w:r>
          </w:p>
          <w:p w14:paraId="4A0F7D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支持抗菌药物分析指标展示，可查看具体的指标说明，支持按不同层级、时间查询数据，支持按同比分析展示</w:t>
            </w:r>
          </w:p>
          <w:p w14:paraId="60A3FE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抗菌药物使用强度分析（新建）</w:t>
            </w:r>
          </w:p>
          <w:p w14:paraId="20C8FA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支持抗菌药物使用强度分析指标展示，可查看具体的指标说明，支持按不同层级、时间查询数据，支持按同比分析展示</w:t>
            </w:r>
          </w:p>
          <w:p w14:paraId="2DB6F3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住院输液情况分析（新建）</w:t>
            </w:r>
          </w:p>
          <w:p w14:paraId="521429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支持住院输液情况分析指标展示，可查看具体的指标说明，支持按不同层级、时间查询数据，支持按同比分析展示</w:t>
            </w:r>
          </w:p>
        </w:tc>
      </w:tr>
      <w:tr w14:paraId="78DF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restart"/>
            <w:noWrap w:val="0"/>
            <w:vAlign w:val="center"/>
          </w:tcPr>
          <w:p w14:paraId="4A268D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47" w:type="pct"/>
            <w:vMerge w:val="restart"/>
            <w:noWrap w:val="0"/>
            <w:vAlign w:val="center"/>
          </w:tcPr>
          <w:p w14:paraId="2B5A6A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公共卫生专题（新增）</w:t>
            </w:r>
          </w:p>
        </w:tc>
        <w:tc>
          <w:tcPr>
            <w:tcW w:w="4052" w:type="pct"/>
            <w:noWrap w:val="0"/>
            <w:vAlign w:val="center"/>
          </w:tcPr>
          <w:p w14:paraId="3067D1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居民档案分析</w:t>
            </w:r>
          </w:p>
          <w:p w14:paraId="3BC066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建档数分析</w:t>
            </w:r>
          </w:p>
          <w:p w14:paraId="591F71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支持建档数指标展示，可查看具体的指标说明，支持按不同层级、时间查询数据，支持按同比分析展示</w:t>
            </w:r>
          </w:p>
          <w:p w14:paraId="0F001F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电子健康档案建档率分析</w:t>
            </w:r>
          </w:p>
          <w:p w14:paraId="13414F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支持电子健康档案建档率分析指标展示，可查看具体的指标说明，支持按不同层级、时间查询数据，支持按同比分析展示</w:t>
            </w:r>
          </w:p>
          <w:p w14:paraId="03539B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电子健康档案开放率分析</w:t>
            </w:r>
          </w:p>
          <w:p w14:paraId="43AEE8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支持电子健康档案开放率分析指标展示，可查看具体的指标说明，支持按不同层级、时间查询数据，支持按同比分析展示</w:t>
            </w:r>
          </w:p>
          <w:p w14:paraId="2AFDBF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健康档案使用率分析</w:t>
            </w:r>
          </w:p>
          <w:p w14:paraId="5FB895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支持健康档案使用率指标展示，可查看具体的指标说明，支持按不同层级、时间查询数据，支持按同比分析展示</w:t>
            </w:r>
          </w:p>
          <w:p w14:paraId="1E1079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电子健康档案机构分析</w:t>
            </w:r>
          </w:p>
          <w:p w14:paraId="658FFF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支持电子健康档案机构分析指标展示，可查看具体的指标说明，支持按不同层级、时间查询数据，支持按同比分析展示</w:t>
            </w:r>
          </w:p>
          <w:p w14:paraId="3224A0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重点人群建档人数分析</w:t>
            </w:r>
          </w:p>
          <w:p w14:paraId="1F26EB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支持重点人群建档人数分析指标展示，可查看具体的指标说明，支持按不同层级、时间查询数据，支持按同比分析展示</w:t>
            </w:r>
          </w:p>
          <w:p w14:paraId="1102D6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档案开放人群分布</w:t>
            </w:r>
          </w:p>
          <w:p w14:paraId="12BF67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支持档案开放人群分布指标展示，可查看具体的指标说明，支持按不同层级、时间查询数据，支持按同比分析展示</w:t>
            </w:r>
          </w:p>
        </w:tc>
      </w:tr>
      <w:tr w14:paraId="5216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00" w:type="pct"/>
            <w:vMerge w:val="continue"/>
            <w:noWrap w:val="0"/>
            <w:vAlign w:val="center"/>
          </w:tcPr>
          <w:p w14:paraId="3921EAB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A8B200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77709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居民签约分析</w:t>
            </w:r>
          </w:p>
          <w:p w14:paraId="2C618D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全人群签约覆盖率分析</w:t>
            </w:r>
          </w:p>
          <w:p w14:paraId="795D4E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支持全人群签约覆盖率分析指标展示，可查看具体的指标说明，支持按不同层级、时间查询数据，支持按同比分析展示</w:t>
            </w:r>
          </w:p>
          <w:p w14:paraId="745C5D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重点人群签约服务覆盖率分析</w:t>
            </w:r>
          </w:p>
          <w:p w14:paraId="480993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支持重点人群签约覆盖率分析指标展示，可查看具体的指标说明，支持按不同层级、时间查询数据，支持按同比分析展示</w:t>
            </w:r>
          </w:p>
          <w:p w14:paraId="29DA70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签约医生就诊率</w:t>
            </w:r>
          </w:p>
          <w:p w14:paraId="6E755B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支持签约医生就诊率指标展示，可查看具体的指标说明，支持按不同层级、时间查询数据，支持按同比分析展示</w:t>
            </w:r>
          </w:p>
          <w:p w14:paraId="7EC817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重点人群签约情况</w:t>
            </w:r>
          </w:p>
          <w:p w14:paraId="623FE5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支持重点人群签约情况指标展示，可查看具体的指标说明，支持按不同层级、时间查询数据，支持按同比分析展示</w:t>
            </w:r>
          </w:p>
          <w:p w14:paraId="0634A5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健康体检人数分析</w:t>
            </w:r>
          </w:p>
          <w:p w14:paraId="6EF5D6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支持健康体检人数分析指标展示，可查看具体的指标说明，支持按不同层级、时间查询数据，支持按同比分析展示</w:t>
            </w:r>
          </w:p>
        </w:tc>
      </w:tr>
      <w:tr w14:paraId="10D0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500" w:type="pct"/>
            <w:vMerge w:val="continue"/>
            <w:noWrap w:val="0"/>
            <w:vAlign w:val="center"/>
          </w:tcPr>
          <w:p w14:paraId="383BE0C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205E0D7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DD14B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高血压管理</w:t>
            </w:r>
          </w:p>
          <w:p w14:paraId="78C038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高血压患者发现率</w:t>
            </w:r>
          </w:p>
          <w:p w14:paraId="614116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支持高血压患者发现率指标展示，可查看具体的指标说明，支持按不同层级、时间查询数据，支持按同比分析展示</w:t>
            </w:r>
          </w:p>
          <w:p w14:paraId="0557A0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管理人群血压控制率分析</w:t>
            </w:r>
          </w:p>
          <w:p w14:paraId="0B656F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支持管理人群血压控制率分析指标展示，可查看具体的指标说明，支持按不同层级、时间查询数据，支持按同比分析</w:t>
            </w:r>
          </w:p>
          <w:p w14:paraId="109672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高血压档案开放率分析</w:t>
            </w:r>
          </w:p>
          <w:p w14:paraId="371DFF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支持高血压档案开放率分析指标展示，可查看具体的指标说明，支持按不同层级、时间查询数据，支持按同比分析展示</w:t>
            </w:r>
          </w:p>
          <w:p w14:paraId="79DB37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高血压患者分级管理情况</w:t>
            </w:r>
          </w:p>
          <w:p w14:paraId="5E7EAA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支持高血压患者分级管理情况指标展示，可查看具体的指标说明，支持按不同层级、时间查询数据，支持按同比分析展示</w:t>
            </w:r>
          </w:p>
          <w:p w14:paraId="02B84A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高血压高危档案开放率</w:t>
            </w:r>
          </w:p>
          <w:p w14:paraId="37B173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支持高血压高危档案开放率指标展示，可查看具体的指标说明，支持按不同层级、时间查询数据，支持按同比分析展示</w:t>
            </w:r>
          </w:p>
          <w:p w14:paraId="2B1373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高血压患者年龄分布</w:t>
            </w:r>
          </w:p>
          <w:p w14:paraId="1BA1ED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支持高血压患者年龄分布指标展示，可查看具体的指标说明，支持按不同层级、时间查询数据，支持按同比分析展示</w:t>
            </w:r>
          </w:p>
          <w:p w14:paraId="374988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高血压管理人数分析</w:t>
            </w:r>
          </w:p>
          <w:p w14:paraId="1D0F94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支持高血压管理人数分析指标展示，可查看具体的指标说明，支持按不同层级、时间查询数据，支持按同比分析展示</w:t>
            </w:r>
          </w:p>
          <w:p w14:paraId="526D23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高血压患者规范管理分析</w:t>
            </w:r>
          </w:p>
          <w:p w14:paraId="1E6BF4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支持高血压患者规范管理分析指标展示，可查看具体的指标说明，支持按不同层级、时间查询数据，支持按同比分析展示</w:t>
            </w:r>
          </w:p>
          <w:p w14:paraId="01EC6B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高血压随访人数分析</w:t>
            </w:r>
          </w:p>
          <w:p w14:paraId="439F5A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支持高血压随访人数指标展示，可查看具体的指标说明，支持按不同层级、时间查询数据，支持按同比分析展示</w:t>
            </w:r>
          </w:p>
          <w:p w14:paraId="7D4D40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高血压高危管理人数分析</w:t>
            </w:r>
          </w:p>
          <w:p w14:paraId="57078D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支持高血压高危管理人数指标展示，可查看具体的指标说明，支持按不同层级、时间查询数据，支持按同比分析展示</w:t>
            </w:r>
          </w:p>
        </w:tc>
      </w:tr>
      <w:tr w14:paraId="56A7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00" w:type="pct"/>
            <w:vMerge w:val="continue"/>
            <w:noWrap w:val="0"/>
            <w:vAlign w:val="center"/>
          </w:tcPr>
          <w:p w14:paraId="3B108DB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F7A28B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7B83C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糖尿病管理</w:t>
            </w:r>
          </w:p>
          <w:p w14:paraId="743D40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糖尿病患者发现率</w:t>
            </w:r>
          </w:p>
          <w:p w14:paraId="01239B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支持糖尿病患者发现率指标展示，可查看具体的指标说明，支持按不同层级、时间查询数据，支持按同比分析展示</w:t>
            </w:r>
          </w:p>
          <w:p w14:paraId="54497D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管理人群血糖控制率分析</w:t>
            </w:r>
          </w:p>
          <w:p w14:paraId="668934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支持管理人群血糖控制率指标展示，可查看具体的指标说明，支持按不同层级、时间查询数据，支持按同比分析展示</w:t>
            </w:r>
          </w:p>
          <w:p w14:paraId="215905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糖尿病档案开放率分析</w:t>
            </w:r>
          </w:p>
          <w:p w14:paraId="631AAF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支持糖尿病档案开放率分析指标展示，可查看具体的指标说明，支持按不同层级、时间查询数据，支持按同比分析展示</w:t>
            </w:r>
          </w:p>
          <w:p w14:paraId="72BC3B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糖尿病患者分级管理情况</w:t>
            </w:r>
          </w:p>
          <w:p w14:paraId="4E5937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支持糖尿病患者分级管理情况指标展示，可查看具体的指标说明，支持按不同层级、时间查询数据，支持按同比分析展示</w:t>
            </w:r>
          </w:p>
          <w:p w14:paraId="63DA34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糖尿病高危档案开放率</w:t>
            </w:r>
          </w:p>
          <w:p w14:paraId="05D5C5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支持糖尿病高危档案开放率指标展示，可查看具体的指标说明，支持按不同层级、时间查询数据，支持按同比分析展示</w:t>
            </w:r>
          </w:p>
          <w:p w14:paraId="2397B3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糖尿病患者年龄分布</w:t>
            </w:r>
          </w:p>
          <w:p w14:paraId="7B1894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支持糖尿病患者年龄分布指标展示，可查看具体的指标说明，支持按不同层级、时间查询数据，支持按同比分析展示</w:t>
            </w:r>
          </w:p>
          <w:p w14:paraId="1B5F2D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糖尿病管理人数分析</w:t>
            </w:r>
          </w:p>
          <w:p w14:paraId="44A823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支持糖尿病管理人数分析指标展示，可查看具体的指标说明，支持按不同层级、时间查询数据，支持按同比分析展示</w:t>
            </w:r>
          </w:p>
          <w:p w14:paraId="120A44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糖尿病患者规范管理分析</w:t>
            </w:r>
          </w:p>
          <w:p w14:paraId="1BF475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支持糖尿病患者规范管理分析指标展示，可查看具体的指标说明，支持按不同层级、时间查询数据，支持按同比分析展示</w:t>
            </w:r>
          </w:p>
          <w:p w14:paraId="2F3641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糖尿病随访人数分析</w:t>
            </w:r>
          </w:p>
          <w:p w14:paraId="42EFDE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支持糖尿病随访人数分析指标展示，可查看具体的指标说明，支持按不同层级、时间查询数据，支持按同比分析展示</w:t>
            </w:r>
          </w:p>
          <w:p w14:paraId="5446B1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糖尿病高危管理人数分析</w:t>
            </w:r>
          </w:p>
          <w:p w14:paraId="43C9E9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支持糖尿病高危管理人数分析指标展示，可查看具体的指标说明，支持按不同层级、时间查询数据，支持按同比分析展示</w:t>
            </w:r>
          </w:p>
        </w:tc>
      </w:tr>
      <w:tr w14:paraId="4666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 w:type="pct"/>
            <w:vMerge w:val="continue"/>
            <w:noWrap w:val="0"/>
            <w:vAlign w:val="center"/>
          </w:tcPr>
          <w:p w14:paraId="5D2E442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0F548A1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FEA2C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慢性病管理</w:t>
            </w:r>
          </w:p>
          <w:p w14:paraId="67FFAA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慢病管理人数分布</w:t>
            </w:r>
          </w:p>
          <w:p w14:paraId="5993C6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支持慢病管理人数分布指标展示，可查看具体的指标说明，支持按不同层级、时间查询数据，支持按同比分析展示</w:t>
            </w:r>
          </w:p>
          <w:p w14:paraId="6703D3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慢病随访人数分布</w:t>
            </w:r>
          </w:p>
          <w:p w14:paraId="137291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支持慢病随访人数分布指标展示，可查看具体的指标说明，支持按不同层级、时间查询数据，支持按同比分析展示</w:t>
            </w:r>
          </w:p>
          <w:p w14:paraId="147A9C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慢病管理人数机构分析</w:t>
            </w:r>
          </w:p>
          <w:p w14:paraId="6429CF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支持慢病管理人数机构分析指标展示，可查看具体的指标说明，支持按不同层级、时间查询数据，支持按同比分析展示</w:t>
            </w:r>
          </w:p>
        </w:tc>
      </w:tr>
      <w:tr w14:paraId="05AE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00" w:type="pct"/>
            <w:vMerge w:val="continue"/>
            <w:noWrap w:val="0"/>
            <w:vAlign w:val="center"/>
          </w:tcPr>
          <w:p w14:paraId="652D89F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006A5E5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681A75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eastAsia="宋体" w:cs="宋体"/>
                <w:b/>
                <w:bCs/>
                <w:color w:val="auto"/>
                <w:sz w:val="21"/>
                <w:szCs w:val="21"/>
                <w:u w:val="none"/>
                <w:lang w:val="en-US" w:eastAsia="zh-CN" w:bidi="ar"/>
              </w:rPr>
              <w:t>老年人管理</w:t>
            </w:r>
          </w:p>
          <w:p w14:paraId="6EBE17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老年人建档率情况</w:t>
            </w:r>
          </w:p>
          <w:p w14:paraId="6AA5A4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支持老年人建档率情况指标展示，可查看具体的指标说明，支持按不同层级、时间查询数据，支持按同比分析展示</w:t>
            </w:r>
          </w:p>
          <w:p w14:paraId="3368FC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老年人体检率情况</w:t>
            </w:r>
          </w:p>
          <w:p w14:paraId="089611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支持老年人体检率情况指标展示，可查看具体的指标说明，支持按不同层级、时间查询数据，支持按同比分析展示</w:t>
            </w:r>
          </w:p>
          <w:p w14:paraId="562FC2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老年人健康管理率情况</w:t>
            </w:r>
          </w:p>
          <w:p w14:paraId="60276F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支持老年人健康管理率情况指标展示，可查看具体的指标说明，支持按不同层级、时间查询数据，支持按同比分析展示</w:t>
            </w:r>
          </w:p>
          <w:p w14:paraId="5E6C20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老年人中医药健康管理率情况</w:t>
            </w:r>
          </w:p>
          <w:p w14:paraId="162996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支持老年人中医健康管理率情况指标展示，可查看具体的指标说明，支持按不同层级、时间查询数据，支持按同比分析展示</w:t>
            </w:r>
          </w:p>
          <w:p w14:paraId="02F65D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老年人生活自理能力评估分析</w:t>
            </w:r>
          </w:p>
          <w:p w14:paraId="128383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支持老年人生活自理能力评估分析指标展示，可查看具体的指标说明，支持按不同层级、时间查询数据，支持按同比分析展示</w:t>
            </w:r>
          </w:p>
          <w:p w14:paraId="38482C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老年人中医体质辨识分析</w:t>
            </w:r>
          </w:p>
          <w:p w14:paraId="16D422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支持老年人中医体质辨识分析指标展示，可查看具体的指标说明，支持按不同层级、时间查询数据，支持按同比分析展示</w:t>
            </w:r>
          </w:p>
        </w:tc>
      </w:tr>
      <w:tr w14:paraId="64DA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00" w:type="pct"/>
            <w:vMerge w:val="continue"/>
            <w:noWrap w:val="0"/>
            <w:vAlign w:val="center"/>
          </w:tcPr>
          <w:p w14:paraId="6766C9B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67AB13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E0B74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w:t>
            </w:r>
            <w:r>
              <w:rPr>
                <w:rFonts w:hint="eastAsia" w:ascii="宋体" w:hAnsi="宋体" w:eastAsia="宋体" w:cs="宋体"/>
                <w:b/>
                <w:bCs/>
                <w:color w:val="auto"/>
                <w:sz w:val="21"/>
                <w:szCs w:val="21"/>
                <w:u w:val="none"/>
                <w:lang w:val="en-US" w:eastAsia="zh-CN" w:bidi="ar"/>
              </w:rPr>
              <w:t>中医药管理</w:t>
            </w:r>
          </w:p>
          <w:p w14:paraId="7CF0A3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中医健康管理率分析</w:t>
            </w:r>
          </w:p>
          <w:p w14:paraId="3D0CDA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支持中医健康管理率分析指标展示，可查看具体的指标说明，支持按不同层级、时间查询数据，支持按同比分析展示</w:t>
            </w:r>
          </w:p>
          <w:p w14:paraId="4FFCAC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老年人中医健康管理率分析</w:t>
            </w:r>
          </w:p>
          <w:p w14:paraId="5933FD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支持老年人中医健康管理率分析指标展示，可查看具体的指标说明，支持按不同层级、时间查询数据，支持按同比分析展示</w:t>
            </w:r>
          </w:p>
          <w:p w14:paraId="7B05FC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儿童中医健康管理率</w:t>
            </w:r>
          </w:p>
          <w:p w14:paraId="6BAE64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支持儿童中医健康管理率分析指标展示，可查看具体的指标说明，支持按不同层级、时间查询数据，支持按同比分析展示</w:t>
            </w:r>
          </w:p>
          <w:p w14:paraId="2DD078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老年人中医健康管理人数分析</w:t>
            </w:r>
          </w:p>
          <w:p w14:paraId="07C232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支持老年人中医健康管理人数分析指标展示，可查看具体的指标说明，支持按不同层级、时间查询数据，支持按同比分析展示</w:t>
            </w:r>
          </w:p>
          <w:p w14:paraId="06E30B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儿童中医健康管理人数分析</w:t>
            </w:r>
          </w:p>
          <w:p w14:paraId="487DCE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支持儿童中医健康管理人数分析指标展示，可查看具体的指标说明，支持按不同层级、时间查询数据，支持按同比分析展示</w:t>
            </w:r>
          </w:p>
        </w:tc>
      </w:tr>
      <w:tr w14:paraId="6F72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 w:type="pct"/>
            <w:vMerge w:val="restart"/>
            <w:noWrap w:val="0"/>
            <w:vAlign w:val="center"/>
          </w:tcPr>
          <w:p w14:paraId="6D889F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47" w:type="pct"/>
            <w:vMerge w:val="restart"/>
            <w:noWrap w:val="0"/>
            <w:vAlign w:val="center"/>
          </w:tcPr>
          <w:p w14:paraId="5C9731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使用情况（新增）</w:t>
            </w:r>
          </w:p>
        </w:tc>
        <w:tc>
          <w:tcPr>
            <w:tcW w:w="4052" w:type="pct"/>
            <w:noWrap w:val="0"/>
            <w:vAlign w:val="center"/>
          </w:tcPr>
          <w:p w14:paraId="1E922C7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运营管理使用情况分析</w:t>
            </w:r>
          </w:p>
          <w:p w14:paraId="427D2E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访问人员分析</w:t>
            </w:r>
          </w:p>
          <w:p w14:paraId="4986E8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支持访问人员分析指标展示，可查看具体的指标说明，支持按不同层级、时间查询数据。</w:t>
            </w:r>
          </w:p>
          <w:p w14:paraId="56BC7D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访问菜单分析</w:t>
            </w:r>
          </w:p>
          <w:p w14:paraId="30AAB3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支持访问菜单分析指标展示，可查看具体的指标说明，支持按不同层级、时间查询数据。</w:t>
            </w:r>
          </w:p>
          <w:p w14:paraId="37D98A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访问时间趋势</w:t>
            </w:r>
          </w:p>
          <w:p w14:paraId="3CFBE2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支持访问时间趋势指标展示，可查看具体的指标说明，支持按不同层级、时间查询数据。</w:t>
            </w:r>
          </w:p>
        </w:tc>
      </w:tr>
      <w:tr w14:paraId="0176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00" w:type="pct"/>
            <w:vMerge w:val="restart"/>
            <w:noWrap w:val="0"/>
            <w:vAlign w:val="center"/>
          </w:tcPr>
          <w:p w14:paraId="51852A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447" w:type="pct"/>
            <w:vMerge w:val="restart"/>
            <w:noWrap w:val="0"/>
            <w:vAlign w:val="center"/>
          </w:tcPr>
          <w:p w14:paraId="463442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指标监测（新增）</w:t>
            </w:r>
          </w:p>
        </w:tc>
        <w:tc>
          <w:tcPr>
            <w:tcW w:w="4052" w:type="pct"/>
            <w:noWrap w:val="0"/>
            <w:vAlign w:val="center"/>
          </w:tcPr>
          <w:p w14:paraId="208819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方案切换</w:t>
            </w:r>
          </w:p>
          <w:p w14:paraId="3C6483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支持指标监测页面切换不同方案。</w:t>
            </w:r>
          </w:p>
        </w:tc>
      </w:tr>
      <w:tr w14:paraId="057B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continue"/>
            <w:noWrap w:val="0"/>
            <w:vAlign w:val="center"/>
          </w:tcPr>
          <w:p w14:paraId="14DF606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FD5DAA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8BC87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指标查询</w:t>
            </w:r>
          </w:p>
          <w:p w14:paraId="19DB46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支持按不同层级、时间查询指标数据。</w:t>
            </w:r>
          </w:p>
        </w:tc>
      </w:tr>
      <w:tr w14:paraId="088B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00" w:type="pct"/>
            <w:vMerge w:val="continue"/>
            <w:noWrap w:val="0"/>
            <w:vAlign w:val="center"/>
          </w:tcPr>
          <w:p w14:paraId="5153E0B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CF0D21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36549B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指标情况总览</w:t>
            </w:r>
          </w:p>
          <w:p w14:paraId="7F6C4F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支持展示方案指标数、关注指标数，并可查看对应指标列表。</w:t>
            </w:r>
          </w:p>
        </w:tc>
      </w:tr>
      <w:tr w14:paraId="459F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00" w:type="pct"/>
            <w:vMerge w:val="continue"/>
            <w:noWrap w:val="0"/>
            <w:vAlign w:val="center"/>
          </w:tcPr>
          <w:p w14:paraId="317F5AC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05E390F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68491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指标卡片</w:t>
            </w:r>
          </w:p>
          <w:p w14:paraId="1FDF60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支持指标卡片的展现形式。</w:t>
            </w:r>
          </w:p>
        </w:tc>
      </w:tr>
      <w:tr w14:paraId="4C3C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00" w:type="pct"/>
            <w:vMerge w:val="continue"/>
            <w:noWrap w:val="0"/>
            <w:vAlign w:val="center"/>
          </w:tcPr>
          <w:p w14:paraId="2A74DD8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1EA0CA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A3DB8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指标列表</w:t>
            </w:r>
          </w:p>
          <w:p w14:paraId="76B39F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支持指标列表的展现形式。</w:t>
            </w:r>
          </w:p>
        </w:tc>
      </w:tr>
      <w:tr w14:paraId="1122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00" w:type="pct"/>
            <w:vMerge w:val="continue"/>
            <w:noWrap w:val="0"/>
            <w:vAlign w:val="center"/>
          </w:tcPr>
          <w:p w14:paraId="556757A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23B6FF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76153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eastAsia="宋体" w:cs="宋体"/>
                <w:b/>
                <w:bCs/>
                <w:color w:val="auto"/>
                <w:sz w:val="21"/>
                <w:szCs w:val="21"/>
                <w:u w:val="none"/>
                <w:lang w:val="en-US" w:eastAsia="zh-CN" w:bidi="ar"/>
              </w:rPr>
              <w:t>自定义多维查询</w:t>
            </w:r>
          </w:p>
          <w:p w14:paraId="194C96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支持选择不同图表、不同维度（医共体、机构）查询指标数据。</w:t>
            </w:r>
          </w:p>
        </w:tc>
      </w:tr>
      <w:tr w14:paraId="55A8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00" w:type="pct"/>
            <w:vMerge w:val="continue"/>
            <w:noWrap w:val="0"/>
            <w:vAlign w:val="center"/>
          </w:tcPr>
          <w:p w14:paraId="0613DEC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A77336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81724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w:t>
            </w:r>
            <w:r>
              <w:rPr>
                <w:rFonts w:hint="eastAsia" w:ascii="宋体" w:hAnsi="宋体" w:eastAsia="宋体" w:cs="宋体"/>
                <w:b/>
                <w:bCs/>
                <w:color w:val="auto"/>
                <w:sz w:val="21"/>
                <w:szCs w:val="21"/>
                <w:u w:val="none"/>
                <w:lang w:val="en-US" w:eastAsia="zh-CN" w:bidi="ar"/>
              </w:rPr>
              <w:t>指标说明</w:t>
            </w:r>
          </w:p>
          <w:p w14:paraId="7FD0E1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支持查看指标说明。</w:t>
            </w:r>
          </w:p>
        </w:tc>
      </w:tr>
      <w:tr w14:paraId="7BD9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00" w:type="pct"/>
            <w:vMerge w:val="continue"/>
            <w:noWrap w:val="0"/>
            <w:vAlign w:val="center"/>
          </w:tcPr>
          <w:p w14:paraId="1FAA405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045B8CE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7D12C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w:t>
            </w:r>
            <w:r>
              <w:rPr>
                <w:rFonts w:hint="eastAsia" w:ascii="宋体" w:hAnsi="宋体" w:eastAsia="宋体" w:cs="宋体"/>
                <w:b/>
                <w:bCs/>
                <w:color w:val="auto"/>
                <w:sz w:val="21"/>
                <w:szCs w:val="21"/>
                <w:u w:val="none"/>
                <w:lang w:val="en-US" w:eastAsia="zh-CN" w:bidi="ar"/>
              </w:rPr>
              <w:t>达标情况</w:t>
            </w:r>
          </w:p>
          <w:p w14:paraId="32F709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支持根据目标值展示指标达标情况。</w:t>
            </w:r>
          </w:p>
        </w:tc>
      </w:tr>
      <w:tr w14:paraId="4D91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00" w:type="pct"/>
            <w:vMerge w:val="continue"/>
            <w:noWrap w:val="0"/>
            <w:vAlign w:val="center"/>
          </w:tcPr>
          <w:p w14:paraId="2775508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64842A9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6D715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w:t>
            </w:r>
            <w:r>
              <w:rPr>
                <w:rFonts w:hint="eastAsia" w:ascii="宋体" w:hAnsi="宋体" w:eastAsia="宋体" w:cs="宋体"/>
                <w:b/>
                <w:bCs/>
                <w:color w:val="auto"/>
                <w:sz w:val="21"/>
                <w:szCs w:val="21"/>
                <w:u w:val="none"/>
                <w:lang w:val="en-US" w:eastAsia="zh-CN" w:bidi="ar"/>
              </w:rPr>
              <w:t>预警状态</w:t>
            </w:r>
          </w:p>
          <w:p w14:paraId="204D38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支持根据预警规则展示指标预警状态。</w:t>
            </w:r>
          </w:p>
        </w:tc>
      </w:tr>
      <w:tr w14:paraId="10EA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continue"/>
            <w:noWrap w:val="0"/>
            <w:vAlign w:val="center"/>
          </w:tcPr>
          <w:p w14:paraId="496ADAD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47D8BE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A617D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w:t>
            </w:r>
            <w:r>
              <w:rPr>
                <w:rFonts w:hint="eastAsia" w:ascii="宋体" w:hAnsi="宋体" w:eastAsia="宋体" w:cs="宋体"/>
                <w:b/>
                <w:bCs/>
                <w:color w:val="auto"/>
                <w:sz w:val="21"/>
                <w:szCs w:val="21"/>
                <w:u w:val="none"/>
                <w:lang w:val="en-US" w:eastAsia="zh-CN" w:bidi="ar"/>
              </w:rPr>
              <w:t>同比分析</w:t>
            </w:r>
          </w:p>
          <w:p w14:paraId="46DE9E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支持指标同比分析。</w:t>
            </w:r>
          </w:p>
        </w:tc>
      </w:tr>
      <w:tr w14:paraId="25DF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continue"/>
            <w:noWrap w:val="0"/>
            <w:vAlign w:val="center"/>
          </w:tcPr>
          <w:p w14:paraId="0BDF24C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306BB6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740E8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十一、</w:t>
            </w:r>
            <w:r>
              <w:rPr>
                <w:rFonts w:hint="eastAsia" w:ascii="宋体" w:hAnsi="宋体" w:eastAsia="宋体" w:cs="宋体"/>
                <w:b/>
                <w:bCs/>
                <w:color w:val="auto"/>
                <w:sz w:val="21"/>
                <w:szCs w:val="21"/>
                <w:u w:val="none"/>
                <w:lang w:val="en-US" w:eastAsia="zh-CN" w:bidi="ar"/>
              </w:rPr>
              <w:t>导出功能</w:t>
            </w:r>
          </w:p>
          <w:p w14:paraId="2FAB2C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支持导出功能。</w:t>
            </w:r>
          </w:p>
        </w:tc>
      </w:tr>
      <w:tr w14:paraId="480C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restart"/>
            <w:noWrap w:val="0"/>
            <w:vAlign w:val="center"/>
          </w:tcPr>
          <w:p w14:paraId="3CB3C2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447" w:type="pct"/>
            <w:vMerge w:val="restart"/>
            <w:noWrap w:val="0"/>
            <w:vAlign w:val="center"/>
          </w:tcPr>
          <w:p w14:paraId="12D932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专题分析（新增）</w:t>
            </w:r>
          </w:p>
        </w:tc>
        <w:tc>
          <w:tcPr>
            <w:tcW w:w="4052" w:type="pct"/>
            <w:noWrap w:val="0"/>
            <w:vAlign w:val="center"/>
          </w:tcPr>
          <w:p w14:paraId="6634F7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专题切换</w:t>
            </w:r>
          </w:p>
          <w:p w14:paraId="2E9DFE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支持专题分析界面切换不同专题。</w:t>
            </w:r>
          </w:p>
        </w:tc>
      </w:tr>
      <w:tr w14:paraId="654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continue"/>
            <w:noWrap w:val="0"/>
            <w:vAlign w:val="center"/>
          </w:tcPr>
          <w:p w14:paraId="11FDC6C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2D7F36F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52411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专题分析</w:t>
            </w:r>
          </w:p>
          <w:p w14:paraId="7F9AE3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支持按用户配置的专题界面展示专题分析。</w:t>
            </w:r>
          </w:p>
        </w:tc>
      </w:tr>
      <w:tr w14:paraId="25AE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continue"/>
            <w:noWrap w:val="0"/>
            <w:vAlign w:val="center"/>
          </w:tcPr>
          <w:p w14:paraId="3417E6C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7E2C59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D0A60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自定义多维查询</w:t>
            </w:r>
          </w:p>
          <w:p w14:paraId="7F082D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支持选择不同图表、不同维度查询指标数据。</w:t>
            </w:r>
          </w:p>
        </w:tc>
      </w:tr>
      <w:tr w14:paraId="44B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00" w:type="pct"/>
            <w:vMerge w:val="restart"/>
            <w:noWrap w:val="0"/>
            <w:vAlign w:val="center"/>
          </w:tcPr>
          <w:p w14:paraId="61BA37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447" w:type="pct"/>
            <w:vMerge w:val="restart"/>
            <w:noWrap w:val="0"/>
            <w:vAlign w:val="center"/>
          </w:tcPr>
          <w:p w14:paraId="313CCF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图表工具（新增）</w:t>
            </w:r>
          </w:p>
        </w:tc>
        <w:tc>
          <w:tcPr>
            <w:tcW w:w="4052" w:type="pct"/>
            <w:noWrap w:val="0"/>
            <w:vAlign w:val="center"/>
          </w:tcPr>
          <w:p w14:paraId="6B6C76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图表分析工具</w:t>
            </w:r>
          </w:p>
          <w:p w14:paraId="5B0B37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数据分析</w:t>
            </w:r>
          </w:p>
          <w:p w14:paraId="503A25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支持选择数据服务器。</w:t>
            </w:r>
          </w:p>
          <w:p w14:paraId="67E30B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支持选择数据库。</w:t>
            </w:r>
          </w:p>
          <w:p w14:paraId="4D1457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支持选择多维数据集。</w:t>
            </w:r>
          </w:p>
          <w:p w14:paraId="59715C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支持编辑图表算法。</w:t>
            </w:r>
          </w:p>
          <w:p w14:paraId="0FE8D0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支持设置下钻图表。</w:t>
            </w:r>
          </w:p>
          <w:p w14:paraId="776E50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图表展示</w:t>
            </w:r>
          </w:p>
          <w:p w14:paraId="55C161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支持展示柱状图，条形图、趋势图、饼图、面积图、仪表盘、雷达图、散点图、漏斗图、指标卡。</w:t>
            </w:r>
          </w:p>
          <w:p w14:paraId="6B133A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属性多样化设置</w:t>
            </w:r>
          </w:p>
          <w:p w14:paraId="7DED1C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支持设置图形的共性设置：标题，提示，图例，风格，数据标签，轴设置。</w:t>
            </w:r>
          </w:p>
        </w:tc>
      </w:tr>
      <w:tr w14:paraId="3555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0" w:type="pct"/>
            <w:vMerge w:val="continue"/>
            <w:noWrap w:val="0"/>
            <w:vAlign w:val="center"/>
          </w:tcPr>
          <w:p w14:paraId="753F97A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8B0C60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3B884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数据源配置</w:t>
            </w:r>
          </w:p>
          <w:p w14:paraId="5C44D8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支持配置sql、Oracle、mysql等语义的数据源。</w:t>
            </w:r>
          </w:p>
        </w:tc>
      </w:tr>
      <w:tr w14:paraId="5ADA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continue"/>
            <w:noWrap w:val="0"/>
            <w:vAlign w:val="center"/>
          </w:tcPr>
          <w:p w14:paraId="704A80E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4974E0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332568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配置报表</w:t>
            </w:r>
          </w:p>
          <w:p w14:paraId="4EBD66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支持对报表参数及其他报表配置项进行设置。</w:t>
            </w:r>
          </w:p>
        </w:tc>
      </w:tr>
      <w:tr w14:paraId="143A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500" w:type="pct"/>
            <w:vMerge w:val="continue"/>
            <w:noWrap w:val="0"/>
            <w:vAlign w:val="center"/>
          </w:tcPr>
          <w:p w14:paraId="3969427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6257D01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9F8AC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报表一览</w:t>
            </w:r>
          </w:p>
          <w:p w14:paraId="0B23A4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支持列出所有报表的详细信息，方便用户查看、查找和操作报表。</w:t>
            </w:r>
          </w:p>
        </w:tc>
      </w:tr>
      <w:tr w14:paraId="6C5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 w:type="pct"/>
            <w:vMerge w:val="continue"/>
            <w:noWrap w:val="0"/>
            <w:vAlign w:val="center"/>
          </w:tcPr>
          <w:p w14:paraId="5EB63E7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F6FDEB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34FEDF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查询条件</w:t>
            </w:r>
          </w:p>
          <w:p w14:paraId="115FC3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支持根据参数设置和控件类型设置来配置控件，此处控件将用来展现报表所用</w:t>
            </w:r>
          </w:p>
        </w:tc>
      </w:tr>
      <w:tr w14:paraId="58F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00" w:type="pct"/>
            <w:vMerge w:val="continue"/>
            <w:noWrap w:val="0"/>
            <w:vAlign w:val="center"/>
          </w:tcPr>
          <w:p w14:paraId="2E71D2F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36B377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35186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eastAsia="宋体" w:cs="宋体"/>
                <w:b/>
                <w:bCs/>
                <w:color w:val="auto"/>
                <w:sz w:val="21"/>
                <w:szCs w:val="21"/>
                <w:u w:val="none"/>
                <w:lang w:val="en-US" w:eastAsia="zh-CN" w:bidi="ar"/>
              </w:rPr>
              <w:t>报表设计器</w:t>
            </w:r>
          </w:p>
          <w:p w14:paraId="1B8B14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支持各种复杂报表、图表设计。零编码、拖拽式操作。</w:t>
            </w:r>
          </w:p>
        </w:tc>
      </w:tr>
      <w:tr w14:paraId="3E4C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restart"/>
            <w:noWrap w:val="0"/>
            <w:vAlign w:val="center"/>
          </w:tcPr>
          <w:p w14:paraId="551A3A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447" w:type="pct"/>
            <w:vMerge w:val="restart"/>
            <w:noWrap w:val="0"/>
            <w:vAlign w:val="center"/>
          </w:tcPr>
          <w:p w14:paraId="73F277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指标管理（新增）</w:t>
            </w:r>
          </w:p>
        </w:tc>
        <w:tc>
          <w:tcPr>
            <w:tcW w:w="4052" w:type="pct"/>
            <w:noWrap w:val="0"/>
            <w:vAlign w:val="center"/>
          </w:tcPr>
          <w:p w14:paraId="48C7E5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指标库</w:t>
            </w:r>
          </w:p>
          <w:p w14:paraId="4789C8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列表管理</w:t>
            </w:r>
          </w:p>
          <w:p w14:paraId="0FA514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支持设置列表格式，用户可通过该功能自定义设置列表放中每列的指标内容，并进行位置调整。</w:t>
            </w:r>
          </w:p>
          <w:p w14:paraId="7AF5CE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指标基本信息管理</w:t>
            </w:r>
          </w:p>
          <w:p w14:paraId="45F5C1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支持对指标名称的维护、指标编码的维护、指标分类的设置、指标性质的选择、指标导向、指标来源系统、指标单位、指标展示名称、指标定义、指标意义、指标说明、图标。</w:t>
            </w:r>
          </w:p>
          <w:p w14:paraId="1B3899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指标取数方式管理</w:t>
            </w:r>
          </w:p>
          <w:p w14:paraId="1EFB5B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支持维护指标取数方式、计算公式。</w:t>
            </w:r>
          </w:p>
          <w:p w14:paraId="6B00A5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指标算法管理</w:t>
            </w:r>
          </w:p>
          <w:p w14:paraId="08617F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支持维护指标多算法，可进行算法的替换，系统根据算法自动生成指标数据。</w:t>
            </w:r>
          </w:p>
          <w:p w14:paraId="58985A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指标来源政策管理</w:t>
            </w:r>
          </w:p>
          <w:p w14:paraId="7E6DF5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支持维护指标来源政策文件的名称、指标在该政策中的编码、在该政策中指标名称。</w:t>
            </w:r>
          </w:p>
          <w:p w14:paraId="6C2F71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指标权限配置</w:t>
            </w:r>
          </w:p>
          <w:p w14:paraId="1AC6F2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支持配置指标权限。</w:t>
            </w:r>
          </w:p>
          <w:p w14:paraId="5EBE2E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指标单位规则配置</w:t>
            </w:r>
          </w:p>
          <w:p w14:paraId="148316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支持设置指标单位展示规则。</w:t>
            </w:r>
          </w:p>
          <w:p w14:paraId="14BA97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EXCEL导入</w:t>
            </w:r>
          </w:p>
          <w:p w14:paraId="0B5071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支持EXCEL导入指标列表。</w:t>
            </w:r>
          </w:p>
          <w:p w14:paraId="2305AA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导出功能</w:t>
            </w:r>
          </w:p>
          <w:p w14:paraId="280B02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支持导出指标列表。</w:t>
            </w:r>
          </w:p>
          <w:p w14:paraId="61C717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指标修改日志</w:t>
            </w:r>
          </w:p>
          <w:p w14:paraId="0DFBE0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支持查看指标修改日志。记录指标的新增、修改、删除、操作者。</w:t>
            </w:r>
          </w:p>
        </w:tc>
      </w:tr>
      <w:tr w14:paraId="1518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0" w:type="pct"/>
            <w:vMerge w:val="continue"/>
            <w:noWrap w:val="0"/>
            <w:vAlign w:val="center"/>
          </w:tcPr>
          <w:p w14:paraId="4FC7B14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2EF6452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1346EF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指标分类管理</w:t>
            </w:r>
          </w:p>
          <w:p w14:paraId="443073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指标分类级别管理</w:t>
            </w:r>
          </w:p>
          <w:p w14:paraId="470AEA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支持维护指标分类的级别。</w:t>
            </w:r>
          </w:p>
          <w:p w14:paraId="2FEFCC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指标分类基本信息管理</w:t>
            </w:r>
          </w:p>
          <w:p w14:paraId="1BC4D5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支持维护指标分类的编码、名称、所属一级分类。</w:t>
            </w:r>
          </w:p>
          <w:p w14:paraId="57A7F3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指标分类操作日志</w:t>
            </w:r>
          </w:p>
          <w:p w14:paraId="649528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支持查看指标分类操作日志。记录指标分类的新增、修改、删除、操作者。</w:t>
            </w:r>
          </w:p>
        </w:tc>
      </w:tr>
      <w:tr w14:paraId="7721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00" w:type="pct"/>
            <w:vMerge w:val="continue"/>
            <w:noWrap w:val="0"/>
            <w:vAlign w:val="center"/>
          </w:tcPr>
          <w:p w14:paraId="08EE640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6B85384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F0407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指标方案管理</w:t>
            </w:r>
          </w:p>
          <w:p w14:paraId="58DDD9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指标方案管理</w:t>
            </w:r>
          </w:p>
          <w:p w14:paraId="46593B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支持新增、修改、删除、查询普通方案与考核方案。</w:t>
            </w:r>
          </w:p>
          <w:p w14:paraId="143C97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方案基本信息管理</w:t>
            </w:r>
          </w:p>
          <w:p w14:paraId="2CEAA1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支持维护方案基本信息，如：方案名称、方案编码、方案主负责人、方案描述。</w:t>
            </w:r>
          </w:p>
          <w:p w14:paraId="097F84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方案指标配置</w:t>
            </w:r>
          </w:p>
          <w:p w14:paraId="79DABF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支持对方案中的指标列表进行管理。包括新增、删除指标，修改指标在本方案中展示名称。</w:t>
            </w:r>
          </w:p>
          <w:p w14:paraId="6E3E71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方案权限管理</w:t>
            </w:r>
          </w:p>
          <w:p w14:paraId="4EDADB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支持对考核方案中各指标的权限进行配置，也可批量设置指标权限。</w:t>
            </w:r>
          </w:p>
          <w:p w14:paraId="08A869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方案版本管理</w:t>
            </w:r>
          </w:p>
          <w:p w14:paraId="225E03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支持对方案新增、修改、删除方案版本，并支持方案版本对比功能。</w:t>
            </w:r>
          </w:p>
          <w:p w14:paraId="5023F5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方案操作日志</w:t>
            </w:r>
          </w:p>
          <w:p w14:paraId="28819B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支持查看方案操作日志。记录方案的新增、修改、删除、操作者。</w:t>
            </w:r>
          </w:p>
          <w:p w14:paraId="52F3B4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考核方案审批管理</w:t>
            </w:r>
          </w:p>
          <w:p w14:paraId="771839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支持考核方案具备审批流程，考核方案主负责人拥有最大权限可修改方案信息，其余人员修改方案信息均需提交审批流程由方案主负责人审批通过后才可生效。</w:t>
            </w:r>
          </w:p>
        </w:tc>
      </w:tr>
      <w:tr w14:paraId="42BA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00" w:type="pct"/>
            <w:vMerge w:val="continue"/>
            <w:noWrap w:val="0"/>
            <w:vAlign w:val="center"/>
          </w:tcPr>
          <w:p w14:paraId="0BBF178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834078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44368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目标管理</w:t>
            </w:r>
          </w:p>
          <w:p w14:paraId="0C2030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目标值层级管理</w:t>
            </w:r>
          </w:p>
          <w:p w14:paraId="5C8D5F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支持按不同层级设置目标值，并支持多选层级设置目标值，目标值层级为区域、医共体、机构、科室。</w:t>
            </w:r>
          </w:p>
          <w:p w14:paraId="291873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目标值时间颗粒管理</w:t>
            </w:r>
          </w:p>
          <w:p w14:paraId="71BECF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支持按不同时间颗粒设置目标值，并支持多选时间颗粒设置目标值。时间颗粒为天、月、季、年。</w:t>
            </w:r>
          </w:p>
          <w:p w14:paraId="70FF1F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目标值下发管理</w:t>
            </w:r>
          </w:p>
          <w:p w14:paraId="1B69C9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支持由考核方案主负责人将方案中部分指标或所有指标设置完成层级、时间颗粒、时间范围后下发至对应负责人进行填写。</w:t>
            </w:r>
          </w:p>
          <w:p w14:paraId="2CB54B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目标值审批管理</w:t>
            </w:r>
          </w:p>
          <w:p w14:paraId="53D21C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考核方案主负责人将指标目标值下发至对应负责人，由对应负责人填写完成后提交至主负责人处审批通过后即可生效。</w:t>
            </w:r>
          </w:p>
          <w:p w14:paraId="61B737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快捷设置目标值</w:t>
            </w:r>
          </w:p>
          <w:p w14:paraId="5ED133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支持用户设置目标值时，选择参考去年值、去年目标值并将其快速填入至表格中。用户也可输入具体值，选择将其平均拆分或保持一致填入至下方目标值列表中。</w:t>
            </w:r>
          </w:p>
          <w:p w14:paraId="0210DA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目标值操作日志</w:t>
            </w:r>
          </w:p>
          <w:p w14:paraId="4DD8BA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支持查看目标值操作日志，包括操作指标名称、操作指标编码、操作内容，操作时间，操作者。</w:t>
            </w:r>
          </w:p>
        </w:tc>
      </w:tr>
      <w:tr w14:paraId="197E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500" w:type="pct"/>
            <w:vMerge w:val="continue"/>
            <w:noWrap w:val="0"/>
            <w:vAlign w:val="center"/>
          </w:tcPr>
          <w:p w14:paraId="10F8241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CB1981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E8AFC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预警管理</w:t>
            </w:r>
          </w:p>
          <w:p w14:paraId="55E1D6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预警层级设置</w:t>
            </w:r>
          </w:p>
          <w:p w14:paraId="41CAC8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支持按不同层级设置预警规则，并支持多选层级设置预警规则，预警规则层级为区域、医共体、机构、科室。</w:t>
            </w:r>
          </w:p>
          <w:p w14:paraId="076F54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预警时间颗粒设置</w:t>
            </w:r>
          </w:p>
          <w:p w14:paraId="713D0A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支持按不同时间颗粒设置预警规则，并支持多选时间颗粒设置预警规则。时间颗粒为天、月、季、年。</w:t>
            </w:r>
          </w:p>
          <w:p w14:paraId="0AE763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预警规则管理</w:t>
            </w:r>
          </w:p>
          <w:p w14:paraId="69889B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支持用户设置预警规则，可设置指标的上限值、下限值或区间值，当指标数据超过指标范围时发送预警通知。</w:t>
            </w:r>
          </w:p>
          <w:p w14:paraId="7A2656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预警频率管理</w:t>
            </w:r>
          </w:p>
          <w:p w14:paraId="0C9801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支持用户设置预警频率，可设置频率为年、月、季、日、时。系统将按设置频率自动查询指标数据，当指标数据触发预警规则时，发送预警通知。</w:t>
            </w:r>
          </w:p>
          <w:p w14:paraId="0C65FE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预警通知管理</w:t>
            </w:r>
          </w:p>
          <w:p w14:paraId="2D5E95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支持用户设置不同预警紧急程度下预警通知的方式，可选择钉钉推送、短信、平台消息通知。</w:t>
            </w:r>
          </w:p>
          <w:p w14:paraId="31A261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预警设置审批管理</w:t>
            </w:r>
          </w:p>
          <w:p w14:paraId="538A89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支持考核方案主负责人将考核方案中部分指标或全部指标设置好层级、时间颗粒后下发至对应负责人，由对应负责人预警规则设置完成后提交至主负责人审批成功后启用。</w:t>
            </w:r>
          </w:p>
          <w:p w14:paraId="5E1342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预警管理操作日志</w:t>
            </w:r>
          </w:p>
          <w:p w14:paraId="52EBD7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支持查看预警规则操作日志，包括操作指标名称、操作指标编码、操作内容，操作时间，操作者。</w:t>
            </w:r>
          </w:p>
        </w:tc>
      </w:tr>
      <w:tr w14:paraId="52E7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00" w:type="pct"/>
            <w:vMerge w:val="continue"/>
            <w:noWrap w:val="0"/>
            <w:vAlign w:val="center"/>
          </w:tcPr>
          <w:p w14:paraId="7FC0FDB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E8C4BE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34DAD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eastAsia="宋体" w:cs="宋体"/>
                <w:b/>
                <w:bCs/>
                <w:color w:val="auto"/>
                <w:sz w:val="21"/>
                <w:szCs w:val="21"/>
                <w:u w:val="none"/>
                <w:lang w:val="en-US" w:eastAsia="zh-CN" w:bidi="ar"/>
              </w:rPr>
              <w:t>手工填报</w:t>
            </w:r>
          </w:p>
          <w:p w14:paraId="16AFE4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指标填报</w:t>
            </w:r>
          </w:p>
          <w:p w14:paraId="0F7F2A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支持按不同层级（区域、医共体、机构、科室、医生）、不同时间颗粒（天、月、季、年）填报指标结果，并将其展示在医院运行管理系统中。</w:t>
            </w:r>
          </w:p>
          <w:p w14:paraId="7C27DE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权限分配</w:t>
            </w:r>
          </w:p>
          <w:p w14:paraId="37929F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支持指标主负责人将该指标分配给对应人员手工填报，未分配的人员，无权限修改或填报指标结果。</w:t>
            </w:r>
          </w:p>
          <w:p w14:paraId="337D77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EXCEL导入</w:t>
            </w:r>
          </w:p>
          <w:p w14:paraId="64ED56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提供不同层级、不同时间颗粒的手工填报导入模板，支持EXCEL导入指标结果。</w:t>
            </w:r>
          </w:p>
          <w:p w14:paraId="23433C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数据暂存</w:t>
            </w:r>
          </w:p>
          <w:p w14:paraId="695E14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支持用户随时进行数据的暂存和清空操作。用户可以手动清空。倘若不想手动清空临时数据，在正式提交后，这些数据也会自动清空。</w:t>
            </w:r>
          </w:p>
          <w:p w14:paraId="7E49D4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联合填报</w:t>
            </w:r>
          </w:p>
          <w:p w14:paraId="755836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支持将指标下发至对应负责人，实现联合填报。</w:t>
            </w:r>
          </w:p>
        </w:tc>
      </w:tr>
      <w:tr w14:paraId="7104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continue"/>
            <w:noWrap w:val="0"/>
            <w:vAlign w:val="center"/>
          </w:tcPr>
          <w:p w14:paraId="4400F9E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DE3A03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6E4D83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w:t>
            </w:r>
            <w:r>
              <w:rPr>
                <w:rFonts w:hint="eastAsia" w:ascii="宋体" w:hAnsi="宋体" w:eastAsia="宋体" w:cs="宋体"/>
                <w:b/>
                <w:bCs/>
                <w:color w:val="auto"/>
                <w:sz w:val="21"/>
                <w:szCs w:val="21"/>
                <w:u w:val="none"/>
                <w:lang w:val="en-US" w:eastAsia="zh-CN" w:bidi="ar"/>
              </w:rPr>
              <w:t>专题管理</w:t>
            </w:r>
          </w:p>
          <w:p w14:paraId="08AA66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专题基本信息管理</w:t>
            </w:r>
          </w:p>
          <w:p w14:paraId="33B2B9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支持维护专题基本信息，如专题名称、专题编码、专题描述。</w:t>
            </w:r>
          </w:p>
          <w:p w14:paraId="2BE262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专题布局管理</w:t>
            </w:r>
          </w:p>
          <w:p w14:paraId="0EBCEE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支持用户按自己喜欢风格选择专题布局，布局选择完成后，专题展示页面将按用户选择的专题布局进行展示数据分析。</w:t>
            </w:r>
          </w:p>
          <w:p w14:paraId="6D113A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专题指标配置</w:t>
            </w:r>
          </w:p>
          <w:p w14:paraId="3D37DD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支持设置专题中各个模块的指标内容。</w:t>
            </w:r>
          </w:p>
          <w:p w14:paraId="3F5314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指标图表配置</w:t>
            </w:r>
          </w:p>
          <w:p w14:paraId="595BEA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支持专题模块中的指标配置图表展现形式，包括指标卡，仪表盘，柱状图，折线图，列表。</w:t>
            </w:r>
          </w:p>
          <w:p w14:paraId="74EFCC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指标维度配置</w:t>
            </w:r>
          </w:p>
          <w:p w14:paraId="026A06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支持专题模块中的指标设置不同维度进行展示，公用维度包括医共体，机构，科室，时间；个别指标维度包括入院途径、离院方式、诊断。</w:t>
            </w:r>
          </w:p>
          <w:p w14:paraId="5CDFC0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专题发布</w:t>
            </w:r>
          </w:p>
          <w:p w14:paraId="190BA7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支持专题配置完成后发布，系统将生成一张专题分析页面，专题分析可按医共体、机构，时间颗粒（天、月、季、年），时间范围查询专题中各指标数据。</w:t>
            </w:r>
          </w:p>
          <w:p w14:paraId="78CE58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专题权限管理</w:t>
            </w:r>
          </w:p>
          <w:p w14:paraId="1B4B98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支持通过权限配置控制人员是否可看到该专题分析。</w:t>
            </w:r>
          </w:p>
        </w:tc>
      </w:tr>
      <w:tr w14:paraId="7AFE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0" w:type="pct"/>
            <w:vMerge w:val="restart"/>
            <w:noWrap w:val="0"/>
            <w:vAlign w:val="center"/>
          </w:tcPr>
          <w:p w14:paraId="413F2A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447" w:type="pct"/>
            <w:vMerge w:val="restart"/>
            <w:noWrap w:val="0"/>
            <w:vAlign w:val="center"/>
          </w:tcPr>
          <w:p w14:paraId="0851A3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指标生成（新增）</w:t>
            </w:r>
          </w:p>
        </w:tc>
        <w:tc>
          <w:tcPr>
            <w:tcW w:w="4052" w:type="pct"/>
            <w:noWrap w:val="0"/>
            <w:vAlign w:val="center"/>
          </w:tcPr>
          <w:p w14:paraId="750044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数据抽取</w:t>
            </w:r>
          </w:p>
          <w:p w14:paraId="4E6245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数据源-字典值域映射维护</w:t>
            </w:r>
          </w:p>
          <w:p w14:paraId="5E0B5B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支持维护数据源-数据仓库字典值域映射</w:t>
            </w:r>
          </w:p>
          <w:p w14:paraId="06D990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维度数据抽取</w:t>
            </w:r>
          </w:p>
          <w:p w14:paraId="0B870B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支持从数据中心定期抽取维度数据到DIM层</w:t>
            </w:r>
          </w:p>
          <w:p w14:paraId="210C3C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业务数据抽取</w:t>
            </w:r>
          </w:p>
          <w:p w14:paraId="2B4ABC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支持从数据中心定期抽取业务数据到DWD层</w:t>
            </w:r>
          </w:p>
        </w:tc>
      </w:tr>
      <w:tr w14:paraId="619C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00" w:type="pct"/>
            <w:vMerge w:val="continue"/>
            <w:noWrap w:val="0"/>
            <w:vAlign w:val="center"/>
          </w:tcPr>
          <w:p w14:paraId="68B273A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0E066A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BFDFE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数据生成汇聚</w:t>
            </w:r>
          </w:p>
          <w:p w14:paraId="307B69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数据全量生成</w:t>
            </w:r>
          </w:p>
          <w:p w14:paraId="4C331A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支持全量地将DWD层数据汇聚到DWS/DWT层</w:t>
            </w:r>
          </w:p>
          <w:p w14:paraId="70EA0E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数据增量生成</w:t>
            </w:r>
          </w:p>
          <w:p w14:paraId="43171F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支持增量地将DWD层数据汇聚到DWS/DWT层</w:t>
            </w:r>
          </w:p>
          <w:p w14:paraId="1B5213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数据归档</w:t>
            </w:r>
          </w:p>
          <w:p w14:paraId="0DAF07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支持定期将数仓数据进行归档</w:t>
            </w:r>
          </w:p>
          <w:p w14:paraId="794FD8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数据去重</w:t>
            </w:r>
          </w:p>
          <w:p w14:paraId="612738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支持针对主键相同地数据进行合并去重操作</w:t>
            </w:r>
          </w:p>
          <w:p w14:paraId="5616E4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数据清洗</w:t>
            </w:r>
          </w:p>
          <w:p w14:paraId="56F941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支持对数仓业务数据中不符合标准规范或者无效的数据进行清洗操作</w:t>
            </w:r>
          </w:p>
        </w:tc>
      </w:tr>
      <w:tr w14:paraId="7227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00" w:type="pct"/>
            <w:vMerge w:val="continue"/>
            <w:noWrap w:val="0"/>
            <w:vAlign w:val="center"/>
          </w:tcPr>
          <w:p w14:paraId="5365B5E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00622A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9624E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数据质量控制</w:t>
            </w:r>
          </w:p>
          <w:p w14:paraId="0A00B8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维度字典核查</w:t>
            </w:r>
          </w:p>
          <w:p w14:paraId="739D0C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支持定期对数据仓库字典与数据中心字典进行比较核查</w:t>
            </w:r>
          </w:p>
          <w:p w14:paraId="5FD013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数据源-数据中心数据核查</w:t>
            </w:r>
          </w:p>
          <w:p w14:paraId="504524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支持定期对数据源和数据中心数据进行数据统计核查</w:t>
            </w:r>
          </w:p>
          <w:p w14:paraId="57CE18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数据源-数据仓库数据核查</w:t>
            </w:r>
          </w:p>
          <w:p w14:paraId="7C5C7F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支持定期对数据源和数据仓库数据进行数据统计核查</w:t>
            </w:r>
          </w:p>
          <w:p w14:paraId="30300C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数据中心-数据仓库数据核查</w:t>
            </w:r>
          </w:p>
          <w:p w14:paraId="56747E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支持定期对数据中心和数据仓库数据进行数据统计核查</w:t>
            </w:r>
          </w:p>
          <w:p w14:paraId="4B3B0B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核查出现问题报警功能</w:t>
            </w:r>
          </w:p>
          <w:p w14:paraId="2666D3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支持对核查结果进行报警的功能</w:t>
            </w:r>
          </w:p>
        </w:tc>
      </w:tr>
      <w:tr w14:paraId="04DA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0" w:type="pct"/>
            <w:vMerge w:val="continue"/>
            <w:noWrap w:val="0"/>
            <w:vAlign w:val="center"/>
          </w:tcPr>
          <w:p w14:paraId="6F7A162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55FAC6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724F2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数据安全管理</w:t>
            </w:r>
          </w:p>
          <w:p w14:paraId="56B257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指标权限控制</w:t>
            </w:r>
          </w:p>
          <w:p w14:paraId="0B77E0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支持对指标进行权限控制，不同用户看到指标范围不同</w:t>
            </w:r>
          </w:p>
          <w:p w14:paraId="086153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数据范围权限控制</w:t>
            </w:r>
          </w:p>
          <w:p w14:paraId="0561D1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支持对数据进行范围控制，不同用户看到的数据范围不同</w:t>
            </w:r>
          </w:p>
          <w:p w14:paraId="6C6688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数据脱敏</w:t>
            </w:r>
          </w:p>
          <w:p w14:paraId="0E67EE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支持对敏感数据进行脱敏</w:t>
            </w:r>
          </w:p>
        </w:tc>
      </w:tr>
      <w:tr w14:paraId="7EAF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00" w:type="pct"/>
            <w:vMerge w:val="continue"/>
            <w:noWrap w:val="0"/>
            <w:vAlign w:val="center"/>
          </w:tcPr>
          <w:p w14:paraId="38D1FFB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6585E454">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9995E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数据查询</w:t>
            </w:r>
          </w:p>
          <w:p w14:paraId="10C609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统计信息查询</w:t>
            </w:r>
          </w:p>
          <w:p w14:paraId="1D678D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支持查询指标统计数据</w:t>
            </w:r>
          </w:p>
          <w:p w14:paraId="2CB926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列表查询</w:t>
            </w:r>
          </w:p>
          <w:p w14:paraId="7D6DDF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支持查询指标相关列表数据</w:t>
            </w:r>
          </w:p>
          <w:p w14:paraId="5DF75F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图表查询</w:t>
            </w:r>
          </w:p>
          <w:p w14:paraId="1D46F7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支持查询指标相关图表数据</w:t>
            </w:r>
          </w:p>
          <w:p w14:paraId="2B18C2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关联下钻查询</w:t>
            </w:r>
          </w:p>
          <w:p w14:paraId="2637E2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支持指标数据的下钻查询</w:t>
            </w:r>
          </w:p>
          <w:p w14:paraId="5EBF4C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个性化查询</w:t>
            </w:r>
          </w:p>
          <w:p w14:paraId="32B7C9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支持可个性化的指标数据查询</w:t>
            </w:r>
          </w:p>
        </w:tc>
      </w:tr>
      <w:tr w14:paraId="36E9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00" w:type="pct"/>
            <w:vMerge w:val="continue"/>
            <w:noWrap w:val="0"/>
            <w:vAlign w:val="center"/>
          </w:tcPr>
          <w:p w14:paraId="192693F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20DDCB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3121B6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eastAsia="宋体" w:cs="宋体"/>
                <w:b/>
                <w:bCs/>
                <w:color w:val="auto"/>
                <w:sz w:val="21"/>
                <w:szCs w:val="21"/>
                <w:u w:val="none"/>
                <w:lang w:val="en-US" w:eastAsia="zh-CN" w:bidi="ar"/>
              </w:rPr>
              <w:t>其它数据维护</w:t>
            </w:r>
          </w:p>
          <w:p w14:paraId="7E7287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1.指标、算法、方案维护</w:t>
            </w:r>
          </w:p>
          <w:p w14:paraId="164CEA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支持维护指标、算法、方案等增删改查及其它相关管理</w:t>
            </w:r>
          </w:p>
        </w:tc>
      </w:tr>
      <w:tr w14:paraId="1D74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00" w:type="pct"/>
            <w:vMerge w:val="restart"/>
            <w:noWrap w:val="0"/>
            <w:vAlign w:val="center"/>
          </w:tcPr>
          <w:p w14:paraId="22010F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447" w:type="pct"/>
            <w:vMerge w:val="restart"/>
            <w:noWrap w:val="0"/>
            <w:vAlign w:val="center"/>
          </w:tcPr>
          <w:p w14:paraId="6B54DD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医院运行管理-移动端（新增）</w:t>
            </w:r>
          </w:p>
        </w:tc>
        <w:tc>
          <w:tcPr>
            <w:tcW w:w="4052" w:type="pct"/>
            <w:noWrap w:val="0"/>
            <w:vAlign w:val="center"/>
          </w:tcPr>
          <w:p w14:paraId="33C252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w:t>
            </w:r>
            <w:r>
              <w:rPr>
                <w:rFonts w:hint="eastAsia" w:ascii="宋体" w:hAnsi="宋体" w:eastAsia="宋体" w:cs="宋体"/>
                <w:b/>
                <w:bCs/>
                <w:color w:val="auto"/>
                <w:sz w:val="21"/>
                <w:szCs w:val="21"/>
                <w:u w:val="none"/>
                <w:lang w:val="en-US" w:eastAsia="zh-CN" w:bidi="ar"/>
              </w:rPr>
              <w:t>首页</w:t>
            </w:r>
          </w:p>
          <w:p w14:paraId="5FC760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用户信息</w:t>
            </w:r>
          </w:p>
          <w:p w14:paraId="1D72F7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支持展示用户的个人名片，包括用户账号、用户姓名、用户头像、用户类别（医师、护士、技师）、用户所属科室。</w:t>
            </w:r>
          </w:p>
          <w:p w14:paraId="6026F4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今日关注</w:t>
            </w:r>
          </w:p>
          <w:p w14:paraId="7F2E19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支持展示区域内今日医疗服务活动开展情况。如今日门诊人次、今日急诊人次、今日门诊收入、今日急诊收入、在院人数。</w:t>
            </w:r>
          </w:p>
          <w:p w14:paraId="2210B3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运营分析</w:t>
            </w:r>
          </w:p>
          <w:p w14:paraId="48CDC7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支持展示上月医院运营指标数据情况，用户可自行选择时间范围。如医疗总收入、中药收入、西药收入、药品收入、住院基本药物使用金额比例。</w:t>
            </w:r>
          </w:p>
          <w:p w14:paraId="174205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预警状态</w:t>
            </w:r>
          </w:p>
          <w:p w14:paraId="454B40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支持展示最近一段时间内指标预警情况，可查看指标预警状态触发规则及历史预警明细。</w:t>
            </w:r>
          </w:p>
          <w:p w14:paraId="22FD58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指标明细</w:t>
            </w:r>
          </w:p>
          <w:p w14:paraId="5B7AD1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支持查看指标下钻至医共体、机构明细数据。</w:t>
            </w:r>
          </w:p>
        </w:tc>
      </w:tr>
      <w:tr w14:paraId="4D8D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00" w:type="pct"/>
            <w:vMerge w:val="continue"/>
            <w:noWrap w:val="0"/>
            <w:vAlign w:val="center"/>
          </w:tcPr>
          <w:p w14:paraId="2B7CE40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38BCC1E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E78B8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w:t>
            </w:r>
            <w:r>
              <w:rPr>
                <w:rFonts w:hint="eastAsia" w:ascii="宋体" w:hAnsi="宋体" w:eastAsia="宋体" w:cs="宋体"/>
                <w:b/>
                <w:bCs/>
                <w:color w:val="auto"/>
                <w:sz w:val="21"/>
                <w:szCs w:val="21"/>
                <w:u w:val="none"/>
                <w:lang w:val="en-US" w:eastAsia="zh-CN" w:bidi="ar"/>
              </w:rPr>
              <w:t>今日关注</w:t>
            </w:r>
          </w:p>
          <w:p w14:paraId="55E9D7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今日流量监测</w:t>
            </w:r>
          </w:p>
          <w:p w14:paraId="593068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支持今日流量监测指标展示，可查看指标说明，支持选择医共体查询指标数据。</w:t>
            </w:r>
          </w:p>
          <w:p w14:paraId="226211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门诊业务</w:t>
            </w:r>
          </w:p>
          <w:p w14:paraId="67B101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支持门急诊收入、门急诊次均费用、门急诊人次等指标展示，可查看指标说明，支持选择医共体查询指标数据。</w:t>
            </w:r>
          </w:p>
          <w:p w14:paraId="2A4B3F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住院业务</w:t>
            </w:r>
          </w:p>
          <w:p w14:paraId="3D51B3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支持今日入院人次、今日出院人次、床位数、当前占用床位数指标展示，可查看指标说明，支持选择医共体查询指标数据。</w:t>
            </w:r>
          </w:p>
          <w:p w14:paraId="252DF7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手术业务</w:t>
            </w:r>
          </w:p>
          <w:p w14:paraId="196ED4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支持今日预计手术人数、今日已完成手术人数、今日未完成手术人数、今日手术完成率指标展示，可查看指标说明，支持选择医共体查询指标数据。</w:t>
            </w:r>
          </w:p>
        </w:tc>
      </w:tr>
      <w:tr w14:paraId="28A8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0" w:type="pct"/>
            <w:vMerge w:val="continue"/>
            <w:noWrap w:val="0"/>
            <w:vAlign w:val="center"/>
          </w:tcPr>
          <w:p w14:paraId="6A969C0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4221A3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B53A1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w:t>
            </w:r>
            <w:r>
              <w:rPr>
                <w:rFonts w:hint="eastAsia" w:ascii="宋体" w:hAnsi="宋体" w:eastAsia="宋体" w:cs="宋体"/>
                <w:b/>
                <w:bCs/>
                <w:color w:val="auto"/>
                <w:sz w:val="21"/>
                <w:szCs w:val="21"/>
                <w:u w:val="none"/>
                <w:lang w:val="en-US" w:eastAsia="zh-CN" w:bidi="ar"/>
              </w:rPr>
              <w:t>门急诊概览</w:t>
            </w:r>
          </w:p>
          <w:p w14:paraId="5626BA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门急诊收入情况</w:t>
            </w:r>
          </w:p>
          <w:p w14:paraId="0C0E8C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支持门急诊收入情况指标展示，可查看指标说明，支持选择医共体、时间范围查询指标数据。</w:t>
            </w:r>
          </w:p>
          <w:p w14:paraId="2F9B6A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门急诊次均费用情况</w:t>
            </w:r>
          </w:p>
          <w:p w14:paraId="3B3AFF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支持门急诊次均费用情况指标展示，可查看指标说明，支持选择医共体、时间范围查询指标数据。</w:t>
            </w:r>
          </w:p>
          <w:p w14:paraId="2E91FB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门急诊收入构成</w:t>
            </w:r>
          </w:p>
          <w:p w14:paraId="7D1129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支持门急诊收入构成指标展示，可查看指标说明，支持选择医共体、时间范围查询指标数据。</w:t>
            </w:r>
          </w:p>
          <w:p w14:paraId="76AD04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门急诊人次概览</w:t>
            </w:r>
          </w:p>
          <w:p w14:paraId="34A8FB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支持门急诊人次概览指标展示，可查看指标说明，支持选择医共体、时间范围查询指标数据。</w:t>
            </w:r>
          </w:p>
        </w:tc>
      </w:tr>
      <w:tr w14:paraId="1F89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00" w:type="pct"/>
            <w:vMerge w:val="continue"/>
            <w:noWrap w:val="0"/>
            <w:vAlign w:val="center"/>
          </w:tcPr>
          <w:p w14:paraId="44864A7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2449879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E9FD6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w:t>
            </w:r>
            <w:r>
              <w:rPr>
                <w:rFonts w:hint="eastAsia" w:ascii="宋体" w:hAnsi="宋体" w:eastAsia="宋体" w:cs="宋体"/>
                <w:b/>
                <w:bCs/>
                <w:color w:val="auto"/>
                <w:sz w:val="21"/>
                <w:szCs w:val="21"/>
                <w:u w:val="none"/>
                <w:lang w:val="en-US" w:eastAsia="zh-CN" w:bidi="ar"/>
              </w:rPr>
              <w:t>住院概览</w:t>
            </w:r>
          </w:p>
          <w:p w14:paraId="32C2FB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住院收入概览</w:t>
            </w:r>
          </w:p>
          <w:p w14:paraId="47B83C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支持住院收入概览指标展示，可查看指标说明，支持选择医共体、时间范围查询指标数据。</w:t>
            </w:r>
          </w:p>
          <w:p w14:paraId="70879B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住院人次概览</w:t>
            </w:r>
          </w:p>
          <w:p w14:paraId="27E575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支持住院人次概览指标展示，可查看指标说明，支持选择医共体、时间范围查询指标数据。</w:t>
            </w:r>
          </w:p>
          <w:p w14:paraId="690AE7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次均费用情况</w:t>
            </w:r>
          </w:p>
          <w:p w14:paraId="62FCBA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支持次均费用情况指标展示，可查看指标说明，支持选择医共体、时间范围查询指标数据。</w:t>
            </w:r>
          </w:p>
          <w:p w14:paraId="1C4C5B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床位效率分析</w:t>
            </w:r>
          </w:p>
          <w:p w14:paraId="664605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支持床位效率分析指标展示，可查看指标说明，支持选择医共体、时间范围查询指标数据。</w:t>
            </w:r>
          </w:p>
          <w:p w14:paraId="3F45C8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住院超30天患者数分析</w:t>
            </w:r>
          </w:p>
          <w:p w14:paraId="6C13BD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支持住院超30天患者数分析指标展示，可查看指标说明，支持选择医共体、时间范围查询指标数据。</w:t>
            </w:r>
          </w:p>
          <w:p w14:paraId="6CF891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基本药物概览</w:t>
            </w:r>
          </w:p>
          <w:p w14:paraId="49A59F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支持基本药物概览指标展示，可查看指标说明，支持选择医共体、时间范围查询指标数据。</w:t>
            </w:r>
          </w:p>
          <w:p w14:paraId="2E8CD2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抗菌药物概览</w:t>
            </w:r>
          </w:p>
          <w:p w14:paraId="71A32E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支持抗菌药物概览指标展示，可查看指标说明，支持选择医共体、时间范围查询指标数据。</w:t>
            </w:r>
          </w:p>
          <w:p w14:paraId="1594D9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中药饮片概览</w:t>
            </w:r>
          </w:p>
          <w:p w14:paraId="002657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支持中药饮片概览指标展示，可查看指标说明，支持选择医共体、时间范围查询指标数据。</w:t>
            </w:r>
          </w:p>
        </w:tc>
      </w:tr>
      <w:tr w14:paraId="7A3B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0" w:type="pct"/>
            <w:vMerge w:val="continue"/>
            <w:noWrap w:val="0"/>
            <w:vAlign w:val="center"/>
          </w:tcPr>
          <w:p w14:paraId="2795DC8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ED13C3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152E0D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w:t>
            </w:r>
            <w:r>
              <w:rPr>
                <w:rFonts w:hint="eastAsia" w:ascii="宋体" w:hAnsi="宋体" w:eastAsia="宋体" w:cs="宋体"/>
                <w:b/>
                <w:bCs/>
                <w:color w:val="auto"/>
                <w:sz w:val="21"/>
                <w:szCs w:val="21"/>
                <w:u w:val="none"/>
                <w:lang w:val="en-US" w:eastAsia="zh-CN" w:bidi="ar"/>
              </w:rPr>
              <w:t>药品概览</w:t>
            </w:r>
          </w:p>
          <w:p w14:paraId="7B5DF0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药品构成概览</w:t>
            </w:r>
          </w:p>
          <w:p w14:paraId="0F566B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支持药品构成概览指标展示，可查看指标说明，支持选择医共体、时间范围查询指标数据。</w:t>
            </w:r>
          </w:p>
        </w:tc>
      </w:tr>
      <w:tr w14:paraId="599F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0" w:type="pct"/>
            <w:vMerge w:val="continue"/>
            <w:noWrap w:val="0"/>
            <w:vAlign w:val="center"/>
          </w:tcPr>
          <w:p w14:paraId="5EA6A53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74877FB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24CDEF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w:t>
            </w:r>
            <w:r>
              <w:rPr>
                <w:rFonts w:hint="eastAsia" w:ascii="宋体" w:hAnsi="宋体" w:eastAsia="宋体" w:cs="宋体"/>
                <w:b/>
                <w:bCs/>
                <w:color w:val="auto"/>
                <w:sz w:val="21"/>
                <w:szCs w:val="21"/>
                <w:u w:val="none"/>
                <w:lang w:val="en-US" w:eastAsia="zh-CN" w:bidi="ar"/>
              </w:rPr>
              <w:t>手术概览</w:t>
            </w:r>
          </w:p>
          <w:p w14:paraId="5B2632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手术质量监控</w:t>
            </w:r>
          </w:p>
          <w:p w14:paraId="166D12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支持手术质量监控指标展示，可查看指标说明，支持选择医共体、时间范围查询指标数据。</w:t>
            </w:r>
          </w:p>
          <w:p w14:paraId="48F444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手术室监控</w:t>
            </w:r>
          </w:p>
          <w:p w14:paraId="7230B1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支持展示当前空闲手术室、当前在用手术室、手术室名称、手术室使用时长，可查看指标说明。</w:t>
            </w:r>
          </w:p>
        </w:tc>
      </w:tr>
      <w:tr w14:paraId="704C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 w:type="pct"/>
            <w:vMerge w:val="continue"/>
            <w:noWrap w:val="0"/>
            <w:vAlign w:val="center"/>
          </w:tcPr>
          <w:p w14:paraId="1188356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08E08338">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5FD63B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w:t>
            </w:r>
            <w:r>
              <w:rPr>
                <w:rFonts w:hint="eastAsia" w:ascii="宋体" w:hAnsi="宋体" w:eastAsia="宋体" w:cs="宋体"/>
                <w:b/>
                <w:bCs/>
                <w:color w:val="auto"/>
                <w:sz w:val="21"/>
                <w:szCs w:val="21"/>
                <w:u w:val="none"/>
                <w:lang w:val="en-US" w:eastAsia="zh-CN" w:bidi="ar"/>
              </w:rPr>
              <w:t>医技概览</w:t>
            </w:r>
          </w:p>
          <w:p w14:paraId="36B7EC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检查检验人次概览</w:t>
            </w:r>
          </w:p>
          <w:p w14:paraId="65115D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支持检查执行人次、检验执行人次指标展示，可查看指标说明，支持选择医共体、时间范围查询指标数据。</w:t>
            </w:r>
          </w:p>
          <w:p w14:paraId="48ED8A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检验报告时效性分析</w:t>
            </w:r>
          </w:p>
          <w:p w14:paraId="315ACC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支持检验报告时效性分析指标展示，可查看指标说明，支持选择医共体、时间范围查询指标数据。</w:t>
            </w:r>
          </w:p>
          <w:p w14:paraId="20D3EE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检验项目分布</w:t>
            </w:r>
          </w:p>
          <w:p w14:paraId="7CCCDA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支持检验项目分布指标展示，可查看指标说明，支持选择医共体、时间范围查询指标数据。</w:t>
            </w:r>
          </w:p>
        </w:tc>
      </w:tr>
      <w:tr w14:paraId="6CFD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 w:type="pct"/>
            <w:vMerge w:val="continue"/>
            <w:noWrap w:val="0"/>
            <w:vAlign w:val="center"/>
          </w:tcPr>
          <w:p w14:paraId="02ECCFA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E02FFF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0A155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w:t>
            </w:r>
            <w:r>
              <w:rPr>
                <w:rFonts w:hint="eastAsia" w:ascii="宋体" w:hAnsi="宋体" w:eastAsia="宋体" w:cs="宋体"/>
                <w:b/>
                <w:bCs/>
                <w:color w:val="auto"/>
                <w:sz w:val="21"/>
                <w:szCs w:val="21"/>
                <w:u w:val="none"/>
                <w:lang w:val="en-US" w:eastAsia="zh-CN" w:bidi="ar"/>
              </w:rPr>
              <w:t>工作效率概览</w:t>
            </w:r>
          </w:p>
          <w:p w14:paraId="65F983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医师担负情况</w:t>
            </w:r>
          </w:p>
          <w:p w14:paraId="19BF5E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支持医师日均担负门诊人次、医师日均担负住院床日、医师人均担负手术人次、医师人均担负收入指标展示，可查看指标说明，支持选择医共体、时间范围查询指标数据。</w:t>
            </w:r>
          </w:p>
          <w:p w14:paraId="144C6D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医师担负明细</w:t>
            </w:r>
          </w:p>
          <w:p w14:paraId="714B80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支持展示医师日均担负门诊人次、医师日均担负住院床日、医师人均担负手术人次、医师人均担负收入各医共体、各机构明细数据。</w:t>
            </w:r>
          </w:p>
        </w:tc>
      </w:tr>
      <w:tr w14:paraId="6670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pct"/>
            <w:vMerge w:val="continue"/>
            <w:noWrap w:val="0"/>
            <w:vAlign w:val="center"/>
          </w:tcPr>
          <w:p w14:paraId="10C9979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4E08BDCB">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430451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w:t>
            </w:r>
            <w:r>
              <w:rPr>
                <w:rFonts w:hint="eastAsia" w:ascii="宋体" w:hAnsi="宋体" w:eastAsia="宋体" w:cs="宋体"/>
                <w:b/>
                <w:bCs/>
                <w:color w:val="auto"/>
                <w:sz w:val="21"/>
                <w:szCs w:val="21"/>
                <w:u w:val="none"/>
                <w:lang w:val="en-US" w:eastAsia="zh-CN" w:bidi="ar"/>
              </w:rPr>
              <w:t>患者画像概览</w:t>
            </w:r>
          </w:p>
          <w:p w14:paraId="3B05D8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今日流量监控</w:t>
            </w:r>
          </w:p>
          <w:p w14:paraId="639C93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支持今日已接诊人次、今日候诊人次在各时间段的人次情况的展示，可查看指标说明，支持选择医共体查询指标数据。</w:t>
            </w:r>
          </w:p>
          <w:p w14:paraId="0E2A53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门诊患者性别分析</w:t>
            </w:r>
          </w:p>
          <w:p w14:paraId="54338A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支持门诊患者性别分布指标展示，可查看指标说明，支持选择医共体、时间范围查询指标数据。</w:t>
            </w:r>
          </w:p>
          <w:p w14:paraId="09F793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门诊患者就诊年龄分布</w:t>
            </w:r>
          </w:p>
          <w:p w14:paraId="48F222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年龄维度（0-10岁、11-20岁、21-30岁、31-40岁、41-50岁、51-60岁、61-70岁、71-80岁、81-90岁、91-100岁、100岁以上，具体年龄段以实际需求为准）展示门诊就诊人次在每个年龄段的人次，可查看指标说明，支持选择医共体、时间范围查询指标数据。</w:t>
            </w:r>
          </w:p>
          <w:p w14:paraId="5DCA65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门诊就诊途径分析</w:t>
            </w:r>
          </w:p>
          <w:p w14:paraId="415BF0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支持线上预约门诊人次、到院挂号门诊人次、转院门诊人次（具体指标以医院内实际就诊途径为准）展示，可查看指标说明，支持选择医共体、时间范围查询指标数据。</w:t>
            </w:r>
          </w:p>
          <w:p w14:paraId="1E0F56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门诊就诊患者地域分布</w:t>
            </w:r>
          </w:p>
          <w:p w14:paraId="6EBEAD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支持门诊就诊患者地域分布指标展示，可查看指标说明，支持选择医共体、时间范围查询指标数据。</w:t>
            </w:r>
          </w:p>
          <w:p w14:paraId="392C91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住院患者性别年龄分析</w:t>
            </w:r>
          </w:p>
          <w:p w14:paraId="6120DC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支持住院患者性别年龄分析指标展示，可查看指标说明，支持选择医共体、时间范围查询指标数据。</w:t>
            </w:r>
          </w:p>
          <w:p w14:paraId="7F5B0E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住院患者住院天数分析</w:t>
            </w:r>
          </w:p>
          <w:p w14:paraId="2F701C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支持住院患者住院天数分析指标展示，可查看指标说明，支持选择医共体、时间范围查询指标数据。</w:t>
            </w:r>
          </w:p>
          <w:p w14:paraId="4B0C2B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住院患者出院方式分析</w:t>
            </w:r>
          </w:p>
          <w:p w14:paraId="074201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支持住院患者出院方式分析指标展示，可查看指标说明，支持选择医共体、时间范围查询指标数据。</w:t>
            </w:r>
          </w:p>
          <w:p w14:paraId="73D3B2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出院诊断分析</w:t>
            </w:r>
          </w:p>
          <w:p w14:paraId="6B11BC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支持出院诊断分析指标展示，可查看指标说明，支持选择医共体、时间范围查询指标数据。</w:t>
            </w:r>
          </w:p>
        </w:tc>
      </w:tr>
      <w:tr w14:paraId="238D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00" w:type="pct"/>
            <w:vMerge w:val="continue"/>
            <w:noWrap w:val="0"/>
            <w:vAlign w:val="center"/>
          </w:tcPr>
          <w:p w14:paraId="43B6AF5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575BCCB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0AA1C4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w:t>
            </w:r>
            <w:r>
              <w:rPr>
                <w:rFonts w:hint="eastAsia" w:ascii="宋体" w:hAnsi="宋体" w:eastAsia="宋体" w:cs="宋体"/>
                <w:b/>
                <w:bCs/>
                <w:color w:val="auto"/>
                <w:sz w:val="21"/>
                <w:szCs w:val="21"/>
                <w:u w:val="none"/>
                <w:lang w:val="en-US" w:eastAsia="zh-CN" w:bidi="ar"/>
              </w:rPr>
              <w:t>人员结构概览</w:t>
            </w:r>
          </w:p>
          <w:p w14:paraId="74C037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人员基本情况</w:t>
            </w:r>
          </w:p>
          <w:p w14:paraId="41F1C27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支持人员基本情况指标展示，可查看指标说明，支持选择医共体、时间范围查询指标数据。</w:t>
            </w:r>
          </w:p>
          <w:p w14:paraId="320EF5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医护比</w:t>
            </w:r>
          </w:p>
          <w:p w14:paraId="5A6A58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支持医护比指标展示，可查看指标说明，支持选择医共体、时间范围查询指标数据。</w:t>
            </w:r>
          </w:p>
          <w:p w14:paraId="06D7AD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人员工作年限分布</w:t>
            </w:r>
          </w:p>
          <w:p w14:paraId="45A0A3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支持人员工作年限分布指标展示，可查看指标说明，支持选择医共体、时间范围查询指标数据。</w:t>
            </w:r>
          </w:p>
          <w:p w14:paraId="3EB79F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人员学历情况</w:t>
            </w:r>
          </w:p>
          <w:p w14:paraId="71D2E4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支持人员学历情况指标展示，可查看指标说明，支持选择医共体、时间范围查询指标数据。</w:t>
            </w:r>
          </w:p>
          <w:p w14:paraId="1BF335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人员职称构成</w:t>
            </w:r>
          </w:p>
          <w:p w14:paraId="2409C0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支持人员职称构成指标展示，可查看指标说明，支持选择医共体、时间范围查询指标数据。</w:t>
            </w:r>
          </w:p>
          <w:p w14:paraId="42E2ED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人员年龄分布</w:t>
            </w:r>
          </w:p>
          <w:p w14:paraId="60B41E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支持人员年龄分布指标展示，可查看指标说明，支持选择医共体、时间范围查询指标数据。</w:t>
            </w:r>
          </w:p>
        </w:tc>
      </w:tr>
      <w:tr w14:paraId="315C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00" w:type="pct"/>
            <w:vMerge w:val="continue"/>
            <w:noWrap w:val="0"/>
            <w:vAlign w:val="center"/>
          </w:tcPr>
          <w:p w14:paraId="202B499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6ED4AD3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35B122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十一、</w:t>
            </w:r>
            <w:r>
              <w:rPr>
                <w:rFonts w:hint="eastAsia" w:ascii="宋体" w:hAnsi="宋体" w:eastAsia="宋体" w:cs="宋体"/>
                <w:b/>
                <w:bCs/>
                <w:color w:val="auto"/>
                <w:sz w:val="21"/>
                <w:szCs w:val="21"/>
                <w:u w:val="none"/>
                <w:lang w:val="en-US" w:eastAsia="zh-CN" w:bidi="ar"/>
              </w:rPr>
              <w:t>指标监测</w:t>
            </w:r>
          </w:p>
          <w:p w14:paraId="3C46A1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方案切换</w:t>
            </w:r>
          </w:p>
          <w:p w14:paraId="14CA7F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支持指标监测页面切换不同方案。</w:t>
            </w:r>
          </w:p>
          <w:p w14:paraId="046DFB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指标总览情况</w:t>
            </w:r>
          </w:p>
          <w:p w14:paraId="6C9714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支持方案指标数、关注指标数展示，支持查看对应指标列表。</w:t>
            </w:r>
          </w:p>
          <w:p w14:paraId="508199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指标达标情况</w:t>
            </w:r>
          </w:p>
          <w:p w14:paraId="7896F1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支持根据指标目标值自动生成指标达标情况。</w:t>
            </w:r>
          </w:p>
          <w:p w14:paraId="54F669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指标预警状态</w:t>
            </w:r>
          </w:p>
          <w:p w14:paraId="5A70FA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支持展示指标预警状态，根据指标预警设置规则及指标数据自动判断指标数据是否达到红色预警、橙色预警、黄色预警、正常。</w:t>
            </w:r>
          </w:p>
          <w:p w14:paraId="28D4FA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指标历史预警信息</w:t>
            </w:r>
          </w:p>
          <w:p w14:paraId="040150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支持查看指标历史预警信息，可查看历史预警时间、预警紧急程度（红色、橙色、黄色）、预警触发的规则。</w:t>
            </w:r>
          </w:p>
          <w:p w14:paraId="308DDB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指标明细</w:t>
            </w:r>
          </w:p>
          <w:p w14:paraId="014502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支持查看指标医共体、机构数据指标明细情况。</w:t>
            </w:r>
          </w:p>
        </w:tc>
      </w:tr>
      <w:tr w14:paraId="3C1B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00" w:type="pct"/>
            <w:vMerge w:val="continue"/>
            <w:noWrap w:val="0"/>
            <w:vAlign w:val="center"/>
          </w:tcPr>
          <w:p w14:paraId="10C1CA6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47" w:type="pct"/>
            <w:vMerge w:val="continue"/>
            <w:noWrap w:val="0"/>
            <w:vAlign w:val="center"/>
          </w:tcPr>
          <w:p w14:paraId="198D4CA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rPr>
            </w:pPr>
          </w:p>
        </w:tc>
        <w:tc>
          <w:tcPr>
            <w:tcW w:w="4052" w:type="pct"/>
            <w:noWrap w:val="0"/>
            <w:vAlign w:val="center"/>
          </w:tcPr>
          <w:p w14:paraId="7BF2F9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十二、</w:t>
            </w:r>
            <w:r>
              <w:rPr>
                <w:rFonts w:hint="eastAsia" w:ascii="宋体" w:hAnsi="宋体" w:eastAsia="宋体" w:cs="宋体"/>
                <w:b/>
                <w:bCs/>
                <w:color w:val="auto"/>
                <w:sz w:val="21"/>
                <w:szCs w:val="21"/>
                <w:u w:val="none"/>
                <w:lang w:val="en-US" w:eastAsia="zh-CN" w:bidi="ar"/>
              </w:rPr>
              <w:t>消息通知</w:t>
            </w:r>
          </w:p>
          <w:p w14:paraId="084A66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支持将预警消息发送至医院运行管理-移动端。</w:t>
            </w:r>
          </w:p>
          <w:p w14:paraId="039E7C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支持医院运行管理待办业务以消息通知形式发送至移动端。</w:t>
            </w:r>
          </w:p>
        </w:tc>
      </w:tr>
    </w:tbl>
    <w:p w14:paraId="65FC3340">
      <w:pPr>
        <w:pageBreakBefore w:val="0"/>
        <w:widowControl/>
        <w:kinsoku/>
        <w:wordWrap/>
        <w:overflowPunct/>
        <w:topLinePunct w:val="0"/>
        <w:autoSpaceDE/>
        <w:autoSpaceDN/>
        <w:bidi w:val="0"/>
        <w:adjustRightInd w:val="0"/>
        <w:snapToGrid w:val="0"/>
        <w:spacing w:before="0" w:after="0" w:line="240" w:lineRule="auto"/>
        <w:ind w:left="0" w:firstLine="0"/>
        <w:jc w:val="left"/>
        <w:rPr>
          <w:rFonts w:ascii="Calibri" w:hAnsi="Calibri" w:eastAsia="宋体" w:cs="Times New Roman"/>
          <w:color w:val="auto"/>
          <w:sz w:val="21"/>
          <w:szCs w:val="21"/>
        </w:rPr>
      </w:pPr>
    </w:p>
    <w:p w14:paraId="182D72EB">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医疗行为监管</w:t>
      </w:r>
    </w:p>
    <w:tbl>
      <w:tblPr>
        <w:tblStyle w:val="13"/>
        <w:tblW w:w="4998" w:type="pct"/>
        <w:tblInd w:w="0" w:type="dxa"/>
        <w:tblLayout w:type="fixed"/>
        <w:tblCellMar>
          <w:top w:w="0" w:type="dxa"/>
          <w:left w:w="108" w:type="dxa"/>
          <w:bottom w:w="0" w:type="dxa"/>
          <w:right w:w="108" w:type="dxa"/>
        </w:tblCellMar>
      </w:tblPr>
      <w:tblGrid>
        <w:gridCol w:w="763"/>
        <w:gridCol w:w="1597"/>
        <w:gridCol w:w="6159"/>
      </w:tblGrid>
      <w:tr w14:paraId="7A5F69A8">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nil"/>
              <w:right w:val="single" w:color="000000" w:sz="4" w:space="0"/>
            </w:tcBorders>
            <w:noWrap/>
            <w:vAlign w:val="center"/>
          </w:tcPr>
          <w:p w14:paraId="41CD5856">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等线"/>
                <w:b/>
                <w:bCs/>
                <w:color w:val="auto"/>
                <w:sz w:val="21"/>
                <w:szCs w:val="21"/>
              </w:rPr>
            </w:pPr>
            <w:r>
              <w:rPr>
                <w:rFonts w:hint="eastAsia" w:ascii="宋体" w:hAnsi="宋体" w:eastAsia="宋体" w:cs="等线"/>
                <w:b/>
                <w:bCs/>
                <w:color w:val="auto"/>
                <w:kern w:val="0"/>
                <w:sz w:val="21"/>
                <w:szCs w:val="21"/>
                <w:lang w:bidi="ar"/>
              </w:rPr>
              <w:t>序号</w:t>
            </w:r>
          </w:p>
        </w:tc>
        <w:tc>
          <w:tcPr>
            <w:tcW w:w="1578" w:type="dxa"/>
            <w:tcBorders>
              <w:top w:val="single" w:color="000000" w:sz="4" w:space="0"/>
              <w:left w:val="single" w:color="000000" w:sz="4" w:space="0"/>
              <w:bottom w:val="single" w:color="000000" w:sz="4" w:space="0"/>
              <w:right w:val="nil"/>
            </w:tcBorders>
            <w:noWrap/>
            <w:vAlign w:val="center"/>
          </w:tcPr>
          <w:p w14:paraId="18E1F46A">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等线"/>
                <w:b/>
                <w:bCs/>
                <w:color w:val="auto"/>
                <w:sz w:val="21"/>
                <w:szCs w:val="21"/>
              </w:rPr>
            </w:pPr>
            <w:r>
              <w:rPr>
                <w:rFonts w:hint="eastAsia" w:ascii="宋体" w:hAnsi="宋体" w:eastAsia="宋体" w:cs="宋体"/>
                <w:b/>
                <w:bCs/>
                <w:i w:val="0"/>
                <w:iCs w:val="0"/>
                <w:color w:val="auto"/>
                <w:kern w:val="0"/>
                <w:sz w:val="21"/>
                <w:szCs w:val="21"/>
                <w:u w:val="none"/>
                <w:lang w:val="en-US" w:eastAsia="zh-CN" w:bidi="ar"/>
              </w:rPr>
              <w:t>模块</w:t>
            </w:r>
          </w:p>
        </w:tc>
        <w:tc>
          <w:tcPr>
            <w:tcW w:w="6087" w:type="dxa"/>
            <w:tcBorders>
              <w:top w:val="single" w:color="000000" w:sz="4" w:space="0"/>
              <w:left w:val="single" w:color="000000" w:sz="4" w:space="0"/>
              <w:bottom w:val="nil"/>
              <w:right w:val="single" w:color="000000" w:sz="4" w:space="0"/>
            </w:tcBorders>
            <w:noWrap w:val="0"/>
            <w:vAlign w:val="center"/>
          </w:tcPr>
          <w:p w14:paraId="7B1C09AB">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等线"/>
                <w:b/>
                <w:bCs/>
                <w:color w:val="auto"/>
                <w:sz w:val="21"/>
                <w:szCs w:val="21"/>
              </w:rPr>
            </w:pPr>
            <w:r>
              <w:rPr>
                <w:rFonts w:hint="eastAsia" w:ascii="宋体" w:hAnsi="宋体" w:eastAsia="宋体" w:cs="等线"/>
                <w:b/>
                <w:bCs/>
                <w:color w:val="auto"/>
                <w:kern w:val="0"/>
                <w:sz w:val="21"/>
                <w:szCs w:val="21"/>
                <w:lang w:bidi="ar"/>
              </w:rPr>
              <w:t>功能及技术参数</w:t>
            </w:r>
          </w:p>
        </w:tc>
      </w:tr>
      <w:tr w14:paraId="29D8BA69">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5C9CD5EF">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327C12DE">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总体要求（新建）</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7F051352">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实现对医疗机构内的医疗行为进行监测管理，根据预设的预警医疗统计指标进行统计分析</w:t>
            </w:r>
          </w:p>
        </w:tc>
      </w:tr>
      <w:tr w14:paraId="5C4690A0">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57F1FC88">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06489591">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风险统计（新建）</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7F823D92">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统计单次手术（操作）使用耗材费用3万元以上；</w:t>
            </w:r>
          </w:p>
          <w:p w14:paraId="567BC171">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单次手术（操作）使用同种高值耗材3个以上；</w:t>
            </w:r>
          </w:p>
          <w:p w14:paraId="2C1B1191">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术后3天内再次手术患者；</w:t>
            </w:r>
          </w:p>
          <w:p w14:paraId="5AAE6343">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一次住院天数超30天的患者；</w:t>
            </w:r>
          </w:p>
          <w:p w14:paraId="0EB476B2">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单次住院总费用超过30万元的患者；</w:t>
            </w:r>
          </w:p>
          <w:p w14:paraId="7BB2C397">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出院后30天内再入院的患者。</w:t>
            </w:r>
          </w:p>
        </w:tc>
      </w:tr>
      <w:tr w14:paraId="73C2E906">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326B7ACD">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6FA91CC9">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指标扩展（新建）</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4E1DEBC0">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支持按照业务需求扩展风险指标，对风险预警的维度进行自定义增加。</w:t>
            </w:r>
          </w:p>
        </w:tc>
      </w:tr>
    </w:tbl>
    <w:p w14:paraId="67873098">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专题应用展现</w:t>
      </w:r>
    </w:p>
    <w:tbl>
      <w:tblPr>
        <w:tblStyle w:val="13"/>
        <w:tblW w:w="4998" w:type="pct"/>
        <w:tblInd w:w="0" w:type="dxa"/>
        <w:tblLayout w:type="fixed"/>
        <w:tblCellMar>
          <w:top w:w="0" w:type="dxa"/>
          <w:left w:w="108" w:type="dxa"/>
          <w:bottom w:w="0" w:type="dxa"/>
          <w:right w:w="108" w:type="dxa"/>
        </w:tblCellMar>
      </w:tblPr>
      <w:tblGrid>
        <w:gridCol w:w="764"/>
        <w:gridCol w:w="1591"/>
        <w:gridCol w:w="6164"/>
      </w:tblGrid>
      <w:tr w14:paraId="6C41B5CC">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635140C0">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等线"/>
                <w:b/>
                <w:bCs/>
                <w:color w:val="auto"/>
                <w:sz w:val="21"/>
                <w:szCs w:val="21"/>
              </w:rPr>
            </w:pPr>
            <w:r>
              <w:rPr>
                <w:rFonts w:hint="eastAsia" w:ascii="宋体" w:hAnsi="宋体" w:eastAsia="宋体" w:cs="等线"/>
                <w:b/>
                <w:bCs/>
                <w:color w:val="auto"/>
                <w:kern w:val="0"/>
                <w:sz w:val="21"/>
                <w:szCs w:val="21"/>
                <w:lang w:bidi="ar"/>
              </w:rPr>
              <w:t>序号</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77710395">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等线"/>
                <w:b/>
                <w:bCs/>
                <w:color w:val="auto"/>
                <w:sz w:val="21"/>
                <w:szCs w:val="21"/>
              </w:rPr>
            </w:pPr>
            <w:r>
              <w:rPr>
                <w:rFonts w:hint="eastAsia" w:ascii="宋体" w:hAnsi="宋体" w:eastAsia="宋体" w:cs="宋体"/>
                <w:b/>
                <w:bCs/>
                <w:i w:val="0"/>
                <w:iCs w:val="0"/>
                <w:color w:val="auto"/>
                <w:kern w:val="0"/>
                <w:sz w:val="21"/>
                <w:szCs w:val="21"/>
                <w:u w:val="none"/>
                <w:lang w:val="en-US" w:eastAsia="zh-CN" w:bidi="ar"/>
              </w:rPr>
              <w:t>模块</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1609EEBE">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等线"/>
                <w:b/>
                <w:bCs/>
                <w:color w:val="auto"/>
                <w:sz w:val="21"/>
                <w:szCs w:val="21"/>
              </w:rPr>
            </w:pPr>
            <w:r>
              <w:rPr>
                <w:rFonts w:hint="eastAsia" w:ascii="宋体" w:hAnsi="宋体" w:eastAsia="宋体" w:cs="等线"/>
                <w:b/>
                <w:bCs/>
                <w:color w:val="auto"/>
                <w:kern w:val="0"/>
                <w:sz w:val="21"/>
                <w:szCs w:val="21"/>
                <w:lang w:bidi="ar"/>
              </w:rPr>
              <w:t>功能及技术参数</w:t>
            </w:r>
          </w:p>
        </w:tc>
      </w:tr>
      <w:tr w14:paraId="7DF21907">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0C388A18">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2EEF9C1E">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医疗服务（新建）</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18EB36D0">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包含人工智能诊断服务、人工智能辅助诊疗服务等应用在鄞州区使用情况的展示。</w:t>
            </w:r>
          </w:p>
        </w:tc>
      </w:tr>
      <w:tr w14:paraId="5A4D17D8">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3A2E8EEA">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02AB47BD">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公共卫生服务（新建）</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1259D783">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包含儿保业务协同管理、计划免疫业务协同管理、妇幼业务协同管理、居民健康画像、健康宣教等应用在鄞州区使用情况的展示。</w:t>
            </w:r>
          </w:p>
        </w:tc>
      </w:tr>
      <w:tr w14:paraId="28E29DC2">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01218C51">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0FE280AD">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卫生综合管理服务（新建）</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6B788F47">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包含体制改革管理、职业健康管理、医养结合管理、科教业务管理、电子健康卡用卡监测管理等应用在鄞州区使用情况的展示。</w:t>
            </w:r>
          </w:p>
        </w:tc>
      </w:tr>
      <w:tr w14:paraId="167C67BB">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3BC88075">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7D553CE6">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互联网便民服务（新建）</w:t>
            </w:r>
          </w:p>
        </w:tc>
        <w:tc>
          <w:tcPr>
            <w:tcW w:w="6087" w:type="dxa"/>
            <w:tcBorders>
              <w:top w:val="single" w:color="000000" w:sz="4" w:space="0"/>
              <w:left w:val="single" w:color="000000" w:sz="4" w:space="0"/>
              <w:bottom w:val="single" w:color="000000" w:sz="4" w:space="0"/>
              <w:right w:val="single" w:color="000000" w:sz="4" w:space="0"/>
            </w:tcBorders>
            <w:noWrap w:val="0"/>
            <w:vAlign w:val="center"/>
          </w:tcPr>
          <w:p w14:paraId="460922CE">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包含计免预约服务、疫苗库存查询服务、入园入学查验服务、出生证预约打印服务、预约献血在鄞州区使用情况的展示。</w:t>
            </w:r>
          </w:p>
        </w:tc>
      </w:tr>
      <w:tr w14:paraId="1C71D6C2">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2148F7A7">
            <w:pPr>
              <w:pageBreakBefore w:val="0"/>
              <w:widowControl/>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1571" w:type="dxa"/>
            <w:tcBorders>
              <w:top w:val="single" w:color="000000" w:sz="4" w:space="0"/>
              <w:left w:val="single" w:color="000000" w:sz="4" w:space="0"/>
              <w:bottom w:val="single" w:color="000000" w:sz="4" w:space="0"/>
              <w:right w:val="single" w:color="000000" w:sz="4" w:space="0"/>
            </w:tcBorders>
            <w:noWrap/>
            <w:vAlign w:val="center"/>
          </w:tcPr>
          <w:p w14:paraId="570F2356">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卫生监督服务（新建）</w:t>
            </w:r>
          </w:p>
        </w:tc>
        <w:tc>
          <w:tcPr>
            <w:tcW w:w="6087" w:type="dxa"/>
            <w:tcBorders>
              <w:top w:val="single" w:color="000000" w:sz="4" w:space="0"/>
              <w:left w:val="single" w:color="000000" w:sz="4" w:space="0"/>
              <w:bottom w:val="single" w:color="000000" w:sz="4" w:space="0"/>
              <w:right w:val="single" w:color="000000" w:sz="4" w:space="0"/>
            </w:tcBorders>
            <w:noWrap/>
            <w:vAlign w:val="center"/>
          </w:tcPr>
          <w:p w14:paraId="2CBAEA6C">
            <w:pPr>
              <w:pageBreakBefore w:val="0"/>
              <w:widowControl/>
              <w:kinsoku/>
              <w:wordWrap/>
              <w:overflowPunct/>
              <w:topLinePunct w:val="0"/>
              <w:autoSpaceDE/>
              <w:autoSpaceDN/>
              <w:bidi w:val="0"/>
              <w:adjustRightInd w:val="0"/>
              <w:snapToGrid w:val="0"/>
              <w:spacing w:before="0" w:after="0"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包含健康证查询服务。</w:t>
            </w:r>
          </w:p>
        </w:tc>
      </w:tr>
    </w:tbl>
    <w:p w14:paraId="45F6970C">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医疗质控</w:t>
      </w:r>
    </w:p>
    <w:p w14:paraId="5A0F6B4E">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电子病历质控</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6"/>
        <w:gridCol w:w="1193"/>
        <w:gridCol w:w="6660"/>
      </w:tblGrid>
      <w:tr w14:paraId="5457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pct"/>
            <w:tcBorders>
              <w:top w:val="single" w:color="000000" w:sz="4" w:space="0"/>
              <w:left w:val="single" w:color="000000" w:sz="4" w:space="0"/>
              <w:bottom w:val="single" w:color="000000" w:sz="4" w:space="0"/>
              <w:right w:val="single" w:color="000000" w:sz="4" w:space="0"/>
            </w:tcBorders>
            <w:noWrap w:val="0"/>
            <w:vAlign w:val="center"/>
          </w:tcPr>
          <w:p w14:paraId="45AB8ACF">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6EB8433E">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34A9EBA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4257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391" w:type="pct"/>
            <w:vMerge w:val="restart"/>
            <w:tcBorders>
              <w:top w:val="single" w:color="000000" w:sz="4" w:space="0"/>
              <w:left w:val="single" w:color="000000" w:sz="4" w:space="0"/>
              <w:bottom w:val="single" w:color="000000" w:sz="4" w:space="0"/>
              <w:right w:val="single" w:color="000000" w:sz="4" w:space="0"/>
            </w:tcBorders>
            <w:noWrap w:val="0"/>
            <w:vAlign w:val="center"/>
          </w:tcPr>
          <w:p w14:paraId="2E12E9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280204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医疗知识库（新建）</w:t>
            </w: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0071060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一、国家电子病历标准知识库</w:t>
            </w:r>
          </w:p>
          <w:p w14:paraId="10DBA8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支持维护国家电子病历标准数据集：包括数据标识符（DE）、数据元中文名、定义、数据元值的数据类型、表示格式、数据元允许值等内容，便于医生全方位学习查看</w:t>
            </w:r>
          </w:p>
          <w:p w14:paraId="4C9A03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支持按照数据元中文名等进行分类查询</w:t>
            </w:r>
          </w:p>
        </w:tc>
      </w:tr>
      <w:tr w14:paraId="2FB5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39476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956AC">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33CD926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二、医嘱知识库</w:t>
            </w:r>
          </w:p>
          <w:p w14:paraId="2C5869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支持各类医嘱字典维护管理：包括医嘱分类、医嘱代码、医嘱名称、使用范围、默认频次、默认途径等内容，便于医生全方位了解学习查看</w:t>
            </w:r>
          </w:p>
          <w:p w14:paraId="6E3B82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支持按照使用范围、名称等进行分类查询</w:t>
            </w:r>
          </w:p>
        </w:tc>
      </w:tr>
      <w:tr w14:paraId="69F6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CF83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3AD4A">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28C8BC6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三、疾病诊断知识库</w:t>
            </w:r>
          </w:p>
          <w:p w14:paraId="328D2C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支持各类中西医疾病诊断字典维护管理；包括诊断代码、诊断名称、国家诊断编码、国标码、诊断分类、性别限制等信息</w:t>
            </w:r>
          </w:p>
          <w:p w14:paraId="05C3F8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支持按照诊断分类、名称、状态等进行分类查询</w:t>
            </w:r>
          </w:p>
        </w:tc>
      </w:tr>
      <w:tr w14:paraId="1AF4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6ACC0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639DC4">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26A0D30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四、手术名称知识库</w:t>
            </w:r>
          </w:p>
          <w:p w14:paraId="5363A8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支持各类手术名称知识维护管理：包括手术名称、标准编码、所属类别、来源、国家标准等信息</w:t>
            </w:r>
          </w:p>
          <w:p w14:paraId="3F6A82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支持按照手术名称、状态等进行分类查询</w:t>
            </w:r>
          </w:p>
        </w:tc>
      </w:tr>
      <w:tr w14:paraId="6C11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0914EC">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62EF3A">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E2059C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五、质控规则知识库</w:t>
            </w:r>
          </w:p>
          <w:p w14:paraId="6835C1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支持各类质控规则知识维护管理：包括质控目录、质控条目、问题原因、适用诊断、评分方式、字典类型等</w:t>
            </w:r>
          </w:p>
          <w:p w14:paraId="3819D1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支持按照字典类型、限制动作及状态进行分类查询</w:t>
            </w:r>
          </w:p>
        </w:tc>
      </w:tr>
      <w:tr w14:paraId="2EB7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E5FBB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274C3E">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11D687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六、现代方剂知识库</w:t>
            </w:r>
          </w:p>
          <w:p w14:paraId="44CAD5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支持各类现代方剂知识维护管理；包括方剂名称、别名、类型、来源、组成、功效、主治、用法用量、用药禁忌、不良反应、临床应用等信息，便于医生更好的了解各类方剂的信息。</w:t>
            </w:r>
          </w:p>
          <w:p w14:paraId="6496E8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支持按照名称、类型、组成及功效进行分类查询</w:t>
            </w:r>
          </w:p>
        </w:tc>
      </w:tr>
      <w:tr w14:paraId="37E8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F279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532D61">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35C062B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七、古代方剂知识库</w:t>
            </w:r>
          </w:p>
          <w:p w14:paraId="3543D0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古代方剂知识维护管理，包括方剂名称、标准编码、所属大类、所属小类、类型、现代用法、来源、记录用法、主治、证治机理、方解、配伍特点、辩证要点、使用注意、临证加减、鉴别、医案举例等信息，便于医生更好的了解各类古代方剂的信息</w:t>
            </w:r>
          </w:p>
          <w:p w14:paraId="76B5F4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支持查看方剂草药明细，包括各类草药的饮片名、学名、剂量、用法说明等各类信息</w:t>
            </w:r>
          </w:p>
          <w:p w14:paraId="46304E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支持按照名称、类型、功用进行分类查询</w:t>
            </w:r>
          </w:p>
        </w:tc>
      </w:tr>
      <w:tr w14:paraId="61F8B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72EFE7">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48D075">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4E9BC8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八、中医草药知识库</w:t>
            </w:r>
          </w:p>
          <w:p w14:paraId="524453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中医草药维护管理；包括标准中药名称，编码、所属大类、所属小类、出处、说明、性味、归经、功效、炮制方法、用法、鉴别用药、注意事项、化学成分、药理作用等信息，便于医生全方位了解中药信息及学习，医生还可以多维度搜索及分类相应的中药</w:t>
            </w:r>
          </w:p>
          <w:p w14:paraId="22ED27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支持按照草药类别、草药名称进行分类查询</w:t>
            </w:r>
          </w:p>
        </w:tc>
      </w:tr>
      <w:tr w14:paraId="0A8D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91A85">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F8E8A">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29231DA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九、临床指南知识库</w:t>
            </w:r>
          </w:p>
          <w:p w14:paraId="6DC439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支持各类临床指南知识维护管理；包括科别、病名、出处、范围、参考书、定义、诊断、辩证论治、鉴别诊断、治疗、预方等信息</w:t>
            </w:r>
          </w:p>
          <w:p w14:paraId="51CB30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支持按照科别、病名进行分类查询</w:t>
            </w:r>
          </w:p>
        </w:tc>
      </w:tr>
      <w:tr w14:paraId="07AA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24EF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C43EAB">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7E2490F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十、名医医案知识库</w:t>
            </w:r>
          </w:p>
          <w:p w14:paraId="10DC7B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支持各类名医医案信息维护管理；包括医案题目、主治医生、医生等级、医案作者、刊名、年份、期数等信息</w:t>
            </w:r>
          </w:p>
        </w:tc>
      </w:tr>
      <w:tr w14:paraId="4AF7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5D19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A7E6B3">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BEAE9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支持按照题目、医生等级等进行分类查询</w:t>
            </w:r>
          </w:p>
        </w:tc>
      </w:tr>
      <w:tr w14:paraId="02E0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1F8A8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31A12E">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8618F0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十一、中医古籍知识库</w:t>
            </w:r>
          </w:p>
          <w:p w14:paraId="00DD6C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中医古籍文献进行数字化处理,支持各类中医古籍维护管理，实现各类中医古籍数字化、电子化。包括书名、编码、所属类别、作者、年代、章节、正文各类信息，实现无缺/错字、通用性好、检索快捷方便、读者互动交流、辅助研究性强。</w:t>
            </w:r>
          </w:p>
          <w:p w14:paraId="60F752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支持各类古籍、章节的查询，支持上一章、下一章的跳转</w:t>
            </w:r>
          </w:p>
          <w:p w14:paraId="3DEFBC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支持按照类别、书名、章节名称等进行分类查询</w:t>
            </w:r>
          </w:p>
        </w:tc>
      </w:tr>
      <w:tr w14:paraId="2BB2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A66A5">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AB1E36">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0D4674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十二、期刊文献知识库</w:t>
            </w:r>
          </w:p>
          <w:p w14:paraId="299264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支持各类期刊文献维护管理；包括文题、作者、刊名、年份、卷数、期数、类型、关键词、摘要等信息，方便医生查看各类期刊文献，更好的学习，并为诊疗系统参考</w:t>
            </w:r>
          </w:p>
          <w:p w14:paraId="153071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支持按照题目、关键词、刊名、作者等进行分类查询</w:t>
            </w:r>
          </w:p>
        </w:tc>
      </w:tr>
      <w:tr w14:paraId="57F3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8DB2D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078C00">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6545857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十三、中医穴位知识库</w:t>
            </w:r>
          </w:p>
          <w:p w14:paraId="226FB5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支持各穴位信息维护管理；包括穴位名称、穴位编码、所属大类、所属小类、国家标准、来源、特定穴、解剖、操作、定位、主治、针刺层次、穴位图等信息，便于医生分类查看各穴位信息</w:t>
            </w:r>
          </w:p>
          <w:p w14:paraId="620B82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支持从十二经脉、奇经八脉、十五络脉、常用经外奇穴各类类别进行分类查看</w:t>
            </w:r>
          </w:p>
          <w:p w14:paraId="4E86B1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支持按照穴位类别、名称、特定穴进行分类查询</w:t>
            </w:r>
          </w:p>
        </w:tc>
      </w:tr>
      <w:tr w14:paraId="5067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8D25CC">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B82FB">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9A8B7A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十四、医疗标准术语知识库</w:t>
            </w:r>
          </w:p>
          <w:p w14:paraId="37F7E6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支持中医疾病分类与代码维护管理</w:t>
            </w:r>
          </w:p>
          <w:p w14:paraId="17948D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支持各类中医证型证候维护管理</w:t>
            </w:r>
          </w:p>
          <w:p w14:paraId="6D7F32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支持中医诊断临床术语-病症分类代码维护管理</w:t>
            </w:r>
          </w:p>
          <w:p w14:paraId="5E033F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支持中医诊断临床术语-疾病分类代码维护管理</w:t>
            </w:r>
          </w:p>
          <w:p w14:paraId="466856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支持中医诊断临床术语-证候分类代码维护管理</w:t>
            </w:r>
          </w:p>
          <w:p w14:paraId="339894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支持中医诊断临床术语-治法分类代码维护管理</w:t>
            </w:r>
          </w:p>
        </w:tc>
      </w:tr>
      <w:tr w14:paraId="4C61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391" w:type="pct"/>
            <w:vMerge w:val="restart"/>
            <w:tcBorders>
              <w:top w:val="single" w:color="000000" w:sz="4" w:space="0"/>
              <w:left w:val="single" w:color="000000" w:sz="4" w:space="0"/>
              <w:bottom w:val="single" w:color="000000" w:sz="4" w:space="0"/>
              <w:right w:val="single" w:color="000000" w:sz="4" w:space="0"/>
            </w:tcBorders>
            <w:noWrap w:val="0"/>
            <w:vAlign w:val="center"/>
          </w:tcPr>
          <w:p w14:paraId="3D3B75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68629C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医疗质控模型（新建）</w:t>
            </w: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3B48845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一、质控规则构建</w:t>
            </w:r>
          </w:p>
          <w:p w14:paraId="39A684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支持使用领域医疗大语言模型辅助人工，智能地采集质控标准文件中的质控规则并结构化，或对医生更新录入的自然语言质控描述文本进行自动结构化，最后存入质控规则数据库中</w:t>
            </w:r>
          </w:p>
        </w:tc>
      </w:tr>
      <w:tr w14:paraId="51A6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48F00">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6534E4">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B61B1A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二、质控规则维护</w:t>
            </w:r>
          </w:p>
          <w:p w14:paraId="42A03D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质控规则分类维护</w:t>
            </w:r>
          </w:p>
          <w:p w14:paraId="4B3999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质控模型的质控规则展示，规则类型包括：完整性，有效性，一致性，逻辑性，时限性等，用户可新增规则类型，并在对应类型中添加具体质控规则，质控分类包括：完整性，有效性，一致性，逻辑性等。可在对应分类中登记详细规则。</w:t>
            </w:r>
          </w:p>
          <w:p w14:paraId="5DADF3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质控规则分类以及在对应分类中维护详细规则。例如基于专病诊疗规范或共识等建立的辩证-施治-用药-治疗校验规则，参考临床质量检查标准等建立的检查规则，根据门急诊病历评分标准等建立的评分规则，均可维护在质控规则界面</w:t>
            </w:r>
          </w:p>
          <w:p w14:paraId="0A42F1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支持用户对质控规则分类进行新增、删除、修改功能</w:t>
            </w:r>
          </w:p>
          <w:p w14:paraId="17CFAD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支持查看规则分类列表包括：类型名称，类型说明等</w:t>
            </w:r>
          </w:p>
          <w:p w14:paraId="0FC63A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支持用户在规则分类中对具体的质控规则进行新增、删除、修改功能</w:t>
            </w:r>
          </w:p>
          <w:p w14:paraId="2D1AFD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支持从门诊、住院电子病历中字段选择，并设置相应的规则，进行质控规则新增</w:t>
            </w:r>
          </w:p>
          <w:p w14:paraId="130247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支持根据新增的质控规则及样例数据，根据实际规则及样例情况，由大模型在最短时间内完成相应的规则训练</w:t>
            </w:r>
          </w:p>
          <w:p w14:paraId="693CCD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支持查看质控规则包括：规则名称，规则说明等</w:t>
            </w:r>
          </w:p>
          <w:p w14:paraId="3EBCCD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支持根据搜索条件查询规则分类信息和规则信息列表</w:t>
            </w:r>
          </w:p>
          <w:p w14:paraId="55C16C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质控规则详细维护</w:t>
            </w:r>
          </w:p>
          <w:p w14:paraId="67BDEA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支持质控规则分类新增，支持将诊疗规范，临床质量检查，病历评分等相关质控内容维护在平台中作为质控参考依据，支持添加为训练该质控规则大模型所需的样例数据</w:t>
            </w:r>
          </w:p>
          <w:p w14:paraId="53F912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支持质控规则分类删除，界面展示多条分类信息，信息包含分类名称、分类说明以及操作。选择具体分类信息，可将该分类以及属于该分类下的所有子内容一同删除</w:t>
            </w:r>
          </w:p>
          <w:p w14:paraId="31B44E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支持质控规则分类修改</w:t>
            </w:r>
          </w:p>
          <w:p w14:paraId="6F5FA1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支持质控规则分类查询，可根据规则分类名称快速定位该分类位置展示分类信息以及属于该分类下的详细规则内容。</w:t>
            </w:r>
          </w:p>
        </w:tc>
      </w:tr>
      <w:tr w14:paraId="07F4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04659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E8C59D">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77E265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三、质控模型训练</w:t>
            </w:r>
          </w:p>
          <w:p w14:paraId="355EDE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质控大模型架构</w:t>
            </w:r>
          </w:p>
          <w:p w14:paraId="70B7BF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支持通过基于Langchain架构搭建智能医疗质控大语言模型处理病历数据</w:t>
            </w:r>
          </w:p>
          <w:p w14:paraId="3EFA37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质控大模型训练</w:t>
            </w:r>
          </w:p>
          <w:p w14:paraId="1395CF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支持基于医疗基座大语言模型与Langchain框架，构建指令训练集，进行大语言模型的专精微调</w:t>
            </w:r>
          </w:p>
          <w:p w14:paraId="59E916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质控大模型迭代更新</w:t>
            </w:r>
          </w:p>
          <w:p w14:paraId="2755B6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支持根据用户反馈，结合大语言模型和人工去构建标注正确的迭代更新训练集，并根据设定的相关指标评测，去判断是否要更新质控大模型</w:t>
            </w:r>
          </w:p>
        </w:tc>
      </w:tr>
      <w:tr w14:paraId="07DD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67195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4EA7BA">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3954146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四、病历数据治理</w:t>
            </w:r>
          </w:p>
          <w:p w14:paraId="763C89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医疗临床术语库</w:t>
            </w:r>
          </w:p>
          <w:p w14:paraId="51EE81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支持通过知识库库建设、人工审核术语、算法收集挖掘术语三方面不断完善医疗标准数据库</w:t>
            </w:r>
          </w:p>
          <w:p w14:paraId="42E695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病历后结构化处理</w:t>
            </w:r>
          </w:p>
          <w:p w14:paraId="6CE480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支持使用AI深度学习小模型与微调大语言模型相结合的方式，对电子病历进行后结构化，例如患者的个人信息、问诊信息、诊断描述、用药方剂、影像报告描述、检验检查等</w:t>
            </w:r>
          </w:p>
        </w:tc>
      </w:tr>
      <w:tr w14:paraId="4BB8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9D17A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F0FB66">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6F85C83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五、质控引擎服务</w:t>
            </w:r>
          </w:p>
          <w:p w14:paraId="01204C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通过业务层、大模型、数据库、数据资源四个层次搭建质控系统架构</w:t>
            </w:r>
          </w:p>
          <w:p w14:paraId="2927B4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支持科室或医院根据设定质控标准，特定时间对需要生成文档和已生成文档进行质控</w:t>
            </w:r>
          </w:p>
          <w:p w14:paraId="16E5C0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支持进行抽查质控分析，质控人员根据科室选择一个病历，检查病历的缺失及下级医师质控情况</w:t>
            </w:r>
          </w:p>
          <w:p w14:paraId="04D306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支持人工质控对比，可进行病历抽查，根据用户定义的查询条件（如科室、门诊日期、是否手术、是否死亡、诊断等）从中随机抽取若干份病案进行人工质控</w:t>
            </w:r>
          </w:p>
          <w:p w14:paraId="59D81C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缺陷统计，根据医疗AI质控模型智能分析结果，用户可自己定义分类或查询条件（条件包括：科室、姓名、住院号、质控时间、质控者、质控级别、项目状态、缺陷内容），查询出符合条件的记录，并从不同维度进行智能分析</w:t>
            </w:r>
          </w:p>
          <w:p w14:paraId="5E8EA8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支持质控标准维护，用户可以根据科室需求新增、修改或删除质控条例。</w:t>
            </w:r>
          </w:p>
        </w:tc>
      </w:tr>
      <w:tr w14:paraId="1F18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391" w:type="pct"/>
            <w:vMerge w:val="restart"/>
            <w:tcBorders>
              <w:top w:val="single" w:color="000000" w:sz="4" w:space="0"/>
              <w:left w:val="single" w:color="000000" w:sz="4" w:space="0"/>
              <w:bottom w:val="single" w:color="000000" w:sz="4" w:space="0"/>
              <w:right w:val="single" w:color="000000" w:sz="4" w:space="0"/>
            </w:tcBorders>
            <w:noWrap w:val="0"/>
            <w:vAlign w:val="center"/>
          </w:tcPr>
          <w:p w14:paraId="74662D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689E24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基础设置管理（改造）</w:t>
            </w: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B8ACA7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一、系统管理</w:t>
            </w:r>
          </w:p>
          <w:p w14:paraId="264DF1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支持维护子系统整体结构、架构组织、系统资源等相关内容，主要包含系统参数、机构管理、图标管理、令牌管理、文件管理等</w:t>
            </w:r>
          </w:p>
        </w:tc>
      </w:tr>
      <w:tr w14:paraId="47C9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FB2327">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504BE">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CB0F2E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二、权限管理</w:t>
            </w:r>
          </w:p>
          <w:p w14:paraId="2222E2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支持维护各个用户的角色及对应的权限，包含平台用户管理、角色管理、权限管理</w:t>
            </w:r>
          </w:p>
        </w:tc>
      </w:tr>
      <w:tr w14:paraId="297E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018563">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58320">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FBB701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三、系统日志</w:t>
            </w:r>
          </w:p>
          <w:p w14:paraId="02CF5A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支持实时监控和记录系统中所发生的事件</w:t>
            </w:r>
          </w:p>
        </w:tc>
      </w:tr>
      <w:tr w14:paraId="7333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8E706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0B97D4">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A72C49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四、脱敏管理</w:t>
            </w:r>
          </w:p>
          <w:p w14:paraId="121020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支持敏感数据匿名化配置，可以根据不同的需求对部分敏感数据如姓名、性别、身份证号、医保卡号、电话等信息进行基于配置的脱敏处理</w:t>
            </w:r>
          </w:p>
        </w:tc>
      </w:tr>
      <w:tr w14:paraId="2F84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416BC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BD332C">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7D8F763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五、消息中心</w:t>
            </w:r>
          </w:p>
          <w:p w14:paraId="4AF6CD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支持统一管理和查看不同分类的消息内容，并进行消息的分类和归档</w:t>
            </w:r>
          </w:p>
        </w:tc>
      </w:tr>
      <w:tr w14:paraId="022E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391" w:type="pct"/>
            <w:vMerge w:val="restart"/>
            <w:tcBorders>
              <w:top w:val="single" w:color="000000" w:sz="4" w:space="0"/>
              <w:left w:val="single" w:color="000000" w:sz="4" w:space="0"/>
              <w:bottom w:val="single" w:color="000000" w:sz="4" w:space="0"/>
              <w:right w:val="single" w:color="000000" w:sz="4" w:space="0"/>
            </w:tcBorders>
            <w:noWrap w:val="0"/>
            <w:vAlign w:val="center"/>
          </w:tcPr>
          <w:p w14:paraId="10EC71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0D6B87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区域门诊病历质控（改造）</w:t>
            </w: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170A2C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一、定时任务管理（改造）</w:t>
            </w:r>
          </w:p>
          <w:p w14:paraId="774301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支持启停定时任务获取鄞州区门诊电子病历数据，进行病历内容，病历书写规范等校验操作</w:t>
            </w:r>
          </w:p>
        </w:tc>
      </w:tr>
      <w:tr w14:paraId="379C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8E9A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558286">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0C7FCEF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二、智能质控提醒（改造）</w:t>
            </w:r>
          </w:p>
          <w:p w14:paraId="0970DD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门诊病历事后质控</w:t>
            </w:r>
          </w:p>
          <w:p w14:paraId="0D1949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支持对已书写完成的门诊电子病历，通过大模型智能识别病历内涵存在的问题</w:t>
            </w:r>
          </w:p>
          <w:p w14:paraId="63EA0C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支持自动进行症状与诊断的逻辑性判断</w:t>
            </w:r>
          </w:p>
          <w:p w14:paraId="5607A0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支持自动进行证型与治法的逻辑性判断</w:t>
            </w:r>
          </w:p>
          <w:p w14:paraId="7EB7C8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支持自动进行治法与方剂的逻辑性判断</w:t>
            </w:r>
          </w:p>
          <w:p w14:paraId="27F226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支持自动进行标准疗效与实际疗效是否相符的智能判断</w:t>
            </w:r>
          </w:p>
        </w:tc>
      </w:tr>
      <w:tr w14:paraId="48CC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3670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3ED85">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2E7BB50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三、质控消息管理（改造）</w:t>
            </w:r>
          </w:p>
          <w:p w14:paraId="34B5C9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支持各医院医生接收来自医院质控科下发的问题病历消息</w:t>
            </w:r>
          </w:p>
          <w:p w14:paraId="11A819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支持医生查看病历书写不符合质控规则的内容</w:t>
            </w:r>
          </w:p>
          <w:p w14:paraId="3115F6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支持医生对质控结果进行申诉，由各质控科负责处理申诉审核</w:t>
            </w:r>
          </w:p>
        </w:tc>
      </w:tr>
      <w:tr w14:paraId="78386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F879D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AA202">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712B7CB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四、质控中心管理</w:t>
            </w:r>
          </w:p>
          <w:p w14:paraId="218717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病历抽样质控（改造）</w:t>
            </w:r>
          </w:p>
          <w:p w14:paraId="5B8AA3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支持新建抽样任务，保留历史抽样任务，支持查看抽样任务的病历数据</w:t>
            </w:r>
          </w:p>
          <w:p w14:paraId="19D844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支持质控列表展示内容包括：抽样医院，抽样时间，抽样数量，是否存在质控错误，错误病例数</w:t>
            </w:r>
          </w:p>
          <w:p w14:paraId="7E32EB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支持根据质控问题、抽样范围等规则抽取病历数据作为人工检验样本</w:t>
            </w:r>
          </w:p>
          <w:p w14:paraId="603D73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支持对抽样样本进行审核，可操作病历审核通过，或审核不通过，不通过需要提交原因</w:t>
            </w:r>
          </w:p>
          <w:p w14:paraId="783E02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支持质控管理中心查看其他医院的审核结果，支持质控管理中心查看其他医院的审核有问题的病历以及原因</w:t>
            </w:r>
          </w:p>
          <w:p w14:paraId="654E36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提供区域内医院上传至区域质控中心后，区域质控员对已上传的病历进行质控操作，并查询质控结果的页面</w:t>
            </w:r>
          </w:p>
          <w:p w14:paraId="5F8709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支持查询待质控病历，已质控病历，支持通过机构，科室，日期，缺项条目，等条件查找已质控病历或者待质控病历</w:t>
            </w:r>
          </w:p>
          <w:p w14:paraId="2C07F8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提供抽样质控、批量质控，提供已筛选出的病历进行随机系统选中份数进行质控</w:t>
            </w:r>
          </w:p>
          <w:p w14:paraId="0167C8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支持查看质控结果，提供质控结果分数，等级，质控缺项，质控类型（单项否决，缺项类，时限类，内涵类等），支持查看某一个缺项内容下的所有病历</w:t>
            </w:r>
          </w:p>
          <w:p w14:paraId="5EA140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支持对已质控过的病历再次质控的流程</w:t>
            </w:r>
          </w:p>
          <w:p w14:paraId="268715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质控结果分析（改造）</w:t>
            </w:r>
          </w:p>
          <w:p w14:paraId="227481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支持质控定时任务结束后，实现各医院质控科查看质控模型校验后的电子病历质控结果</w:t>
            </w:r>
          </w:p>
          <w:p w14:paraId="46E7D1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支持查看该条电子病历详细的质控问题、质控依据、质控原病历等内容</w:t>
            </w:r>
          </w:p>
          <w:p w14:paraId="6FEB93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支持通过病历编号，所属医院，病历负责医生，所属科室，疾病分类等字段查询详细病历信息</w:t>
            </w:r>
          </w:p>
          <w:p w14:paraId="207483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支持统计不同等级下的病历份数</w:t>
            </w:r>
          </w:p>
        </w:tc>
      </w:tr>
      <w:tr w14:paraId="0971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C7B0C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48646A">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788E823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五、质控报表分析（改造）</w:t>
            </w:r>
          </w:p>
          <w:p w14:paraId="7BA7E2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门诊病历统计分析</w:t>
            </w:r>
          </w:p>
          <w:p w14:paraId="2972A1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支持对门诊病历统计分析</w:t>
            </w:r>
          </w:p>
          <w:p w14:paraId="29FE4C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门诊病历书写率统计</w:t>
            </w:r>
          </w:p>
          <w:p w14:paraId="73A855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支持对门诊病历书写率统计分析</w:t>
            </w:r>
          </w:p>
          <w:p w14:paraId="27EE64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门诊病历质量占比</w:t>
            </w:r>
          </w:p>
          <w:p w14:paraId="08B3DD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支持对门诊病历质量占比统计分析</w:t>
            </w:r>
          </w:p>
          <w:p w14:paraId="61C9A6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门诊病历缺陷项统计</w:t>
            </w:r>
          </w:p>
          <w:p w14:paraId="3BBDF5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支持对门诊病历缺陷项统计分析</w:t>
            </w:r>
          </w:p>
          <w:p w14:paraId="758FD6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门诊抽样占比统计</w:t>
            </w:r>
          </w:p>
          <w:p w14:paraId="15FE3D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支持对门诊抽样占比统计分析</w:t>
            </w:r>
          </w:p>
          <w:p w14:paraId="2368D2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病历问题分析</w:t>
            </w:r>
          </w:p>
          <w:p w14:paraId="6E2BB6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支持对病历问题统计分析</w:t>
            </w:r>
          </w:p>
        </w:tc>
      </w:tr>
      <w:tr w14:paraId="2173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391" w:type="pct"/>
            <w:vMerge w:val="restart"/>
            <w:tcBorders>
              <w:top w:val="single" w:color="000000" w:sz="4" w:space="0"/>
              <w:left w:val="single" w:color="000000" w:sz="4" w:space="0"/>
              <w:bottom w:val="single" w:color="000000" w:sz="4" w:space="0"/>
              <w:right w:val="single" w:color="000000" w:sz="4" w:space="0"/>
            </w:tcBorders>
            <w:noWrap w:val="0"/>
            <w:vAlign w:val="center"/>
          </w:tcPr>
          <w:p w14:paraId="7DB222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96353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区域住院病历质控（新建）</w:t>
            </w: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186481C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一、定时任务管理</w:t>
            </w:r>
          </w:p>
          <w:p w14:paraId="3CAC8D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支持启停定时任务获取鄞州区住院电子病历数据，进行病历内容，病历书写规范等校验操作</w:t>
            </w:r>
          </w:p>
        </w:tc>
      </w:tr>
      <w:tr w14:paraId="0820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4DE9BD">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B42D22">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61683B9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二、智能质控提醒</w:t>
            </w:r>
          </w:p>
          <w:p w14:paraId="6B38C5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住院病历事后质控</w:t>
            </w:r>
          </w:p>
          <w:p w14:paraId="580FAF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支持自动进行症状与诊断的逻辑性判断</w:t>
            </w:r>
          </w:p>
          <w:p w14:paraId="79BBE7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支持自动进行证型与治法的逻辑性判断</w:t>
            </w:r>
          </w:p>
          <w:p w14:paraId="70B6C4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支持自动进行治法与方剂的逻辑性判断</w:t>
            </w:r>
          </w:p>
          <w:p w14:paraId="179C26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支持自动进行标准疗效与实际疗效是否相符的智能判断</w:t>
            </w:r>
          </w:p>
        </w:tc>
      </w:tr>
      <w:tr w14:paraId="16A4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9558F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DD4D74">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54B9906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三、质控消息管理</w:t>
            </w:r>
          </w:p>
          <w:p w14:paraId="207D77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支持各医院医生接收来自医院质控科下发的问题病历消息</w:t>
            </w:r>
          </w:p>
          <w:p w14:paraId="7FF4FC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支持医生查看病历书写不符合质控规则的内容</w:t>
            </w:r>
          </w:p>
          <w:p w14:paraId="5FC026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支持医生对质控结果进行申诉，由各质控科负责处理申诉审核</w:t>
            </w:r>
          </w:p>
        </w:tc>
      </w:tr>
      <w:tr w14:paraId="6895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99BA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82259">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2749013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四、质控中心管理</w:t>
            </w:r>
          </w:p>
          <w:p w14:paraId="7EE0B2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住院病历抽样质控</w:t>
            </w:r>
          </w:p>
          <w:p w14:paraId="0861B1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支持新建抽样任务（区域抽样任务或机构抽样任务），保留历史抽样任务，支持查看抽样任务的病历数据</w:t>
            </w:r>
          </w:p>
          <w:p w14:paraId="5C5139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支持质控列表展示内容包括：抽样医院，抽样时间，抽样数量，是否存在质控错误，错误病例数</w:t>
            </w:r>
          </w:p>
          <w:p w14:paraId="4F87D0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支持根据质控问题、抽样范围等规则抽取病历数据作为人工检验样本</w:t>
            </w:r>
          </w:p>
          <w:p w14:paraId="3A2BA3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支持对抽样样本进行审核，可操作病历审核通过，或审核不通过，不通过需要提交原因</w:t>
            </w:r>
          </w:p>
          <w:p w14:paraId="006AA0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支持质控管理中心查看其他医院的审核结果，支持质控管理中心查看其他医院的审核有问题的病历以及原因</w:t>
            </w:r>
          </w:p>
          <w:p w14:paraId="61FD75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提供区域内医院上传至区域质控中心后，区域质控员对已上传的病历进行质控操作，并查询质控结果的页面</w:t>
            </w:r>
          </w:p>
          <w:p w14:paraId="5BE6A2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支持查询待质控病历，已质控病历，支持通过机构，科室，日期，缺项条目，等条件查找已质控病历或者待质控病历</w:t>
            </w:r>
          </w:p>
          <w:p w14:paraId="5F4F20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提供抽样质控、批量质控，提供已筛选出的病历进行随机系统选中份数进行质控</w:t>
            </w:r>
          </w:p>
          <w:p w14:paraId="57F83E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支持查看质控结果，提供质控结果分数，等级，质控缺项，质控类型（单项否决，缺项类，时限类，内涵类等），支持查看某一个缺项内容下的所有病历</w:t>
            </w:r>
          </w:p>
          <w:p w14:paraId="3577BB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支持对已质控过的病历再次质控的流程</w:t>
            </w:r>
          </w:p>
          <w:p w14:paraId="11C950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住院质控结果分析</w:t>
            </w:r>
          </w:p>
          <w:p w14:paraId="5D1983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支持质控定时任务结束后，实现各医院质控科查看质控模型校验后的电子病历质控结果</w:t>
            </w:r>
          </w:p>
          <w:p w14:paraId="3DDBB8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支持查看该条电子病历详细的质控问题、质控依据、质控原病历等内容</w:t>
            </w:r>
          </w:p>
          <w:p w14:paraId="3982A9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支持通过病历编号，所属医院，病历负责医生，所属科室，疾病分类等字段查询详细病历信息</w:t>
            </w:r>
          </w:p>
          <w:p w14:paraId="1A81C3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支持统计不同等级下的病历份数</w:t>
            </w:r>
          </w:p>
        </w:tc>
      </w:tr>
      <w:tr w14:paraId="2445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1B6B9A">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D2D55D">
            <w:pPr>
              <w:jc w:val="left"/>
              <w:rPr>
                <w:rFonts w:hint="eastAsia" w:ascii="宋体" w:hAnsi="宋体" w:eastAsia="宋体" w:cs="宋体"/>
                <w:i w:val="0"/>
                <w:iCs w:val="0"/>
                <w:color w:val="auto"/>
                <w:sz w:val="21"/>
                <w:szCs w:val="21"/>
                <w:u w:val="none"/>
              </w:rPr>
            </w:pPr>
          </w:p>
        </w:tc>
        <w:tc>
          <w:tcPr>
            <w:tcW w:w="3907" w:type="pct"/>
            <w:tcBorders>
              <w:top w:val="single" w:color="000000" w:sz="4" w:space="0"/>
              <w:left w:val="single" w:color="000000" w:sz="4" w:space="0"/>
              <w:bottom w:val="single" w:color="000000" w:sz="4" w:space="0"/>
              <w:right w:val="single" w:color="000000" w:sz="4" w:space="0"/>
            </w:tcBorders>
            <w:noWrap w:val="0"/>
            <w:vAlign w:val="center"/>
          </w:tcPr>
          <w:p w14:paraId="0036A5F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五、质控报表分析</w:t>
            </w:r>
          </w:p>
          <w:p w14:paraId="1EA4FE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住院病历质控分析</w:t>
            </w:r>
          </w:p>
          <w:p w14:paraId="27E9D5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支持对住院病历质控情况进行分析</w:t>
            </w:r>
          </w:p>
          <w:p w14:paraId="22A317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住院出院病人统计</w:t>
            </w:r>
          </w:p>
          <w:p w14:paraId="183524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支持对出院病人情况进行统计</w:t>
            </w:r>
          </w:p>
          <w:p w14:paraId="6D2F33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住院病历评分等级占比</w:t>
            </w:r>
          </w:p>
          <w:p w14:paraId="58B08B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支持对病历评分等级占比进行统计</w:t>
            </w:r>
          </w:p>
          <w:p w14:paraId="404C95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住院病案缺陷统计</w:t>
            </w:r>
          </w:p>
          <w:p w14:paraId="213FB0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支持对住院病案缺陷进行统计</w:t>
            </w:r>
          </w:p>
          <w:p w14:paraId="7DB45A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住院病案质量统计</w:t>
            </w:r>
          </w:p>
          <w:p w14:paraId="1122C5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支持对住院病案质量情况进行分析</w:t>
            </w:r>
          </w:p>
          <w:p w14:paraId="2BCFAC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住院病案单项否决占比</w:t>
            </w:r>
          </w:p>
          <w:p w14:paraId="212F01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支持对住院病案单项否决占比进行统计</w:t>
            </w:r>
          </w:p>
          <w:p w14:paraId="3A392C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住院病案缺陷分类统计</w:t>
            </w:r>
          </w:p>
          <w:p w14:paraId="0AFD85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支持对住院病案缺陷分类进行统计</w:t>
            </w:r>
          </w:p>
          <w:p w14:paraId="5C1104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质控字典类型统计</w:t>
            </w:r>
          </w:p>
          <w:p w14:paraId="545440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支持对质控字典类型进行统计</w:t>
            </w:r>
          </w:p>
          <w:p w14:paraId="429201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住院病案退回统计</w:t>
            </w:r>
          </w:p>
          <w:p w14:paraId="6B7D91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支持对住院病案退回情况进行分析</w:t>
            </w:r>
          </w:p>
          <w:p w14:paraId="45CE02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住院病案时限统计</w:t>
            </w:r>
          </w:p>
          <w:p w14:paraId="33000D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支持对住院病案实现进行统计</w:t>
            </w:r>
          </w:p>
        </w:tc>
      </w:tr>
    </w:tbl>
    <w:p w14:paraId="096580EA">
      <w:pPr>
        <w:rPr>
          <w:rFonts w:hint="eastAsia" w:ascii="Calibri" w:hAnsi="Calibri" w:eastAsia="宋体" w:cs="Times New Roman"/>
          <w:color w:val="auto"/>
          <w:sz w:val="21"/>
          <w:szCs w:val="21"/>
        </w:rPr>
      </w:pPr>
    </w:p>
    <w:p w14:paraId="7FE41D2C">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hint="eastAsia" w:ascii="宋体" w:hAnsi="宋体" w:eastAsia="黑体" w:cs="Times New Roman"/>
          <w:b/>
          <w:color w:val="auto"/>
          <w:kern w:val="2"/>
          <w:sz w:val="21"/>
          <w:szCs w:val="21"/>
          <w:lang w:val="en-US" w:eastAsia="zh-CN" w:bidi="ar-SA"/>
        </w:rPr>
      </w:pPr>
      <w:r>
        <w:rPr>
          <w:rFonts w:hint="eastAsia" w:ascii="宋体" w:hAnsi="宋体" w:eastAsia="黑体" w:cs="Times New Roman"/>
          <w:b/>
          <w:color w:val="auto"/>
          <w:kern w:val="2"/>
          <w:sz w:val="21"/>
          <w:szCs w:val="21"/>
          <w:lang w:val="en-US" w:eastAsia="zh-CN" w:bidi="ar-SA"/>
        </w:rPr>
        <w:t>AI影像质控</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4"/>
        <w:gridCol w:w="818"/>
        <w:gridCol w:w="6878"/>
      </w:tblGrid>
      <w:tr w14:paraId="38D9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3" w:type="pct"/>
            <w:tcBorders>
              <w:top w:val="single" w:color="000000" w:sz="4" w:space="0"/>
              <w:left w:val="single" w:color="000000" w:sz="4" w:space="0"/>
              <w:bottom w:val="single" w:color="000000" w:sz="4" w:space="0"/>
              <w:right w:val="single" w:color="000000" w:sz="4" w:space="0"/>
            </w:tcBorders>
            <w:noWrap/>
            <w:vAlign w:val="center"/>
          </w:tcPr>
          <w:p w14:paraId="468F52D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13A9FF9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3D4F90C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05B2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4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EA426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640B85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室内质控服务（改造）</w:t>
            </w: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154F40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支持质控中心创建室内质控数据上报任务，质控任务将通过短信通知到质控对象联系人的信创适配改造。</w:t>
            </w:r>
          </w:p>
          <w:p w14:paraId="7B7AEB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支持质控中心设置数据填报时段，在开放填报时段内，质控对象可以随时填报数据，包括历史任务未填报数据的信创适配改造。</w:t>
            </w:r>
          </w:p>
          <w:p w14:paraId="1EB810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支持质控中心查看整体上报进度及明细；支持下级质控中心查看所辖区域内机构的上报进度，并督促上报的信创适配改造。</w:t>
            </w:r>
          </w:p>
          <w:p w14:paraId="325C58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支持质控中心对质控对象的上报数据进行核查，对于核查不达标的质控对象，会通过短信方式发送核查意见的信创适配改造。</w:t>
            </w:r>
          </w:p>
          <w:p w14:paraId="58C50F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支持质控对象按任务要求上报数据，包括人员信息、设备信息、工作量、影像优良率、阳性率、报告优良率、病理符合率的信创适配改造。</w:t>
            </w:r>
          </w:p>
        </w:tc>
      </w:tr>
      <w:tr w14:paraId="3189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3" w:type="pct"/>
            <w:vMerge w:val="restart"/>
            <w:tcBorders>
              <w:top w:val="single" w:color="000000" w:sz="4" w:space="0"/>
              <w:left w:val="single" w:color="000000" w:sz="4" w:space="0"/>
              <w:bottom w:val="single" w:color="000000" w:sz="4" w:space="0"/>
              <w:right w:val="single" w:color="000000" w:sz="4" w:space="0"/>
            </w:tcBorders>
            <w:noWrap w:val="0"/>
            <w:vAlign w:val="center"/>
          </w:tcPr>
          <w:p w14:paraId="44F607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6826A6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室间质控服务（改造）</w:t>
            </w: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6CBD310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支持质控抽查任务的独立评分模式，任务分配给专家，专家在线上独立完成评片打分的信创适配改造。</w:t>
            </w:r>
          </w:p>
          <w:p w14:paraId="7CEFA4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支持抽查时对质控评分标准选择的信创适配改造。</w:t>
            </w:r>
          </w:p>
          <w:p w14:paraId="659312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支持集中质控任务执行时，质控专家签到功能的信创适配改造。</w:t>
            </w:r>
          </w:p>
          <w:p w14:paraId="2218C3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评分项目包括申请单规范、摄片规范、诊断规范、检查效率；支持在检查效率评分中，系统能够自动的计算报告整个过程，并显示各阶段所消耗时间的信创适配改造。</w:t>
            </w:r>
          </w:p>
          <w:p w14:paraId="7B1398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支持移动端评分，质控专家可以预先将质控任务下载至本地，支持放射科无网状态下现场评分的信创适配改造。</w:t>
            </w:r>
          </w:p>
          <w:p w14:paraId="2C18C7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支持质控专家对扣分项进行拍照留存相应证据的信创适配改造。</w:t>
            </w:r>
          </w:p>
        </w:tc>
      </w:tr>
      <w:tr w14:paraId="386F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473" w:type="pct"/>
            <w:vMerge w:val="restart"/>
            <w:tcBorders>
              <w:top w:val="single" w:color="000000" w:sz="4" w:space="0"/>
              <w:left w:val="single" w:color="000000" w:sz="4" w:space="0"/>
              <w:bottom w:val="single" w:color="000000" w:sz="4" w:space="0"/>
              <w:right w:val="single" w:color="000000" w:sz="4" w:space="0"/>
            </w:tcBorders>
            <w:noWrap w:val="0"/>
            <w:vAlign w:val="center"/>
          </w:tcPr>
          <w:p w14:paraId="53D6C3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480759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一体化质控平台AI服务（新建）</w:t>
            </w: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75F54A7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一、多类型多部位影像AI质控服务</w:t>
            </w:r>
          </w:p>
          <w:p w14:paraId="26DD8F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支持多种检查类型， 如 DR、CT、 MRI、 MG 等；</w:t>
            </w:r>
          </w:p>
          <w:p w14:paraId="799199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支持头部、胸部、腹部、脊柱、 四肢等部位的图像质量评价；</w:t>
            </w:r>
          </w:p>
        </w:tc>
      </w:tr>
      <w:tr w14:paraId="17B1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77A96">
            <w:pPr>
              <w:jc w:val="center"/>
              <w:rPr>
                <w:rFonts w:hint="eastAsia" w:ascii="宋体" w:hAnsi="宋体" w:eastAsia="宋体" w:cs="宋体"/>
                <w:i w:val="0"/>
                <w:iCs w:val="0"/>
                <w:color w:val="auto"/>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4CA9D">
            <w:pPr>
              <w:jc w:val="left"/>
              <w:rPr>
                <w:rFonts w:hint="eastAsia" w:ascii="宋体" w:hAnsi="宋体" w:eastAsia="宋体" w:cs="宋体"/>
                <w:i w:val="0"/>
                <w:iCs w:val="0"/>
                <w:color w:val="auto"/>
                <w:sz w:val="21"/>
                <w:szCs w:val="21"/>
                <w:u w:val="none"/>
              </w:rPr>
            </w:pP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6C21860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二、多维度评价服务</w:t>
            </w:r>
          </w:p>
          <w:p w14:paraId="6D3D6C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不同部位、体位图像质量匹配不同的评价标准；</w:t>
            </w:r>
          </w:p>
          <w:p w14:paraId="621E65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评价维度： 患者摆位正不正 （4个维度） 、全不全（3个维度）、美不美（有否异物、信息熵、细节增强、图像噪声）；</w:t>
            </w:r>
          </w:p>
          <w:p w14:paraId="37B52B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支持异物的人工智能识别；</w:t>
            </w:r>
          </w:p>
          <w:p w14:paraId="334D3C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支持从信息熵、细节增强和图 像噪声三个维度进行评价；</w:t>
            </w:r>
          </w:p>
        </w:tc>
      </w:tr>
      <w:tr w14:paraId="7211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F41524">
            <w:pPr>
              <w:jc w:val="center"/>
              <w:rPr>
                <w:rFonts w:hint="eastAsia" w:ascii="宋体" w:hAnsi="宋体" w:eastAsia="宋体" w:cs="宋体"/>
                <w:i w:val="0"/>
                <w:iCs w:val="0"/>
                <w:color w:val="auto"/>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A4AC0B">
            <w:pPr>
              <w:jc w:val="left"/>
              <w:rPr>
                <w:rFonts w:hint="eastAsia" w:ascii="宋体" w:hAnsi="宋体" w:eastAsia="宋体" w:cs="宋体"/>
                <w:i w:val="0"/>
                <w:iCs w:val="0"/>
                <w:color w:val="auto"/>
                <w:sz w:val="21"/>
                <w:szCs w:val="21"/>
                <w:u w:val="none"/>
              </w:rPr>
            </w:pP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24F73DF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三、自动计算图像评分服务</w:t>
            </w:r>
          </w:p>
          <w:p w14:paraId="2D73BC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支持不同评价纬度差异化扣分；</w:t>
            </w:r>
          </w:p>
          <w:p w14:paraId="53BBE0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支持自动评价、自动评分；</w:t>
            </w:r>
          </w:p>
          <w:p w14:paraId="3B8631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支持扣分项特别提醒，提升技师规范化操作；</w:t>
            </w:r>
          </w:p>
          <w:p w14:paraId="407F0E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支持伪彩显示图像分割，详细罗列具体扣分情况；</w:t>
            </w:r>
          </w:p>
          <w:p w14:paraId="66CCEC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支持图像分割、图像标注、数据分析、得分判定；</w:t>
            </w:r>
          </w:p>
        </w:tc>
      </w:tr>
      <w:tr w14:paraId="2D8B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25609">
            <w:pPr>
              <w:jc w:val="center"/>
              <w:rPr>
                <w:rFonts w:hint="eastAsia" w:ascii="宋体" w:hAnsi="宋体" w:eastAsia="宋体" w:cs="宋体"/>
                <w:i w:val="0"/>
                <w:iCs w:val="0"/>
                <w:color w:val="auto"/>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9FDD85">
            <w:pPr>
              <w:jc w:val="left"/>
              <w:rPr>
                <w:rFonts w:hint="eastAsia" w:ascii="宋体" w:hAnsi="宋体" w:eastAsia="宋体" w:cs="宋体"/>
                <w:i w:val="0"/>
                <w:iCs w:val="0"/>
                <w:color w:val="auto"/>
                <w:sz w:val="21"/>
                <w:szCs w:val="21"/>
                <w:u w:val="none"/>
              </w:rPr>
            </w:pP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4B46F17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四、专家抽检</w:t>
            </w:r>
          </w:p>
          <w:p w14:paraId="107791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支持质控专家抽检，优化评价体系，实现 PDCA 质控要求；</w:t>
            </w:r>
          </w:p>
          <w:p w14:paraId="219A64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数据统计，支持分析不同医院质控问题，有利于针对性培训和指导；</w:t>
            </w:r>
          </w:p>
          <w:p w14:paraId="32CF7D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支持影像中心-驾驶舱大屏展示；</w:t>
            </w:r>
          </w:p>
          <w:p w14:paraId="208AEE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分院-放射检查事中图像质控界；</w:t>
            </w:r>
          </w:p>
        </w:tc>
      </w:tr>
      <w:tr w14:paraId="32DB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DDF5C7">
            <w:pPr>
              <w:jc w:val="center"/>
              <w:rPr>
                <w:rFonts w:hint="eastAsia" w:ascii="宋体" w:hAnsi="宋体" w:eastAsia="宋体" w:cs="宋体"/>
                <w:i w:val="0"/>
                <w:iCs w:val="0"/>
                <w:color w:val="auto"/>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F8499">
            <w:pPr>
              <w:jc w:val="left"/>
              <w:rPr>
                <w:rFonts w:hint="eastAsia" w:ascii="宋体" w:hAnsi="宋体" w:eastAsia="宋体" w:cs="宋体"/>
                <w:i w:val="0"/>
                <w:iCs w:val="0"/>
                <w:color w:val="auto"/>
                <w:sz w:val="21"/>
                <w:szCs w:val="21"/>
                <w:u w:val="none"/>
              </w:rPr>
            </w:pP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5A75B63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五、病人基本信息自动纠错</w:t>
            </w:r>
          </w:p>
          <w:p w14:paraId="657B1E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符合医院“三查七对”制度，支持比对申请单、登记信息、报告信息，针对姓名、 性别、年龄、检查部位（包括左右等）、检查体位等信息进行三次比对，分析出是否有错误；</w:t>
            </w:r>
          </w:p>
        </w:tc>
      </w:tr>
      <w:tr w14:paraId="7D92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DAD222">
            <w:pPr>
              <w:jc w:val="center"/>
              <w:rPr>
                <w:rFonts w:hint="eastAsia" w:ascii="宋体" w:hAnsi="宋体" w:eastAsia="宋体" w:cs="宋体"/>
                <w:i w:val="0"/>
                <w:iCs w:val="0"/>
                <w:color w:val="auto"/>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010868">
            <w:pPr>
              <w:jc w:val="left"/>
              <w:rPr>
                <w:rFonts w:hint="eastAsia" w:ascii="宋体" w:hAnsi="宋体" w:eastAsia="宋体" w:cs="宋体"/>
                <w:i w:val="0"/>
                <w:iCs w:val="0"/>
                <w:color w:val="auto"/>
                <w:sz w:val="21"/>
                <w:szCs w:val="21"/>
                <w:u w:val="none"/>
              </w:rPr>
            </w:pP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10EDB5D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六、原则性描述自动纠错</w:t>
            </w:r>
          </w:p>
          <w:p w14:paraId="082641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结合人体生理特点，对诸如男性描述子宫、女性描述前列腺等原则性问题进行判定， 减少原则性描述问题的发生；</w:t>
            </w:r>
          </w:p>
        </w:tc>
      </w:tr>
      <w:tr w14:paraId="0BBC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AC9982">
            <w:pPr>
              <w:jc w:val="center"/>
              <w:rPr>
                <w:rFonts w:hint="eastAsia" w:ascii="宋体" w:hAnsi="宋体" w:eastAsia="宋体" w:cs="宋体"/>
                <w:i w:val="0"/>
                <w:iCs w:val="0"/>
                <w:color w:val="auto"/>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355800">
            <w:pPr>
              <w:jc w:val="left"/>
              <w:rPr>
                <w:rFonts w:hint="eastAsia" w:ascii="宋体" w:hAnsi="宋体" w:eastAsia="宋体" w:cs="宋体"/>
                <w:i w:val="0"/>
                <w:iCs w:val="0"/>
                <w:color w:val="auto"/>
                <w:sz w:val="21"/>
                <w:szCs w:val="21"/>
                <w:u w:val="none"/>
              </w:rPr>
            </w:pP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30D218C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七、报告书写规范化自动纠错</w:t>
            </w:r>
          </w:p>
          <w:p w14:paraId="687467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支持报告描述与报告诊断部分分别比对；</w:t>
            </w:r>
          </w:p>
          <w:p w14:paraId="015D19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支持按照句子内容智能评价；</w:t>
            </w:r>
          </w:p>
          <w:p w14:paraId="5831DA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支持修改、增加、删除等评价纬度；</w:t>
            </w:r>
          </w:p>
          <w:p w14:paraId="150B7D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利用人工智能技术，支持自动比对审核报告与初写报告的差异，分别对描述性内容和诊断性内容进行比对，找出差异；</w:t>
            </w:r>
          </w:p>
          <w:p w14:paraId="112B2A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对比对差异进行分类，根据分类不同赋予不同分值，给出初写报告医院报告得分</w:t>
            </w:r>
          </w:p>
        </w:tc>
      </w:tr>
      <w:tr w14:paraId="6714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C1364C">
            <w:pPr>
              <w:jc w:val="center"/>
              <w:rPr>
                <w:rFonts w:hint="eastAsia" w:ascii="宋体" w:hAnsi="宋体" w:eastAsia="宋体" w:cs="宋体"/>
                <w:i w:val="0"/>
                <w:iCs w:val="0"/>
                <w:color w:val="auto"/>
                <w:sz w:val="21"/>
                <w:szCs w:val="21"/>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84388A">
            <w:pPr>
              <w:jc w:val="left"/>
              <w:rPr>
                <w:rFonts w:hint="eastAsia" w:ascii="宋体" w:hAnsi="宋体" w:eastAsia="宋体" w:cs="宋体"/>
                <w:i w:val="0"/>
                <w:iCs w:val="0"/>
                <w:color w:val="auto"/>
                <w:sz w:val="21"/>
                <w:szCs w:val="21"/>
                <w:u w:val="none"/>
              </w:rPr>
            </w:pPr>
          </w:p>
        </w:tc>
        <w:tc>
          <w:tcPr>
            <w:tcW w:w="4045" w:type="pct"/>
            <w:tcBorders>
              <w:top w:val="single" w:color="000000" w:sz="4" w:space="0"/>
              <w:left w:val="single" w:color="000000" w:sz="4" w:space="0"/>
              <w:bottom w:val="single" w:color="000000" w:sz="4" w:space="0"/>
              <w:right w:val="single" w:color="000000" w:sz="4" w:space="0"/>
            </w:tcBorders>
            <w:noWrap w:val="0"/>
            <w:vAlign w:val="center"/>
          </w:tcPr>
          <w:p w14:paraId="749DA87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八、报告格式规范化自动纠错</w:t>
            </w:r>
          </w:p>
          <w:p w14:paraId="48D239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按照放射诊断报告格式规范化要求，判定报告书写是否符合格式规范，满足格式规范予以通过。</w:t>
            </w:r>
          </w:p>
        </w:tc>
      </w:tr>
    </w:tbl>
    <w:p w14:paraId="62203C5B">
      <w:pPr>
        <w:rPr>
          <w:rFonts w:hint="eastAsia" w:ascii="Calibri" w:hAnsi="Calibri" w:eastAsia="宋体" w:cs="Times New Roman"/>
          <w:color w:val="auto"/>
          <w:sz w:val="21"/>
          <w:szCs w:val="21"/>
        </w:rPr>
      </w:pPr>
    </w:p>
    <w:p w14:paraId="365A4AC4">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检验质控</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299"/>
        <w:gridCol w:w="6413"/>
      </w:tblGrid>
      <w:tr w14:paraId="7461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58AFCF0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292AC4F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3763" w:type="pct"/>
            <w:tcBorders>
              <w:top w:val="single" w:color="000000" w:sz="4" w:space="0"/>
              <w:left w:val="single" w:color="000000" w:sz="4" w:space="0"/>
              <w:bottom w:val="single" w:color="000000" w:sz="4" w:space="0"/>
              <w:right w:val="single" w:color="000000" w:sz="4" w:space="0"/>
            </w:tcBorders>
            <w:noWrap/>
            <w:vAlign w:val="center"/>
          </w:tcPr>
          <w:p w14:paraId="78570CA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41D7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440229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6EABE6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室内质控监督（改造）</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5C344C1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一、实验室仪器数据实时上传</w:t>
            </w:r>
          </w:p>
          <w:p w14:paraId="58A0E1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支持实验室仪器数据实时上传，包括：仪器识别码、仪器型号、仪器编号、最近维护时间、当前试剂、当前定标、质控品、质控批号、质控项目等</w:t>
            </w:r>
          </w:p>
        </w:tc>
      </w:tr>
      <w:tr w14:paraId="0E09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21E8C346">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8D51E4">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5F00A31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二、实验室患者样本均值上传</w:t>
            </w:r>
          </w:p>
          <w:p w14:paraId="094520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支持实验室患者样本均值上传，把参与质控的仪器项目当天的患者真实样本的检验结果平均值上传</w:t>
            </w:r>
          </w:p>
        </w:tc>
      </w:tr>
      <w:tr w14:paraId="6AE0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C2DBB39">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ED68ED">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5C916C0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三、微生物质控数据填报</w:t>
            </w:r>
          </w:p>
          <w:p w14:paraId="32F7C6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支持微生物质控数据填报</w:t>
            </w:r>
          </w:p>
        </w:tc>
      </w:tr>
      <w:tr w14:paraId="2CFC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1054B287">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6794CF">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4556861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四、质控数据实时监控</w:t>
            </w:r>
          </w:p>
          <w:p w14:paraId="349111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支持质控数据实时监控，循环显示各个单位的质控情况</w:t>
            </w:r>
          </w:p>
        </w:tc>
      </w:tr>
      <w:tr w14:paraId="52B2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76D56F57">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45A6C0">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5B2D615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五、质控数据查询</w:t>
            </w:r>
          </w:p>
          <w:p w14:paraId="3FEFB7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支持查询某个单位的LJ质控图和QC数据、失控记录等</w:t>
            </w:r>
          </w:p>
        </w:tc>
      </w:tr>
      <w:tr w14:paraId="4522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72580A60">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F27B9">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629D0E9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六、智能检查判断分析</w:t>
            </w:r>
          </w:p>
          <w:p w14:paraId="285188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通过设置的判断规则，或组合规则，检查上传的数据；可以进行趋势分析</w:t>
            </w:r>
          </w:p>
        </w:tc>
      </w:tr>
      <w:tr w14:paraId="7AC4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53B3B23">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64D001">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717FBDD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七、可疑数据回访登记</w:t>
            </w:r>
          </w:p>
          <w:p w14:paraId="6C8776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发现有问题的QC数据时，可以进行登记;</w:t>
            </w:r>
          </w:p>
        </w:tc>
      </w:tr>
      <w:tr w14:paraId="6733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5441A5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651727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室内质控室间比对（改造）</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177C191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一、同个质控品批次的比对分析</w:t>
            </w:r>
          </w:p>
          <w:p w14:paraId="0D8E07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支持对某个质控品的某个批次进行区内比对</w:t>
            </w:r>
          </w:p>
        </w:tc>
      </w:tr>
      <w:tr w14:paraId="1BC9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1FD9AC57">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E0C4DC">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9D7E34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二、同种仪器的比对分析</w:t>
            </w:r>
          </w:p>
          <w:p w14:paraId="236701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支持对区域内所有同种类型的仪器的某些检验项目进行同期对比</w:t>
            </w:r>
          </w:p>
        </w:tc>
      </w:tr>
      <w:tr w14:paraId="0BAC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69DF29E9">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43B06C">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5BC60A5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三、上级机构的数据汇报</w:t>
            </w:r>
          </w:p>
          <w:p w14:paraId="16C11B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支持比对数据的上报</w:t>
            </w:r>
          </w:p>
        </w:tc>
      </w:tr>
      <w:tr w14:paraId="1EC7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4" w:type="pct"/>
            <w:tcBorders>
              <w:top w:val="single" w:color="000000" w:sz="4" w:space="0"/>
              <w:left w:val="single" w:color="000000" w:sz="4" w:space="0"/>
              <w:bottom w:val="single" w:color="000000" w:sz="4" w:space="0"/>
              <w:right w:val="single" w:color="000000" w:sz="4" w:space="0"/>
            </w:tcBorders>
            <w:noWrap/>
            <w:vAlign w:val="center"/>
          </w:tcPr>
          <w:p w14:paraId="0AD4E0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155AA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区域检验质控指标分析（改造）</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53AD0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进行质量指标测与分析，如标本类型错误率、检验前周转时间中位数、检验报告不正确率等，分析结果可以以柱状图、曲线图、饼图等不同形式的图形进行展示</w:t>
            </w:r>
          </w:p>
        </w:tc>
      </w:tr>
      <w:tr w14:paraId="5243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77F3A9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2454EC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基础数据维护（改造）</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2D2142D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一、基础数据维护</w:t>
            </w:r>
          </w:p>
          <w:p w14:paraId="18E278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支持对机构单位、仪器及型号、厂商及供应商、试剂及批次、质控品及批次等内容的维护</w:t>
            </w:r>
          </w:p>
        </w:tc>
      </w:tr>
      <w:tr w14:paraId="3833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6285F7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0B1E7F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区域临床危急值管理系统（新建）</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79E5CC3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一、外送样本危急值管理</w:t>
            </w:r>
          </w:p>
          <w:p w14:paraId="6315AF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支持定义接口规范，支持多种不同的“危急值”消息接入，将多个不同来源的“危急值”通知提醒给临床医务人员。</w:t>
            </w:r>
          </w:p>
          <w:p w14:paraId="3FE4B7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支持与短信平台进行接口对接，通过调用短信平台的接口，实现短信发送危急值信息。</w:t>
            </w:r>
          </w:p>
          <w:p w14:paraId="55A101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支持与送检机构的LIS系统接口对接，出现危急值后，通过接口发送至送检机构LIS处理。</w:t>
            </w:r>
          </w:p>
        </w:tc>
      </w:tr>
      <w:tr w14:paraId="0149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51B9ED1">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715262">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58D6E9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二、危急值统计报表</w:t>
            </w:r>
          </w:p>
          <w:p w14:paraId="31183B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危急值明细查询：支持根据系统汇总数据，统计区域临床危急值明细相关的数据。</w:t>
            </w:r>
          </w:p>
          <w:p w14:paraId="646032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危急值消息发送记录查询：支持根据系统汇总数据，统计区域临床危急值消息发送记录相关的数据。</w:t>
            </w:r>
          </w:p>
          <w:p w14:paraId="3CAB69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危急值处理及时率：支持根据系统汇总数据，统计区域临床危急值处理及时率相关的数据。</w:t>
            </w:r>
          </w:p>
          <w:p w14:paraId="00EAB6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危急值通知及时率：支持根据系统汇总数据，统计区域临床危急值通知及时率相关的数据。</w:t>
            </w:r>
          </w:p>
          <w:p w14:paraId="10CA72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危急值发送项目构成比：支持根据系统汇总数据，统计区域临床危急值发送项目构成比相关的数据。</w:t>
            </w:r>
          </w:p>
          <w:p w14:paraId="50BB56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危急值发送机构构成比：支持根据系统汇总数据，统计区域临床危急值发送机构构成比相关的数据。</w:t>
            </w:r>
          </w:p>
        </w:tc>
      </w:tr>
      <w:tr w14:paraId="161D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13E82D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6813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区域实验室检验能力质评（新建）</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60AE758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一、新建组织单位</w:t>
            </w:r>
          </w:p>
          <w:p w14:paraId="248775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持新增、编辑、删除组织单位，包括单位名称、级别、备注信息</w:t>
            </w:r>
          </w:p>
        </w:tc>
      </w:tr>
      <w:tr w14:paraId="645D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28B5E0FA">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C1A555">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77A46DF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二、创建考核计划</w:t>
            </w:r>
          </w:p>
          <w:p w14:paraId="204E30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支持创建考核计划，包括计划名称、计划日期、是否启用、考核类型（定量/定性）、计划类型、组织单位、质控品列表、质控品关联检验项目等信息</w:t>
            </w:r>
          </w:p>
          <w:p w14:paraId="558F5B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支持查看创建后的考核计划列表，可将已创建成功的考核计划关联机构，将考核计划下发到机构</w:t>
            </w:r>
          </w:p>
        </w:tc>
      </w:tr>
      <w:tr w14:paraId="48D2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324BD0B">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3B3800">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77C99A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三、机构填报结果</w:t>
            </w:r>
          </w:p>
          <w:p w14:paraId="36D665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支持各个机构认领计划并进行根据项目类型对项目仪器、方法、试剂、检测结果等信息进行填报</w:t>
            </w:r>
          </w:p>
        </w:tc>
      </w:tr>
      <w:tr w14:paraId="4DA4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D903A89">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6AEF2C">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05E8198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四、专家评定</w:t>
            </w:r>
          </w:p>
          <w:p w14:paraId="1C9766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支持对各机构参与的计划列表进行查看，可根据计划名、计划类别、考核类型等进行列表内容筛选</w:t>
            </w:r>
          </w:p>
          <w:p w14:paraId="593DE5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支持查看机构填报结果详情，并对已填报的计划进行专家评定</w:t>
            </w:r>
          </w:p>
        </w:tc>
      </w:tr>
      <w:tr w14:paraId="0739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27CC100A">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088C7B">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33500E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五、机构成绩查询</w:t>
            </w:r>
          </w:p>
          <w:p w14:paraId="50B21F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支持各个机构查询参与计划列表及详情，包含计划名、计划类别、考核类型、上报时间、评审状态、评审等级、评审人、评审时间、成绩评定结果、质量评价统计结果详情等信息</w:t>
            </w:r>
          </w:p>
        </w:tc>
      </w:tr>
      <w:tr w14:paraId="30A5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7A51387B">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7B2A7">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045259A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六、质评考核报表</w:t>
            </w:r>
          </w:p>
          <w:p w14:paraId="79B302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支持收集各个考核项目的原始数据，如项目编码、项目名称、回报数量等数据</w:t>
            </w:r>
          </w:p>
          <w:p w14:paraId="314FD1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支持针对单一项目的多个计划进行次间对比</w:t>
            </w:r>
          </w:p>
          <w:p w14:paraId="517232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支持查看机构合格率和项目合格率详情</w:t>
            </w:r>
          </w:p>
        </w:tc>
      </w:tr>
      <w:tr w14:paraId="0EFF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417BEC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0C6DE7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室内质控中控管理（新建）</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02953C7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支持以图表、卡片等方式多维度展示阶段质控信息</w:t>
            </w:r>
          </w:p>
          <w:p w14:paraId="6C91B3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支持以折线图方式展示某一时间段内质控项目的检验结果，可查看在控及失控情况，支持看同仪器及同质控品之间的对比情况</w:t>
            </w:r>
          </w:p>
          <w:p w14:paraId="56B579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支持以机构为单位对上报项目进行汇总，包含机构名称、总上报天数、已开展项目、项目开展率等</w:t>
            </w:r>
          </w:p>
        </w:tc>
      </w:tr>
      <w:tr w14:paraId="0AE6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62007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6ABBF9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区域问卷质量考核（新建）</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09052D1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一、问卷题库维护</w:t>
            </w:r>
          </w:p>
          <w:p w14:paraId="1DD4BD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支持对题目分类、题目标题、内容、评分规则等，新增、编辑、删除等操作</w:t>
            </w:r>
          </w:p>
          <w:p w14:paraId="2D8581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题库内容支持通过表格一键导入</w:t>
            </w:r>
          </w:p>
        </w:tc>
      </w:tr>
      <w:tr w14:paraId="5FC4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6B2691D2">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A2AD8E">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6D25FC5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二、问卷考核计划</w:t>
            </w:r>
          </w:p>
          <w:p w14:paraId="02B9BF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支持新增、查看、删除、禁用/启用考核计划</w:t>
            </w:r>
          </w:p>
          <w:p w14:paraId="47BDF1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已创建的考核计划支持选择相应需要参加考核的机构</w:t>
            </w:r>
          </w:p>
        </w:tc>
      </w:tr>
      <w:tr w14:paraId="34CC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81294FB">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9AFBE7">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2DB23CC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三、机构填报问卷</w:t>
            </w:r>
          </w:p>
          <w:p w14:paraId="69A709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支持各个参加考核计划的机构可在机构端填写问卷内容，提交后的问卷内容可传输至上层区域</w:t>
            </w:r>
          </w:p>
        </w:tc>
      </w:tr>
      <w:tr w14:paraId="2ECC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5DD5DCBA">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6C17D9">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2609138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四、专家评定</w:t>
            </w:r>
          </w:p>
          <w:p w14:paraId="3CE639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专家可对机构填报的试卷进行评定，列表展示考核计划、组织单位、开始时间、结束时间、计划状态、关联量表、考核机构数量等</w:t>
            </w:r>
          </w:p>
          <w:p w14:paraId="512942D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专家可在查看问卷详情后对问卷进行评定，包含单题评价及综合等级评定</w:t>
            </w:r>
          </w:p>
        </w:tc>
      </w:tr>
      <w:tr w14:paraId="69B1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5BCB429">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B91C1F">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525D770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五、问卷评分查询</w:t>
            </w:r>
          </w:p>
          <w:p w14:paraId="4F1749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机构可查看专家已评定的问卷，包含问卷内容、分数、专家评语等信息</w:t>
            </w:r>
          </w:p>
        </w:tc>
      </w:tr>
      <w:tr w14:paraId="5E62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C043FE2">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F0488">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1DE13E5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六、质评参评上报</w:t>
            </w:r>
          </w:p>
          <w:p w14:paraId="47491F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支持查看参加质评机构上传的参评项目列表，包括项目类型、项目名称、英文名、上报状态、全国及省级的评价结果和偏倚值、质控分析报告</w:t>
            </w:r>
          </w:p>
          <w:p w14:paraId="694479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支持针对机构、项目类型、项目名称、参评年度等进行列表内容检索</w:t>
            </w:r>
          </w:p>
          <w:p w14:paraId="37D8C5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支持编辑全国及省级的评价结果和偏倚值，支持报表上报</w:t>
            </w:r>
          </w:p>
        </w:tc>
      </w:tr>
      <w:tr w14:paraId="63DF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085855DF">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403FFA">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15BF3A1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七、质评参评统计报表</w:t>
            </w:r>
          </w:p>
          <w:p w14:paraId="074288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支持查看参评机构名称，全国及省级的参加项目数、项目参加率、项目不合格率</w:t>
            </w:r>
          </w:p>
          <w:p w14:paraId="5982E2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支持手动更改全国及省级的开展项目总数</w:t>
            </w:r>
          </w:p>
        </w:tc>
      </w:tr>
      <w:tr w14:paraId="1989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217CA7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A9D6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区域智慧任务管理（新建）</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7573F50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一、任务看板</w:t>
            </w:r>
          </w:p>
          <w:p w14:paraId="4352AC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系统支持总览任务信息，支持按照“我执行的”，“我负责的”，“我审核的”“我创建的”进行快速筛选任务内容</w:t>
            </w:r>
          </w:p>
          <w:p w14:paraId="5AC14C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支持区分任务状态，例如：在“我执行的”任务中，按待领取、进行中、已逾期等信息划分任务状态</w:t>
            </w:r>
          </w:p>
        </w:tc>
      </w:tr>
      <w:tr w14:paraId="3E6C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0A71424F">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111839">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2FDD8F3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二、新建任务计划</w:t>
            </w:r>
          </w:p>
          <w:p w14:paraId="3E41EB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系统支持新建任务计划，根据需求填写，计划名称、计划模板、循环周期、结束方式、计划开始时间、计划结束时间等信息</w:t>
            </w:r>
          </w:p>
        </w:tc>
      </w:tr>
      <w:tr w14:paraId="54E0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079F74F3">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F2AB5">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7A926F8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三、新增任务模板</w:t>
            </w:r>
          </w:p>
          <w:p w14:paraId="56DCDD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系统支持新增任务模板，根据需求填写模板名称、开始时间、持续时间、紧急程度、任务描述、适用小组、执行方式、执行人、负责人、前置/完成审核等信息。并且支持系统支持上传文件附件</w:t>
            </w:r>
          </w:p>
        </w:tc>
      </w:tr>
      <w:tr w14:paraId="5A05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1E405F3C">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C4B5BF">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1BDFC19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四、任务查询</w:t>
            </w:r>
          </w:p>
          <w:p w14:paraId="65B123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系统支持按未开始、进行中、已完成、已逾期、已作废等状态来区分任务</w:t>
            </w:r>
          </w:p>
          <w:p w14:paraId="01433A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系统支持高级筛选来查询任务，通过创建人、执行人、负责人、任务编号、任务名称等信息，进行筛选查询</w:t>
            </w:r>
          </w:p>
        </w:tc>
      </w:tr>
      <w:tr w14:paraId="4AF0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00EFA4E">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02DAEF">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1F5E164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五、表单设置</w:t>
            </w:r>
          </w:p>
          <w:p w14:paraId="4AF560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系统支持表单设置，在添加任务表单界面，输入表单名称、适用小组等信息，完成添加</w:t>
            </w:r>
          </w:p>
        </w:tc>
      </w:tr>
      <w:tr w14:paraId="7A40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1EBDE7A3">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CD92F0">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3D5256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六、统计分析</w:t>
            </w:r>
          </w:p>
          <w:p w14:paraId="02B311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支持对任务管理系统总体的数据进行统计分析</w:t>
            </w:r>
          </w:p>
        </w:tc>
      </w:tr>
      <w:tr w14:paraId="5634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74" w:type="pct"/>
            <w:vMerge w:val="restart"/>
            <w:tcBorders>
              <w:top w:val="single" w:color="000000" w:sz="4" w:space="0"/>
              <w:left w:val="single" w:color="000000" w:sz="4" w:space="0"/>
              <w:bottom w:val="single" w:color="000000" w:sz="4" w:space="0"/>
              <w:right w:val="single" w:color="000000" w:sz="4" w:space="0"/>
            </w:tcBorders>
            <w:noWrap/>
            <w:vAlign w:val="center"/>
          </w:tcPr>
          <w:p w14:paraId="184A3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62" w:type="pct"/>
            <w:vMerge w:val="restart"/>
            <w:tcBorders>
              <w:top w:val="single" w:color="000000" w:sz="4" w:space="0"/>
              <w:left w:val="single" w:color="000000" w:sz="4" w:space="0"/>
              <w:bottom w:val="single" w:color="000000" w:sz="4" w:space="0"/>
              <w:right w:val="single" w:color="000000" w:sz="4" w:space="0"/>
            </w:tcBorders>
            <w:noWrap w:val="0"/>
            <w:vAlign w:val="center"/>
          </w:tcPr>
          <w:p w14:paraId="2B4D59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区域文档规范管理（新建）</w:t>
            </w: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C3DB94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一、文件管理(SOP)</w:t>
            </w:r>
          </w:p>
          <w:p w14:paraId="16DCD4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实现文件的新建、上传、在线编辑、文件审批，需支持针对不同文件赋予不同人员不同权限</w:t>
            </w:r>
          </w:p>
          <w:p w14:paraId="11FAA5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支持科室将日常学习文件、政策文件上传至系统，并为文件命名，同时需记录文件上传人员、时间及文件大小</w:t>
            </w:r>
          </w:p>
        </w:tc>
      </w:tr>
      <w:tr w14:paraId="45D9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7F90448E">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11F5B1">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4BF8CEE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二、个人库管理</w:t>
            </w:r>
          </w:p>
          <w:p w14:paraId="04E286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支持上传文件个人文件及转存他人分享的文件</w:t>
            </w:r>
          </w:p>
          <w:p w14:paraId="7D8365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支持创建文件和文件夹，支持文件在线分享、编辑、下载、提交审批、移动、复制、重命名、删除等操作</w:t>
            </w:r>
          </w:p>
          <w:p w14:paraId="245006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支持文档指定分享用户，可同时选择多名用户，支持按小组或角色进行多选用户选择，支持分享时设置文件权限</w:t>
            </w:r>
          </w:p>
          <w:p w14:paraId="0F1D81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支持文件提交审批时显示醒目标识提醒，支持显示文件详情，包括审批流程、文件版本、浏览记录等信息</w:t>
            </w:r>
          </w:p>
        </w:tc>
      </w:tr>
      <w:tr w14:paraId="4965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141EA974">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F7FCAE">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76B3601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三、公共库管理</w:t>
            </w:r>
          </w:p>
          <w:p w14:paraId="5DC24E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公共库支持存放各科室/小组/的文件，支持对文件设置权限进行控制，支持根据小组/角色/人员进行相应的设置，权限包括可查看、可下载、可编辑、可管理</w:t>
            </w:r>
          </w:p>
          <w:p w14:paraId="7612C0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支持将文件下发学习，分配给指定人员执行学习任务，并跟踪其学习进度</w:t>
            </w:r>
          </w:p>
        </w:tc>
      </w:tr>
      <w:tr w14:paraId="6913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0BB3C1A6">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06586D">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437875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四、正式库管理</w:t>
            </w:r>
          </w:p>
          <w:p w14:paraId="71DF00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可用于存放经过审核批准的正式文件，在科室内形成统一的知识库及相关政策通知库，方便搜索</w:t>
            </w:r>
          </w:p>
          <w:p w14:paraId="7CF613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正式库文件可供所有人员查看，其他操作权限需分配</w:t>
            </w:r>
          </w:p>
        </w:tc>
      </w:tr>
      <w:tr w14:paraId="5132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08FFF910">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196B4">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0575413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五、模板库管理</w:t>
            </w:r>
          </w:p>
          <w:p w14:paraId="578D4B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系统内置丰富的模板库，科室工作人员可直接下载模板编辑、使用，提高科室文件格式统一率及工作效率</w:t>
            </w:r>
          </w:p>
          <w:p w14:paraId="4CEC99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系统具有标准的审核流程，可选择文件需要上传的文件库、审批模式和审批人，以及支持添加多级审批人</w:t>
            </w:r>
          </w:p>
        </w:tc>
      </w:tr>
      <w:tr w14:paraId="137D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72D072AF">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53191">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5D0551E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六、文件审批</w:t>
            </w:r>
          </w:p>
          <w:p w14:paraId="37A342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系统支持文件审批流程可视化</w:t>
            </w:r>
          </w:p>
          <w:p w14:paraId="3CF1F0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支持进行审批管理</w:t>
            </w:r>
          </w:p>
        </w:tc>
      </w:tr>
      <w:tr w14:paraId="03AF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7687D217">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BE8C95">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2FEECFA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七、作废文件管理</w:t>
            </w:r>
          </w:p>
          <w:p w14:paraId="6F8D9E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支持管理因过期、迭代等原因作废的文件</w:t>
            </w:r>
          </w:p>
        </w:tc>
      </w:tr>
      <w:tr w14:paraId="7FC1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C12C96E">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01F644">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006D9D9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八、回收站</w:t>
            </w:r>
          </w:p>
          <w:p w14:paraId="03B930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支持回收站功能，管理删除的文件，对其进行恢复或彻底删除</w:t>
            </w:r>
          </w:p>
        </w:tc>
      </w:tr>
      <w:tr w14:paraId="1CAB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3BD4E16A">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3C022E">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3352F34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九、文件来源</w:t>
            </w:r>
          </w:p>
          <w:p w14:paraId="410460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支持维护文件来源</w:t>
            </w:r>
          </w:p>
        </w:tc>
      </w:tr>
      <w:tr w14:paraId="3080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1C586675">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5EFE60">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691BDF3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十、文件学习</w:t>
            </w:r>
          </w:p>
          <w:p w14:paraId="57223E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支持选择库中文件制定学习计划，指定人员进行选择</w:t>
            </w:r>
          </w:p>
        </w:tc>
      </w:tr>
      <w:tr w14:paraId="5D76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4B04EC83">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0B898">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6FD16F0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十一、文件统计</w:t>
            </w:r>
          </w:p>
          <w:p w14:paraId="7C1069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支持学习任务管理，查看我的学习任务，管理其他人员学习任务执行情况</w:t>
            </w:r>
          </w:p>
        </w:tc>
      </w:tr>
      <w:tr w14:paraId="2159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4" w:type="pct"/>
            <w:vMerge w:val="continue"/>
            <w:tcBorders>
              <w:top w:val="single" w:color="000000" w:sz="4" w:space="0"/>
              <w:left w:val="single" w:color="000000" w:sz="4" w:space="0"/>
              <w:bottom w:val="single" w:color="000000" w:sz="4" w:space="0"/>
              <w:right w:val="single" w:color="000000" w:sz="4" w:space="0"/>
            </w:tcBorders>
            <w:noWrap/>
            <w:vAlign w:val="center"/>
          </w:tcPr>
          <w:p w14:paraId="652DE3EE">
            <w:pPr>
              <w:jc w:val="center"/>
              <w:rPr>
                <w:rFonts w:hint="eastAsia" w:ascii="宋体" w:hAnsi="宋体" w:eastAsia="宋体" w:cs="宋体"/>
                <w:i w:val="0"/>
                <w:iCs w:val="0"/>
                <w:color w:val="auto"/>
                <w:sz w:val="21"/>
                <w:szCs w:val="21"/>
                <w:u w:val="none"/>
              </w:rPr>
            </w:pPr>
          </w:p>
        </w:tc>
        <w:tc>
          <w:tcPr>
            <w:tcW w:w="7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C34A96">
            <w:pPr>
              <w:jc w:val="center"/>
              <w:rPr>
                <w:rFonts w:hint="eastAsia" w:ascii="宋体" w:hAnsi="宋体" w:eastAsia="宋体" w:cs="宋体"/>
                <w:i w:val="0"/>
                <w:iCs w:val="0"/>
                <w:color w:val="auto"/>
                <w:sz w:val="21"/>
                <w:szCs w:val="21"/>
                <w:u w:val="none"/>
              </w:rPr>
            </w:pPr>
          </w:p>
        </w:tc>
        <w:tc>
          <w:tcPr>
            <w:tcW w:w="3763" w:type="pct"/>
            <w:tcBorders>
              <w:top w:val="single" w:color="000000" w:sz="4" w:space="0"/>
              <w:left w:val="single" w:color="000000" w:sz="4" w:space="0"/>
              <w:bottom w:val="single" w:color="000000" w:sz="4" w:space="0"/>
              <w:right w:val="single" w:color="000000" w:sz="4" w:space="0"/>
            </w:tcBorders>
            <w:noWrap w:val="0"/>
            <w:vAlign w:val="center"/>
          </w:tcPr>
          <w:p w14:paraId="1543C05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十二、文件签名模板</w:t>
            </w:r>
          </w:p>
          <w:p w14:paraId="357555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支持对发起审批进入正式库的文件进行溯源统计</w:t>
            </w:r>
          </w:p>
        </w:tc>
      </w:tr>
    </w:tbl>
    <w:p w14:paraId="24D83F06">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Calibri" w:hAnsi="Calibri" w:eastAsia="黑体" w:cs="Times New Roman"/>
          <w:b/>
          <w:color w:val="auto"/>
          <w:kern w:val="2"/>
          <w:sz w:val="21"/>
          <w:szCs w:val="21"/>
          <w:lang w:val="en-US" w:eastAsia="zh-CN" w:bidi="ar-SA"/>
        </w:rPr>
      </w:pPr>
      <w:r>
        <w:rPr>
          <w:rFonts w:hint="eastAsia" w:ascii="Calibri" w:hAnsi="Calibri" w:eastAsia="黑体" w:cs="Times New Roman"/>
          <w:b/>
          <w:color w:val="auto"/>
          <w:kern w:val="2"/>
          <w:sz w:val="21"/>
          <w:szCs w:val="21"/>
          <w:lang w:val="en-US" w:eastAsia="zh-CN" w:bidi="ar-SA"/>
        </w:rPr>
        <w:t>药事质控</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233"/>
        <w:gridCol w:w="6656"/>
      </w:tblGrid>
      <w:tr w14:paraId="34B3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14:paraId="0A73960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0052D6E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533F65E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589A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766B71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14:paraId="2A78A2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中心药品（商品）标准目录（改造）</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1F12C23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一、国家西药编码规则</w:t>
            </w:r>
          </w:p>
          <w:p w14:paraId="04579E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支持按照国家西药编码对西药进行统一管理</w:t>
            </w:r>
          </w:p>
        </w:tc>
      </w:tr>
      <w:tr w14:paraId="7DC1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3"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3CC2EA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23" w:type="pct"/>
            <w:vMerge w:val="restart"/>
            <w:tcBorders>
              <w:top w:val="single" w:color="000000" w:sz="4" w:space="0"/>
              <w:left w:val="single" w:color="000000" w:sz="4" w:space="0"/>
              <w:bottom w:val="single" w:color="000000" w:sz="4" w:space="0"/>
              <w:right w:val="single" w:color="000000" w:sz="4" w:space="0"/>
            </w:tcBorders>
            <w:noWrap/>
            <w:vAlign w:val="center"/>
          </w:tcPr>
          <w:p w14:paraId="32D85B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药品使用监管（改造）</w:t>
            </w:r>
          </w:p>
        </w:tc>
        <w:tc>
          <w:tcPr>
            <w:tcW w:w="3906" w:type="pct"/>
            <w:tcBorders>
              <w:top w:val="single" w:color="000000" w:sz="4" w:space="0"/>
              <w:left w:val="single" w:color="000000" w:sz="4" w:space="0"/>
              <w:bottom w:val="single" w:color="000000" w:sz="4" w:space="0"/>
              <w:right w:val="single" w:color="000000" w:sz="4" w:space="0"/>
            </w:tcBorders>
            <w:noWrap/>
            <w:vAlign w:val="center"/>
          </w:tcPr>
          <w:p w14:paraId="54CC9BD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一、药品合理使用分析</w:t>
            </w:r>
          </w:p>
          <w:p w14:paraId="301F49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按机构处方分类统计</w:t>
            </w:r>
          </w:p>
          <w:p w14:paraId="0E9BCE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支持按医共体、按机构查询处方分类数据</w:t>
            </w:r>
          </w:p>
          <w:p w14:paraId="1490CB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支持按处方数、按人次数查询处方分类数据</w:t>
            </w:r>
          </w:p>
          <w:p w14:paraId="031C95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支持按年、季度、月查询处方分类数据</w:t>
            </w:r>
          </w:p>
          <w:p w14:paraId="6244D2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的处方总数、大容量注射剂、激素药品、抗菌药品处方数、抗生素药品二联及以上（二联、三联及以上）、大容量注射剂比率、激素药品比率、抗生素药品比率、抗生素药品二联及以上比率（二联比率、三联及以上比率）</w:t>
            </w:r>
          </w:p>
          <w:p w14:paraId="66365D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支持下钻查看处方医生明细列表</w:t>
            </w:r>
          </w:p>
          <w:p w14:paraId="5E7971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支持下钻查看处方详情</w:t>
            </w:r>
          </w:p>
          <w:p w14:paraId="259110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按机构科室处方分类统计</w:t>
            </w:r>
          </w:p>
          <w:p w14:paraId="2A2999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支持按医共体、按机构查询处方分类数据</w:t>
            </w:r>
          </w:p>
          <w:p w14:paraId="6BD15F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支持按处方数、按人次数查询处方分类数据</w:t>
            </w:r>
          </w:p>
          <w:p w14:paraId="565465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支持按年、季度、月查询处方分类数据</w:t>
            </w:r>
          </w:p>
          <w:p w14:paraId="1F6E27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科室的处方总数、大容量注射剂、激素药品、抗菌药品处方数、抗生素药品二联及以上（二联、三联及以上）、大容量注射剂比率、激素药品比率、抗生素药品比率、抗生素药品二联及以上比率（二联比率、三联及以上比率）</w:t>
            </w:r>
          </w:p>
          <w:p w14:paraId="5624D9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支持下钻查看处方医生明细列表</w:t>
            </w:r>
          </w:p>
          <w:p w14:paraId="1E0B03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支持下钻查看处方详情</w:t>
            </w:r>
          </w:p>
          <w:p w14:paraId="42EB84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按机构医生处方分类统计</w:t>
            </w:r>
          </w:p>
          <w:p w14:paraId="01ABD2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支持按医共体、按机构查询处方分类数据</w:t>
            </w:r>
          </w:p>
          <w:p w14:paraId="646C18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支持按处方数、按人次数查询处方分类数据</w:t>
            </w:r>
          </w:p>
          <w:p w14:paraId="3B964F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支持按年、季度、月查询处方分类数据</w:t>
            </w:r>
          </w:p>
          <w:p w14:paraId="55F160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医生的处方总数、大容量注射剂、激素药品、抗菌药品处方数、抗生素药品二联及以上（二联、三联及以上）、大容量注射剂比率、激素药品比率、抗生素药品比率、抗生素药品二联及以上比率（二联比率、三联及以上比率）</w:t>
            </w:r>
          </w:p>
          <w:p w14:paraId="417CE0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支持下钻查看处方医生明细列表</w:t>
            </w:r>
          </w:p>
          <w:p w14:paraId="756A20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支持下钻查看处方详情</w:t>
            </w:r>
          </w:p>
          <w:p w14:paraId="1EA242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平均处方费用查询</w:t>
            </w:r>
          </w:p>
          <w:p w14:paraId="6097E2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支持按医共体、按机构查询统计平均处方费用数据</w:t>
            </w:r>
          </w:p>
          <w:p w14:paraId="6C1BCE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支持按处方或人次查询统计平均处方费用数据</w:t>
            </w:r>
          </w:p>
          <w:p w14:paraId="3AAB25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支持按时间段查询统计平均处方费用数据</w:t>
            </w:r>
          </w:p>
          <w:p w14:paraId="6FD2BC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支持列表展示医疗机构的处方金额、处方数、处方均额、处方金额（除慢病）、除去慢病用药处方均额</w:t>
            </w:r>
          </w:p>
          <w:p w14:paraId="1E681F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支持下钻查看各医生的处方金额、处方数、处方均额、处方金额（除慢病）、除去慢病用药处方均额</w:t>
            </w:r>
          </w:p>
          <w:p w14:paraId="238644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处方同期对比</w:t>
            </w:r>
          </w:p>
          <w:p w14:paraId="5ACAEB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支持按医共体、按机构查询统计处方同期数据</w:t>
            </w:r>
          </w:p>
          <w:p w14:paraId="0D2BFD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支持按不同对比对象进行自定义比对</w:t>
            </w:r>
          </w:p>
          <w:p w14:paraId="4FC582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支持按年、半年、季度、月查询统计处方同期对比数据</w:t>
            </w:r>
          </w:p>
          <w:p w14:paraId="5DE37D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支持列表展示不同时间颗粒、不同对比对象的处方数、处方增长率</w:t>
            </w:r>
          </w:p>
          <w:p w14:paraId="208C37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按单个药品使用统计</w:t>
            </w:r>
          </w:p>
          <w:p w14:paraId="3117C2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支持按医共体、按机构查询统计单个药品数据</w:t>
            </w:r>
          </w:p>
          <w:p w14:paraId="00DA26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支持通过药品目录进行查询</w:t>
            </w:r>
          </w:p>
          <w:p w14:paraId="48BD46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支持按照时间段进行查询统计</w:t>
            </w:r>
          </w:p>
          <w:p w14:paraId="335067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支持各医疗机构展示药品单价、用药数量以及金额</w:t>
            </w:r>
          </w:p>
          <w:p w14:paraId="1371AC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按一类药品使用统计</w:t>
            </w:r>
          </w:p>
          <w:p w14:paraId="2E70BE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支持按医共体、按机构查询一类药品数据</w:t>
            </w:r>
          </w:p>
          <w:p w14:paraId="534A58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支持按药品标签查询统计</w:t>
            </w:r>
          </w:p>
          <w:p w14:paraId="15D0B2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支持按药理分类进行统计查询</w:t>
            </w:r>
          </w:p>
          <w:p w14:paraId="258267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支持按照是否重点监控查询统计</w:t>
            </w:r>
          </w:p>
          <w:p w14:paraId="3DEC2D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支持按时间段进行查询统计</w:t>
            </w:r>
          </w:p>
          <w:p w14:paraId="3684C7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支持列表展示医疗机构的用药数量与金额</w:t>
            </w:r>
          </w:p>
          <w:p w14:paraId="6B69F4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支持下钻展开药品详情与用药数量、金额</w:t>
            </w:r>
          </w:p>
          <w:p w14:paraId="768EEC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基本药物使用统计</w:t>
            </w:r>
          </w:p>
          <w:p w14:paraId="424418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支持按医共体、按机构查询统计基本药物使用情况</w:t>
            </w:r>
          </w:p>
          <w:p w14:paraId="51245C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支持按药品类型查询统计基本药物使用情况</w:t>
            </w:r>
          </w:p>
          <w:p w14:paraId="3068C1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支持按门诊、住院业务查询统计基本药物使用情况</w:t>
            </w:r>
          </w:p>
          <w:p w14:paraId="213DE0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支持图表类展示基本药物使用情况</w:t>
            </w:r>
          </w:p>
          <w:p w14:paraId="7B217F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的药品类型、业务类型、药品收入、基药管理金额与占比、非基药管理金额与占比，国家组织集中采购和使用金额与占比、国家组织集中采购和使用药品配备比、国家组织集中采购和使用药品占相同通用名使用比</w:t>
            </w:r>
          </w:p>
          <w:p w14:paraId="364FD6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药占比统计</w:t>
            </w:r>
          </w:p>
          <w:p w14:paraId="3F47C8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按机构药占比统计</w:t>
            </w:r>
          </w:p>
          <w:p w14:paraId="3BEB55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支持按医共体、机构统计查询药占比</w:t>
            </w:r>
          </w:p>
          <w:p w14:paraId="34899F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支持列表展示各医疗机构的门诊药品收入、门诊总收入、门诊药比</w:t>
            </w:r>
          </w:p>
          <w:p w14:paraId="57A694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支持列表展示各医疗机构的住院药品收入、住院总收入、住院药比</w:t>
            </w:r>
          </w:p>
          <w:p w14:paraId="6D5E52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支持列表展示各医疗机构的全院总收入、全院药比</w:t>
            </w:r>
          </w:p>
          <w:p w14:paraId="4E6A19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支持抗菌药物占总药品的占比</w:t>
            </w:r>
          </w:p>
          <w:p w14:paraId="506EA4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支持除慢病药品占总药品的占比</w:t>
            </w:r>
          </w:p>
          <w:p w14:paraId="69214F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按科室药占比统计</w:t>
            </w:r>
          </w:p>
          <w:p w14:paraId="60F760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支持按医共体、机构、科室统计查询药占比</w:t>
            </w:r>
          </w:p>
          <w:p w14:paraId="7E85AF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支持列表展示各医疗机构各科室的门诊药品收入、门诊总收入、门诊药比</w:t>
            </w:r>
          </w:p>
          <w:p w14:paraId="182944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支持列表展示各医疗机构各科室的住院药品收入、住院总收入、住院药比</w:t>
            </w:r>
          </w:p>
          <w:p w14:paraId="192BFF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支持列表展示各医疗机构各科室的全院总收入、全院药比</w:t>
            </w:r>
          </w:p>
          <w:p w14:paraId="41E259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支持各科室抗菌药物占总药品的占比</w:t>
            </w:r>
          </w:p>
          <w:p w14:paraId="79C3B7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支持各科室除慢病药品占总药品的占比</w:t>
            </w:r>
          </w:p>
          <w:p w14:paraId="2552D2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抗菌药物品种统计</w:t>
            </w:r>
          </w:p>
          <w:p w14:paraId="7121F5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支持按医共体、机构统计抗菌药物品种数</w:t>
            </w:r>
          </w:p>
          <w:p w14:paraId="526096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支持按抗菌药物级别的抗菌药物品种数</w:t>
            </w:r>
          </w:p>
          <w:p w14:paraId="00E7EA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支持列表展示各医疗机构的抗菌药物种类与品规数</w:t>
            </w:r>
          </w:p>
          <w:p w14:paraId="0E72D7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支持下钻查看各医疗机构的抗菌药物品种种类与品规数</w:t>
            </w:r>
          </w:p>
          <w:p w14:paraId="4FA1F4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支持下钻查看各品规的明细信息</w:t>
            </w:r>
          </w:p>
          <w:p w14:paraId="7D0AA4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基本药物品种统计</w:t>
            </w:r>
          </w:p>
          <w:p w14:paraId="319EE5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支持按医共体、机构统计基本药物品种数</w:t>
            </w:r>
          </w:p>
          <w:p w14:paraId="3FB386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支持按基本药物类型的基本药物品种数</w:t>
            </w:r>
          </w:p>
          <w:p w14:paraId="16E20F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支持列表展示各医疗机构的基本药物种类与品规数</w:t>
            </w:r>
          </w:p>
          <w:p w14:paraId="4F760E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支持下钻查看各医疗机构的基本药物品种种类与品规数</w:t>
            </w:r>
          </w:p>
          <w:p w14:paraId="72CDFD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支持下钻查看各品规的明细信息</w:t>
            </w:r>
          </w:p>
          <w:p w14:paraId="73EF90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注射药物使用分析</w:t>
            </w:r>
          </w:p>
          <w:p w14:paraId="0A9A23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支持按医共体、机构统计注射药物使用情况</w:t>
            </w:r>
          </w:p>
          <w:p w14:paraId="771C81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支持按门诊、住院业务查询统计注射药物使用情况</w:t>
            </w:r>
          </w:p>
          <w:p w14:paraId="4DAD7C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支持按时间段查询注射药物使用情况</w:t>
            </w:r>
          </w:p>
          <w:p w14:paraId="5EB399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支持用图表展示注射药物使用情况</w:t>
            </w:r>
          </w:p>
          <w:p w14:paraId="48B958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支持列表展示各医疗机构业务类型的注射药物用量、金额、药品用量、金额</w:t>
            </w:r>
          </w:p>
          <w:p w14:paraId="145A65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 国家组织集中采购和使用药品统计</w:t>
            </w:r>
          </w:p>
          <w:p w14:paraId="411CCA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支持按医共体、机构、科室展示国家组织集中采购和使用药品统计情况</w:t>
            </w:r>
          </w:p>
          <w:p w14:paraId="3237CD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支持按是否重点监控、药理分配查询统计国家组织集中采购和使用药品统计情况</w:t>
            </w:r>
          </w:p>
          <w:p w14:paraId="454B2E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支持按时间颗粒年、半年、季度、月度查询国家组织集中采购和使用药品统计情况</w:t>
            </w:r>
          </w:p>
          <w:p w14:paraId="22EBBE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支持是否排除限制条件查询统计国家组织集中采购和使用药品统计情况</w:t>
            </w:r>
          </w:p>
          <w:p w14:paraId="143A60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支持列表展示单个药品的数量、金额与国家集中采购药品占比</w:t>
            </w:r>
          </w:p>
          <w:p w14:paraId="333F5A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支持下钻不同品规的药品数量与金额</w:t>
            </w:r>
          </w:p>
          <w:p w14:paraId="2E76E6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支持下钻各医疗机构、科室、医生的使用数量与金额</w:t>
            </w:r>
          </w:p>
          <w:p w14:paraId="579696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支持下钻对应的处方列表</w:t>
            </w:r>
          </w:p>
          <w:p w14:paraId="1297E7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支持下钻查看处方详细信息</w:t>
            </w:r>
          </w:p>
        </w:tc>
      </w:tr>
      <w:tr w14:paraId="6190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786E3C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23" w:type="pct"/>
            <w:vMerge w:val="restart"/>
            <w:tcBorders>
              <w:top w:val="single" w:color="000000" w:sz="4" w:space="0"/>
              <w:left w:val="single" w:color="000000" w:sz="4" w:space="0"/>
              <w:bottom w:val="single" w:color="000000" w:sz="4" w:space="0"/>
              <w:right w:val="single" w:color="000000" w:sz="4" w:space="0"/>
            </w:tcBorders>
            <w:noWrap/>
            <w:vAlign w:val="center"/>
          </w:tcPr>
          <w:p w14:paraId="128E36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质控管理（改造）</w:t>
            </w:r>
          </w:p>
        </w:tc>
        <w:tc>
          <w:tcPr>
            <w:tcW w:w="3906" w:type="pct"/>
            <w:tcBorders>
              <w:top w:val="single" w:color="000000" w:sz="4" w:space="0"/>
              <w:left w:val="single" w:color="000000" w:sz="4" w:space="0"/>
              <w:bottom w:val="single" w:color="000000" w:sz="4" w:space="0"/>
              <w:right w:val="single" w:color="000000" w:sz="4" w:space="0"/>
            </w:tcBorders>
            <w:noWrap/>
            <w:vAlign w:val="center"/>
          </w:tcPr>
          <w:p w14:paraId="3143190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一、智能预警分析</w:t>
            </w:r>
          </w:p>
          <w:p w14:paraId="3691EE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药品超限使用预警查询</w:t>
            </w:r>
          </w:p>
          <w:p w14:paraId="63CF26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支持按医共体、按机构查询统计药品超限使用情况</w:t>
            </w:r>
          </w:p>
          <w:p w14:paraId="0B673E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支持按年、季度、月查询统计药品超限使用情况</w:t>
            </w:r>
          </w:p>
          <w:p w14:paraId="0D3AF1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支持图表类展示抗菌药物、中成药注射剂、激素药品使用情况</w:t>
            </w:r>
          </w:p>
          <w:p w14:paraId="036AF1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支持展示抗菌药品的同比使用量、使用量、超限比例</w:t>
            </w:r>
          </w:p>
          <w:p w14:paraId="412479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支持展示中成药注射剂的同比使用量、使用量、超限比例</w:t>
            </w:r>
          </w:p>
          <w:p w14:paraId="6136E9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支持展示激素药品的同比使用量、使用量、超限比例</w:t>
            </w:r>
          </w:p>
          <w:p w14:paraId="3C6A9C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支持展示慢性病药品的同比使用量、使用量、超限比例</w:t>
            </w:r>
          </w:p>
          <w:p w14:paraId="394C93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支持展示重点监控药品的同比使用量、使用量、超限比例</w:t>
            </w:r>
          </w:p>
          <w:p w14:paraId="3FAEF3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支持按机构下钻查看药品明细，包括药品的历史均值、用药数量以及超限比例</w:t>
            </w:r>
          </w:p>
          <w:p w14:paraId="57AD7F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支持按科室下钻查看药品明细，包括药品的历史均值、用药数量以及超限比例</w:t>
            </w:r>
          </w:p>
          <w:p w14:paraId="37A58E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连续三个月使用预警排名</w:t>
            </w:r>
          </w:p>
          <w:p w14:paraId="4284B2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支持按医共体、按机构查询统计连续三个月使用预警排名情况</w:t>
            </w:r>
          </w:p>
          <w:p w14:paraId="3D4A97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支持按药品标签查询统计连续三个月使用预警排名情况</w:t>
            </w:r>
          </w:p>
          <w:p w14:paraId="30B9BC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支持按照数量、按金额统计连续三个月使用预警排名情况</w:t>
            </w:r>
          </w:p>
          <w:p w14:paraId="0579B9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支持查询排名前5、前10、前20的连续三个月使用预警排名情况</w:t>
            </w:r>
          </w:p>
          <w:p w14:paraId="61418D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支持按药理分类查询统计连续三个月使用预警排名情况</w:t>
            </w:r>
          </w:p>
          <w:p w14:paraId="41517C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支持列表展示药品明细与第一、二、三月用量与用量排名</w:t>
            </w:r>
          </w:p>
          <w:p w14:paraId="7D4A0D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支持下钻查看同药品的数量和金额</w:t>
            </w:r>
          </w:p>
          <w:p w14:paraId="3A5917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支持下钻查看各机构不同科室、医生的数量和金额</w:t>
            </w:r>
          </w:p>
          <w:p w14:paraId="028FA3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抗菌药物使用预警查询</w:t>
            </w:r>
          </w:p>
          <w:p w14:paraId="033AB1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支持按医共体、按机构查询统计抗菌药物使用预警数据</w:t>
            </w:r>
          </w:p>
          <w:p w14:paraId="5BD459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支持按抗菌药物级别查询统计抗菌药物使用预警数据</w:t>
            </w:r>
          </w:p>
          <w:p w14:paraId="2D9192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支持按月查询统计抗菌药物使用预警数据</w:t>
            </w:r>
          </w:p>
          <w:p w14:paraId="1DE524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支持图表形式展示全区、区级医疗结构、基层医疗机构的抗菌药物使用预警数据</w:t>
            </w:r>
          </w:p>
          <w:p w14:paraId="31D47F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支持列表展示限制级抗菌药物的门诊数量、门诊金额、住院数量、住院金额</w:t>
            </w:r>
          </w:p>
          <w:p w14:paraId="32CF14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支持列表展示特殊使用级抗菌药物的门诊数量、门诊金额、住院数量、住院金额</w:t>
            </w:r>
          </w:p>
          <w:p w14:paraId="54599F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支持下钻查看各机构不同科室、医生的数量和金额</w:t>
            </w:r>
          </w:p>
          <w:p w14:paraId="37E5B4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重点监控药品预警</w:t>
            </w:r>
          </w:p>
          <w:p w14:paraId="1D9B9D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支持按医共体、按机构查询统计重点监控药品预警数据</w:t>
            </w:r>
          </w:p>
          <w:p w14:paraId="39930F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支持按药品类型查询统计重点监控药品预警数据</w:t>
            </w:r>
          </w:p>
          <w:p w14:paraId="13AFB8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支持按月查询统计重点监控药品预警数据</w:t>
            </w:r>
          </w:p>
          <w:p w14:paraId="0EE2C5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支持图表形式展示全区、区级医疗结构、基层医疗机构的重点监控药品预警数据</w:t>
            </w:r>
          </w:p>
          <w:p w14:paraId="199942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支持列表展示各机构的重点监控药品上月用量、本月用量与月增长率</w:t>
            </w:r>
          </w:p>
          <w:p w14:paraId="4F7161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支持下钻查看各机构、不同科室、医生的药品上月用量、本月用量与月增长率</w:t>
            </w:r>
          </w:p>
          <w:p w14:paraId="6CE45F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三率超限预警查询</w:t>
            </w:r>
          </w:p>
          <w:p w14:paraId="21EAE2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支持按医共体、按机构查询统计三率超限预警数据</w:t>
            </w:r>
          </w:p>
          <w:p w14:paraId="4534F0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支持按月查询统计三率超限预警数据</w:t>
            </w:r>
          </w:p>
          <w:p w14:paraId="1B64CF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支持列表按机构展示抗菌药物处方占比的考核值与实际值</w:t>
            </w:r>
          </w:p>
          <w:p w14:paraId="0BD180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支持列表按机构展示激素药物处方占比的考核值与实际值</w:t>
            </w:r>
          </w:p>
          <w:p w14:paraId="6416DB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支持列表按机构展示大容量注射剂处方占比的考核值与实际值</w:t>
            </w:r>
          </w:p>
          <w:p w14:paraId="705052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建议暂停使用药品报表</w:t>
            </w:r>
          </w:p>
          <w:p w14:paraId="3B25CE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单个机构超限使用200%以上且不是国家集中采购药品</w:t>
            </w:r>
          </w:p>
          <w:p w14:paraId="7B9486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支持按医共体、按机构查询统计药品超限使用且不是集中采购药品情况</w:t>
            </w:r>
          </w:p>
          <w:p w14:paraId="4912E5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支持按年、季度、月查询统计药品超限使用且不是集中采购药品情况</w:t>
            </w:r>
          </w:p>
          <w:p w14:paraId="16B17F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支持列表展示药品明细与同比使用量、使用量、超限比例</w:t>
            </w:r>
          </w:p>
          <w:p w14:paraId="2F3DBE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单个机构连续三个月使用排名前三且不是国家集中采购药品</w:t>
            </w:r>
          </w:p>
          <w:p w14:paraId="6032CB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支持按医共体、按机构查询统计单机构连续三个月排名前三且不是集中采购药品情况</w:t>
            </w:r>
          </w:p>
          <w:p w14:paraId="225709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支持按数量、金额排序统计单机构连续三个月排名前三且不是集中采购药品情况</w:t>
            </w:r>
          </w:p>
          <w:p w14:paraId="7AA923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支持按月统计查询单机构连续三个月排名前三且不是集中采购药品情况</w:t>
            </w:r>
          </w:p>
          <w:p w14:paraId="22725B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支持列表展示药品明细与第一月、二月、三月使用量、用量排名与药品标签</w:t>
            </w:r>
          </w:p>
          <w:p w14:paraId="7C3FEC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医共体连续三个月使用排名前五且不是国家集中采购药品</w:t>
            </w:r>
          </w:p>
          <w:p w14:paraId="22D0EB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支持按医共体、按机构查询统计医共体连续三个月排名前五且不是集中采购药品情况</w:t>
            </w:r>
          </w:p>
          <w:p w14:paraId="193CF8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支持按数量、金额排序统计医共体连续三个月排名前五且不是集中采购药品情况</w:t>
            </w:r>
          </w:p>
          <w:p w14:paraId="7B2A73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支持按月统计查询医共体连续三个月排名前五且不是集中采购药品情况</w:t>
            </w:r>
          </w:p>
          <w:p w14:paraId="4FFCE8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支持列表展示药品明细与第一月、二月、三月使用量、用量排名与药品标签</w:t>
            </w:r>
          </w:p>
          <w:p w14:paraId="6B402D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全区连续三个月使用排名前十且不是国家集中采购药品</w:t>
            </w:r>
          </w:p>
          <w:p w14:paraId="2E84BB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支持按数量、金额排序统计全区连续三个月使用排名前十且不是国家集中采购药品情况</w:t>
            </w:r>
          </w:p>
          <w:p w14:paraId="2AB79C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支持按月统计查询全区连续三个月使用排名前十且不是国家集中采购药品情况</w:t>
            </w:r>
          </w:p>
          <w:p w14:paraId="3BDAFD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支持列表展示药品明细与第一月、二月、三月使用量、用量排名与药品标签</w:t>
            </w:r>
          </w:p>
          <w:p w14:paraId="573A93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处方点评医生预警报表</w:t>
            </w:r>
          </w:p>
          <w:p w14:paraId="0FED7D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支持自定义处方医生超常处方数查询</w:t>
            </w:r>
          </w:p>
          <w:p w14:paraId="38CBB5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支持按时间段进行查询监测</w:t>
            </w:r>
          </w:p>
          <w:p w14:paraId="79B716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支持列表展示医疗机构、科室、医生的超常处方数</w:t>
            </w:r>
          </w:p>
          <w:p w14:paraId="0DED8C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支持处方数量下钻查看处方详情与点评详情</w:t>
            </w:r>
          </w:p>
          <w:p w14:paraId="2A0CDB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支持下钻查看处方明细信息与点评详情</w:t>
            </w:r>
          </w:p>
          <w:p w14:paraId="7B5A06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阳光用药监测报表</w:t>
            </w:r>
          </w:p>
          <w:p w14:paraId="4DAE9C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支持按医共体、按机构查询统计每月阳光用药监测指标</w:t>
            </w:r>
          </w:p>
          <w:p w14:paraId="429D9D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支持按月查询统计每月阳光用药监测指标</w:t>
            </w:r>
          </w:p>
          <w:p w14:paraId="34982D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机构的医院药品收入占医疗收入占比、国家基本药物目录品种使用金额比例、国家组织集中采购和使用药品金额比例、抗菌药物占药品使用比例、抗菌药物占门诊处方比例、每门诊人次费用、每门诊人次药品费用、门诊处方平均费用、出院人次均费用、出院人次均药品费用、出院病人平均住院日、不合格处方占全部处方比例</w:t>
            </w:r>
          </w:p>
          <w:p w14:paraId="0FFB2B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药事质控管理</w:t>
            </w:r>
          </w:p>
          <w:p w14:paraId="489C46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住院患者抗菌药物使用强度</w:t>
            </w:r>
          </w:p>
          <w:p w14:paraId="0CF683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支持按机构查询住院患者抗菌药物使用强度</w:t>
            </w:r>
          </w:p>
          <w:p w14:paraId="1E6C8F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支持按时间颗粒年、月查询住院患者抗菌药物使用强度</w:t>
            </w:r>
          </w:p>
          <w:p w14:paraId="305608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支持列表展示各医疗机构住院患者抗菌药物使用量、住院患者床日数、上年度CMI值、住院患者抗菌药物使用强度</w:t>
            </w:r>
          </w:p>
          <w:p w14:paraId="628384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住院患者静脉输液使用率</w:t>
            </w:r>
          </w:p>
          <w:p w14:paraId="15FAA9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支持按机构查询住院患者静脉输液使用率</w:t>
            </w:r>
          </w:p>
          <w:p w14:paraId="2644EC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支持按时间段查询住院患者静脉输液使用率</w:t>
            </w:r>
          </w:p>
          <w:p w14:paraId="0896D4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支持列表展示机构的住院患者使用静脉输液的人次数、同期住院患者总人次数与住院患者静脉输液使用率</w:t>
            </w:r>
          </w:p>
          <w:p w14:paraId="31D417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重点监控合理用药药品收入占比</w:t>
            </w:r>
          </w:p>
          <w:p w14:paraId="3AB245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支持按机构查询重点监控合理用药药品收入占比</w:t>
            </w:r>
          </w:p>
          <w:p w14:paraId="45BD59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支持按时间段查询重点监控合理用药药品收入占比</w:t>
            </w:r>
          </w:p>
          <w:p w14:paraId="307E35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支持列表展示机构的国家重点监控合理用药药品收入、同期医院使用药品总收入、国家重点监控合理用药药品收入占比</w:t>
            </w:r>
          </w:p>
          <w:p w14:paraId="23EEC8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门诊抗菌药物处方占比</w:t>
            </w:r>
          </w:p>
          <w:p w14:paraId="703A07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支持按机构统计查询门诊抗菌药物处方占比</w:t>
            </w:r>
          </w:p>
          <w:p w14:paraId="0699E3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支持按时间段查询门诊抗菌药物处方占比</w:t>
            </w:r>
          </w:p>
          <w:p w14:paraId="21646F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支持列表展示各机构的门诊使用抗菌药物处方人次数、同期门诊处方总人次数、门诊抗菌药物处方占比</w:t>
            </w:r>
          </w:p>
        </w:tc>
      </w:tr>
      <w:tr w14:paraId="761E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37583BF">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ign w:val="center"/>
          </w:tcPr>
          <w:p w14:paraId="3F90396F">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ign w:val="center"/>
          </w:tcPr>
          <w:p w14:paraId="45556B6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二、处方点评管理</w:t>
            </w:r>
          </w:p>
          <w:p w14:paraId="01A267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处方抽样点评</w:t>
            </w:r>
          </w:p>
          <w:p w14:paraId="618196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处方点评抽样任务新增</w:t>
            </w:r>
          </w:p>
          <w:p w14:paraId="446864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支持根据抽样数量、药品标签、处方日期、疾病诊断、药品类型、机构、科室、医生等抽样条件新增抽样任务</w:t>
            </w:r>
          </w:p>
          <w:p w14:paraId="5AEC20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支持根据抽样数量、外配分类、疾病诊断、机构、科室、医生等抽样条件新增外配处方抽样任务</w:t>
            </w:r>
          </w:p>
          <w:p w14:paraId="3FD11C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支持优先抽取近一年内处方合格率低于60%的医生</w:t>
            </w:r>
          </w:p>
          <w:p w14:paraId="7907B5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支持不抽近三月内月均处方量少于50张的医生</w:t>
            </w:r>
          </w:p>
          <w:p w14:paraId="570B2D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抽样任务列表管理</w:t>
            </w:r>
          </w:p>
          <w:p w14:paraId="778141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支持根据机构、日期查询抽样任务列表数据</w:t>
            </w:r>
          </w:p>
          <w:p w14:paraId="2A491F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支持保留历史抽样任务列表</w:t>
            </w:r>
          </w:p>
          <w:p w14:paraId="5819C6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处方点评管理</w:t>
            </w:r>
          </w:p>
          <w:p w14:paraId="6923AF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定向抽样任务新增</w:t>
            </w:r>
          </w:p>
          <w:p w14:paraId="6432EA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支持按单个医生处方定向抽样</w:t>
            </w:r>
          </w:p>
          <w:p w14:paraId="186140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支持各医生处方数据明细列表查询</w:t>
            </w:r>
          </w:p>
          <w:p w14:paraId="6F5994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抽样结果点评管理</w:t>
            </w:r>
          </w:p>
          <w:p w14:paraId="68DD5F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可通过机构选择、处方日期、科室、医生、点评情况查询处方数据；</w:t>
            </w:r>
          </w:p>
          <w:p w14:paraId="0493FA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支持查看处方病人基本信息、联系信息、诊断信息、用药信息</w:t>
            </w:r>
          </w:p>
          <w:p w14:paraId="0620E4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支持检验异常指标展示，调阅病人电子病历；</w:t>
            </w:r>
          </w:p>
          <w:p w14:paraId="49F241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支持处方点评结果录入、修改</w:t>
            </w:r>
          </w:p>
          <w:p w14:paraId="330032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抽样结果列表查询</w:t>
            </w:r>
          </w:p>
          <w:p w14:paraId="0E4F41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支持根据机构选择、点评人员、是否审核、处方号、点评日期进行查询</w:t>
            </w:r>
          </w:p>
          <w:p w14:paraId="6347CC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处方点评结果审核</w:t>
            </w:r>
          </w:p>
          <w:p w14:paraId="291E32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支持处方点评审核功能</w:t>
            </w:r>
          </w:p>
          <w:p w14:paraId="550E36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处方点评报表汇总</w:t>
            </w:r>
          </w:p>
          <w:p w14:paraId="671926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机构处方点评报表</w:t>
            </w:r>
          </w:p>
          <w:p w14:paraId="777BBF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支持根据机构统计展示处方点评覆盖率、处方点评率、点评合格率</w:t>
            </w:r>
          </w:p>
          <w:p w14:paraId="7FF654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科室处方点评报表</w:t>
            </w:r>
          </w:p>
          <w:p w14:paraId="2ABB61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支持根据科室统计展示处方点评覆盖率、处方点评率、点评合格率</w:t>
            </w:r>
          </w:p>
          <w:p w14:paraId="04C4A3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医生处方点评报表</w:t>
            </w:r>
          </w:p>
          <w:p w14:paraId="1E10AB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支持根据医生统计展示处方点评覆盖率、处方点评率、点评合格率</w:t>
            </w:r>
          </w:p>
          <w:p w14:paraId="6FE0C0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点评单位处方点评报表</w:t>
            </w:r>
          </w:p>
          <w:p w14:paraId="2CBFDE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支持根据点评单位统计展示处方点评覆盖率、处方点评率、点评合格率</w:t>
            </w:r>
          </w:p>
          <w:p w14:paraId="5550A2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点评人员处方点评报表</w:t>
            </w:r>
          </w:p>
          <w:p w14:paraId="0F37F1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支持根据点评人员统计展示处方点评覆盖率、处方点评率、点评合格率</w:t>
            </w:r>
          </w:p>
          <w:p w14:paraId="4375BA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点评结果导出管理</w:t>
            </w:r>
          </w:p>
          <w:p w14:paraId="06C8B9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支持点评结果报表导出功能</w:t>
            </w:r>
          </w:p>
          <w:p w14:paraId="2802BE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处方智能点评明细</w:t>
            </w:r>
          </w:p>
          <w:p w14:paraId="55653A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支持按机构、科室、医生、处方日期、错误等级查询智能点结果明细</w:t>
            </w:r>
          </w:p>
          <w:p w14:paraId="78BEEB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支持列表展示各医疗机构、科室、医生、处方的智能点评结果、错误等级、错误分析类型、提示类型与药品通用名、错误内容与建议</w:t>
            </w:r>
          </w:p>
          <w:p w14:paraId="68775A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支持下钻查看处方点评明细表</w:t>
            </w:r>
          </w:p>
          <w:p w14:paraId="5170B9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支持导出报表</w:t>
            </w:r>
          </w:p>
        </w:tc>
      </w:tr>
      <w:tr w14:paraId="7085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719EA3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23" w:type="pct"/>
            <w:vMerge w:val="restart"/>
            <w:tcBorders>
              <w:top w:val="single" w:color="000000" w:sz="4" w:space="0"/>
              <w:left w:val="single" w:color="000000" w:sz="4" w:space="0"/>
              <w:bottom w:val="single" w:color="000000" w:sz="4" w:space="0"/>
              <w:right w:val="single" w:color="000000" w:sz="4" w:space="0"/>
            </w:tcBorders>
            <w:noWrap/>
            <w:vAlign w:val="center"/>
          </w:tcPr>
          <w:p w14:paraId="38B42C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系统基础管理（改造）</w:t>
            </w:r>
          </w:p>
        </w:tc>
        <w:tc>
          <w:tcPr>
            <w:tcW w:w="3906" w:type="pct"/>
            <w:tcBorders>
              <w:top w:val="single" w:color="000000" w:sz="4" w:space="0"/>
              <w:left w:val="single" w:color="000000" w:sz="4" w:space="0"/>
              <w:bottom w:val="single" w:color="000000" w:sz="4" w:space="0"/>
              <w:right w:val="single" w:color="000000" w:sz="4" w:space="0"/>
            </w:tcBorders>
            <w:noWrap/>
            <w:vAlign w:val="center"/>
          </w:tcPr>
          <w:p w14:paraId="510EE3B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一、中心药品目录维护</w:t>
            </w:r>
          </w:p>
          <w:p w14:paraId="24521E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机构药品目录数据采集</w:t>
            </w:r>
          </w:p>
          <w:p w14:paraId="24FFD5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支持对接机构本地药品管理系统获取本地药品目录</w:t>
            </w:r>
          </w:p>
          <w:p w14:paraId="3466E9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机构药品目录归并整合</w:t>
            </w:r>
          </w:p>
          <w:p w14:paraId="578708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支持对机构药品数据进行清洗整合</w:t>
            </w:r>
          </w:p>
          <w:p w14:paraId="5BE7BC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中心药品目录唯一标识管理</w:t>
            </w:r>
          </w:p>
          <w:p w14:paraId="6B178D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支持建立中心药品唯一标识，用于全区药品数据存储、管理、统计等</w:t>
            </w:r>
          </w:p>
          <w:p w14:paraId="37E781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中心药品目录列表管理</w:t>
            </w:r>
          </w:p>
          <w:p w14:paraId="689EBA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支持中心药品目录展示各机构药品信息，包括药品名称、剂型、规格、包装材质等</w:t>
            </w:r>
          </w:p>
          <w:p w14:paraId="005D84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药品详细信息展示</w:t>
            </w:r>
          </w:p>
          <w:p w14:paraId="65ED26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支持中心药品目录展示各机构药品详细数据，包括名称、剂型、规格、包装材质等</w:t>
            </w:r>
          </w:p>
          <w:p w14:paraId="603895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中心药品标签属性展示</w:t>
            </w:r>
          </w:p>
          <w:p w14:paraId="65D850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支持中心药品数据展示药品标签属性</w:t>
            </w:r>
          </w:p>
          <w:p w14:paraId="476984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药品监测管理</w:t>
            </w:r>
          </w:p>
          <w:p w14:paraId="6DDC80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支持机构药品目录与中心目录对比后不同内容数据展示</w:t>
            </w:r>
          </w:p>
          <w:p w14:paraId="16BE43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支持手工校验与自动校验</w:t>
            </w:r>
          </w:p>
          <w:p w14:paraId="589E83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支持不相同数据短信推送</w:t>
            </w:r>
          </w:p>
          <w:p w14:paraId="079493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支持药品目录明细查询</w:t>
            </w:r>
          </w:p>
        </w:tc>
      </w:tr>
      <w:tr w14:paraId="6570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12AB9CEB">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ign w:val="center"/>
          </w:tcPr>
          <w:p w14:paraId="114B6FBB">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ign w:val="center"/>
          </w:tcPr>
          <w:p w14:paraId="7845E70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二、分类标签管理</w:t>
            </w:r>
          </w:p>
          <w:p w14:paraId="5CD982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基础字典目录管理</w:t>
            </w:r>
          </w:p>
          <w:p w14:paraId="03C723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支持新增中心药品统一标签</w:t>
            </w:r>
          </w:p>
          <w:p w14:paraId="6757B9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支持更新标签名称、标签状态等标签信息</w:t>
            </w:r>
          </w:p>
          <w:p w14:paraId="7E5213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支持根据标签名称、标签状态等条件搜索标签信息</w:t>
            </w:r>
          </w:p>
          <w:p w14:paraId="0370E1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支持展示标签名称、标签状态、标记数量等标签列表信息</w:t>
            </w:r>
          </w:p>
          <w:p w14:paraId="313D2E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支持新增、移除标签的药品条目</w:t>
            </w:r>
          </w:p>
          <w:p w14:paraId="5B82AE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支持展示标签下维护的药品信息，包括药品代码、药品名称、规格、剂型等</w:t>
            </w:r>
          </w:p>
          <w:p w14:paraId="10B060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生产厂家维护</w:t>
            </w:r>
          </w:p>
          <w:p w14:paraId="71F711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支持生产厂家字典维护</w:t>
            </w:r>
          </w:p>
          <w:p w14:paraId="00C1D5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三率标准维护</w:t>
            </w:r>
          </w:p>
          <w:p w14:paraId="01CA0B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支持提供抗菌药物使用预警模板</w:t>
            </w:r>
          </w:p>
          <w:p w14:paraId="0ECE2A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支持提供激素药品使用预警模板</w:t>
            </w:r>
          </w:p>
          <w:p w14:paraId="26AB6B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支持提供大容量注射剂使用预警模板</w:t>
            </w:r>
          </w:p>
        </w:tc>
      </w:tr>
      <w:tr w14:paraId="505D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6B7129BC">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ign w:val="center"/>
          </w:tcPr>
          <w:p w14:paraId="18A1722D">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ign w:val="center"/>
          </w:tcPr>
          <w:p w14:paraId="0863901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三、药品预警设置</w:t>
            </w:r>
          </w:p>
          <w:p w14:paraId="0326A4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预警机构维护</w:t>
            </w:r>
          </w:p>
          <w:p w14:paraId="48CB0B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支持设置预警机构范围</w:t>
            </w:r>
          </w:p>
          <w:p w14:paraId="7E86F6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预警值域设置</w:t>
            </w:r>
          </w:p>
          <w:p w14:paraId="4BA702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支持设置不同机构的药品预警比例</w:t>
            </w:r>
          </w:p>
          <w:p w14:paraId="1A0FA9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按药品标签预警设置</w:t>
            </w:r>
          </w:p>
          <w:p w14:paraId="4DA384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支持按照不同的药品标签设置对应的预警比例</w:t>
            </w:r>
          </w:p>
          <w:p w14:paraId="6A6F5A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按重点监控药品设置</w:t>
            </w:r>
          </w:p>
          <w:p w14:paraId="561CAF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支持按照重点监控药品的月增长率预警值设置</w:t>
            </w:r>
          </w:p>
        </w:tc>
      </w:tr>
      <w:tr w14:paraId="2BF7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421016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14:paraId="560593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中心药品(商品)标准目录（新建）</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2BFDFF9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一、国家中药饮片编码规则</w:t>
            </w:r>
          </w:p>
          <w:p w14:paraId="73850D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支持按照国家西药编码对西药进行统一管理</w:t>
            </w:r>
          </w:p>
        </w:tc>
      </w:tr>
      <w:tr w14:paraId="06EF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D68AF07">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DA9CB">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700D5E0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二、国家中药配方颗粒编码规则</w:t>
            </w:r>
          </w:p>
          <w:p w14:paraId="2C2351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支持按照国家中药配方颗粒编码对中药配方颗粒进行统一管理</w:t>
            </w:r>
          </w:p>
        </w:tc>
      </w:tr>
      <w:tr w14:paraId="3E54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696A6791">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DD5FF5">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1533013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三、国家中成药编码规则</w:t>
            </w:r>
          </w:p>
          <w:p w14:paraId="2FA137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支持按照国家中成药编码对中成药进行统一管理</w:t>
            </w:r>
          </w:p>
        </w:tc>
      </w:tr>
      <w:tr w14:paraId="398F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54A703F6">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1CA35D">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0139980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四、国家医疗机构制剂编码规则</w:t>
            </w:r>
          </w:p>
          <w:p w14:paraId="423D8F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支持按照国家医疗机构制剂编码对医疗机构制剂进行统一管理</w:t>
            </w:r>
          </w:p>
        </w:tc>
      </w:tr>
      <w:tr w14:paraId="7E16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69AAC6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14:paraId="63D0D4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系统基础管理（新建）</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6B2299D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一、中心全量目录</w:t>
            </w:r>
          </w:p>
          <w:p w14:paraId="6FC788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药品目录全量数据采集</w:t>
            </w:r>
          </w:p>
          <w:p w14:paraId="58E048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支持采集全量国家中药饮片、中成药、医疗机构制剂目录数据</w:t>
            </w:r>
          </w:p>
          <w:p w14:paraId="2B7314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药品目录更新管理</w:t>
            </w:r>
          </w:p>
          <w:p w14:paraId="40A31B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支持获取国家医保药品更新内容</w:t>
            </w:r>
          </w:p>
          <w:p w14:paraId="5F079A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全量药品目录列表管理</w:t>
            </w:r>
          </w:p>
          <w:p w14:paraId="4CEE89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支持展示全量药品目录，包括药品代码、药品名称、规格，包装材质等</w:t>
            </w:r>
          </w:p>
        </w:tc>
      </w:tr>
      <w:tr w14:paraId="21F3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6B64999E">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4B55C2">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2C72DD9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二、机构药品目录维护</w:t>
            </w:r>
          </w:p>
          <w:p w14:paraId="00301D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机构药品目录数据采集</w:t>
            </w:r>
          </w:p>
          <w:p w14:paraId="1B97A4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支持对接机构本地药品管理系统获取本地药品目录</w:t>
            </w:r>
          </w:p>
          <w:p w14:paraId="4D9710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机构药品信息更新</w:t>
            </w:r>
          </w:p>
          <w:p w14:paraId="273CDC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支持更新机构药品数据</w:t>
            </w:r>
          </w:p>
          <w:p w14:paraId="11CF52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机构药品中心对照管理</w:t>
            </w:r>
          </w:p>
          <w:p w14:paraId="157969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支持中心药品目录与机构药品目录建立关联关系</w:t>
            </w:r>
          </w:p>
          <w:p w14:paraId="04B705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机构药品目录列表管理</w:t>
            </w:r>
          </w:p>
          <w:p w14:paraId="2E65F7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支持展示机构药品目录数据，包括药品代码、药品名称、规格、剂型等</w:t>
            </w:r>
          </w:p>
          <w:p w14:paraId="2255AC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药品详细信息展示</w:t>
            </w:r>
          </w:p>
          <w:p w14:paraId="680A18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支持展示药品详细信息，包括药品代码、药品名称、规格、剂型等</w:t>
            </w:r>
          </w:p>
          <w:p w14:paraId="0E1475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中心药品标签属性展示</w:t>
            </w:r>
          </w:p>
          <w:p w14:paraId="76FD76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支持机构药品展示中心药品标签属性</w:t>
            </w:r>
          </w:p>
        </w:tc>
      </w:tr>
      <w:tr w14:paraId="435F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1842D6BA">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EDF63C">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51ADDB0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三、中心目录与机构目录对账提醒</w:t>
            </w:r>
          </w:p>
          <w:p w14:paraId="17C03D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自动校验、补充数据</w:t>
            </w:r>
          </w:p>
          <w:p w14:paraId="1234EA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支持自动校验机构药品字段是否存在空值</w:t>
            </w:r>
          </w:p>
          <w:p w14:paraId="4B7CC1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支持根据中心药品目录补充机构药品目录空值</w:t>
            </w:r>
          </w:p>
          <w:p w14:paraId="246EBA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消息推送</w:t>
            </w:r>
          </w:p>
          <w:p w14:paraId="4D7CE7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支持将机构药品字段空缺消息推送给机构管理人员</w:t>
            </w:r>
          </w:p>
        </w:tc>
      </w:tr>
      <w:tr w14:paraId="4AC3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0528606A">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4DCD9C">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7C07747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四、工作台管理</w:t>
            </w:r>
          </w:p>
          <w:p w14:paraId="48D2AA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药品监管数据展示</w:t>
            </w:r>
          </w:p>
          <w:p w14:paraId="4325B5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支持展示药品综合监管数据，包括中心药品目录数据、全量药品目录数据、中心标签维护数据等</w:t>
            </w:r>
          </w:p>
        </w:tc>
      </w:tr>
      <w:tr w14:paraId="1C5D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0BB699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2E8BE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采购管理（新建）</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609FF3B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一、药品准入申请及审批</w:t>
            </w:r>
          </w:p>
          <w:p w14:paraId="73AB95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准入申请表单管理</w:t>
            </w:r>
          </w:p>
          <w:p w14:paraId="3D6813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支持临时用药、特殊药品等不同类型的准入申请表单</w:t>
            </w:r>
          </w:p>
          <w:p w14:paraId="1F0114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支持新增、修改、删除、暂存药品准入申请表单</w:t>
            </w:r>
          </w:p>
          <w:p w14:paraId="68DAC6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准入信息模板导入</w:t>
            </w:r>
          </w:p>
          <w:p w14:paraId="06B49A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支持提供准入药品导入模板，支持批量导入申请药品信息</w:t>
            </w:r>
          </w:p>
          <w:p w14:paraId="5CEF30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准入审批管理</w:t>
            </w:r>
          </w:p>
          <w:p w14:paraId="5979CD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支持机构管理员审核通过、审核不通过准入药品表单</w:t>
            </w:r>
          </w:p>
          <w:p w14:paraId="06F1C7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机构审批流程配置</w:t>
            </w:r>
          </w:p>
          <w:p w14:paraId="4D8CCF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支持配置各机构审核流程</w:t>
            </w:r>
          </w:p>
          <w:p w14:paraId="4C35BC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机构审核流程展示</w:t>
            </w:r>
          </w:p>
          <w:p w14:paraId="56EF43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支持查看本机构准入申请药品信息、审核流程、审核结果等</w:t>
            </w:r>
          </w:p>
        </w:tc>
      </w:tr>
      <w:tr w14:paraId="0D06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2F8FAEDD">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A1F77">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02D7B9D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二、药品准入记录查询</w:t>
            </w:r>
          </w:p>
          <w:p w14:paraId="15616B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审核流程结果列表展示</w:t>
            </w:r>
          </w:p>
          <w:p w14:paraId="6E292C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支持展示各机构提交的准入申请列表，包括审批编号、申购机构、申购科室、申购药品名称、规格等</w:t>
            </w:r>
          </w:p>
          <w:p w14:paraId="59C6AE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审核流程结果详情展示</w:t>
            </w:r>
          </w:p>
          <w:p w14:paraId="59B8AA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支持查看各机构准入申请药品信息、审核流程、审核结果等</w:t>
            </w:r>
          </w:p>
        </w:tc>
      </w:tr>
      <w:tr w14:paraId="7FAE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A61FB5B">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9737E">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5DB6033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三、药品采购入库管理</w:t>
            </w:r>
          </w:p>
          <w:p w14:paraId="431FF3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机构采购入库数据采集</w:t>
            </w:r>
          </w:p>
          <w:p w14:paraId="2197D4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支持采集各机构药品采购入库数据</w:t>
            </w:r>
          </w:p>
          <w:p w14:paraId="19559F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机构入库订单数据采集</w:t>
            </w:r>
          </w:p>
          <w:p w14:paraId="47E883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支持采集各机构药品入库订单详情数据</w:t>
            </w:r>
          </w:p>
          <w:p w14:paraId="1C6056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机构采购入库数据管理</w:t>
            </w:r>
          </w:p>
          <w:p w14:paraId="566F4E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支持展示各机构采购入库数据，包括订单编号、发票号码、采购机构、供货单位、采购方式等</w:t>
            </w:r>
          </w:p>
        </w:tc>
      </w:tr>
      <w:tr w14:paraId="4267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609C6C40">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B4A788">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7B1901D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四、带量采购目标管理</w:t>
            </w:r>
          </w:p>
          <w:p w14:paraId="4F9FF5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带量采购任务管理</w:t>
            </w:r>
          </w:p>
          <w:p w14:paraId="0599CC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支持新增、修改、删除带量采购批次任务</w:t>
            </w:r>
          </w:p>
          <w:p w14:paraId="1E2524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支持根据批次日期、批次号查询采购批次任务列表</w:t>
            </w:r>
          </w:p>
          <w:p w14:paraId="382169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药品类型管理</w:t>
            </w:r>
          </w:p>
          <w:p w14:paraId="20E893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支持新增、修改、删除采购批次任务的药品类型</w:t>
            </w:r>
          </w:p>
          <w:p w14:paraId="165026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采购药品范围维护</w:t>
            </w:r>
          </w:p>
          <w:p w14:paraId="1E9CC9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支持新增、移除采购批次任务的药品条目</w:t>
            </w:r>
          </w:p>
          <w:p w14:paraId="147EDE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采购药品目标值维护</w:t>
            </w:r>
          </w:p>
          <w:p w14:paraId="3758BF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支持新增、修改各家机构采购药品目标值</w:t>
            </w:r>
          </w:p>
        </w:tc>
      </w:tr>
      <w:tr w14:paraId="5056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338051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14:paraId="250C10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质控管理</w:t>
            </w:r>
            <w:r>
              <w:rPr>
                <w:rFonts w:hint="eastAsia" w:ascii="宋体" w:hAnsi="宋体" w:eastAsia="宋体" w:cs="宋体"/>
                <w:color w:val="auto"/>
                <w:sz w:val="21"/>
                <w:szCs w:val="21"/>
                <w:u w:val="none"/>
                <w:lang w:val="en-US" w:eastAsia="zh-CN" w:bidi="ar"/>
              </w:rPr>
              <w:t>（新建）</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510224E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一、核心指标监测</w:t>
            </w:r>
          </w:p>
          <w:p w14:paraId="24FB6E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药品准入核心监测规则维护</w:t>
            </w:r>
          </w:p>
          <w:p w14:paraId="0453C6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支持后台新增、修改、删除药品准入监测规则</w:t>
            </w:r>
          </w:p>
          <w:p w14:paraId="621793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支持根据规则名称查询已存在的准入监测规则</w:t>
            </w:r>
          </w:p>
          <w:p w14:paraId="08E91F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药品准入核心指标监测展示</w:t>
            </w:r>
          </w:p>
          <w:p w14:paraId="4E832A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支持展示准入核心监测预警事件，支持展示预警机构、预警药品、预警规则等信息</w:t>
            </w:r>
          </w:p>
          <w:p w14:paraId="1C2A9E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药品采购核心监测规则维护</w:t>
            </w:r>
          </w:p>
          <w:p w14:paraId="27F052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支持后台新增、修改、删除药品采购监测规则</w:t>
            </w:r>
          </w:p>
          <w:p w14:paraId="0EBFBD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支持根据规则名称查询已存在的采购监测规则</w:t>
            </w:r>
          </w:p>
          <w:p w14:paraId="7A6E56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药品采购核心指标监测展示</w:t>
            </w:r>
          </w:p>
          <w:p w14:paraId="1608A1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支持展示采购核心监测预警事件，支持展示预警机构、预警药品、预警规则等信息</w:t>
            </w:r>
          </w:p>
          <w:p w14:paraId="137CAB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药品使用核心监测规则维护</w:t>
            </w:r>
          </w:p>
          <w:p w14:paraId="6D1B71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支持后台新增、修改、删除药品使用监测规则</w:t>
            </w:r>
          </w:p>
          <w:p w14:paraId="19CEAA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支持根据规则名称查询已存在的使用监测规则</w:t>
            </w:r>
          </w:p>
          <w:p w14:paraId="7970A4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药品使用核心指标监测展示</w:t>
            </w:r>
          </w:p>
          <w:p w14:paraId="5A84D5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支持展示药品使用核心监测预警事件，支持展示预警机构、预警药品、预警规则等信息</w:t>
            </w:r>
          </w:p>
          <w:p w14:paraId="5BD6D5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合理用药知识库管理</w:t>
            </w:r>
          </w:p>
          <w:p w14:paraId="0BA454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支持维护合理用药知识库，包括药品适用疾病、症状，药品使用不良反应等</w:t>
            </w:r>
          </w:p>
          <w:p w14:paraId="533DDB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合理用药数据统计</w:t>
            </w:r>
          </w:p>
          <w:p w14:paraId="1ED2F0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支持展示各医共体、各机构合理用药数据统计</w:t>
            </w:r>
          </w:p>
          <w:p w14:paraId="69E36B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药品超限使用核心监测规则维护</w:t>
            </w:r>
          </w:p>
          <w:p w14:paraId="707D92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支持后台新增、修改、删除药品超限使用监测规则</w:t>
            </w:r>
          </w:p>
          <w:p w14:paraId="35F82D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支持根据规则名称查询已存在的超限使用监测规则</w:t>
            </w:r>
          </w:p>
          <w:p w14:paraId="31590E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药品超限使用核心指标监测展示</w:t>
            </w:r>
          </w:p>
          <w:p w14:paraId="76E2B0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支持展示药品超限使用核心监测预警事件，支持展示预警机构、预警药品、预警规则等信息</w:t>
            </w:r>
          </w:p>
        </w:tc>
      </w:tr>
      <w:tr w14:paraId="7954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6AD867BF">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69B57B">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7E634AE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二、质控考核</w:t>
            </w:r>
          </w:p>
          <w:p w14:paraId="0D817E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质控考核规则管理</w:t>
            </w:r>
          </w:p>
          <w:p w14:paraId="06107F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支持新增、修改、删除考核指标信息，包括指标编码、指标名称、指标定义、计算公式等</w:t>
            </w:r>
          </w:p>
          <w:p w14:paraId="3198CB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支持查询已存在考核指标，支持根据指标编码、指标名称、指标定义索查询相关指标信息</w:t>
            </w:r>
          </w:p>
          <w:p w14:paraId="749997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考核指标可视化配置</w:t>
            </w:r>
          </w:p>
          <w:p w14:paraId="62C99E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支持可视化配置考核指标公式，支持数字、运算符号等计算面板功能</w:t>
            </w:r>
          </w:p>
          <w:p w14:paraId="4E5006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自定义问卷题目设置</w:t>
            </w:r>
          </w:p>
          <w:p w14:paraId="05726B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支持自定义选择考核规则组成考核问卷模板</w:t>
            </w:r>
          </w:p>
        </w:tc>
      </w:tr>
      <w:tr w14:paraId="4653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0E99805F">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034F41">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6DA04A2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三、质控报告</w:t>
            </w:r>
          </w:p>
          <w:p w14:paraId="6F9252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质控规则库管理</w:t>
            </w:r>
          </w:p>
          <w:p w14:paraId="2DB57A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支持后台新增、修改、删除药品准入、采购、使用等质控规则</w:t>
            </w:r>
          </w:p>
          <w:p w14:paraId="285AB7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智能质控报告模型构建</w:t>
            </w:r>
          </w:p>
          <w:p w14:paraId="40683F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支持通过微调大模型来构建智能质控报告模型</w:t>
            </w:r>
          </w:p>
          <w:p w14:paraId="4B5CCB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支持结合文本嵌入和最优检索模型，快速检索质控规则库</w:t>
            </w:r>
          </w:p>
          <w:p w14:paraId="03790F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支持通过语义重排序模型优化检索结果</w:t>
            </w:r>
          </w:p>
          <w:p w14:paraId="43E5BC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质控报告生成</w:t>
            </w:r>
          </w:p>
          <w:p w14:paraId="78FA41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支持根据质控规则建立质控报告模板</w:t>
            </w:r>
          </w:p>
          <w:p w14:paraId="2EE278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支持按月度、季度、年度等时间周期生成全区药品使用质控报告</w:t>
            </w:r>
          </w:p>
        </w:tc>
      </w:tr>
      <w:tr w14:paraId="6360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5DC02416">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515F01">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6113B50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四、质控智能分析报表</w:t>
            </w:r>
          </w:p>
          <w:p w14:paraId="49DC34C6">
            <w:pPr>
              <w:keepNext w:val="0"/>
              <w:keepLines w:val="0"/>
              <w:widowControl/>
              <w:numPr>
                <w:ilvl w:val="0"/>
                <w:numId w:val="274"/>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医院质控智能分析报表</w:t>
            </w:r>
          </w:p>
          <w:p w14:paraId="4A68B0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支持根据药品使用情况分析各机构相同药品使用数据，展示机构名称、药品使用数据排名等</w:t>
            </w:r>
          </w:p>
          <w:p w14:paraId="52F3879D">
            <w:pPr>
              <w:keepNext w:val="0"/>
              <w:keepLines w:val="0"/>
              <w:widowControl/>
              <w:numPr>
                <w:ilvl w:val="0"/>
                <w:numId w:val="274"/>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科室质控智能分析报表</w:t>
            </w:r>
          </w:p>
          <w:p w14:paraId="72892B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支持根据药品使用情况分析各科室相同药品使用数据，展示科室名称、药品使用数据排名等</w:t>
            </w:r>
          </w:p>
          <w:p w14:paraId="75017D86">
            <w:pPr>
              <w:keepNext w:val="0"/>
              <w:keepLines w:val="0"/>
              <w:widowControl/>
              <w:numPr>
                <w:ilvl w:val="0"/>
                <w:numId w:val="274"/>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医生质控智能分析报表</w:t>
            </w:r>
          </w:p>
          <w:p w14:paraId="787409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支持根据药品使用情况分析各医生相同药品使用数据，展示医生名称、药品使用数据排名等</w:t>
            </w:r>
          </w:p>
          <w:p w14:paraId="35A4EE47">
            <w:pPr>
              <w:keepNext w:val="0"/>
              <w:keepLines w:val="0"/>
              <w:widowControl/>
              <w:numPr>
                <w:ilvl w:val="0"/>
                <w:numId w:val="274"/>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病种质控智能分析报表</w:t>
            </w:r>
          </w:p>
          <w:p w14:paraId="0F1FCB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支持根据药品使用情况分析各病种相同药品使用数据，展示病种名称、药品使用数据排名等</w:t>
            </w:r>
          </w:p>
        </w:tc>
      </w:tr>
      <w:tr w14:paraId="49BA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29C0F1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14:paraId="10F85C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PDCA质量监管流程（新建）</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6259E52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一、质量问题预警展示</w:t>
            </w:r>
          </w:p>
          <w:p w14:paraId="62B351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支持展示预警问题列表，包括预警机构、预警时间、预警状态、预警规则等</w:t>
            </w:r>
          </w:p>
        </w:tc>
      </w:tr>
      <w:tr w14:paraId="5B2E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68402D4E">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3F689A">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6927197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二、机构整改跟踪管理</w:t>
            </w:r>
          </w:p>
          <w:p w14:paraId="6640A0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支持接受区级监管人员下发的整改任务</w:t>
            </w:r>
          </w:p>
          <w:p w14:paraId="28C16E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支持新增院内整改计划，支持记录机构预警触发原因、整改过程等措施</w:t>
            </w:r>
          </w:p>
        </w:tc>
      </w:tr>
      <w:tr w14:paraId="6937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4F343C90">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503EE">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73EB01D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三、机构整改记录展示</w:t>
            </w:r>
          </w:p>
          <w:p w14:paraId="4CF457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支持展示所有机构整改记录，包括预警机构、预警时间、预警状态、预警规则、是否处置等</w:t>
            </w:r>
          </w:p>
        </w:tc>
      </w:tr>
      <w:tr w14:paraId="5FAC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56543FD6">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027D92">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309B937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四、整改记录审核</w:t>
            </w:r>
          </w:p>
          <w:p w14:paraId="70A193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支持机构管理员审核通过、审核不通过各机构问题整改记录</w:t>
            </w:r>
          </w:p>
        </w:tc>
      </w:tr>
      <w:tr w14:paraId="0370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14:paraId="4DA097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14:paraId="71A503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驾驶舱管理（新建）</w:t>
            </w: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61F6CF0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一、数据归集</w:t>
            </w:r>
          </w:p>
          <w:p w14:paraId="44CE48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支持获取全区药品准入、药品采购、药品数据进行归并统计</w:t>
            </w:r>
          </w:p>
        </w:tc>
      </w:tr>
      <w:tr w14:paraId="6E15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14:paraId="32E5AA3A">
            <w:pPr>
              <w:jc w:val="center"/>
              <w:rPr>
                <w:rFonts w:hint="eastAsia" w:ascii="宋体" w:hAnsi="宋体" w:eastAsia="宋体" w:cs="宋体"/>
                <w:i w:val="0"/>
                <w:iCs w:val="0"/>
                <w:color w:val="auto"/>
                <w:sz w:val="21"/>
                <w:szCs w:val="21"/>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43940E">
            <w:pPr>
              <w:jc w:val="left"/>
              <w:rPr>
                <w:rFonts w:hint="eastAsia" w:ascii="宋体" w:hAnsi="宋体" w:eastAsia="宋体" w:cs="宋体"/>
                <w:i w:val="0"/>
                <w:iCs w:val="0"/>
                <w:color w:val="auto"/>
                <w:sz w:val="21"/>
                <w:szCs w:val="21"/>
                <w:u w:val="none"/>
              </w:rPr>
            </w:pPr>
          </w:p>
        </w:tc>
        <w:tc>
          <w:tcPr>
            <w:tcW w:w="3906" w:type="pct"/>
            <w:tcBorders>
              <w:top w:val="single" w:color="000000" w:sz="4" w:space="0"/>
              <w:left w:val="single" w:color="000000" w:sz="4" w:space="0"/>
              <w:bottom w:val="single" w:color="000000" w:sz="4" w:space="0"/>
              <w:right w:val="single" w:color="000000" w:sz="4" w:space="0"/>
            </w:tcBorders>
            <w:noWrap w:val="0"/>
            <w:vAlign w:val="center"/>
          </w:tcPr>
          <w:p w14:paraId="7ED16D2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二、指标可视化展示</w:t>
            </w:r>
          </w:p>
          <w:p w14:paraId="6494BF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支持柱状图、折线图、表格展示中心药品目录模块维护情况、药品采购类型分布、药品采购数量趋势、药品使用前十排行、重点监控药品的增长率情况、外配处方开具数量等重点关注指标</w:t>
            </w:r>
          </w:p>
        </w:tc>
      </w:tr>
    </w:tbl>
    <w:p w14:paraId="61109B9D">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Calibri" w:hAnsi="Calibri" w:eastAsia="黑体" w:cs="Times New Roman"/>
          <w:b/>
          <w:color w:val="auto"/>
          <w:kern w:val="2"/>
          <w:sz w:val="21"/>
          <w:szCs w:val="21"/>
          <w:lang w:val="en-US" w:eastAsia="zh-CN" w:bidi="ar-SA"/>
        </w:rPr>
      </w:pPr>
      <w:r>
        <w:rPr>
          <w:rFonts w:hint="eastAsia" w:ascii="Calibri" w:hAnsi="Calibri" w:eastAsia="黑体" w:cs="Times New Roman"/>
          <w:b/>
          <w:color w:val="auto"/>
          <w:kern w:val="2"/>
          <w:sz w:val="21"/>
          <w:szCs w:val="21"/>
          <w:lang w:val="en-US" w:eastAsia="zh-CN" w:bidi="ar-SA"/>
        </w:rPr>
        <w:t>耗材质控</w:t>
      </w:r>
    </w:p>
    <w:tbl>
      <w:tblPr>
        <w:tblStyle w:val="13"/>
        <w:tblW w:w="49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1400"/>
        <w:gridCol w:w="6349"/>
      </w:tblGrid>
      <w:tr w14:paraId="3E71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4F6B93F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BE84D9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3743" w:type="pct"/>
            <w:tcBorders>
              <w:top w:val="single" w:color="000000" w:sz="4" w:space="0"/>
              <w:left w:val="single" w:color="000000" w:sz="4" w:space="0"/>
              <w:bottom w:val="single" w:color="000000" w:sz="4" w:space="0"/>
              <w:right w:val="single" w:color="000000" w:sz="4" w:space="0"/>
            </w:tcBorders>
            <w:noWrap w:val="0"/>
            <w:vAlign w:val="center"/>
          </w:tcPr>
          <w:p w14:paraId="063A669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4755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7BE9C1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25" w:type="pct"/>
            <w:vMerge w:val="restart"/>
            <w:tcBorders>
              <w:top w:val="single" w:color="000000" w:sz="4" w:space="0"/>
              <w:left w:val="single" w:color="000000" w:sz="4" w:space="0"/>
              <w:bottom w:val="single" w:color="000000" w:sz="4" w:space="0"/>
              <w:right w:val="single" w:color="000000" w:sz="4" w:space="0"/>
            </w:tcBorders>
            <w:noWrap/>
            <w:vAlign w:val="center"/>
          </w:tcPr>
          <w:p w14:paraId="160462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系统基础管理(新建)</w:t>
            </w: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268D06E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一、建设中心医疗器械（耗材）标准</w:t>
            </w:r>
          </w:p>
          <w:p w14:paraId="338B6E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国家医保耗材编码规则</w:t>
            </w:r>
          </w:p>
          <w:p w14:paraId="79E80C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支持国家医保编码规则编码中心耗材目录</w:t>
            </w:r>
          </w:p>
        </w:tc>
      </w:tr>
      <w:tr w14:paraId="42FF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0292EF3A">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278D3E6C">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3B97692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二、中心耗材目录维护</w:t>
            </w:r>
          </w:p>
          <w:p w14:paraId="6AB2D0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中心耗材目录唯一标识管理</w:t>
            </w:r>
          </w:p>
          <w:p w14:paraId="538BBB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支持中心耗材目录唯一标识管理，与机构目录进行对照匹配</w:t>
            </w:r>
          </w:p>
          <w:p w14:paraId="400106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中心耗材目录列表管理</w:t>
            </w:r>
          </w:p>
          <w:p w14:paraId="316202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支持对中心耗材目录的统一管理</w:t>
            </w:r>
          </w:p>
          <w:p w14:paraId="199679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支持日常检索查询功能，包括医用耗材代码查询，一级分类、二级分类、三级分类，注册备案名称产品查询条件，耗材材质查询，医保耗材规格分类查询，耗材企业查询，耗材所属机构查询，耗材标签查询</w:t>
            </w:r>
          </w:p>
          <w:p w14:paraId="72A152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支持列表展示功能</w:t>
            </w:r>
          </w:p>
          <w:p w14:paraId="2928B1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支持中心耗材目录使用机构范围标识</w:t>
            </w:r>
          </w:p>
          <w:p w14:paraId="0C4FF6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耗材详细信息展示</w:t>
            </w:r>
          </w:p>
          <w:p w14:paraId="42BAFF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支持查看中心耗材目录需要纳入详细的耗材信息</w:t>
            </w:r>
          </w:p>
          <w:p w14:paraId="7C736C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耗材更新记录展示</w:t>
            </w:r>
          </w:p>
          <w:p w14:paraId="64A346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支持记录耗材更新日志，包括但不限于耗材的基本信息、操作信息、状态信息等，用于目录的追溯和维护。</w:t>
            </w:r>
          </w:p>
          <w:p w14:paraId="1FF01A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机构耗材目录数据采集</w:t>
            </w:r>
          </w:p>
          <w:p w14:paraId="5766C3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支持中心端获得各医疗机构耗材使用的真实数据，包括但不限于耗材的类型、使用频率、成本以及与患者治疗结果的相关性。</w:t>
            </w:r>
          </w:p>
          <w:p w14:paraId="5C90CB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支持机构耗材目录的采集填补中心端在数据方面的空白</w:t>
            </w:r>
          </w:p>
          <w:p w14:paraId="5EC298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机构耗材目录归并整合</w:t>
            </w:r>
          </w:p>
          <w:p w14:paraId="3F14C1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支持各机构的耗材目录进行整合</w:t>
            </w:r>
          </w:p>
          <w:p w14:paraId="6D98E8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支持对比查看各机构的耗材情况、供货单位以及价格等</w:t>
            </w:r>
          </w:p>
          <w:p w14:paraId="42782D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机构耗材信息更新</w:t>
            </w:r>
          </w:p>
          <w:p w14:paraId="4FDD5E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支持机构耗材目录有变更后及时将变更后的耗材信息进行上传。</w:t>
            </w:r>
          </w:p>
          <w:p w14:paraId="4A42DB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机构耗材差异信息展示</w:t>
            </w:r>
          </w:p>
          <w:p w14:paraId="708E48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支持中心端将机构端差异性的耗材目录进行收集展示</w:t>
            </w:r>
          </w:p>
          <w:p w14:paraId="618A53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中心耗材标签属性展示</w:t>
            </w:r>
          </w:p>
          <w:p w14:paraId="2B03A7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支持耗材分类标签自定义管理设置</w:t>
            </w:r>
          </w:p>
          <w:p w14:paraId="3ED4B2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支持中心耗材目录标签属性展示</w:t>
            </w:r>
          </w:p>
          <w:p w14:paraId="71C574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支持中心耗材目录列表中通过标签进行筛选</w:t>
            </w:r>
          </w:p>
        </w:tc>
      </w:tr>
      <w:tr w14:paraId="2D66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481A2D7A">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6CE15B0D">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4B7C9C5B">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三、中心全量目录</w:t>
            </w:r>
          </w:p>
        </w:tc>
      </w:tr>
      <w:tr w14:paraId="1C80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75BF1DB8">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67F822FD">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07A11D75">
            <w:pPr>
              <w:keepNext w:val="0"/>
              <w:keepLines w:val="0"/>
              <w:widowControl/>
              <w:numPr>
                <w:ilvl w:val="0"/>
                <w:numId w:val="275"/>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耗材目录全量数据采集</w:t>
            </w:r>
          </w:p>
          <w:p w14:paraId="436AD28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支持耗材全量知识库采集存储</w:t>
            </w:r>
          </w:p>
        </w:tc>
      </w:tr>
      <w:tr w14:paraId="0C0B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57E5C961">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588FF08F">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24AFAB96">
            <w:pPr>
              <w:keepNext w:val="0"/>
              <w:keepLines w:val="0"/>
              <w:widowControl/>
              <w:numPr>
                <w:ilvl w:val="0"/>
                <w:numId w:val="275"/>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耗材目录更新管理</w:t>
            </w:r>
          </w:p>
          <w:p w14:paraId="21CD4D7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支持全量知识库的中心端导入功能</w:t>
            </w:r>
          </w:p>
        </w:tc>
      </w:tr>
      <w:tr w14:paraId="1026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7577BD4E">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1A6679BC">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61A5658B">
            <w:pPr>
              <w:keepNext w:val="0"/>
              <w:keepLines w:val="0"/>
              <w:widowControl/>
              <w:numPr>
                <w:ilvl w:val="0"/>
                <w:numId w:val="275"/>
              </w:numPr>
              <w:suppressLineNumbers w:val="0"/>
              <w:ind w:left="425" w:lef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全量耗材目录列表管理</w:t>
            </w:r>
          </w:p>
          <w:p w14:paraId="633D00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日常检索查询功能，包括医用耗材代码查询，一级分类、二级分类、三级分类等类别查询条件，注册备案名称产品查询条件，耗材材质查询，医保耗材规格分类查询，耗材企业查询，UDI码查询，耗材标签查询等。</w:t>
            </w:r>
          </w:p>
          <w:p w14:paraId="115265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支持列表展示功能</w:t>
            </w:r>
          </w:p>
        </w:tc>
      </w:tr>
      <w:tr w14:paraId="3495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25D76D3B">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474A8E4D">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5D17DE6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四、机构耗材目录对照匹配</w:t>
            </w:r>
          </w:p>
          <w:p w14:paraId="7803D4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机构耗材目录数据采集</w:t>
            </w:r>
          </w:p>
          <w:p w14:paraId="086EE6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支持各家机构对本机构当前使用的耗材目录进行查询</w:t>
            </w:r>
          </w:p>
          <w:p w14:paraId="609CC4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支持中心端对照管理机构耗材目录</w:t>
            </w:r>
          </w:p>
          <w:p w14:paraId="16F3D7A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机构耗材信息更新</w:t>
            </w:r>
          </w:p>
          <w:p w14:paraId="2CC88B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支持机构耗材目录变更后自动上传</w:t>
            </w:r>
          </w:p>
          <w:p w14:paraId="16D05D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机构耗材中心对照管理</w:t>
            </w:r>
          </w:p>
          <w:p w14:paraId="215EF2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支持机构耗材目录与中心目录进行对照匹配，将医用耗材代码与注册证备案号进行唯一识别关联</w:t>
            </w:r>
          </w:p>
          <w:p w14:paraId="638924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支持机构耗材目录与中心的耗材标签做对照匹配工作</w:t>
            </w:r>
          </w:p>
          <w:p w14:paraId="6DB846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支持查询机构耗材目录维护情况查询</w:t>
            </w:r>
          </w:p>
          <w:p w14:paraId="1C948F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 机构耗材目录列表管理</w:t>
            </w:r>
          </w:p>
          <w:p w14:paraId="085B45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支持机构耗材目录由各机构自行查询与管理</w:t>
            </w:r>
          </w:p>
          <w:p w14:paraId="0F5ED8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支持日常检索查询功能，包括医用耗材代码查询，注册备案名称产品查询条件，部件名称查询，医保耗材规格分类查询，型号查询，证件失效日期查询，中心耗材标签查询。</w:t>
            </w:r>
          </w:p>
          <w:p w14:paraId="77789E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支持列表展示功能</w:t>
            </w:r>
          </w:p>
          <w:p w14:paraId="7A4F38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支持与中心耗材目录标签进行查看对比，查询机构端的耗材目录是否维护正确。</w:t>
            </w:r>
          </w:p>
          <w:p w14:paraId="1475689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 耗材详细信息展示</w:t>
            </w:r>
          </w:p>
          <w:p w14:paraId="171E28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详情展示，包含医用耗材代码、注册备案产品名称、注册备案号、部件名称/部件描述、生产厂家、供货单位、产地、规格、品牌、型号、耗材材料、最小计价单位、证件失效日期、最小包装单位、UDI编码、收费单价与中心耗材标签。</w:t>
            </w:r>
          </w:p>
          <w:p w14:paraId="55B786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中心耗材标签属性展示</w:t>
            </w:r>
          </w:p>
          <w:p w14:paraId="5A1862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支持机构耗材目录详情示中心定义的耗材标签属性</w:t>
            </w:r>
          </w:p>
          <w:p w14:paraId="3906E3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支持机构耗材目录列表通过标签进行筛选</w:t>
            </w:r>
          </w:p>
        </w:tc>
      </w:tr>
      <w:tr w14:paraId="1C88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6F93381F">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4ACC966E">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096CE9F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五、分类标签管理</w:t>
            </w:r>
          </w:p>
          <w:p w14:paraId="33D0A0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新增标签管理</w:t>
            </w:r>
          </w:p>
          <w:p w14:paraId="17BCC6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支持中心端自定义新增耗材标签名称</w:t>
            </w:r>
          </w:p>
          <w:p w14:paraId="17A2CC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支持记录新增的人员姓名、创建时间以及标签状态</w:t>
            </w:r>
          </w:p>
          <w:p w14:paraId="631AC0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支持多维度进行耗材标签分类</w:t>
            </w:r>
          </w:p>
          <w:p w14:paraId="24714E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标签信息更新管理</w:t>
            </w:r>
          </w:p>
          <w:p w14:paraId="4B3372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支持对当前标签进行记录，在编辑修改标签时保留最近操作时间与人员。</w:t>
            </w:r>
          </w:p>
          <w:p w14:paraId="15B4A5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支持权限管理，确保只有权限内的人员才能对标签信息进行编辑和修改。</w:t>
            </w:r>
          </w:p>
          <w:p w14:paraId="4D1F3F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支持操作确认，在操作人员进行删除前，系统应弹出二次确认对话框。</w:t>
            </w:r>
          </w:p>
          <w:p w14:paraId="5470D6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标签信息列表管理</w:t>
            </w:r>
          </w:p>
          <w:p w14:paraId="2C22BA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支持中心端全量维护分类标签</w:t>
            </w:r>
          </w:p>
          <w:p w14:paraId="181F7E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支持通过标签名称、状态进行查询</w:t>
            </w:r>
          </w:p>
          <w:p w14:paraId="731D4F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支持标签启停状态管理</w:t>
            </w:r>
          </w:p>
          <w:p w14:paraId="37A776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支持列表展示标签名称、标记的耗材数量、状态、操作人、创建时间以及最近的操作时间。</w:t>
            </w:r>
          </w:p>
          <w:p w14:paraId="6F8FA5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分类标签耗材范围维护</w:t>
            </w:r>
          </w:p>
          <w:p w14:paraId="566D35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支持标签新增， 在系统中创建新的标签，并定义其属性，如名称、描述、适用范围等。</w:t>
            </w:r>
          </w:p>
          <w:p w14:paraId="4BEA13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支持耗材标记， 在新增的标签下，对适用的耗材进行标记。选择特定的耗材条目，与新标签关联起来。</w:t>
            </w:r>
          </w:p>
          <w:p w14:paraId="167F8C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支持查询功能， 利用多个查询条件来查找适用于新标签的耗材。</w:t>
            </w:r>
          </w:p>
          <w:p w14:paraId="537517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支持批量标签设置，选中多个耗材条目，并一次性给它们设置相同的标签。</w:t>
            </w:r>
          </w:p>
          <w:p w14:paraId="32E000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支持详细信息查看，选择某一耗材条目，查看其详细信息。</w:t>
            </w:r>
          </w:p>
          <w:p w14:paraId="6290BB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分类标签耗材范围列表管理</w:t>
            </w:r>
          </w:p>
          <w:p w14:paraId="2D209F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支持已设置标签的耗材单独留存显示</w:t>
            </w:r>
          </w:p>
          <w:p w14:paraId="22642A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支持标记耗材目录总数统计。</w:t>
            </w:r>
          </w:p>
          <w:p w14:paraId="61223C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支持多条件查询，包括注册备案号、注册备案名称、医用耗材代码、规格、型号、生产企业。</w:t>
            </w:r>
          </w:p>
          <w:p w14:paraId="7B0086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支持新增和删除标记操作。</w:t>
            </w:r>
          </w:p>
        </w:tc>
      </w:tr>
      <w:tr w14:paraId="6357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7"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25B8F1E7">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349D4481">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52B454C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六、预警设置</w:t>
            </w:r>
          </w:p>
          <w:p w14:paraId="06DA32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耗材预警信息列表管理</w:t>
            </w:r>
          </w:p>
          <w:p w14:paraId="44FD65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支持预警规则可视化统一管理，包括查询、新增、删除以及编辑等功能。</w:t>
            </w:r>
          </w:p>
          <w:p w14:paraId="648700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支持通过一定的筛选条件，如预警名称、预警范围、设置时间、状态等进行查询。</w:t>
            </w:r>
          </w:p>
          <w:p w14:paraId="44F1A2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支持列表展示。</w:t>
            </w:r>
          </w:p>
          <w:p w14:paraId="451EF2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耗材预警信息详情展示</w:t>
            </w:r>
          </w:p>
          <w:p w14:paraId="3B4A58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支持耗材预警规则的详细展示，包括预警名称、预警范围、预警状态、设置人、设置时间、预警内容以及详细的预警规则。</w:t>
            </w:r>
          </w:p>
          <w:p w14:paraId="502F6C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新增耗材预警任务</w:t>
            </w:r>
          </w:p>
          <w:p w14:paraId="4547C2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支持不同的耗材可以设置不同的预警任务</w:t>
            </w:r>
          </w:p>
          <w:p w14:paraId="09C59B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支持定时进行预警任务的启动</w:t>
            </w:r>
          </w:p>
          <w:p w14:paraId="05C8A1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预警机构维护</w:t>
            </w:r>
          </w:p>
          <w:p w14:paraId="270C3D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支持全区预警</w:t>
            </w:r>
          </w:p>
          <w:p w14:paraId="22B7C7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支持医共体预警</w:t>
            </w:r>
          </w:p>
          <w:p w14:paraId="62FF32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支持单机构预警</w:t>
            </w:r>
          </w:p>
          <w:p w14:paraId="0506D9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预警值域设置</w:t>
            </w:r>
          </w:p>
          <w:p w14:paraId="4CAF20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支持按时间的耗材使用量预警</w:t>
            </w:r>
          </w:p>
          <w:p w14:paraId="73BC16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支持按线上采购率预警</w:t>
            </w:r>
          </w:p>
          <w:p w14:paraId="2856B3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支持按耗材有效期预警</w:t>
            </w:r>
          </w:p>
          <w:p w14:paraId="200A28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预警耗材范围维护</w:t>
            </w:r>
          </w:p>
          <w:p w14:paraId="1B669B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支持预警耗材范围查询</w:t>
            </w:r>
          </w:p>
          <w:p w14:paraId="5E2003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支持单个或批量耗材范围维护</w:t>
            </w:r>
          </w:p>
          <w:p w14:paraId="04BADF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预警耗材范围列表管理</w:t>
            </w:r>
          </w:p>
          <w:p w14:paraId="5C3687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支持预警内容显示</w:t>
            </w:r>
          </w:p>
          <w:p w14:paraId="7EDE94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支持多条件查询，包括注册备案号、注册备案名称、医用耗材代码、规格、型号、生产企业。</w:t>
            </w:r>
          </w:p>
          <w:p w14:paraId="02873E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支持新增、删除耗材目录范围</w:t>
            </w:r>
          </w:p>
          <w:p w14:paraId="3BFD85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耗材使用预警模板配置</w:t>
            </w:r>
          </w:p>
          <w:p w14:paraId="5489C1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支持按月同比减少、按月同比增加、按月环比减少、按月环比增加模板设置</w:t>
            </w:r>
          </w:p>
          <w:p w14:paraId="577F8E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支持按季度同比减少、按季度同比增加、按季度环比减少、按季度环比增加模板设置</w:t>
            </w:r>
          </w:p>
          <w:p w14:paraId="2D55FD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支持按年度同比减少、按年度同比增加、按年度环比减少、按年度环比增加模板设置</w:t>
            </w:r>
          </w:p>
          <w:p w14:paraId="7F6AA2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耗材线上采购率预警模板配置</w:t>
            </w:r>
          </w:p>
          <w:p w14:paraId="76B510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支持按月少于、按月多于模板设置</w:t>
            </w:r>
          </w:p>
          <w:p w14:paraId="3652AE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支持按季度少于、按季度多于模板设置</w:t>
            </w:r>
          </w:p>
          <w:p w14:paraId="3D0AF0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支持按年度少于、按年度多于模板设置</w:t>
            </w:r>
          </w:p>
          <w:p w14:paraId="53A586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耗材效期预警模板配置</w:t>
            </w:r>
          </w:p>
          <w:p w14:paraId="297B33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支持红色近效期预警模板设置</w:t>
            </w:r>
          </w:p>
          <w:p w14:paraId="657992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支持橙色近效期预警模板设置</w:t>
            </w:r>
          </w:p>
          <w:p w14:paraId="43DF89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支持黄色近效期预警模板设置</w:t>
            </w:r>
          </w:p>
        </w:tc>
      </w:tr>
      <w:tr w14:paraId="7851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72298E37">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15E384D8">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09092E8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七、工作台管理</w:t>
            </w:r>
          </w:p>
          <w:p w14:paraId="217157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耗材监管数据展示</w:t>
            </w:r>
          </w:p>
          <w:p w14:paraId="3D276A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支持耗材预警消息整合</w:t>
            </w:r>
          </w:p>
          <w:p w14:paraId="07C998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支持工作事务待办整合</w:t>
            </w:r>
          </w:p>
        </w:tc>
      </w:tr>
      <w:tr w14:paraId="6468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0B0E11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25" w:type="pct"/>
            <w:vMerge w:val="restart"/>
            <w:tcBorders>
              <w:top w:val="single" w:color="000000" w:sz="4" w:space="0"/>
              <w:left w:val="single" w:color="000000" w:sz="4" w:space="0"/>
              <w:bottom w:val="single" w:color="000000" w:sz="4" w:space="0"/>
              <w:right w:val="single" w:color="000000" w:sz="4" w:space="0"/>
            </w:tcBorders>
            <w:noWrap/>
            <w:vAlign w:val="center"/>
          </w:tcPr>
          <w:p w14:paraId="59D977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采购管理（新建）</w:t>
            </w: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32AE512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一、新耗材准入申请及审批</w:t>
            </w:r>
          </w:p>
          <w:p w14:paraId="5547D5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准入申请表单管理</w:t>
            </w:r>
          </w:p>
          <w:p w14:paraId="3C7223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支持表单规范化填写</w:t>
            </w:r>
          </w:p>
          <w:p w14:paraId="565E19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支持综合查询，可通过输入关键词搜索</w:t>
            </w:r>
          </w:p>
          <w:p w14:paraId="57257E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支持申请信息实时追踪</w:t>
            </w:r>
          </w:p>
          <w:p w14:paraId="1CE9EF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准入信息模板导入</w:t>
            </w:r>
          </w:p>
          <w:p w14:paraId="50F6F7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支持下载标准化的申请表单模板</w:t>
            </w:r>
          </w:p>
          <w:p w14:paraId="1F61BF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支持快速导入</w:t>
            </w:r>
          </w:p>
          <w:p w14:paraId="001AC2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机构审批流程配置</w:t>
            </w:r>
          </w:p>
          <w:p w14:paraId="35D9FD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支持临时采购审批流程设置</w:t>
            </w:r>
          </w:p>
          <w:p w14:paraId="39B5A8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支持长期采购审批流程设置</w:t>
            </w:r>
          </w:p>
          <w:p w14:paraId="0245FD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支持各机构自定义审批流程设置</w:t>
            </w:r>
          </w:p>
          <w:p w14:paraId="3DB91A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准入审批管理</w:t>
            </w:r>
          </w:p>
          <w:p w14:paraId="5D3E90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支持审核通过与驳回操作</w:t>
            </w:r>
          </w:p>
          <w:p w14:paraId="322CA0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支持驳回反馈信息录入</w:t>
            </w:r>
          </w:p>
          <w:p w14:paraId="44824C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支持编辑调整与重新申请</w:t>
            </w:r>
          </w:p>
          <w:p w14:paraId="14A1EB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支持审核状态跟踪</w:t>
            </w:r>
          </w:p>
          <w:p w14:paraId="2E924F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机构审核流程展示</w:t>
            </w:r>
          </w:p>
          <w:p w14:paraId="7E7147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支持查询当前的审核阶段与状态。</w:t>
            </w:r>
          </w:p>
          <w:p w14:paraId="537E12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支持记录过程节点中的审批人员、时间以及审核意见，如有驳回需要填写驳回理由。</w:t>
            </w:r>
          </w:p>
        </w:tc>
      </w:tr>
      <w:tr w14:paraId="1938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4E07EF3B">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567416CA">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14D315D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二、耗材准入记录查询</w:t>
            </w:r>
          </w:p>
          <w:p w14:paraId="6D2DDB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全区审核流程结果列表管理</w:t>
            </w:r>
          </w:p>
          <w:p w14:paraId="6B96A3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支持中心端查询全区的耗材准入记录与审核流程结果</w:t>
            </w:r>
          </w:p>
          <w:p w14:paraId="350291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支持筛查机构、科室、耗材名称等内容进行筛查</w:t>
            </w:r>
          </w:p>
          <w:p w14:paraId="09A63F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支持权限范围内设置审批流程节点、新增准入操作</w:t>
            </w:r>
          </w:p>
          <w:p w14:paraId="489F17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审核流程结果详情展示</w:t>
            </w:r>
          </w:p>
          <w:p w14:paraId="59C6D5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支持审批流程可视化展示</w:t>
            </w:r>
          </w:p>
        </w:tc>
      </w:tr>
      <w:tr w14:paraId="149B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62ED908E">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3083AF89">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2140C56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三、耗材采购入库管理</w:t>
            </w:r>
          </w:p>
          <w:p w14:paraId="22D268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机构采购入库数据采集</w:t>
            </w:r>
          </w:p>
          <w:p w14:paraId="797DFB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支持各医疗机构的采购入库数据行上传</w:t>
            </w:r>
          </w:p>
          <w:p w14:paraId="43DF44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支持根据采购的订单数量、金额进行统计分析</w:t>
            </w:r>
          </w:p>
          <w:p w14:paraId="2E9537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机构入库订单数据采集</w:t>
            </w:r>
          </w:p>
          <w:p w14:paraId="612169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支持各医疗机构的入库订单数据进行上传</w:t>
            </w:r>
          </w:p>
          <w:p w14:paraId="7AA2CE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支持根据实际的入库订单数量、金额进行统计分析</w:t>
            </w:r>
          </w:p>
          <w:p w14:paraId="331F5B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机构采购入库数据管理</w:t>
            </w:r>
          </w:p>
          <w:p w14:paraId="3E65F8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支持根据权限查看全区、医共体或单家医疗机构的采购入库数据</w:t>
            </w:r>
          </w:p>
          <w:p w14:paraId="30F391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支持多种条件查询</w:t>
            </w:r>
          </w:p>
          <w:p w14:paraId="5FF4DE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支持订单明细查询</w:t>
            </w:r>
          </w:p>
          <w:p w14:paraId="53CC10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支持单个耗材详细内容查询</w:t>
            </w:r>
          </w:p>
        </w:tc>
      </w:tr>
      <w:tr w14:paraId="0E30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7A130A1B">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556FCD78">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4664A12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四、带量采购目标管理</w:t>
            </w:r>
          </w:p>
          <w:p w14:paraId="01B568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带量采购任务管理</w:t>
            </w:r>
          </w:p>
          <w:p w14:paraId="6633C7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支持中心或医共体权限下统一设置带量任务，包括带量采购批次命名规范，批次启用的时间</w:t>
            </w:r>
          </w:p>
          <w:p w14:paraId="26440A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支持对已添加的带量任务进行管理，可编辑批次、批量删除和设置对应的采购目标。</w:t>
            </w:r>
          </w:p>
          <w:p w14:paraId="3E727E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耗材类型管理</w:t>
            </w:r>
          </w:p>
          <w:p w14:paraId="357DDF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支持耗材类型设置</w:t>
            </w:r>
          </w:p>
          <w:p w14:paraId="33A442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支持耗材类型自定义命名</w:t>
            </w:r>
          </w:p>
          <w:p w14:paraId="7A56B5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支持查询、新增、修改、删除等基础操作</w:t>
            </w:r>
          </w:p>
          <w:p w14:paraId="3AC834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采购耗材范围维护</w:t>
            </w:r>
          </w:p>
          <w:p w14:paraId="5472CC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支持带量采购任务和耗材类型下，可设置耗材范围。</w:t>
            </w:r>
          </w:p>
          <w:p w14:paraId="0DD4DA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支持多条件查询，如筛查注册备案号、注册备案产品名称、医用耗材代码、规格型号、中心耗材标签等</w:t>
            </w:r>
          </w:p>
          <w:p w14:paraId="777F85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支持批量或单个新增耗材范围</w:t>
            </w:r>
          </w:p>
          <w:p w14:paraId="02DBFF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采购耗材目标值维护</w:t>
            </w:r>
          </w:p>
          <w:p w14:paraId="3BF4BA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支持不同类型的耗材设置不同的目标值并修改</w:t>
            </w:r>
          </w:p>
          <w:p w14:paraId="50373F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支持设置总体的医共体目标值，再由机构端平均生成机构目标值</w:t>
            </w:r>
          </w:p>
        </w:tc>
      </w:tr>
      <w:tr w14:paraId="4D65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5"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325AB1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25" w:type="pct"/>
            <w:vMerge w:val="restart"/>
            <w:tcBorders>
              <w:top w:val="single" w:color="000000" w:sz="4" w:space="0"/>
              <w:left w:val="single" w:color="000000" w:sz="4" w:space="0"/>
              <w:bottom w:val="single" w:color="000000" w:sz="4" w:space="0"/>
              <w:right w:val="single" w:color="000000" w:sz="4" w:space="0"/>
            </w:tcBorders>
            <w:noWrap/>
            <w:vAlign w:val="center"/>
          </w:tcPr>
          <w:p w14:paraId="7DF427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耗材使用监管（新建）</w:t>
            </w: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4D8CE8E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一、使用数据监控报表</w:t>
            </w:r>
          </w:p>
          <w:p w14:paraId="42F501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全区耗材使用分析统计表</w:t>
            </w:r>
          </w:p>
          <w:p w14:paraId="32DB29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支持中心端展示各家医共体、各家机构耗材使用情况</w:t>
            </w:r>
          </w:p>
          <w:p w14:paraId="75A7F2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支持钻各科室、各医生的耗材使用明细</w:t>
            </w:r>
          </w:p>
          <w:p w14:paraId="74CDB6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医共体耗材使用分析统计表</w:t>
            </w:r>
          </w:p>
          <w:p w14:paraId="39395C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支持医共体端展示医共体下各家机构耗材使用情况</w:t>
            </w:r>
          </w:p>
          <w:p w14:paraId="35C5F6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支持下钻各科室、各医生的耗材使用明细</w:t>
            </w:r>
          </w:p>
          <w:p w14:paraId="331F61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机构耗材使用分析统计表</w:t>
            </w:r>
          </w:p>
          <w:p w14:paraId="2059FA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支持机构耗材使用分析报表需按机构展示不同医疗机构下的耗材使用明细</w:t>
            </w:r>
          </w:p>
          <w:p w14:paraId="40AAEC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支持下钻查看各医疗机构下各科室的耗材使用明细</w:t>
            </w:r>
          </w:p>
          <w:p w14:paraId="439023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支持下钻科室内不同医生的耗材使用明细</w:t>
            </w:r>
          </w:p>
          <w:p w14:paraId="75F2B6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科室耗材使用分析统计表</w:t>
            </w:r>
          </w:p>
          <w:p w14:paraId="546780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支持科室耗材使用分析统计表用于展示各机构内不同科室耗材使用明细</w:t>
            </w:r>
          </w:p>
          <w:p w14:paraId="5FF3B9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支持下钻查看科室内不同医生的耗材使用明细</w:t>
            </w:r>
          </w:p>
          <w:p w14:paraId="462A19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医生耗材使用分析统计表</w:t>
            </w:r>
          </w:p>
          <w:p w14:paraId="6DE4C2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支持医生耗材使用分析统计表用于展示各科室内不同医生的耗材使用明细</w:t>
            </w:r>
          </w:p>
          <w:p w14:paraId="7DDF42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支持下钻查看医生内不同患者的使用情况</w:t>
            </w:r>
          </w:p>
          <w:p w14:paraId="567FB9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使用耗材详细信息展示</w:t>
            </w:r>
          </w:p>
          <w:p w14:paraId="4DBA5E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支持耗材使用详细信息可追溯至使用的患者</w:t>
            </w:r>
          </w:p>
          <w:p w14:paraId="23D971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带量采购耗材批次明细统计表</w:t>
            </w:r>
          </w:p>
          <w:p w14:paraId="1680AC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支持按各批次展示带量采购耗材明细</w:t>
            </w:r>
          </w:p>
          <w:p w14:paraId="30A01F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带量采购耗材类型明细统计表</w:t>
            </w:r>
          </w:p>
          <w:p w14:paraId="7EC71A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支持按带量采购不同耗材类型展示带量采购耗材明细</w:t>
            </w:r>
          </w:p>
          <w:p w14:paraId="59D5F5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月度耗材采购明细统计表</w:t>
            </w:r>
          </w:p>
          <w:p w14:paraId="6B8612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支持按月度统计耗材采购明细，展示各医共体、机构耗材采购情况</w:t>
            </w:r>
          </w:p>
          <w:p w14:paraId="1EFFC0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季度耗材采购明细统计表</w:t>
            </w:r>
          </w:p>
          <w:p w14:paraId="37DB54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支持按季度统计耗材采购明细，展示各医共体、机构耗材采购情况</w:t>
            </w:r>
          </w:p>
          <w:p w14:paraId="1165AC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年度耗材采购明细统计表</w:t>
            </w:r>
          </w:p>
          <w:p w14:paraId="23CAB0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支持按年度统计耗材采购明细，展示各医共体、机构耗材采购情况</w:t>
            </w:r>
          </w:p>
        </w:tc>
      </w:tr>
      <w:tr w14:paraId="4AD5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28054B30">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40C9BE4E">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1958A46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二、预警提醒管理</w:t>
            </w:r>
          </w:p>
          <w:p w14:paraId="3B9CD2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预警监控任务栏展示</w:t>
            </w:r>
          </w:p>
          <w:p w14:paraId="58D3CB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支持自动监测已启用的预警规则</w:t>
            </w:r>
          </w:p>
          <w:p w14:paraId="2C67B7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支持预警范围的机构和耗材触发预警线时，预警提醒模块将生成一条数据</w:t>
            </w:r>
          </w:p>
          <w:p w14:paraId="66D6E1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支持详情查看具体触发预警的耗材当前使用情况或当前有效期剩余时长</w:t>
            </w:r>
          </w:p>
          <w:p w14:paraId="53ADD1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支持统计图清晰标注预警线和实际情况</w:t>
            </w:r>
          </w:p>
          <w:p w14:paraId="4E78D4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预警状态展示</w:t>
            </w:r>
          </w:p>
          <w:p w14:paraId="07157A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支持根据预警规则的基准线，分为红色预警、橙色预警以及黄色预警</w:t>
            </w:r>
          </w:p>
          <w:p w14:paraId="23A145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支持在预警监控栏中，对应该规则下的预警基线，显示预警状态值</w:t>
            </w:r>
          </w:p>
          <w:p w14:paraId="5F9859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耗材使用超限预警展示</w:t>
            </w:r>
          </w:p>
          <w:p w14:paraId="61F55F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支持根据超限预警设置规则，展示耗材使用超限预警明细</w:t>
            </w:r>
          </w:p>
          <w:p w14:paraId="432E23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支持系统检测到某机构的实际耗材使用量接近或超过了设定的预警量时，会自动触发超限预警。</w:t>
            </w:r>
          </w:p>
        </w:tc>
      </w:tr>
      <w:tr w14:paraId="5CEA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5F8564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25" w:type="pct"/>
            <w:vMerge w:val="restart"/>
            <w:tcBorders>
              <w:top w:val="single" w:color="000000" w:sz="4" w:space="0"/>
              <w:left w:val="single" w:color="000000" w:sz="4" w:space="0"/>
              <w:bottom w:val="single" w:color="000000" w:sz="4" w:space="0"/>
              <w:right w:val="single" w:color="000000" w:sz="4" w:space="0"/>
            </w:tcBorders>
            <w:noWrap/>
            <w:vAlign w:val="center"/>
          </w:tcPr>
          <w:p w14:paraId="3F2473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质控管理（新建）</w:t>
            </w: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0576159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一、耗材点评管理</w:t>
            </w:r>
          </w:p>
          <w:p w14:paraId="54379C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耗材点评规则库管理</w:t>
            </w:r>
          </w:p>
          <w:p w14:paraId="734BCF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支持耗材点评规则统一管理</w:t>
            </w:r>
          </w:p>
          <w:p w14:paraId="4D27D5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支持根据用户角色分配不同的访问和操作权限</w:t>
            </w:r>
          </w:p>
          <w:p w14:paraId="09C3F5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支持维护点评规则类型</w:t>
            </w:r>
          </w:p>
          <w:p w14:paraId="0D9E1E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支持用户定义指标名称、指标编码、计算公式等</w:t>
            </w:r>
          </w:p>
          <w:p w14:paraId="654499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智能点评模型构建</w:t>
            </w:r>
          </w:p>
          <w:p w14:paraId="0B3D73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支持利用耗材知识库训练向量库</w:t>
            </w:r>
          </w:p>
          <w:p w14:paraId="5F44D9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支持关联知识库、使用记录及点评后微调训练大模型</w:t>
            </w:r>
          </w:p>
          <w:p w14:paraId="4B8F80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耗材初步点评管理</w:t>
            </w:r>
          </w:p>
          <w:p w14:paraId="4EE681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支持点评模型对抽样任务的耗材使用情况进行初步点评</w:t>
            </w:r>
          </w:p>
          <w:p w14:paraId="0BCC1C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支持根据已维护的点评规则库，对耗材使用部位、型号、疾病等进行点评</w:t>
            </w:r>
          </w:p>
          <w:p w14:paraId="4E60F8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支持将初步耗材使用不符合的点评筛出交给人工进行二次点评</w:t>
            </w:r>
          </w:p>
          <w:p w14:paraId="5B3A97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耗材点评抽样任务新增</w:t>
            </w:r>
          </w:p>
          <w:p w14:paraId="3E96B6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支持机构内耗材抽样，可自定义设置抽样数量</w:t>
            </w:r>
          </w:p>
          <w:p w14:paraId="31E549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支持分类标签、疾病诊断抽样</w:t>
            </w:r>
          </w:p>
          <w:p w14:paraId="0CCD57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支持单科室、单医生抽样</w:t>
            </w:r>
          </w:p>
          <w:p w14:paraId="494405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支持特殊规则抽样</w:t>
            </w:r>
          </w:p>
          <w:p w14:paraId="20635E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支持未点评完的抽样耗材继续点评</w:t>
            </w:r>
          </w:p>
          <w:p w14:paraId="29E590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支持对抽样错误的数据进行作废处理</w:t>
            </w:r>
          </w:p>
          <w:p w14:paraId="7547C8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抽样任务列表管理</w:t>
            </w:r>
          </w:p>
          <w:p w14:paraId="43AF59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支持查看历史抽样任务列表</w:t>
            </w:r>
          </w:p>
          <w:p w14:paraId="5DAB29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支持根据模糊搜索抽样规则、抽样任务时间等查找抽样记录</w:t>
            </w:r>
          </w:p>
          <w:p w14:paraId="6753B4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抽样任务详情展示</w:t>
            </w:r>
          </w:p>
          <w:p w14:paraId="035F2B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支持查看点评病例数据，耗材详情，报告电子病历、检验检查等</w:t>
            </w:r>
          </w:p>
          <w:p w14:paraId="0A796A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支持查看点评记录结果</w:t>
            </w:r>
          </w:p>
          <w:p w14:paraId="4AE40C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支持查询抽样详情，显示抽样数、点评专家、抽样率以及点评数、点评率和合格率等。</w:t>
            </w:r>
          </w:p>
          <w:p w14:paraId="5E89BB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机构耗材点评报表</w:t>
            </w:r>
          </w:p>
          <w:p w14:paraId="41347A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支持机构耗材点评结果的汇总报表统计，可查看耗材点评覆盖率、点评合格率、不合理耗材分布率以及详细的分布结果。</w:t>
            </w:r>
          </w:p>
          <w:p w14:paraId="31406D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支持查看各机构下相同耗材的点评覆盖率、耗材点评率、点评合格率等数据</w:t>
            </w:r>
          </w:p>
          <w:p w14:paraId="68BE2E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科室耗材点评报表</w:t>
            </w:r>
          </w:p>
          <w:p w14:paraId="4328B8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科室耗材点评结果的汇总报表统计，可查看耗材点评覆盖率、点评合格率、不合理耗材分布率以及详细的分布结果。</w:t>
            </w:r>
          </w:p>
          <w:p w14:paraId="797754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支持查看各机构科室下相同耗材的点评覆盖率、耗材点评率、点评合格率等数据</w:t>
            </w:r>
          </w:p>
          <w:p w14:paraId="66F16E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医生耗材点评报表</w:t>
            </w:r>
          </w:p>
          <w:p w14:paraId="4ACCEF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医生耗材点评结果的汇总报表统计，可查看耗材点评覆盖率、点评合格率、不合理耗材分布率以及详细的分布结果。</w:t>
            </w:r>
          </w:p>
          <w:p w14:paraId="3390CB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支持查看各医生下相同耗材的点评覆盖率、耗材点评率、点评合格率等数据。</w:t>
            </w:r>
          </w:p>
          <w:p w14:paraId="070C9C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点评单位耗材点评报表</w:t>
            </w:r>
          </w:p>
          <w:p w14:paraId="35C29C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点评单位耗材点评结果的汇总报表统计，可查看耗材点评覆盖率、点评合格率、不合理耗材分布率以及详细的分布结果。</w:t>
            </w:r>
          </w:p>
          <w:p w14:paraId="781335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支持查看点评单位下相同耗材的点评覆盖率、耗材点评率、点评合格率等数据。</w:t>
            </w:r>
          </w:p>
          <w:p w14:paraId="467F5F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支持按点评单位查询处方点评单位的点评质量。</w:t>
            </w:r>
          </w:p>
          <w:p w14:paraId="351B95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点评人员耗材点评报表</w:t>
            </w:r>
          </w:p>
          <w:p w14:paraId="15764A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支持点评人员耗材点评结果的汇总报表统计，可查看耗材点评覆盖率、点评合格率、不合理耗材分布率以及详细的分布结果。</w:t>
            </w:r>
          </w:p>
          <w:p w14:paraId="10BE23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支持查看点评人员下相同耗材的点评覆盖率、耗材点评率、点评合格率等数据。</w:t>
            </w:r>
          </w:p>
          <w:p w14:paraId="48A712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支持按点评人员查询处方点评人员的点评质量</w:t>
            </w:r>
          </w:p>
          <w:p w14:paraId="0013FF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点评报表导出</w:t>
            </w:r>
          </w:p>
          <w:p w14:paraId="6798FA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支持将点评报表数据导出为Excel文件</w:t>
            </w:r>
          </w:p>
          <w:p w14:paraId="65A44A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 耗材点评结果展示</w:t>
            </w:r>
          </w:p>
          <w:p w14:paraId="4D4DE5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支持查看智能点评结果为不合格的耗材错误明细信息</w:t>
            </w:r>
          </w:p>
          <w:p w14:paraId="1A4D07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支持根据机构、科室、医生、日期、错误等级、错误分析类型条件进行筛选</w:t>
            </w:r>
          </w:p>
          <w:p w14:paraId="3A1677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支持查看智能点评下的不合格耗材，可下钻查看耗材点评明细内容</w:t>
            </w:r>
          </w:p>
          <w:p w14:paraId="4A3064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 点评结果导出管理</w:t>
            </w:r>
          </w:p>
          <w:p w14:paraId="2DC395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支持将点评结果数据导出为Excel文件</w:t>
            </w:r>
          </w:p>
        </w:tc>
      </w:tr>
      <w:tr w14:paraId="7583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365D7E71">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3FD18DB2">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2A4E412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二、核心指标监测</w:t>
            </w:r>
          </w:p>
          <w:p w14:paraId="2C26DB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耗材准入核心监测规则维护</w:t>
            </w:r>
          </w:p>
          <w:p w14:paraId="468F63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支持维护耗材准入监测规则</w:t>
            </w:r>
          </w:p>
          <w:p w14:paraId="69727C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支持后台新增准入监测规则</w:t>
            </w:r>
          </w:p>
          <w:p w14:paraId="4E2C22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支持查询已存在准入监测规则</w:t>
            </w:r>
          </w:p>
          <w:p w14:paraId="7FD56B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支持根据监测规则模糊搜索查询相关信息</w:t>
            </w:r>
          </w:p>
          <w:p w14:paraId="245AC9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耗材准入核心指标监测展示</w:t>
            </w:r>
          </w:p>
          <w:p w14:paraId="672A36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支持展示准入核心监测预警事件</w:t>
            </w:r>
          </w:p>
          <w:p w14:paraId="7ADFAF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支持展示预警机构、预警耗材、预警规则等信息</w:t>
            </w:r>
          </w:p>
          <w:p w14:paraId="7AEBAA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耗材采购核心监测规则维护</w:t>
            </w:r>
          </w:p>
          <w:p w14:paraId="55A360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支持维护耗材采购监测规则</w:t>
            </w:r>
          </w:p>
          <w:p w14:paraId="21C0AB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支持后台新增采购监测规则</w:t>
            </w:r>
          </w:p>
          <w:p w14:paraId="660B03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支持查询已存在采购监测规则</w:t>
            </w:r>
          </w:p>
          <w:p w14:paraId="14FB22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支持根据监测规则模糊搜索查询相关信息</w:t>
            </w:r>
          </w:p>
          <w:p w14:paraId="3F992A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耗材采购核心指标监测展示</w:t>
            </w:r>
          </w:p>
          <w:p w14:paraId="370885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支持展示采购核心监测预警事件</w:t>
            </w:r>
          </w:p>
          <w:p w14:paraId="03274B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支持展示预警机构、预警耗材、预警规则等信息</w:t>
            </w:r>
          </w:p>
          <w:p w14:paraId="7F0152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耗材使用核心监测规则维护</w:t>
            </w:r>
          </w:p>
          <w:p w14:paraId="2ED87E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支持维护耗材使用监测规则</w:t>
            </w:r>
          </w:p>
          <w:p w14:paraId="320FD7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支持后台新增使用监测规则</w:t>
            </w:r>
          </w:p>
          <w:p w14:paraId="7AEB9A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支持查询已存在使用监测规则</w:t>
            </w:r>
          </w:p>
          <w:p w14:paraId="39A157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支持根据监测规则模糊搜索查询相关信息</w:t>
            </w:r>
          </w:p>
          <w:p w14:paraId="39C08C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耗材使用核心指标监测展示</w:t>
            </w:r>
          </w:p>
          <w:p w14:paraId="3844EB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支持展示使用核心监测预警事件</w:t>
            </w:r>
          </w:p>
          <w:p w14:paraId="52C73C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支持展示预警机构、预警耗材、预警规则等信息</w:t>
            </w:r>
          </w:p>
          <w:p w14:paraId="6E1239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耗材使用知识库维护</w:t>
            </w:r>
          </w:p>
          <w:p w14:paraId="3AF59A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支持对耗材使用手册中的关键信息进行系统整理和深度分析</w:t>
            </w:r>
          </w:p>
          <w:p w14:paraId="5945CA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支持整理耗材使用手册中的适用范围</w:t>
            </w:r>
          </w:p>
          <w:p w14:paraId="3876BD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支持后台更新知识库信息</w:t>
            </w:r>
          </w:p>
          <w:p w14:paraId="03252C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支持检索知识库功能</w:t>
            </w:r>
          </w:p>
          <w:p w14:paraId="53DBA7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耗材不良事件智能模型</w:t>
            </w:r>
          </w:p>
          <w:p w14:paraId="532745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支持将通过微调大模型来构建不良反应智能识别模型系统</w:t>
            </w:r>
          </w:p>
          <w:p w14:paraId="7D2BFE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支持将结合文本嵌入和最优检索模型，快速从知识库中找到相关信息，并通过语义重排序模型优化检索结果</w:t>
            </w:r>
          </w:p>
          <w:p w14:paraId="76B2CE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不良事件监测展示</w:t>
            </w:r>
          </w:p>
          <w:p w14:paraId="127BC7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支持及时预警不良事件报告，展示内容包括事件发生机构，发生科室，患者姓名，患者年龄，事件主要内容，发生日期等</w:t>
            </w:r>
          </w:p>
          <w:p w14:paraId="6F0011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支持监管人员快速定位事件发生情况</w:t>
            </w:r>
          </w:p>
          <w:p w14:paraId="3AAC2F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支持查看历史不良事件数据，分析不良事件的发生频率和趋势</w:t>
            </w:r>
          </w:p>
          <w:p w14:paraId="10CBFE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耗材超限使用核心监测规则维护</w:t>
            </w:r>
          </w:p>
          <w:p w14:paraId="673A29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支持维护耗材超限使用监测规则</w:t>
            </w:r>
          </w:p>
          <w:p w14:paraId="341305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支持后台新增使用监测规则，如特殊耗材使用超限范围等</w:t>
            </w:r>
          </w:p>
          <w:p w14:paraId="11FD29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支持查询已存在使用超限监测规则，根据监测规则模糊搜索查询相关信息</w:t>
            </w:r>
          </w:p>
          <w:p w14:paraId="3C1259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耗材超限使用核心指标监测展示</w:t>
            </w:r>
          </w:p>
          <w:p w14:paraId="2A437D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支持展示使用超限核心监测预警事件</w:t>
            </w:r>
          </w:p>
          <w:p w14:paraId="70A5C9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支持展示预警机构、预警耗材、预警规则等信息</w:t>
            </w:r>
          </w:p>
        </w:tc>
      </w:tr>
      <w:tr w14:paraId="6F91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7AE886D4">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43BC1210">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1179F02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三、质控考核</w:t>
            </w:r>
          </w:p>
          <w:p w14:paraId="17DAE5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质控考核规则管理</w:t>
            </w:r>
          </w:p>
          <w:p w14:paraId="4579B7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支持维护耗材质控考核指标</w:t>
            </w:r>
          </w:p>
          <w:p w14:paraId="3DCD78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支持新增考核指标信息，包括指标编码、指标名称、指标定义、计算公式等</w:t>
            </w:r>
          </w:p>
          <w:p w14:paraId="7C89BF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支持修改已存在考核指标信息</w:t>
            </w:r>
          </w:p>
          <w:p w14:paraId="1281E0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支持查询已存在考核指标，根据指标编码、指标名称、指标定义索查询相关指标信息</w:t>
            </w:r>
          </w:p>
          <w:p w14:paraId="278852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支持根据考核指标制定相关考核规则，设计考核等级以及考核值</w:t>
            </w:r>
          </w:p>
          <w:p w14:paraId="03C3E9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考核指标可视化配置</w:t>
            </w:r>
          </w:p>
          <w:p w14:paraId="6D3972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支持可视化配置考核指标公式</w:t>
            </w:r>
          </w:p>
          <w:p w14:paraId="5F4773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自定义问卷题目设置</w:t>
            </w:r>
          </w:p>
          <w:p w14:paraId="25F680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支持自定义选择考核规则组成考核问卷模板</w:t>
            </w:r>
          </w:p>
          <w:p w14:paraId="7B3297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支持考核问卷模板进行实时调整与优化</w:t>
            </w:r>
          </w:p>
        </w:tc>
      </w:tr>
      <w:tr w14:paraId="3D05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41AA66CD">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1F1922ED">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17F8EDC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四、质控报告</w:t>
            </w:r>
          </w:p>
          <w:p w14:paraId="29663A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质控规则库管理</w:t>
            </w:r>
          </w:p>
          <w:p w14:paraId="4E2E5A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支持维护耗材准入、采购、使用等质控规则库</w:t>
            </w:r>
          </w:p>
          <w:p w14:paraId="7EBF8F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支持后台新增耗材准入、采购、使用质控规则</w:t>
            </w:r>
          </w:p>
          <w:p w14:paraId="3AC1A1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支持根据质控规则建立质控报告模板</w:t>
            </w:r>
          </w:p>
          <w:p w14:paraId="014FF9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智能质控报告模型构建</w:t>
            </w:r>
          </w:p>
          <w:p w14:paraId="02C3D6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支持将通过微调大模型来构建智能质控报告系统</w:t>
            </w:r>
          </w:p>
          <w:p w14:paraId="36D5E2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支持将结合文本嵌入和最优检索模型，快速从知识库中找到相关信息</w:t>
            </w:r>
          </w:p>
          <w:p w14:paraId="798688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支持语义重排序模型优化检索结果</w:t>
            </w:r>
          </w:p>
          <w:p w14:paraId="7B93AA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质控报告生成</w:t>
            </w:r>
          </w:p>
          <w:p w14:paraId="1A57B6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支持质控模板管理</w:t>
            </w:r>
          </w:p>
          <w:p w14:paraId="2526CF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支持计不同时间维度统计</w:t>
            </w:r>
          </w:p>
          <w:p w14:paraId="478B6B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支持多种图表展示</w:t>
            </w:r>
          </w:p>
        </w:tc>
      </w:tr>
      <w:tr w14:paraId="47D5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30F6DC0D">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39D8AB35">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275533F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五、质控智能分析报表</w:t>
            </w:r>
          </w:p>
          <w:p w14:paraId="1D8296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医院质控智能分析报表</w:t>
            </w:r>
          </w:p>
          <w:p w14:paraId="022BA7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支持耗材使用情况分析各机构相同耗材使用数据统计，分析耗材使用量与机构的关系</w:t>
            </w:r>
          </w:p>
          <w:p w14:paraId="3F10EF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科室质控智能分析报表</w:t>
            </w:r>
          </w:p>
          <w:p w14:paraId="09D3C3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支持耗材使用情况分析各科室的相同耗材使用数据统计，分析耗材使用量与科室的关系</w:t>
            </w:r>
          </w:p>
          <w:p w14:paraId="4BB338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医生质控智能分析报表</w:t>
            </w:r>
          </w:p>
          <w:p w14:paraId="4C91EF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支持耗材使用情况分析各医生的相同耗材使用数据统计，分析耗材使用量与医生的关系</w:t>
            </w:r>
          </w:p>
          <w:p w14:paraId="2C23E5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病种质控智能分析报表</w:t>
            </w:r>
          </w:p>
          <w:p w14:paraId="54DEED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支持耗材使用情况分析各病种的相同耗材使用数据统计，分析耗材使用量与病种的关系</w:t>
            </w:r>
          </w:p>
        </w:tc>
      </w:tr>
      <w:tr w14:paraId="2532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18C2A0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25" w:type="pct"/>
            <w:vMerge w:val="restart"/>
            <w:tcBorders>
              <w:top w:val="single" w:color="000000" w:sz="4" w:space="0"/>
              <w:left w:val="single" w:color="000000" w:sz="4" w:space="0"/>
              <w:bottom w:val="single" w:color="000000" w:sz="4" w:space="0"/>
              <w:right w:val="single" w:color="000000" w:sz="4" w:space="0"/>
            </w:tcBorders>
            <w:noWrap/>
            <w:vAlign w:val="center"/>
          </w:tcPr>
          <w:p w14:paraId="7A31D6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PDCA质量监管流程(新建)</w:t>
            </w:r>
          </w:p>
        </w:tc>
        <w:tc>
          <w:tcPr>
            <w:tcW w:w="3743" w:type="pct"/>
            <w:tcBorders>
              <w:top w:val="single" w:color="000000" w:sz="4" w:space="0"/>
              <w:left w:val="single" w:color="000000" w:sz="4" w:space="0"/>
              <w:bottom w:val="single" w:color="000000" w:sz="4" w:space="0"/>
              <w:right w:val="single" w:color="000000" w:sz="4" w:space="0"/>
            </w:tcBorders>
            <w:noWrap w:val="0"/>
            <w:vAlign w:val="center"/>
          </w:tcPr>
          <w:p w14:paraId="0E46AD1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一、质量问题预警展示</w:t>
            </w:r>
          </w:p>
          <w:p w14:paraId="0AB2E9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支持展示触发耗材预警问题列表，预警信息包括：预警机构、预警耗材、预警规则</w:t>
            </w:r>
          </w:p>
          <w:p w14:paraId="73DDC3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支持实时监测耗材供流通中的各项数据</w:t>
            </w:r>
          </w:p>
          <w:p w14:paraId="4FCF17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支持监管人员接收到预警后，对预警机构下发整改任务</w:t>
            </w:r>
          </w:p>
        </w:tc>
      </w:tr>
      <w:tr w14:paraId="2A93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3A426AB5">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66FA6776">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0"/>
            <w:vAlign w:val="center"/>
          </w:tcPr>
          <w:p w14:paraId="5CB424B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二、机构整改跟踪管理</w:t>
            </w:r>
          </w:p>
          <w:p w14:paraId="41AC4B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支持接受区级监管人员下发的整改任务</w:t>
            </w:r>
          </w:p>
          <w:p w14:paraId="06867B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支持根据预警信息新增院内整改计划</w:t>
            </w:r>
          </w:p>
          <w:p w14:paraId="3BB815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支持将预警触发原因、排查或整改过程记录在平台中</w:t>
            </w:r>
          </w:p>
          <w:p w14:paraId="674EFD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支持预警历史记录的查询与分析</w:t>
            </w:r>
          </w:p>
        </w:tc>
      </w:tr>
      <w:tr w14:paraId="1C18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1FA5DD02">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453F3028">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0"/>
            <w:vAlign w:val="center"/>
          </w:tcPr>
          <w:p w14:paraId="36E8212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三、机构整改记录展示</w:t>
            </w:r>
          </w:p>
          <w:p w14:paraId="0F7F7E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支持维护所有机构整改记录，整改信息包括预警机构、预警时间、预警状态、预警规则、是否处置</w:t>
            </w:r>
          </w:p>
          <w:p w14:paraId="24EFA3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支持查看各机构整改计划，提供预警触发原因、排查或整改过程记录等内容</w:t>
            </w:r>
          </w:p>
          <w:p w14:paraId="66DBA3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支持耗材监管者掌握跟踪全面而深入的整改信息</w:t>
            </w:r>
          </w:p>
        </w:tc>
      </w:tr>
      <w:tr w14:paraId="2CCF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19D482DC">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56585255">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0"/>
            <w:vAlign w:val="center"/>
          </w:tcPr>
          <w:p w14:paraId="03DC1B9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四、整改记录审核</w:t>
            </w:r>
          </w:p>
          <w:p w14:paraId="0F8118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支持提供整改记录审核操作，包括审核通过，审核不通过两种权限</w:t>
            </w:r>
          </w:p>
          <w:p w14:paraId="300643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支持系统自动调整整改任务状态，确保整改任务是否已按要求完成</w:t>
            </w:r>
          </w:p>
        </w:tc>
      </w:tr>
      <w:tr w14:paraId="09E2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1348A5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25" w:type="pct"/>
            <w:vMerge w:val="restart"/>
            <w:tcBorders>
              <w:top w:val="single" w:color="000000" w:sz="4" w:space="0"/>
              <w:left w:val="single" w:color="000000" w:sz="4" w:space="0"/>
              <w:bottom w:val="single" w:color="000000" w:sz="4" w:space="0"/>
              <w:right w:val="single" w:color="000000" w:sz="4" w:space="0"/>
            </w:tcBorders>
            <w:noWrap/>
            <w:vAlign w:val="center"/>
          </w:tcPr>
          <w:p w14:paraId="23ABF6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耗材监管驾驶舱（新建）</w:t>
            </w: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1A6EB52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一、数据归集</w:t>
            </w:r>
          </w:p>
          <w:p w14:paraId="503845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支持全区数据归集</w:t>
            </w:r>
          </w:p>
        </w:tc>
      </w:tr>
      <w:tr w14:paraId="5BCD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1E95F715">
            <w:pPr>
              <w:jc w:val="left"/>
              <w:rPr>
                <w:rFonts w:hint="eastAsia" w:ascii="宋体" w:hAnsi="宋体" w:eastAsia="宋体" w:cs="宋体"/>
                <w:i w:val="0"/>
                <w:iCs w:val="0"/>
                <w:color w:val="auto"/>
                <w:sz w:val="21"/>
                <w:szCs w:val="21"/>
                <w:u w:val="none"/>
              </w:rPr>
            </w:pPr>
          </w:p>
        </w:tc>
        <w:tc>
          <w:tcPr>
            <w:tcW w:w="825" w:type="pct"/>
            <w:vMerge w:val="continue"/>
            <w:tcBorders>
              <w:top w:val="single" w:color="000000" w:sz="4" w:space="0"/>
              <w:left w:val="single" w:color="000000" w:sz="4" w:space="0"/>
              <w:bottom w:val="single" w:color="000000" w:sz="4" w:space="0"/>
              <w:right w:val="single" w:color="000000" w:sz="4" w:space="0"/>
            </w:tcBorders>
            <w:noWrap/>
            <w:vAlign w:val="center"/>
          </w:tcPr>
          <w:p w14:paraId="68CEC8CD">
            <w:pPr>
              <w:jc w:val="left"/>
              <w:rPr>
                <w:rFonts w:hint="eastAsia" w:ascii="宋体" w:hAnsi="宋体" w:eastAsia="宋体" w:cs="宋体"/>
                <w:i w:val="0"/>
                <w:iCs w:val="0"/>
                <w:color w:val="auto"/>
                <w:sz w:val="21"/>
                <w:szCs w:val="21"/>
                <w:u w:val="none"/>
              </w:rPr>
            </w:pPr>
          </w:p>
        </w:tc>
        <w:tc>
          <w:tcPr>
            <w:tcW w:w="3743" w:type="pct"/>
            <w:tcBorders>
              <w:top w:val="single" w:color="000000" w:sz="4" w:space="0"/>
              <w:left w:val="single" w:color="000000" w:sz="4" w:space="0"/>
              <w:bottom w:val="single" w:color="000000" w:sz="4" w:space="0"/>
              <w:right w:val="single" w:color="000000" w:sz="4" w:space="0"/>
            </w:tcBorders>
            <w:noWrap/>
            <w:vAlign w:val="center"/>
          </w:tcPr>
          <w:p w14:paraId="2F5EE7A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二、指标可视化展示</w:t>
            </w:r>
          </w:p>
          <w:p w14:paraId="370C9B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支持耗材相关信息的多维度的统计分析</w:t>
            </w:r>
          </w:p>
        </w:tc>
      </w:tr>
    </w:tbl>
    <w:p w14:paraId="2E2346E5">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设备质控</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1684"/>
        <w:gridCol w:w="6354"/>
      </w:tblGrid>
      <w:tr w14:paraId="3D7E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276" w:type="pct"/>
            <w:tcBorders>
              <w:top w:val="single" w:color="000000" w:sz="4" w:space="0"/>
              <w:left w:val="single" w:color="000000" w:sz="4" w:space="0"/>
              <w:bottom w:val="single" w:color="000000" w:sz="4" w:space="0"/>
              <w:right w:val="single" w:color="000000" w:sz="4" w:space="0"/>
            </w:tcBorders>
            <w:noWrap/>
            <w:vAlign w:val="center"/>
          </w:tcPr>
          <w:p w14:paraId="3E4AD2A8">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84" w:type="pct"/>
            <w:tcBorders>
              <w:top w:val="single" w:color="000000" w:sz="4" w:space="0"/>
              <w:left w:val="single" w:color="000000" w:sz="4" w:space="0"/>
              <w:bottom w:val="single" w:color="000000" w:sz="4" w:space="0"/>
              <w:right w:val="single" w:color="000000" w:sz="4" w:space="0"/>
            </w:tcBorders>
            <w:noWrap/>
            <w:vAlign w:val="center"/>
          </w:tcPr>
          <w:p w14:paraId="257467F6">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739" w:type="pct"/>
            <w:tcBorders>
              <w:top w:val="single" w:color="000000" w:sz="4" w:space="0"/>
              <w:left w:val="single" w:color="000000" w:sz="4" w:space="0"/>
              <w:bottom w:val="single" w:color="000000" w:sz="4" w:space="0"/>
              <w:right w:val="single" w:color="000000" w:sz="4" w:space="0"/>
            </w:tcBorders>
            <w:noWrap w:val="0"/>
            <w:vAlign w:val="center"/>
          </w:tcPr>
          <w:p w14:paraId="6F3EFA42">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3DDB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76" w:type="pct"/>
            <w:vMerge w:val="restart"/>
            <w:tcBorders>
              <w:top w:val="single" w:color="000000" w:sz="4" w:space="0"/>
              <w:left w:val="single" w:color="000000" w:sz="4" w:space="0"/>
              <w:bottom w:val="single" w:color="000000" w:sz="4" w:space="0"/>
              <w:right w:val="single" w:color="000000" w:sz="4" w:space="0"/>
            </w:tcBorders>
            <w:noWrap/>
            <w:vAlign w:val="center"/>
          </w:tcPr>
          <w:p w14:paraId="5B8925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84" w:type="pct"/>
            <w:vMerge w:val="restart"/>
            <w:tcBorders>
              <w:top w:val="single" w:color="000000" w:sz="4" w:space="0"/>
              <w:left w:val="single" w:color="000000" w:sz="4" w:space="0"/>
              <w:bottom w:val="single" w:color="000000" w:sz="4" w:space="0"/>
              <w:right w:val="single" w:color="000000" w:sz="4" w:space="0"/>
            </w:tcBorders>
            <w:noWrap/>
            <w:vAlign w:val="center"/>
          </w:tcPr>
          <w:p w14:paraId="3F1DF0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设备质控统计（新建）</w:t>
            </w:r>
          </w:p>
        </w:tc>
        <w:tc>
          <w:tcPr>
            <w:tcW w:w="3739" w:type="pct"/>
            <w:tcBorders>
              <w:top w:val="single" w:color="000000" w:sz="4" w:space="0"/>
              <w:left w:val="single" w:color="000000" w:sz="4" w:space="0"/>
              <w:bottom w:val="single" w:color="000000" w:sz="4" w:space="0"/>
              <w:right w:val="single" w:color="000000" w:sz="4" w:space="0"/>
            </w:tcBorders>
            <w:noWrap/>
            <w:vAlign w:val="center"/>
          </w:tcPr>
          <w:p w14:paraId="2B2F8A5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一、区级医院设备质控</w:t>
            </w:r>
          </w:p>
          <w:p w14:paraId="2D5DEA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对鄞医、鄞二、六院、眼科、中西医、肛肠、明州7家医院的设备情况进行监管分析，分析的指标包括：</w:t>
            </w:r>
          </w:p>
          <w:p w14:paraId="5F3331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专业技术人员与资产占比；</w:t>
            </w:r>
          </w:p>
          <w:p w14:paraId="522B35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不良事件上报完成率；</w:t>
            </w:r>
          </w:p>
          <w:p w14:paraId="7689C3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计量设备检测率；</w:t>
            </w:r>
          </w:p>
          <w:p w14:paraId="783DDC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在用设备完好率；</w:t>
            </w:r>
          </w:p>
          <w:p w14:paraId="02E3E2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在用急救抢救及生命支持设备完好率；</w:t>
            </w:r>
          </w:p>
          <w:p w14:paraId="48EF5E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故障报修48小时完修率；</w:t>
            </w:r>
          </w:p>
          <w:p w14:paraId="35D9E4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医用材料线上采购率；</w:t>
            </w:r>
          </w:p>
          <w:p w14:paraId="21313F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国省市耗材集采遴选率。</w:t>
            </w:r>
          </w:p>
        </w:tc>
      </w:tr>
      <w:tr w14:paraId="027B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276" w:type="pct"/>
            <w:vMerge w:val="continue"/>
            <w:tcBorders>
              <w:top w:val="single" w:color="000000" w:sz="4" w:space="0"/>
              <w:left w:val="single" w:color="000000" w:sz="4" w:space="0"/>
              <w:bottom w:val="single" w:color="000000" w:sz="4" w:space="0"/>
              <w:right w:val="single" w:color="000000" w:sz="4" w:space="0"/>
            </w:tcBorders>
            <w:noWrap/>
            <w:vAlign w:val="center"/>
          </w:tcPr>
          <w:p w14:paraId="1C4E40C8">
            <w:pPr>
              <w:jc w:val="left"/>
              <w:rPr>
                <w:rFonts w:hint="eastAsia" w:ascii="宋体" w:hAnsi="宋体" w:eastAsia="宋体" w:cs="宋体"/>
                <w:i w:val="0"/>
                <w:iCs w:val="0"/>
                <w:color w:val="auto"/>
                <w:sz w:val="21"/>
                <w:szCs w:val="21"/>
                <w:u w:val="none"/>
              </w:rPr>
            </w:pPr>
          </w:p>
        </w:tc>
        <w:tc>
          <w:tcPr>
            <w:tcW w:w="984" w:type="pct"/>
            <w:vMerge w:val="continue"/>
            <w:tcBorders>
              <w:top w:val="single" w:color="000000" w:sz="4" w:space="0"/>
              <w:left w:val="single" w:color="000000" w:sz="4" w:space="0"/>
              <w:bottom w:val="single" w:color="000000" w:sz="4" w:space="0"/>
              <w:right w:val="single" w:color="000000" w:sz="4" w:space="0"/>
            </w:tcBorders>
            <w:noWrap/>
            <w:vAlign w:val="center"/>
          </w:tcPr>
          <w:p w14:paraId="1A602D9B">
            <w:pPr>
              <w:jc w:val="left"/>
              <w:rPr>
                <w:rFonts w:hint="eastAsia" w:ascii="宋体" w:hAnsi="宋体" w:eastAsia="宋体" w:cs="宋体"/>
                <w:i w:val="0"/>
                <w:iCs w:val="0"/>
                <w:color w:val="auto"/>
                <w:sz w:val="21"/>
                <w:szCs w:val="21"/>
                <w:u w:val="none"/>
              </w:rPr>
            </w:pPr>
          </w:p>
        </w:tc>
        <w:tc>
          <w:tcPr>
            <w:tcW w:w="3739" w:type="pct"/>
            <w:tcBorders>
              <w:top w:val="single" w:color="000000" w:sz="4" w:space="0"/>
              <w:left w:val="single" w:color="000000" w:sz="4" w:space="0"/>
              <w:bottom w:val="single" w:color="000000" w:sz="4" w:space="0"/>
              <w:right w:val="single" w:color="000000" w:sz="4" w:space="0"/>
            </w:tcBorders>
            <w:noWrap/>
            <w:vAlign w:val="center"/>
          </w:tcPr>
          <w:p w14:paraId="39AC7FA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二、基层医院设备质控</w:t>
            </w:r>
          </w:p>
          <w:p w14:paraId="1B0ABA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对所有分院、钱湖医院、妇保所、皮防站等公立医院23家的设备情况进行监管分析，分析的指标包括：</w:t>
            </w:r>
          </w:p>
          <w:p w14:paraId="4119F0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专业技术人员与资产占比；</w:t>
            </w:r>
          </w:p>
          <w:p w14:paraId="5F4B6B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不良事件上报完成率；</w:t>
            </w:r>
          </w:p>
          <w:p w14:paraId="78939E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计量设备检测率；</w:t>
            </w:r>
          </w:p>
          <w:p w14:paraId="7C491A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在用设备完好率；</w:t>
            </w:r>
          </w:p>
          <w:p w14:paraId="183160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在用急救抢救及生命支持设备完好率；</w:t>
            </w:r>
          </w:p>
          <w:p w14:paraId="4EEFF6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故障报修48小时完修率；</w:t>
            </w:r>
          </w:p>
          <w:p w14:paraId="05AFE7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医用材料线上采购率。</w:t>
            </w:r>
          </w:p>
        </w:tc>
      </w:tr>
      <w:tr w14:paraId="04E3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276" w:type="pct"/>
            <w:tcBorders>
              <w:top w:val="single" w:color="000000" w:sz="4" w:space="0"/>
              <w:left w:val="single" w:color="000000" w:sz="4" w:space="0"/>
              <w:bottom w:val="single" w:color="000000" w:sz="4" w:space="0"/>
              <w:right w:val="single" w:color="000000" w:sz="4" w:space="0"/>
            </w:tcBorders>
            <w:noWrap/>
            <w:vAlign w:val="center"/>
          </w:tcPr>
          <w:p w14:paraId="57EECA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84" w:type="pct"/>
            <w:tcBorders>
              <w:top w:val="single" w:color="000000" w:sz="4" w:space="0"/>
              <w:left w:val="single" w:color="000000" w:sz="4" w:space="0"/>
              <w:bottom w:val="single" w:color="000000" w:sz="4" w:space="0"/>
              <w:right w:val="single" w:color="000000" w:sz="4" w:space="0"/>
            </w:tcBorders>
            <w:noWrap/>
            <w:vAlign w:val="center"/>
          </w:tcPr>
          <w:p w14:paraId="385E18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质控考核与评价（新建）</w:t>
            </w:r>
          </w:p>
        </w:tc>
        <w:tc>
          <w:tcPr>
            <w:tcW w:w="3739" w:type="pct"/>
            <w:tcBorders>
              <w:top w:val="single" w:color="000000" w:sz="4" w:space="0"/>
              <w:left w:val="single" w:color="000000" w:sz="4" w:space="0"/>
              <w:bottom w:val="single" w:color="000000" w:sz="4" w:space="0"/>
              <w:right w:val="single" w:color="000000" w:sz="4" w:space="0"/>
            </w:tcBorders>
            <w:noWrap w:val="0"/>
            <w:vAlign w:val="center"/>
          </w:tcPr>
          <w:p w14:paraId="68E775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根据收集的数据和监测结果，自动生成包含质控考核质控评价的简报，简报包括图表、趋势分析和关键指标的总结。</w:t>
            </w:r>
          </w:p>
        </w:tc>
      </w:tr>
      <w:tr w14:paraId="3CF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276" w:type="pct"/>
            <w:tcBorders>
              <w:top w:val="single" w:color="000000" w:sz="4" w:space="0"/>
              <w:left w:val="single" w:color="000000" w:sz="4" w:space="0"/>
              <w:bottom w:val="single" w:color="000000" w:sz="4" w:space="0"/>
              <w:right w:val="single" w:color="000000" w:sz="4" w:space="0"/>
            </w:tcBorders>
            <w:noWrap/>
            <w:vAlign w:val="center"/>
          </w:tcPr>
          <w:p w14:paraId="0B22D0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84" w:type="pct"/>
            <w:tcBorders>
              <w:top w:val="single" w:color="000000" w:sz="4" w:space="0"/>
              <w:left w:val="single" w:color="000000" w:sz="4" w:space="0"/>
              <w:bottom w:val="single" w:color="000000" w:sz="4" w:space="0"/>
              <w:right w:val="single" w:color="000000" w:sz="4" w:space="0"/>
            </w:tcBorders>
            <w:noWrap/>
            <w:vAlign w:val="center"/>
          </w:tcPr>
          <w:p w14:paraId="4A25F1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核心指标预警（新建）</w:t>
            </w:r>
          </w:p>
        </w:tc>
        <w:tc>
          <w:tcPr>
            <w:tcW w:w="3739" w:type="pct"/>
            <w:tcBorders>
              <w:top w:val="single" w:color="000000" w:sz="4" w:space="0"/>
              <w:left w:val="single" w:color="000000" w:sz="4" w:space="0"/>
              <w:bottom w:val="single" w:color="000000" w:sz="4" w:space="0"/>
              <w:right w:val="single" w:color="000000" w:sz="4" w:space="0"/>
            </w:tcBorders>
            <w:noWrap w:val="0"/>
            <w:vAlign w:val="center"/>
          </w:tcPr>
          <w:p w14:paraId="00E373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设备质控中的核心指标有异常的，进行预警，指标需包括分析，分析的指标包括：专业技术人员与资产占比、不良事件上报完成率、计量设备检测率、在用设备完好率、在用急救抢救及生命支持设备完好率、故障报修48小时完修率、医用材料线上采购率等。</w:t>
            </w:r>
          </w:p>
        </w:tc>
      </w:tr>
    </w:tbl>
    <w:p w14:paraId="42E2D9E9">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Calibri" w:hAnsi="Calibri"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医务</w:t>
      </w:r>
      <w:r>
        <w:rPr>
          <w:rFonts w:hint="eastAsia" w:ascii="Calibri" w:hAnsi="Calibri" w:eastAsia="黑体" w:cs="Times New Roman"/>
          <w:b/>
          <w:color w:val="auto"/>
          <w:kern w:val="2"/>
          <w:sz w:val="21"/>
          <w:szCs w:val="21"/>
          <w:lang w:val="en-US" w:eastAsia="zh-CN" w:bidi="ar-SA"/>
        </w:rPr>
        <w:t>社工质控</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
        <w:gridCol w:w="1383"/>
        <w:gridCol w:w="6394"/>
      </w:tblGrid>
      <w:tr w14:paraId="0C99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5" w:type="pct"/>
            <w:tcBorders>
              <w:top w:val="single" w:color="000000" w:sz="4" w:space="0"/>
              <w:left w:val="single" w:color="000000" w:sz="4" w:space="0"/>
              <w:bottom w:val="single" w:color="000000" w:sz="4" w:space="0"/>
              <w:right w:val="single" w:color="000000" w:sz="4" w:space="0"/>
            </w:tcBorders>
            <w:noWrap/>
            <w:vAlign w:val="center"/>
          </w:tcPr>
          <w:p w14:paraId="7F4992E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13" w:type="pct"/>
            <w:tcBorders>
              <w:top w:val="single" w:color="000000" w:sz="4" w:space="0"/>
              <w:left w:val="single" w:color="000000" w:sz="4" w:space="0"/>
              <w:bottom w:val="single" w:color="000000" w:sz="4" w:space="0"/>
              <w:right w:val="single" w:color="000000" w:sz="4" w:space="0"/>
            </w:tcBorders>
            <w:noWrap/>
            <w:vAlign w:val="center"/>
          </w:tcPr>
          <w:p w14:paraId="49C0BC5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23413BE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1809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3EEDD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62DE71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医务社工质控（新建）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11280A0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一、通知公告</w:t>
            </w:r>
          </w:p>
          <w:p w14:paraId="7A542B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发布通知公告</w:t>
            </w:r>
          </w:p>
          <w:p w14:paraId="26E382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支持督导自主编辑通知公告内容，支持定时发布</w:t>
            </w:r>
          </w:p>
          <w:p w14:paraId="0B237C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查看通知公告内容</w:t>
            </w:r>
          </w:p>
          <w:p w14:paraId="130824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支持社工查看通知公告</w:t>
            </w:r>
          </w:p>
        </w:tc>
      </w:tr>
      <w:tr w14:paraId="04EC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68562861">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36819">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15F0268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二、学习资料</w:t>
            </w:r>
          </w:p>
          <w:p w14:paraId="691827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上传学习资料</w:t>
            </w:r>
          </w:p>
          <w:p w14:paraId="661AF0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支持督导维护资料模块和上传资料</w:t>
            </w:r>
          </w:p>
          <w:p w14:paraId="3F3C5E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查看并下载学习资料</w:t>
            </w:r>
          </w:p>
          <w:p w14:paraId="22FC3A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支持社工自主下载资料进行学习</w:t>
            </w:r>
          </w:p>
        </w:tc>
      </w:tr>
      <w:tr w14:paraId="19D5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6E56B3C0">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AA6AA">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587EECB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三、质控督导</w:t>
            </w:r>
          </w:p>
          <w:p w14:paraId="734093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归档上传评价记录表</w:t>
            </w:r>
          </w:p>
          <w:p w14:paraId="491D5A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支持督导上传归档评价记录表，支持根据不同条件检索</w:t>
            </w:r>
          </w:p>
        </w:tc>
      </w:tr>
      <w:tr w14:paraId="614E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391DAF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6170E7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个案服务（新建）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2F6942E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一、个案服务登记</w:t>
            </w:r>
          </w:p>
          <w:p w14:paraId="626E4F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初始记录</w:t>
            </w:r>
          </w:p>
          <w:p w14:paraId="0132A6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支持对患者进行初始信息登记，包括姓名、身份证、诊断等</w:t>
            </w:r>
          </w:p>
          <w:p w14:paraId="3E9AF9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接案评估</w:t>
            </w:r>
          </w:p>
          <w:p w14:paraId="66EFCF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支持对患者情况进行评估，支持接案/拒绝接案</w:t>
            </w:r>
          </w:p>
          <w:p w14:paraId="24E153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服务评估记录</w:t>
            </w:r>
          </w:p>
          <w:p w14:paraId="75662C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支持在个案服务前对患者进行深度评估和记录</w:t>
            </w:r>
          </w:p>
          <w:p w14:paraId="7DA362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会谈记录</w:t>
            </w:r>
          </w:p>
          <w:p w14:paraId="338DFF59">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支持记录每次会谈内容，包括会谈内容和下一步计划等，</w:t>
            </w:r>
            <w:r>
              <w:rPr>
                <w:rFonts w:hint="eastAsia" w:ascii="宋体" w:hAnsi="宋体" w:eastAsia="宋体" w:cs="宋体"/>
                <w:color w:val="auto"/>
                <w:kern w:val="0"/>
                <w:sz w:val="21"/>
                <w:szCs w:val="21"/>
                <w:lang w:bidi="ar"/>
              </w:rPr>
              <w:t>支持展示服务记录信息，包含问题预估，问题/需求分析、干预目标、服务模式、服务理论等</w:t>
            </w:r>
            <w:r>
              <w:rPr>
                <w:rFonts w:hint="eastAsia" w:ascii="宋体" w:hAnsi="宋体" w:eastAsia="宋体" w:cs="宋体"/>
                <w:color w:val="auto"/>
                <w:kern w:val="0"/>
                <w:sz w:val="21"/>
                <w:szCs w:val="21"/>
                <w:lang w:eastAsia="zh-CN" w:bidi="ar"/>
              </w:rPr>
              <w:t>。</w:t>
            </w:r>
          </w:p>
          <w:p w14:paraId="565B1B76">
            <w:pPr>
              <w:rPr>
                <w:rFonts w:ascii="Calibri" w:hAnsi="Calibri" w:eastAsia="宋体" w:cs="Times New Roman"/>
                <w:color w:val="auto"/>
                <w:sz w:val="21"/>
                <w:szCs w:val="21"/>
              </w:rPr>
            </w:pPr>
          </w:p>
          <w:p w14:paraId="62AD7E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结案总结</w:t>
            </w:r>
          </w:p>
          <w:p w14:paraId="146C13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支持个案服务完成进行结案，支持进行结案总结内容填写</w:t>
            </w:r>
          </w:p>
        </w:tc>
      </w:tr>
      <w:tr w14:paraId="28E7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47422E10">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6D67C">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2ECAF71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二、个案服务评价</w:t>
            </w:r>
          </w:p>
          <w:p w14:paraId="5F6012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支持督导查看个案服务过程，支持督导填写意见</w:t>
            </w:r>
          </w:p>
        </w:tc>
      </w:tr>
      <w:tr w14:paraId="32F2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39B713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BEDF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转介管理（新建）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5CB6660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一、转介申请</w:t>
            </w:r>
          </w:p>
          <w:p w14:paraId="5641A0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院内转介</w:t>
            </w:r>
          </w:p>
          <w:p w14:paraId="229B10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支持社工发起院内转介并填写相关患者信息</w:t>
            </w:r>
          </w:p>
          <w:p w14:paraId="0ED6B3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跨院转介</w:t>
            </w:r>
          </w:p>
          <w:p w14:paraId="21779B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支持社工发起跨院转介并填写相关患者信息</w:t>
            </w:r>
          </w:p>
          <w:p w14:paraId="6F5CB2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HIS转介</w:t>
            </w:r>
          </w:p>
          <w:p w14:paraId="2BA8D1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支持医生/护士发起院内转介并填写相关患者信息</w:t>
            </w:r>
          </w:p>
          <w:p w14:paraId="3CF94D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健康浏览器对接</w:t>
            </w:r>
          </w:p>
          <w:p w14:paraId="0EC3C5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支持转入方调取健康浏览器查看患者情况</w:t>
            </w:r>
          </w:p>
        </w:tc>
      </w:tr>
      <w:tr w14:paraId="17A3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6522E63B">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8907E">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5D67FBB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二、转介答复</w:t>
            </w:r>
          </w:p>
          <w:p w14:paraId="103965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支持转入方对转介申请进行答复：接收/拒绝</w:t>
            </w:r>
          </w:p>
        </w:tc>
      </w:tr>
      <w:tr w14:paraId="429D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1B8346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6BE88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小组工作（新建）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27D05F3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一、小组活动登记</w:t>
            </w:r>
          </w:p>
          <w:p w14:paraId="1F57BC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活动计划书</w:t>
            </w:r>
          </w:p>
          <w:p w14:paraId="32809F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支持在活动开始前发起活动计划书并详细填写计划书内容</w:t>
            </w:r>
          </w:p>
          <w:p w14:paraId="2FADDE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每节活动记录</w:t>
            </w:r>
          </w:p>
          <w:p w14:paraId="79B1C8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支持记录每节活动具体情况</w:t>
            </w:r>
          </w:p>
          <w:p w14:paraId="4BC1FC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小组活动总结</w:t>
            </w:r>
          </w:p>
          <w:p w14:paraId="231736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支持活动完成后对小组活动进行总结</w:t>
            </w:r>
          </w:p>
        </w:tc>
      </w:tr>
      <w:tr w14:paraId="2758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6B49045A">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D2392E">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779E352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二、小组活动评价</w:t>
            </w:r>
          </w:p>
          <w:p w14:paraId="058A9B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支持督导查看小组活动详细情况，支持督导填写意见</w:t>
            </w:r>
          </w:p>
        </w:tc>
      </w:tr>
      <w:tr w14:paraId="6A53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01669D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6F569A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主题活动管理（新建）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215053B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一、活动记录</w:t>
            </w:r>
          </w:p>
          <w:p w14:paraId="3E40F8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支持针对社区活动等进行活动归档</w:t>
            </w:r>
          </w:p>
        </w:tc>
      </w:tr>
      <w:tr w14:paraId="6485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23E0D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F121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病房探访（新建）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49CCCA5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一、病房探访跟进记录</w:t>
            </w:r>
          </w:p>
          <w:p w14:paraId="6B25FE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支持对科室探访中需跟进患者进行详细记录</w:t>
            </w:r>
          </w:p>
        </w:tc>
      </w:tr>
      <w:tr w14:paraId="2A48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53C57B35">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0E2895">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206AED0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二、病房探访统计</w:t>
            </w:r>
          </w:p>
          <w:p w14:paraId="5DEBE9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支持对科室探访中无需跟进患者进行数据记录</w:t>
            </w:r>
          </w:p>
        </w:tc>
      </w:tr>
      <w:tr w14:paraId="5B88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646FEB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A5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驾驶舱（新建）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4D9505E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一、数据归集</w:t>
            </w:r>
          </w:p>
          <w:p w14:paraId="34FC88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支持对业务流程中产生的全部数据进行汇聚统计</w:t>
            </w:r>
          </w:p>
        </w:tc>
      </w:tr>
      <w:tr w14:paraId="17AF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3D806624">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5925CE">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6D60AB2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二、质控分析</w:t>
            </w:r>
          </w:p>
          <w:p w14:paraId="57F691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支持对核心监测指标进行质控分析</w:t>
            </w:r>
          </w:p>
        </w:tc>
      </w:tr>
      <w:tr w14:paraId="5D5D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70024433">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9BD2CB">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01C57A9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三、可视化展示</w:t>
            </w:r>
          </w:p>
          <w:p w14:paraId="363D36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支持通过多样化的图表形式展示数据内容</w:t>
            </w:r>
          </w:p>
        </w:tc>
      </w:tr>
      <w:tr w14:paraId="2157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14:paraId="1966CA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813" w:type="pct"/>
            <w:vMerge w:val="restart"/>
            <w:tcBorders>
              <w:top w:val="single" w:color="000000" w:sz="4" w:space="0"/>
              <w:left w:val="single" w:color="000000" w:sz="4" w:space="0"/>
              <w:bottom w:val="single" w:color="000000" w:sz="4" w:space="0"/>
              <w:right w:val="single" w:color="000000" w:sz="4" w:space="0"/>
            </w:tcBorders>
            <w:noWrap w:val="0"/>
            <w:vAlign w:val="center"/>
          </w:tcPr>
          <w:p w14:paraId="16FBD8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智能化自动抓取（新建）</w:t>
            </w: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11FFB08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一、全量数据上传</w:t>
            </w:r>
          </w:p>
          <w:p w14:paraId="4AACA5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支持住院电子病历数据等上传至全民健康信息平台</w:t>
            </w:r>
          </w:p>
        </w:tc>
      </w:tr>
      <w:tr w14:paraId="04F3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42E39919">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41E538">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650797B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二、数据准备</w:t>
            </w:r>
          </w:p>
          <w:p w14:paraId="0AF803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支持样本数据抽取和构建训练数据集等</w:t>
            </w:r>
          </w:p>
        </w:tc>
      </w:tr>
      <w:tr w14:paraId="2461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2A44FB85">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A826B3">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1F0496F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三、模型训练及优化</w:t>
            </w:r>
          </w:p>
          <w:p w14:paraId="133C1A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支持切分训练集、验证集，训练优化模型</w:t>
            </w:r>
          </w:p>
        </w:tc>
      </w:tr>
      <w:tr w14:paraId="7942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17666876">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8339E">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364E1DE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四、预警患者推送</w:t>
            </w:r>
          </w:p>
          <w:p w14:paraId="04B918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支持将需进一步跟进患者信息推送至社工平台</w:t>
            </w:r>
          </w:p>
        </w:tc>
      </w:tr>
      <w:tr w14:paraId="504A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14:paraId="749C6718">
            <w:pPr>
              <w:jc w:val="center"/>
              <w:rPr>
                <w:rFonts w:hint="eastAsia" w:ascii="宋体" w:hAnsi="宋体" w:eastAsia="宋体" w:cs="宋体"/>
                <w:i w:val="0"/>
                <w:iCs w:val="0"/>
                <w:color w:val="auto"/>
                <w:sz w:val="21"/>
                <w:szCs w:val="21"/>
                <w:u w:val="none"/>
              </w:rPr>
            </w:pPr>
          </w:p>
        </w:tc>
        <w:tc>
          <w:tcPr>
            <w:tcW w:w="8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9B25DB">
            <w:pPr>
              <w:jc w:val="center"/>
              <w:rPr>
                <w:rFonts w:hint="eastAsia" w:ascii="宋体" w:hAnsi="宋体" w:eastAsia="宋体" w:cs="宋体"/>
                <w:i w:val="0"/>
                <w:iCs w:val="0"/>
                <w:color w:val="auto"/>
                <w:sz w:val="21"/>
                <w:szCs w:val="21"/>
                <w:u w:val="none"/>
              </w:rPr>
            </w:pPr>
          </w:p>
        </w:tc>
        <w:tc>
          <w:tcPr>
            <w:tcW w:w="3760" w:type="pct"/>
            <w:tcBorders>
              <w:top w:val="single" w:color="000000" w:sz="4" w:space="0"/>
              <w:left w:val="single" w:color="000000" w:sz="4" w:space="0"/>
              <w:bottom w:val="single" w:color="000000" w:sz="4" w:space="0"/>
              <w:right w:val="single" w:color="000000" w:sz="4" w:space="0"/>
            </w:tcBorders>
            <w:noWrap w:val="0"/>
            <w:vAlign w:val="center"/>
          </w:tcPr>
          <w:p w14:paraId="12B0109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五、社工介入处理</w:t>
            </w:r>
          </w:p>
          <w:p w14:paraId="624198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支持社工查看需跟进患者情况和记录登记</w:t>
            </w:r>
          </w:p>
        </w:tc>
      </w:tr>
    </w:tbl>
    <w:p w14:paraId="301B0198">
      <w:pPr>
        <w:rPr>
          <w:rFonts w:ascii="Calibri" w:hAnsi="Calibri" w:eastAsia="宋体" w:cs="Times New Roman"/>
          <w:color w:val="auto"/>
          <w:sz w:val="21"/>
          <w:szCs w:val="21"/>
        </w:rPr>
      </w:pPr>
    </w:p>
    <w:p w14:paraId="51E51682">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Calibri" w:hAnsi="Calibri" w:eastAsia="黑体" w:cs="Times New Roman"/>
          <w:b/>
          <w:color w:val="auto"/>
          <w:kern w:val="2"/>
          <w:sz w:val="21"/>
          <w:szCs w:val="21"/>
          <w:lang w:val="en-US" w:eastAsia="zh-CN" w:bidi="ar-SA"/>
        </w:rPr>
      </w:pPr>
      <w:r>
        <w:rPr>
          <w:rFonts w:hint="eastAsia" w:ascii="Calibri" w:hAnsi="Calibri" w:eastAsia="黑体" w:cs="Times New Roman"/>
          <w:b/>
          <w:color w:val="auto"/>
          <w:kern w:val="2"/>
          <w:sz w:val="21"/>
          <w:szCs w:val="21"/>
          <w:lang w:val="en-US" w:eastAsia="zh-CN" w:bidi="ar-SA"/>
        </w:rPr>
        <w:t>体检质控</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3"/>
        <w:gridCol w:w="1427"/>
        <w:gridCol w:w="6380"/>
      </w:tblGrid>
      <w:tr w14:paraId="033A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59BD121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839" w:type="pct"/>
            <w:tcBorders>
              <w:top w:val="single" w:color="000000" w:sz="4" w:space="0"/>
              <w:left w:val="single" w:color="000000" w:sz="4" w:space="0"/>
              <w:bottom w:val="single" w:color="000000" w:sz="4" w:space="0"/>
              <w:right w:val="single" w:color="000000" w:sz="4" w:space="0"/>
            </w:tcBorders>
            <w:noWrap/>
            <w:vAlign w:val="center"/>
          </w:tcPr>
          <w:p w14:paraId="2F112A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3752" w:type="pct"/>
            <w:tcBorders>
              <w:top w:val="single" w:color="000000" w:sz="4" w:space="0"/>
              <w:left w:val="single" w:color="000000" w:sz="4" w:space="0"/>
              <w:bottom w:val="single" w:color="000000" w:sz="4" w:space="0"/>
              <w:right w:val="single" w:color="000000" w:sz="4" w:space="0"/>
            </w:tcBorders>
            <w:noWrap/>
            <w:vAlign w:val="center"/>
          </w:tcPr>
          <w:p w14:paraId="0D9CB7F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61A1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06EFF8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472E5B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数据规范标准设置（改造）</w:t>
            </w: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7B6553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数据规范标准设置包括项目、指标、值类型、是否必填、等内容进行健康体检相关规范标准数据的设置</w:t>
            </w:r>
          </w:p>
        </w:tc>
      </w:tr>
      <w:tr w14:paraId="6129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6478FF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4564C2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总检数据上传（改造）</w:t>
            </w: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53BAD5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支持对相应的健康体检人员进行总检数据上传</w:t>
            </w:r>
          </w:p>
        </w:tc>
      </w:tr>
      <w:tr w14:paraId="69F7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408" w:type="pct"/>
            <w:tcBorders>
              <w:top w:val="single" w:color="000000" w:sz="4" w:space="0"/>
              <w:left w:val="single" w:color="000000" w:sz="4" w:space="0"/>
              <w:bottom w:val="single" w:color="000000" w:sz="4" w:space="0"/>
              <w:right w:val="single" w:color="000000" w:sz="4" w:space="0"/>
            </w:tcBorders>
            <w:noWrap/>
            <w:vAlign w:val="center"/>
          </w:tcPr>
          <w:p w14:paraId="17842B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14:paraId="4064C8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健康体检数据上传（改造）</w:t>
            </w: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519D61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支持对健康体检数据进行数据上传</w:t>
            </w:r>
          </w:p>
        </w:tc>
      </w:tr>
      <w:tr w14:paraId="1052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408" w:type="pct"/>
            <w:vMerge w:val="restart"/>
            <w:tcBorders>
              <w:top w:val="single" w:color="000000" w:sz="4" w:space="0"/>
              <w:left w:val="single" w:color="000000" w:sz="4" w:space="0"/>
              <w:bottom w:val="single" w:color="000000" w:sz="4" w:space="0"/>
              <w:right w:val="single" w:color="000000" w:sz="4" w:space="0"/>
            </w:tcBorders>
            <w:noWrap/>
            <w:vAlign w:val="center"/>
          </w:tcPr>
          <w:p w14:paraId="21C63D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14:paraId="24A0C7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检前质控（新建）</w:t>
            </w: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7E975B8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一、体检质控规则模型升级</w:t>
            </w:r>
          </w:p>
          <w:p w14:paraId="68BB00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支持根据浙江省健康体检规范要求，升级建立健康体检质控规则库，并提供自定义配置功能进行个性化质控管理</w:t>
            </w:r>
          </w:p>
          <w:p w14:paraId="010774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支持个人基本信息校验规则配置</w:t>
            </w:r>
          </w:p>
          <w:p w14:paraId="245AEF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支持一般状况信息校验规则配置</w:t>
            </w:r>
          </w:p>
          <w:p w14:paraId="1A82D4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支持生活方式信息校验规则配置</w:t>
            </w:r>
          </w:p>
          <w:p w14:paraId="2DA6CD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支持脏器功能信息校验规则配置</w:t>
            </w:r>
          </w:p>
          <w:p w14:paraId="59435A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支持查体信息校验规则配置</w:t>
            </w:r>
          </w:p>
          <w:p w14:paraId="3BBE13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支持辅助检查信息校验规则配置</w:t>
            </w:r>
          </w:p>
          <w:p w14:paraId="40B368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支持现存主要健康问题信息校验规则配置</w:t>
            </w:r>
          </w:p>
          <w:p w14:paraId="6F5CC7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支持住院治疗情况校验规则配置</w:t>
            </w:r>
          </w:p>
          <w:p w14:paraId="6CEFC7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支持主要用药情况校验规则配置</w:t>
            </w:r>
          </w:p>
          <w:p w14:paraId="39C1B6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支持非免疫规划预防接种史信息校验规则配置</w:t>
            </w:r>
          </w:p>
          <w:p w14:paraId="56A173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支持健康评价信息校验规则配置</w:t>
            </w:r>
          </w:p>
          <w:p w14:paraId="6CD8EF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支持健康指导信息校验规则配置</w:t>
            </w:r>
          </w:p>
          <w:p w14:paraId="362306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支持危险因素控制信息校验规则配置</w:t>
            </w:r>
          </w:p>
        </w:tc>
      </w:tr>
      <w:tr w14:paraId="28EC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08" w:type="pct"/>
            <w:vMerge w:val="restart"/>
            <w:tcBorders>
              <w:top w:val="single" w:color="000000" w:sz="4" w:space="0"/>
              <w:left w:val="single" w:color="000000" w:sz="4" w:space="0"/>
              <w:bottom w:val="single" w:color="000000" w:sz="4" w:space="0"/>
              <w:right w:val="single" w:color="000000" w:sz="4" w:space="0"/>
            </w:tcBorders>
            <w:noWrap/>
            <w:vAlign w:val="center"/>
          </w:tcPr>
          <w:p w14:paraId="757679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14:paraId="5A375E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检中质控（新建）</w:t>
            </w: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26DCB2C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一、体检过程数据质控</w:t>
            </w:r>
          </w:p>
          <w:p w14:paraId="16659E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支持对体检数据输入过程中的数据进行自校验，如值域范围、输入字符长度、输入字符类型等</w:t>
            </w:r>
          </w:p>
          <w:p w14:paraId="33137A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支持对漏缺项进行自检排查</w:t>
            </w:r>
          </w:p>
          <w:p w14:paraId="4A0913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根据规范设置值域范围，若指标结果不在值域范围内，则具有异常数据警示以作提醒</w:t>
            </w:r>
          </w:p>
          <w:p w14:paraId="1E5543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系统对健康指导/诊断进行风险防控验证，判断是否符合规范</w:t>
            </w:r>
          </w:p>
        </w:tc>
      </w:tr>
      <w:tr w14:paraId="1048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08" w:type="pct"/>
            <w:vMerge w:val="continue"/>
            <w:tcBorders>
              <w:top w:val="single" w:color="000000" w:sz="4" w:space="0"/>
              <w:left w:val="single" w:color="000000" w:sz="4" w:space="0"/>
              <w:bottom w:val="single" w:color="000000" w:sz="4" w:space="0"/>
              <w:right w:val="single" w:color="000000" w:sz="4" w:space="0"/>
            </w:tcBorders>
            <w:noWrap/>
            <w:vAlign w:val="center"/>
          </w:tcPr>
          <w:p w14:paraId="58901B8D">
            <w:pPr>
              <w:jc w:val="center"/>
              <w:rPr>
                <w:rFonts w:hint="eastAsia" w:ascii="宋体" w:hAnsi="宋体" w:eastAsia="宋体" w:cs="宋体"/>
                <w:i w:val="0"/>
                <w:iCs w:val="0"/>
                <w:color w:val="auto"/>
                <w:sz w:val="21"/>
                <w:szCs w:val="21"/>
                <w:u w:val="none"/>
              </w:rPr>
            </w:pP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90A4D">
            <w:pPr>
              <w:jc w:val="center"/>
              <w:rPr>
                <w:rFonts w:hint="eastAsia" w:ascii="宋体" w:hAnsi="宋体" w:eastAsia="宋体" w:cs="宋体"/>
                <w:i w:val="0"/>
                <w:iCs w:val="0"/>
                <w:color w:val="auto"/>
                <w:sz w:val="21"/>
                <w:szCs w:val="21"/>
                <w:u w:val="none"/>
              </w:rPr>
            </w:pP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1CBD16C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二、总检质控</w:t>
            </w:r>
          </w:p>
          <w:p w14:paraId="0AD9FC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通过预设的质控规则在总检时调用质控引擎对体检结果数据进行全面、细致的检查和审核，对体检结果中的各个指标进行值域校验</w:t>
            </w:r>
          </w:p>
          <w:p w14:paraId="1876D4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支持详细列出该人员的警告类型及具体的修改提示内容，使得医生能够快速定位问题所在</w:t>
            </w:r>
          </w:p>
          <w:p w14:paraId="14AF7C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在质控结果根据相应提示修改完成并提交后，系统可重新对该人员的总检结果进行自检复核</w:t>
            </w:r>
          </w:p>
        </w:tc>
      </w:tr>
      <w:tr w14:paraId="50CF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408" w:type="pct"/>
            <w:vMerge w:val="restart"/>
            <w:tcBorders>
              <w:top w:val="single" w:color="000000" w:sz="4" w:space="0"/>
              <w:left w:val="single" w:color="000000" w:sz="4" w:space="0"/>
              <w:bottom w:val="single" w:color="000000" w:sz="4" w:space="0"/>
              <w:right w:val="single" w:color="000000" w:sz="4" w:space="0"/>
            </w:tcBorders>
            <w:noWrap/>
            <w:vAlign w:val="center"/>
          </w:tcPr>
          <w:p w14:paraId="03C8AD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839" w:type="pct"/>
            <w:vMerge w:val="restart"/>
            <w:tcBorders>
              <w:top w:val="single" w:color="000000" w:sz="4" w:space="0"/>
              <w:left w:val="single" w:color="000000" w:sz="4" w:space="0"/>
              <w:bottom w:val="single" w:color="000000" w:sz="4" w:space="0"/>
              <w:right w:val="single" w:color="000000" w:sz="4" w:space="0"/>
            </w:tcBorders>
            <w:noWrap w:val="0"/>
            <w:vAlign w:val="center"/>
          </w:tcPr>
          <w:p w14:paraId="79A85A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检后质控（新建）</w:t>
            </w: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62BAC12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一、检后区域批量质控</w:t>
            </w:r>
          </w:p>
          <w:p w14:paraId="016111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单家医疗机构可定时发起批量质控，同时也支持对区域内各医疗机构进行大规模批量质控</w:t>
            </w:r>
          </w:p>
          <w:p w14:paraId="51A27F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完成批量质控后，系统自动汇集数据，生成质控验证统计报表，报表包含了整体的质控结果，并详细列出了该医疗机构在质控任务中发现的具体问题，可快速定位跳转</w:t>
            </w:r>
          </w:p>
          <w:p w14:paraId="724851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可查看大规模批量质控结果详情，对于质控不通过的人员，系统提供了深入查看的功能，了解不通过的具体原因</w:t>
            </w:r>
          </w:p>
          <w:p w14:paraId="4B113B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可通过时间、姓名、体检号、机构号、套餐、体检类型和年龄对某条质控任务详情进行查询</w:t>
            </w:r>
          </w:p>
        </w:tc>
      </w:tr>
      <w:tr w14:paraId="2A8D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08" w:type="pct"/>
            <w:vMerge w:val="continue"/>
            <w:tcBorders>
              <w:top w:val="single" w:color="000000" w:sz="4" w:space="0"/>
              <w:left w:val="single" w:color="000000" w:sz="4" w:space="0"/>
              <w:bottom w:val="single" w:color="000000" w:sz="4" w:space="0"/>
              <w:right w:val="single" w:color="000000" w:sz="4" w:space="0"/>
            </w:tcBorders>
            <w:noWrap/>
            <w:vAlign w:val="center"/>
          </w:tcPr>
          <w:p w14:paraId="602A1C2A">
            <w:pPr>
              <w:jc w:val="center"/>
              <w:rPr>
                <w:rFonts w:hint="eastAsia" w:ascii="宋体" w:hAnsi="宋体" w:eastAsia="宋体" w:cs="宋体"/>
                <w:i w:val="0"/>
                <w:iCs w:val="0"/>
                <w:color w:val="auto"/>
                <w:sz w:val="21"/>
                <w:szCs w:val="21"/>
                <w:u w:val="none"/>
              </w:rPr>
            </w:pPr>
          </w:p>
        </w:tc>
        <w:tc>
          <w:tcPr>
            <w:tcW w:w="8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E4742B">
            <w:pPr>
              <w:jc w:val="center"/>
              <w:rPr>
                <w:rFonts w:hint="eastAsia" w:ascii="宋体" w:hAnsi="宋体" w:eastAsia="宋体" w:cs="宋体"/>
                <w:i w:val="0"/>
                <w:iCs w:val="0"/>
                <w:color w:val="auto"/>
                <w:sz w:val="21"/>
                <w:szCs w:val="21"/>
                <w:u w:val="none"/>
              </w:rPr>
            </w:pPr>
          </w:p>
        </w:tc>
        <w:tc>
          <w:tcPr>
            <w:tcW w:w="3752" w:type="pct"/>
            <w:tcBorders>
              <w:top w:val="single" w:color="000000" w:sz="4" w:space="0"/>
              <w:left w:val="single" w:color="000000" w:sz="4" w:space="0"/>
              <w:bottom w:val="single" w:color="000000" w:sz="4" w:space="0"/>
              <w:right w:val="single" w:color="000000" w:sz="4" w:space="0"/>
            </w:tcBorders>
            <w:noWrap w:val="0"/>
            <w:vAlign w:val="center"/>
          </w:tcPr>
          <w:p w14:paraId="7BD62EE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二、质控验证整改</w:t>
            </w:r>
          </w:p>
          <w:p w14:paraId="686244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支持全局校验体检人员的质控情况，包含警告级别、警告类型、提示内容、质控日期，医生可根据质控详情提示的内容及要求进行修改</w:t>
            </w:r>
          </w:p>
          <w:p w14:paraId="415F3B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系统具有多个筛选条件，如时间段、检查编号、警告类型、警告级别、体检类型等，可查找某个时间段内人员的质控情况</w:t>
            </w:r>
          </w:p>
        </w:tc>
      </w:tr>
    </w:tbl>
    <w:p w14:paraId="773A017C">
      <w:pPr>
        <w:rPr>
          <w:rFonts w:ascii="Calibri" w:hAnsi="Calibri" w:eastAsia="宋体" w:cs="Times New Roman"/>
          <w:color w:val="auto"/>
          <w:sz w:val="21"/>
          <w:szCs w:val="21"/>
        </w:rPr>
      </w:pPr>
    </w:p>
    <w:p w14:paraId="2374797E">
      <w:pPr>
        <w:keepNext/>
        <w:keepLines/>
        <w:widowControl w:val="0"/>
        <w:numPr>
          <w:ilvl w:val="5"/>
          <w:numId w:val="2"/>
        </w:numPr>
        <w:bidi w:val="0"/>
        <w:spacing w:before="240" w:beforeLines="0" w:beforeAutospacing="0" w:after="64" w:afterLines="0" w:afterAutospacing="0" w:line="317" w:lineRule="auto"/>
        <w:ind w:left="1151" w:hanging="1151"/>
        <w:jc w:val="both"/>
        <w:outlineLvl w:val="5"/>
        <w:rPr>
          <w:rFonts w:ascii="Calibri" w:hAnsi="Calibri"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透析</w:t>
      </w:r>
      <w:r>
        <w:rPr>
          <w:rFonts w:hint="eastAsia" w:ascii="Calibri" w:hAnsi="Calibri" w:eastAsia="黑体" w:cs="Times New Roman"/>
          <w:b/>
          <w:color w:val="auto"/>
          <w:kern w:val="2"/>
          <w:sz w:val="21"/>
          <w:szCs w:val="21"/>
          <w:lang w:val="en-US" w:eastAsia="zh-CN" w:bidi="ar-SA"/>
        </w:rPr>
        <w:t>质控</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1190"/>
        <w:gridCol w:w="6620"/>
      </w:tblGrid>
      <w:tr w14:paraId="2ACE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14:paraId="147A16C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471EF99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6F3E320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3781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406" w:type="pct"/>
            <w:vMerge w:val="restart"/>
            <w:tcBorders>
              <w:top w:val="single" w:color="000000" w:sz="4" w:space="0"/>
              <w:left w:val="single" w:color="000000" w:sz="4" w:space="0"/>
              <w:bottom w:val="single" w:color="000000" w:sz="4" w:space="0"/>
              <w:right w:val="single" w:color="000000" w:sz="4" w:space="0"/>
            </w:tcBorders>
            <w:noWrap w:val="0"/>
            <w:vAlign w:val="center"/>
          </w:tcPr>
          <w:p w14:paraId="64C8D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1FAE2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透析质控统计（新建）</w:t>
            </w: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433F381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一、患者基本信息统计</w:t>
            </w:r>
          </w:p>
          <w:p w14:paraId="67F666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实现患者基本信息的数据采集和统计，统计的数据包括姓名，性别，年龄，户籍（本地、外地、常驻），医保，首次透析日期，结束透析日期，透析龄，转归等。</w:t>
            </w:r>
          </w:p>
        </w:tc>
      </w:tr>
      <w:tr w14:paraId="774A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1F0425">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AC03D1">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2E2598C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二、诊断统计</w:t>
            </w:r>
          </w:p>
          <w:p w14:paraId="681DB5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实现诊断信息的数据采集和统计，统计的数据包括原发病诊断，合并症诊断，糖尿病诊断，死亡原因分析等。</w:t>
            </w:r>
          </w:p>
        </w:tc>
      </w:tr>
      <w:tr w14:paraId="036C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B3E02C">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1CEC4">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361F4D2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三、传染病统计</w:t>
            </w:r>
          </w:p>
          <w:p w14:paraId="589408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实现传染病信息的数据采集和统计，统计的数据包括乙肝、丙肝、梅毒、HIV、结核等。</w:t>
            </w:r>
          </w:p>
        </w:tc>
      </w:tr>
      <w:tr w14:paraId="7AAB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794437">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FBC5F6">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432F315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四、透析方案统计</w:t>
            </w:r>
          </w:p>
          <w:p w14:paraId="5A2989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实现透析方案信息的数据采集和统计，统计的数据包括高通量透析、低通量透析、HDF、HD+HP、CRRT；每周透析频率；每次透析时间；（腹透方案统计）等。</w:t>
            </w:r>
          </w:p>
        </w:tc>
      </w:tr>
      <w:tr w14:paraId="4027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73039">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CA66A0">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2A7E902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五、关键治疗药物统计</w:t>
            </w:r>
          </w:p>
          <w:p w14:paraId="5C0466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实现关键治疗药物信息的数据采集和统计，统计的数据包括每个患者促红细胞生成素、罗莎司他使用量，降压药使用量；（腹透液使用统计）。</w:t>
            </w:r>
          </w:p>
        </w:tc>
      </w:tr>
      <w:tr w14:paraId="3A97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F312E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1A93CC">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07AE66C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六、化验检查完整性统计</w:t>
            </w:r>
          </w:p>
          <w:p w14:paraId="513E2E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实现化验检查完整性信息的数据采集和统计，统计的数据包括血色素、白蛋白、前白蛋白、PTH、血钾、血钙、血磷、KT/V、URR、血清铁蛋白、转铁蛋白饱和度、CRP、β2 微球蛋白、心电图、心脏彩超、胸片定期检查的完成率；（腹膜平衡试验）。</w:t>
            </w:r>
          </w:p>
        </w:tc>
      </w:tr>
      <w:tr w14:paraId="6CD1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94574E">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D30016">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328FDC5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七、关键质量指标统计</w:t>
            </w:r>
          </w:p>
          <w:p w14:paraId="0B71BF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实现关键质量指标统计信息的数据采集和统计，统计的数据包括血色素、白蛋白、前白蛋白、PTH、血钾、血钙、血磷、KT/V、URR、血清铁蛋白、转铁蛋白饱和度、CRP、β2 微球蛋白、（血透血管通路类型、透析间期体重增长率、高血压控制率；）（腹透年退出率，腹膜炎发生率）。</w:t>
            </w:r>
          </w:p>
        </w:tc>
      </w:tr>
      <w:tr w14:paraId="1D8A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4B0975">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98F9F5">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6A88779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八、反渗水及透析液细菌培养及内毒素统计</w:t>
            </w:r>
          </w:p>
          <w:p w14:paraId="296B98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实现反渗水及透析液细菌培养及内毒素统计信息的数据采集和统计，统计的数据包括：</w:t>
            </w:r>
          </w:p>
          <w:p w14:paraId="26DAFB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细菌培养＞100CFU/ml 预警;</w:t>
            </w:r>
          </w:p>
          <w:p w14:paraId="18B4E8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内毒素＞0.25EU/ml 预警。</w:t>
            </w:r>
          </w:p>
        </w:tc>
      </w:tr>
      <w:tr w14:paraId="6D7A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4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FDC47">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2E7843">
            <w:pPr>
              <w:jc w:val="center"/>
              <w:rPr>
                <w:rFonts w:hint="eastAsia" w:ascii="宋体" w:hAnsi="宋体" w:eastAsia="宋体" w:cs="宋体"/>
                <w:i w:val="0"/>
                <w:iCs w:val="0"/>
                <w:color w:val="auto"/>
                <w:sz w:val="21"/>
                <w:szCs w:val="21"/>
                <w:u w:val="none"/>
              </w:rPr>
            </w:pP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32705ED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九、不良事件统计</w:t>
            </w:r>
          </w:p>
          <w:p w14:paraId="6F5ABE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实现不良事件统计信息的数据采集和统计，用于跟踪和记录透析过程中发生的不良事件，如透析器故障、透析相关感染、患者透析中低血压等。</w:t>
            </w:r>
          </w:p>
        </w:tc>
      </w:tr>
      <w:tr w14:paraId="402F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14:paraId="1DBBF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1AE567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质控考核评价（新建）</w:t>
            </w: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543A08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根据收集的数据和监测结果，自动生成包含质控考核质控评价的简报，简报包括图表、趋势分析和关键指标的总结。</w:t>
            </w:r>
          </w:p>
        </w:tc>
      </w:tr>
      <w:tr w14:paraId="0069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14:paraId="3FD617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48D428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核心指标预警（新建）</w:t>
            </w: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386A58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针对血液透析业务涉及的患者基本信息、诊断、传染病、透析方案、关键治疗药物、化验检查完整性、关键质量指标、反渗水及透析液细菌培养及内毒素、不良事件等质控考核中的核心指标有异常的，进行预警。</w:t>
            </w:r>
          </w:p>
        </w:tc>
      </w:tr>
      <w:tr w14:paraId="5361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6" w:type="pct"/>
            <w:tcBorders>
              <w:top w:val="single" w:color="000000" w:sz="4" w:space="0"/>
              <w:left w:val="single" w:color="000000" w:sz="4" w:space="0"/>
              <w:bottom w:val="single" w:color="000000" w:sz="4" w:space="0"/>
              <w:right w:val="single" w:color="000000" w:sz="4" w:space="0"/>
            </w:tcBorders>
            <w:noWrap w:val="0"/>
            <w:vAlign w:val="center"/>
          </w:tcPr>
          <w:p w14:paraId="1167D5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2841B0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典型案例库（新建）</w:t>
            </w:r>
          </w:p>
        </w:tc>
        <w:tc>
          <w:tcPr>
            <w:tcW w:w="3892" w:type="pct"/>
            <w:tcBorders>
              <w:top w:val="single" w:color="000000" w:sz="4" w:space="0"/>
              <w:left w:val="single" w:color="000000" w:sz="4" w:space="0"/>
              <w:bottom w:val="single" w:color="000000" w:sz="4" w:space="0"/>
              <w:right w:val="single" w:color="000000" w:sz="4" w:space="0"/>
            </w:tcBorders>
            <w:noWrap w:val="0"/>
            <w:vAlign w:val="center"/>
          </w:tcPr>
          <w:p w14:paraId="48C7BE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建立一个包含各类透析质控异常的案例库，供相关人员学习和参考，以提高服务质量。</w:t>
            </w:r>
          </w:p>
        </w:tc>
      </w:tr>
    </w:tbl>
    <w:p w14:paraId="22EB3526">
      <w:pPr>
        <w:rPr>
          <w:rFonts w:ascii="Calibri" w:hAnsi="Calibri" w:eastAsia="宋体" w:cs="Times New Roman"/>
          <w:color w:val="auto"/>
          <w:sz w:val="21"/>
          <w:szCs w:val="21"/>
        </w:rPr>
      </w:pPr>
    </w:p>
    <w:p w14:paraId="688C45ED">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学科与科研管理平台</w:t>
      </w:r>
    </w:p>
    <w:tbl>
      <w:tblPr>
        <w:tblStyle w:val="13"/>
        <w:tblW w:w="5000" w:type="pct"/>
        <w:tblInd w:w="0" w:type="dxa"/>
        <w:tblLayout w:type="fixed"/>
        <w:tblCellMar>
          <w:top w:w="0" w:type="dxa"/>
          <w:left w:w="108" w:type="dxa"/>
          <w:bottom w:w="0" w:type="dxa"/>
          <w:right w:w="108" w:type="dxa"/>
        </w:tblCellMar>
      </w:tblPr>
      <w:tblGrid>
        <w:gridCol w:w="799"/>
        <w:gridCol w:w="1645"/>
        <w:gridCol w:w="6078"/>
      </w:tblGrid>
      <w:tr w14:paraId="08063A75">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6726182F">
            <w:pPr>
              <w:keepNext w:val="0"/>
              <w:keepLines w:val="0"/>
              <w:pageBreakBefore w:val="0"/>
              <w:widowControl/>
              <w:kinsoku/>
              <w:wordWrap/>
              <w:overflowPunct/>
              <w:topLinePunct w:val="0"/>
              <w:autoSpaceDE/>
              <w:autoSpaceDN/>
              <w:bidi w:val="0"/>
              <w:adjustRightInd w:val="0"/>
              <w:snapToGrid w:val="0"/>
              <w:spacing w:line="240" w:lineRule="auto"/>
              <w:ind w:left="720" w:hanging="72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553" w:type="dxa"/>
            <w:tcBorders>
              <w:top w:val="single" w:color="000000" w:sz="4" w:space="0"/>
              <w:left w:val="single" w:color="000000" w:sz="4" w:space="0"/>
              <w:bottom w:val="single" w:color="000000" w:sz="4" w:space="0"/>
              <w:right w:val="single" w:color="000000" w:sz="4" w:space="0"/>
            </w:tcBorders>
            <w:noWrap/>
            <w:vAlign w:val="center"/>
          </w:tcPr>
          <w:p w14:paraId="1E9F1306">
            <w:pPr>
              <w:keepNext w:val="0"/>
              <w:keepLines w:val="0"/>
              <w:pageBreakBefore w:val="0"/>
              <w:widowControl/>
              <w:kinsoku/>
              <w:wordWrap/>
              <w:overflowPunct/>
              <w:topLinePunct w:val="0"/>
              <w:autoSpaceDE/>
              <w:autoSpaceDN/>
              <w:bidi w:val="0"/>
              <w:adjustRightInd w:val="0"/>
              <w:snapToGrid w:val="0"/>
              <w:spacing w:line="240" w:lineRule="auto"/>
              <w:ind w:left="720" w:hanging="720"/>
              <w:jc w:val="center"/>
              <w:textAlignment w:val="center"/>
              <w:rPr>
                <w:rFonts w:hint="eastAsia" w:ascii="宋体" w:hAnsi="宋体" w:eastAsia="宋体" w:cs="宋体"/>
                <w:b/>
                <w:bCs/>
                <w:color w:val="auto"/>
                <w:sz w:val="21"/>
                <w:szCs w:val="21"/>
              </w:rPr>
            </w:pPr>
            <w:r>
              <w:rPr>
                <w:rFonts w:hint="eastAsia" w:ascii="宋体" w:hAnsi="宋体" w:eastAsia="宋体" w:cs="宋体"/>
                <w:b/>
                <w:bCs/>
                <w:i w:val="0"/>
                <w:iCs w:val="0"/>
                <w:color w:val="auto"/>
                <w:kern w:val="0"/>
                <w:sz w:val="21"/>
                <w:szCs w:val="21"/>
                <w:u w:val="none"/>
                <w:lang w:val="en-US" w:eastAsia="zh-CN" w:bidi="ar"/>
              </w:rPr>
              <w:t>模块</w:t>
            </w:r>
          </w:p>
        </w:tc>
        <w:tc>
          <w:tcPr>
            <w:tcW w:w="5736" w:type="dxa"/>
            <w:tcBorders>
              <w:top w:val="single" w:color="000000" w:sz="4" w:space="0"/>
              <w:left w:val="single" w:color="000000" w:sz="4" w:space="0"/>
              <w:bottom w:val="single" w:color="000000" w:sz="4" w:space="0"/>
              <w:right w:val="single" w:color="000000" w:sz="4" w:space="0"/>
            </w:tcBorders>
            <w:noWrap/>
            <w:vAlign w:val="center"/>
          </w:tcPr>
          <w:p w14:paraId="11915F03">
            <w:pPr>
              <w:keepNext w:val="0"/>
              <w:keepLines w:val="0"/>
              <w:pageBreakBefore w:val="0"/>
              <w:widowControl/>
              <w:kinsoku/>
              <w:wordWrap/>
              <w:overflowPunct/>
              <w:topLinePunct w:val="0"/>
              <w:autoSpaceDE/>
              <w:autoSpaceDN/>
              <w:bidi w:val="0"/>
              <w:adjustRightInd w:val="0"/>
              <w:snapToGrid w:val="0"/>
              <w:spacing w:line="240" w:lineRule="auto"/>
              <w:ind w:left="720" w:hanging="72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02726122">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388561C5">
            <w:pPr>
              <w:keepNext w:val="0"/>
              <w:keepLines w:val="0"/>
              <w:pageBreakBefore w:val="0"/>
              <w:widowControl/>
              <w:kinsoku/>
              <w:wordWrap/>
              <w:overflowPunct/>
              <w:topLinePunct w:val="0"/>
              <w:autoSpaceDE/>
              <w:autoSpaceDN/>
              <w:bidi w:val="0"/>
              <w:adjustRightInd w:val="0"/>
              <w:snapToGrid w:val="0"/>
              <w:spacing w:line="240" w:lineRule="auto"/>
              <w:ind w:left="720" w:hanging="72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553" w:type="dxa"/>
            <w:tcBorders>
              <w:top w:val="single" w:color="000000" w:sz="4" w:space="0"/>
              <w:left w:val="single" w:color="000000" w:sz="4" w:space="0"/>
              <w:bottom w:val="single" w:color="000000" w:sz="4" w:space="0"/>
              <w:right w:val="single" w:color="000000" w:sz="4" w:space="0"/>
            </w:tcBorders>
            <w:noWrap/>
            <w:vAlign w:val="center"/>
          </w:tcPr>
          <w:p w14:paraId="56204B63">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医学科技项目管理（新建）</w:t>
            </w: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1BF684DE">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科研项目管理针对区级项目提出项目申报、项目评审、项目立项、项目合同、项目中期、项目变更、项目经费使用、项目结题及项目申请延期、中止、项目验收专家库创建等进行全过程管理，提供项目查重服务。</w:t>
            </w:r>
          </w:p>
          <w:p w14:paraId="427E69E9">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针对市级、省部级、国家级等项目等纵向科研项目、横向项目实现科研项目主要是立项后管理，着重管理项目研究进程、经费使用、项目结题、成果申报、科技推广、档案入卷等过程管理。</w:t>
            </w:r>
          </w:p>
        </w:tc>
      </w:tr>
      <w:tr w14:paraId="413E7C05">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31C2BB00">
            <w:pPr>
              <w:keepNext w:val="0"/>
              <w:keepLines w:val="0"/>
              <w:pageBreakBefore w:val="0"/>
              <w:widowControl/>
              <w:kinsoku/>
              <w:wordWrap/>
              <w:overflowPunct/>
              <w:topLinePunct w:val="0"/>
              <w:autoSpaceDE/>
              <w:autoSpaceDN/>
              <w:bidi w:val="0"/>
              <w:adjustRightInd w:val="0"/>
              <w:snapToGrid w:val="0"/>
              <w:spacing w:line="240" w:lineRule="auto"/>
              <w:ind w:left="720" w:hanging="72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553" w:type="dxa"/>
            <w:tcBorders>
              <w:top w:val="single" w:color="000000" w:sz="4" w:space="0"/>
              <w:left w:val="single" w:color="000000" w:sz="4" w:space="0"/>
              <w:bottom w:val="single" w:color="000000" w:sz="4" w:space="0"/>
              <w:right w:val="single" w:color="000000" w:sz="4" w:space="0"/>
            </w:tcBorders>
            <w:noWrap/>
            <w:vAlign w:val="center"/>
          </w:tcPr>
          <w:p w14:paraId="0E3A9F7A">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医学重点学科管理（新建）</w:t>
            </w: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4E75CDF0">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医学重点学科管理针对区级重点主要是学科申报、学科评审、学科建设发布、学科合同、学科年度考核、学科变更、学科经费使用、学科验收考核等全过程管理，实现线上学科年度考核和验收。</w:t>
            </w:r>
          </w:p>
          <w:p w14:paraId="65C6E083">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针对省、市医学重点学科着重管理学科建设周期内医院政策支持、学科业务能力、学科团队内人才培养、科研成效及学科社会影响力、学科经费使用等管理。</w:t>
            </w:r>
          </w:p>
        </w:tc>
      </w:tr>
      <w:tr w14:paraId="7D048160">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5C7C1A50">
            <w:pPr>
              <w:keepNext w:val="0"/>
              <w:keepLines w:val="0"/>
              <w:pageBreakBefore w:val="0"/>
              <w:widowControl/>
              <w:kinsoku/>
              <w:wordWrap/>
              <w:overflowPunct/>
              <w:topLinePunct w:val="0"/>
              <w:autoSpaceDE/>
              <w:autoSpaceDN/>
              <w:bidi w:val="0"/>
              <w:adjustRightInd w:val="0"/>
              <w:snapToGrid w:val="0"/>
              <w:spacing w:line="240" w:lineRule="auto"/>
              <w:ind w:left="720" w:hanging="72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553" w:type="dxa"/>
            <w:tcBorders>
              <w:top w:val="single" w:color="000000" w:sz="4" w:space="0"/>
              <w:left w:val="single" w:color="000000" w:sz="4" w:space="0"/>
              <w:bottom w:val="single" w:color="000000" w:sz="4" w:space="0"/>
              <w:right w:val="single" w:color="000000" w:sz="4" w:space="0"/>
            </w:tcBorders>
            <w:noWrap/>
            <w:vAlign w:val="center"/>
          </w:tcPr>
          <w:p w14:paraId="638EBB14">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外出培训（进修）管理（新建）</w:t>
            </w: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7011154E">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外出培训（进修）管理主要实现医务人员外出年度进修计划上报，外出进修审批、统计管理，以及规培生的登记、统计管理等功能。</w:t>
            </w:r>
          </w:p>
        </w:tc>
      </w:tr>
      <w:tr w14:paraId="05F6FF91">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ign w:val="center"/>
          </w:tcPr>
          <w:p w14:paraId="6B4BF8EE">
            <w:pPr>
              <w:keepNext w:val="0"/>
              <w:keepLines w:val="0"/>
              <w:pageBreakBefore w:val="0"/>
              <w:widowControl/>
              <w:kinsoku/>
              <w:wordWrap/>
              <w:overflowPunct/>
              <w:topLinePunct w:val="0"/>
              <w:autoSpaceDE/>
              <w:autoSpaceDN/>
              <w:bidi w:val="0"/>
              <w:adjustRightInd w:val="0"/>
              <w:snapToGrid w:val="0"/>
              <w:spacing w:line="240" w:lineRule="auto"/>
              <w:ind w:left="720" w:hanging="72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1553" w:type="dxa"/>
            <w:tcBorders>
              <w:top w:val="single" w:color="000000" w:sz="4" w:space="0"/>
              <w:left w:val="single" w:color="000000" w:sz="4" w:space="0"/>
              <w:bottom w:val="single" w:color="000000" w:sz="4" w:space="0"/>
              <w:right w:val="single" w:color="000000" w:sz="4" w:space="0"/>
            </w:tcBorders>
            <w:noWrap/>
            <w:vAlign w:val="center"/>
          </w:tcPr>
          <w:p w14:paraId="31D3EF4E">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科研信息管理（新建）</w:t>
            </w:r>
          </w:p>
        </w:tc>
        <w:tc>
          <w:tcPr>
            <w:tcW w:w="5736" w:type="dxa"/>
            <w:tcBorders>
              <w:top w:val="single" w:color="000000" w:sz="4" w:space="0"/>
              <w:left w:val="single" w:color="000000" w:sz="4" w:space="0"/>
              <w:bottom w:val="single" w:color="000000" w:sz="4" w:space="0"/>
              <w:right w:val="single" w:color="000000" w:sz="4" w:space="0"/>
            </w:tcBorders>
            <w:noWrap w:val="0"/>
            <w:vAlign w:val="center"/>
          </w:tcPr>
          <w:p w14:paraId="4534C8F3">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实现年度科教奖励登记、科研成果、区及以上重点学科核心业务数据登记。科教奖励登记指课题项目、论文、专利等获奖；科研成果登记指科研项目、学术论文、专利、著作成果、主持/参与标准制定/专家共识、临床指南、学术任职、人才称号管理等科研成果登记；区及以上重点学科核心业务数据登记指DRGS病种（术种）排名、门诊人次、住院人次、三、四类手术等，最后汇总后能否根据学科或团队成员，汇总到重点学科，形成学科画像。</w:t>
            </w:r>
          </w:p>
          <w:p w14:paraId="46187D0A">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其他信息登记：获市级及以上、高校临床研究中心（所）相关信息登记；与国内外有学科或科研合作关系院校、研究（研）所相关信息登记：药物/器械开展情况登记等。</w:t>
            </w:r>
          </w:p>
        </w:tc>
      </w:tr>
    </w:tbl>
    <w:p w14:paraId="0587DA92">
      <w:pPr>
        <w:keepNext/>
        <w:keepLines/>
        <w:widowControl w:val="0"/>
        <w:numPr>
          <w:ilvl w:val="3"/>
          <w:numId w:val="2"/>
        </w:numPr>
        <w:bidi w:val="0"/>
        <w:spacing w:before="280" w:beforeLines="0" w:beforeAutospacing="0" w:after="290" w:afterLines="0" w:afterAutospacing="0" w:line="372" w:lineRule="auto"/>
        <w:ind w:left="864" w:hanging="864"/>
        <w:jc w:val="both"/>
        <w:outlineLvl w:val="3"/>
        <w:rPr>
          <w:rFonts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公共卫生管理</w:t>
      </w:r>
    </w:p>
    <w:p w14:paraId="44B0B657">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家庭医生管理</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1190"/>
        <w:gridCol w:w="6662"/>
      </w:tblGrid>
      <w:tr w14:paraId="74D6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 w:type="pct"/>
            <w:tcBorders>
              <w:top w:val="single" w:color="000000" w:sz="4" w:space="0"/>
              <w:left w:val="single" w:color="000000" w:sz="4" w:space="0"/>
              <w:bottom w:val="single" w:color="000000" w:sz="4" w:space="0"/>
              <w:right w:val="single" w:color="000000" w:sz="4" w:space="0"/>
            </w:tcBorders>
            <w:noWrap w:val="0"/>
            <w:vAlign w:val="center"/>
          </w:tcPr>
          <w:p w14:paraId="65553E0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3CEBAA4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模块</w:t>
            </w: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41F836D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53E5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14:paraId="22F8F8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B6AF9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医生端（新建）</w:t>
            </w: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341C79C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一、登录模块</w:t>
            </w:r>
          </w:p>
          <w:p w14:paraId="280EFB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1.子模块介绍</w:t>
            </w:r>
          </w:p>
          <w:p w14:paraId="21D14F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医生端支持登录管理、密码管理及注册管理，以满足医生对登录功能的需求</w:t>
            </w:r>
          </w:p>
          <w:p w14:paraId="12B81E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2.登录管理</w:t>
            </w:r>
          </w:p>
          <w:p w14:paraId="31066E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支持自行设置用户名、密码，用于后续登录使用</w:t>
            </w:r>
          </w:p>
          <w:p w14:paraId="2F9877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支持多种验证方式：1、用户名+密码；2、绑定手机号+验证码</w:t>
            </w:r>
          </w:p>
          <w:p w14:paraId="4644FA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支持系统进入时自动填入已保存密码</w:t>
            </w:r>
          </w:p>
          <w:p w14:paraId="188DDC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3.密码管理</w:t>
            </w:r>
          </w:p>
          <w:p w14:paraId="1B8664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支持系统通过身份验证后可重置密码</w:t>
            </w:r>
          </w:p>
          <w:p w14:paraId="42517E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4.注册管理</w:t>
            </w:r>
          </w:p>
          <w:p w14:paraId="08EC39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支持个人信息管理，包括用户名、密码、手机号码、机构名称、机构代码等</w:t>
            </w:r>
          </w:p>
        </w:tc>
      </w:tr>
      <w:tr w14:paraId="3C86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03F36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B2414">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5686D6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二、工作台模块</w:t>
            </w:r>
          </w:p>
          <w:p w14:paraId="2E067C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1.子模块介绍</w:t>
            </w:r>
          </w:p>
          <w:p w14:paraId="1A7432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工作台展示功能模块的快捷入口、实时动态展示、辖区数据概况、业务统计、工作助手、用户状态、工作计划、工作展示，满足医生查看各版块信息，了解区域详情的需求</w:t>
            </w:r>
          </w:p>
          <w:p w14:paraId="355D86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2.快捷入口</w:t>
            </w:r>
          </w:p>
          <w:p w14:paraId="32C514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首页支持显示医生端各业务模块快捷入口，各模块可根据使用频率实时排序</w:t>
            </w:r>
          </w:p>
          <w:p w14:paraId="2252B4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3.消息提示</w:t>
            </w:r>
          </w:p>
          <w:p w14:paraId="3644D4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支持显示业务的实时动态信息，包括登录、签约、开药等业务操作的提示</w:t>
            </w:r>
          </w:p>
          <w:p w14:paraId="7A5F18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4.辖区概况</w:t>
            </w:r>
          </w:p>
          <w:p w14:paraId="73EA64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支持展示辖区人口、签约、高血压、糖尿病等数据情况</w:t>
            </w:r>
          </w:p>
          <w:p w14:paraId="140C25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5.业务统计</w:t>
            </w:r>
          </w:p>
          <w:p w14:paraId="5D8F7A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支持展示医生各项业务工作量的统计</w:t>
            </w:r>
          </w:p>
          <w:p w14:paraId="2B84AF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6.工作助手</w:t>
            </w:r>
          </w:p>
          <w:p w14:paraId="37EC1D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智能问答：支持接入数字人形象，医生可通过与数字人进行智能对话或即时问答获得服务，帮助医生解决问题</w:t>
            </w:r>
          </w:p>
          <w:p w14:paraId="099044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数字分身：支持利用</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人工智能和数字化技术创建医生虚拟形象，模拟医生工作状态及流程</w:t>
            </w:r>
          </w:p>
          <w:p w14:paraId="36F0C7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智能引导：支持通过文字、线条、箭头等形式结合，按照步骤引导医生依次操作</w:t>
            </w:r>
          </w:p>
          <w:p w14:paraId="50F4E6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7.用户状态</w:t>
            </w:r>
          </w:p>
          <w:p w14:paraId="057B17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状态管理：平台支持显示3种状态，包括在线、离线、Ai上线，支持用户自定义编辑当前状态的名称、设定、图标等。                                                                                                              </w:t>
            </w:r>
          </w:p>
          <w:p w14:paraId="6A2DB945">
            <w:pPr>
              <w:keepNext w:val="0"/>
              <w:keepLines w:val="0"/>
              <w:pageBreakBefore w:val="0"/>
              <w:widowControl/>
              <w:numPr>
                <w:ilvl w:val="0"/>
                <w:numId w:val="27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在线：在线状态，医生可进行各项业务操作</w:t>
            </w:r>
          </w:p>
          <w:p w14:paraId="0F2D00E1">
            <w:pPr>
              <w:keepNext w:val="0"/>
              <w:keepLines w:val="0"/>
              <w:pageBreakBefore w:val="0"/>
              <w:widowControl/>
              <w:numPr>
                <w:ilvl w:val="0"/>
                <w:numId w:val="27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离线：离线状态，医生不可进行任何业务操作</w:t>
            </w:r>
          </w:p>
          <w:p w14:paraId="673EFA76">
            <w:pPr>
              <w:keepNext w:val="0"/>
              <w:keepLines w:val="0"/>
              <w:pageBreakBefore w:val="0"/>
              <w:widowControl/>
              <w:numPr>
                <w:ilvl w:val="0"/>
                <w:numId w:val="27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AI上线：AI上线状态，平台可调用数字分身服务，数字分身可模拟医生工作状态及流程，代替医生处理业务</w:t>
            </w:r>
          </w:p>
          <w:p w14:paraId="65C7BF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8.工作计划</w:t>
            </w:r>
          </w:p>
          <w:p w14:paraId="486718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工作计划支持显示本月医生待办事务清单，包括随访计划、体检计划、续签计划、评估计划清单等。</w:t>
            </w:r>
          </w:p>
          <w:p w14:paraId="236EFD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随访计划：</w:t>
            </w:r>
          </w:p>
          <w:p w14:paraId="3CE690BA">
            <w:pPr>
              <w:keepNext w:val="0"/>
              <w:keepLines w:val="0"/>
              <w:widowControl/>
              <w:numPr>
                <w:ilvl w:val="0"/>
                <w:numId w:val="277"/>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支持显示医生本月需要随访的人数、时间</w:t>
            </w:r>
          </w:p>
          <w:p w14:paraId="70D497D1">
            <w:pPr>
              <w:keepNext w:val="0"/>
              <w:keepLines w:val="0"/>
              <w:widowControl/>
              <w:numPr>
                <w:ilvl w:val="0"/>
                <w:numId w:val="277"/>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支持查看随访患者的详情信息</w:t>
            </w:r>
          </w:p>
          <w:p w14:paraId="16D6A9A1">
            <w:pPr>
              <w:keepNext w:val="0"/>
              <w:keepLines w:val="0"/>
              <w:widowControl/>
              <w:numPr>
                <w:ilvl w:val="0"/>
                <w:numId w:val="277"/>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支持医生在没有随访任务时查看居民端随访情况</w:t>
            </w:r>
          </w:p>
          <w:p w14:paraId="2289F8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体检计划：支持显示本月待体检居民人数、时间、体检项目等，支持查看详细的体检计划表</w:t>
            </w:r>
          </w:p>
          <w:p w14:paraId="44C0E1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续签计划：支持显示本月可续约人数、预计续约时间</w:t>
            </w:r>
          </w:p>
          <w:p w14:paraId="4BB667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评估计划：支持显示本月需要进行健康评估的人数、时间，可查看患者的历史评估结果</w:t>
            </w:r>
          </w:p>
          <w:p w14:paraId="7E3B5C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9.工作展示</w:t>
            </w:r>
          </w:p>
          <w:p w14:paraId="4F5B86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支持显示辖区家医工作量的统计情况</w:t>
            </w:r>
          </w:p>
          <w:p w14:paraId="1C561E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支持显示团队工作量的统计情况</w:t>
            </w:r>
          </w:p>
        </w:tc>
      </w:tr>
      <w:tr w14:paraId="4596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A738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2B2829">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28FF4CF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三、居民管理模块</w:t>
            </w:r>
          </w:p>
          <w:p w14:paraId="1EDAEE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1.子模块介绍</w:t>
            </w:r>
          </w:p>
          <w:p w14:paraId="37C91F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医生可管理居民签约信息，包括居民健康档案、眼健康档案、居民画像、健康积分、健康宣教等，满足医生对签约居民的管理需求</w:t>
            </w:r>
          </w:p>
          <w:p w14:paraId="4BDF0E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2.居民首页</w:t>
            </w:r>
          </w:p>
          <w:p w14:paraId="06EBE0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居民列表：支持显示签约居民的列表信息，包括姓名、性别、年龄、风险标签、签约情况等字段</w:t>
            </w:r>
          </w:p>
          <w:p w14:paraId="3BC079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列表查询：支持多种查询条件，包括所属区域（省/市/区）、所属机构、姓名、证件号码、联系方式、签约情况等条件</w:t>
            </w:r>
          </w:p>
          <w:p w14:paraId="650902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3.健康档案</w:t>
            </w:r>
          </w:p>
          <w:p w14:paraId="6427E1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支持调阅第三方平台接口，展示健康档案页面</w:t>
            </w:r>
          </w:p>
          <w:p w14:paraId="30F873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4.眼健康档案</w:t>
            </w:r>
          </w:p>
          <w:p w14:paraId="4868F5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支持对眼健康档案的新增、删除、修改、查看</w:t>
            </w:r>
          </w:p>
          <w:p w14:paraId="164C95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5.居民画像</w:t>
            </w:r>
          </w:p>
          <w:p w14:paraId="71B6C1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基本画像：支持显示居民的基本画像，包括个人基本信息、</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健康数据、</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生活方式、</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疾病风险评估等</w:t>
            </w:r>
          </w:p>
          <w:p w14:paraId="6B8BC7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健康画像：支持显示居民的健康画像，包括历史诊断、过敏史、风险健康因素等</w:t>
            </w:r>
          </w:p>
          <w:p w14:paraId="1A5D20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服务记录：支持显示居民被服务的记录，包括签约记录、服务包记录等</w:t>
            </w:r>
          </w:p>
          <w:p w14:paraId="7096DD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关系管理：支持关联患者亲友关系，医生可查看患者亲友信息。</w:t>
            </w:r>
          </w:p>
          <w:p w14:paraId="00AD0F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6.健康积分</w:t>
            </w:r>
          </w:p>
          <w:p w14:paraId="3EC9C2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积分展示：支持显示居民的健康总积分及健康状态等概况</w:t>
            </w:r>
          </w:p>
          <w:p w14:paraId="641D99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积分记录：支持显示居民的健康积分获取详情</w:t>
            </w:r>
          </w:p>
          <w:p w14:paraId="668457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积分兑换：支持显示居民的健康积分兑换详情</w:t>
            </w:r>
          </w:p>
          <w:p w14:paraId="1D618E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7.健康宣教</w:t>
            </w:r>
          </w:p>
          <w:p w14:paraId="473F33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宣教管理：支持医生对健康宣教内容进行新增、修改、删除、查看</w:t>
            </w:r>
          </w:p>
          <w:p w14:paraId="73C6DD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智能分发：支持系统根据居民的慢病情况、年龄、性别等不同情况进行智能化宣教内容推送</w:t>
            </w:r>
          </w:p>
          <w:p w14:paraId="0A5E6F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宣教评价：支持查看居民对健康宣教内容的评价与评分等</w:t>
            </w:r>
          </w:p>
        </w:tc>
      </w:tr>
      <w:tr w14:paraId="6433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0B564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5606CE">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2042E2D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四、移动处方模块</w:t>
            </w:r>
          </w:p>
          <w:p w14:paraId="41E239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1.子模块介绍</w:t>
            </w:r>
          </w:p>
          <w:p w14:paraId="1EFEC3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支持医生在医共体内跨院值班、跨院处方开药服务，系统自动识别患者所属医院、所在站点，自动同步药房数据、匹配医生权限，自动实现业务数据院内流转至聚合支付、自助发药、用药指导提醒</w:t>
            </w:r>
          </w:p>
          <w:p w14:paraId="0CDB21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2.首页</w:t>
            </w:r>
          </w:p>
          <w:p w14:paraId="7C4511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快速操作：支持移动处方模块的快捷入口，各模块可根据使用频率实时排序</w:t>
            </w:r>
          </w:p>
          <w:p w14:paraId="7A728B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消息提醒：支持展示该系统医生登录状态、终端状态及各项业务操作的实时动态，包括医生登录/退出事件，终端上线、业务等事件</w:t>
            </w:r>
          </w:p>
          <w:p w14:paraId="5F3E5A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区域概况：支持展示站点概况、服务概况、值班概况等数据</w:t>
            </w:r>
          </w:p>
          <w:p w14:paraId="292245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服务统计：支持展示全区或所属机构服务统计人次，可切换累计、本年、本月数据</w:t>
            </w:r>
          </w:p>
          <w:p w14:paraId="1673A6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3.接诊管理</w:t>
            </w:r>
          </w:p>
          <w:p w14:paraId="37A175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居民列表：支持显示智慧健康站来访居民的列表信息，包括姓名、性别、年龄、挂号时间、候诊时长、状态、机构简称、站点简称。</w:t>
            </w:r>
          </w:p>
          <w:p w14:paraId="369A23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接诊操作：支持医生对患者进行接诊操作，包括：开方、导入历史处方、续方设置等。</w:t>
            </w:r>
          </w:p>
          <w:p w14:paraId="48EA365E">
            <w:pPr>
              <w:keepNext w:val="0"/>
              <w:keepLines w:val="0"/>
              <w:pageBreakBefore w:val="0"/>
              <w:widowControl/>
              <w:numPr>
                <w:ilvl w:val="0"/>
                <w:numId w:val="27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开方：支持填写门诊病历，包括主诉、诊断、健康建议，支持选择药品，生成处方单</w:t>
            </w:r>
          </w:p>
          <w:p w14:paraId="587D7546">
            <w:pPr>
              <w:keepNext w:val="0"/>
              <w:keepLines w:val="0"/>
              <w:pageBreakBefore w:val="0"/>
              <w:widowControl/>
              <w:numPr>
                <w:ilvl w:val="0"/>
                <w:numId w:val="27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历史处方：支持查看历史处方或将历史处方导入至正在开的处方单，支持修改处方单</w:t>
            </w:r>
          </w:p>
          <w:p w14:paraId="49A00F1B">
            <w:pPr>
              <w:keepNext w:val="0"/>
              <w:keepLines w:val="0"/>
              <w:pageBreakBefore w:val="0"/>
              <w:widowControl/>
              <w:numPr>
                <w:ilvl w:val="0"/>
                <w:numId w:val="27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续方设置：支持设置续方时间、续方次数</w:t>
            </w:r>
          </w:p>
          <w:p w14:paraId="361C57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体征信息：支持医生接诊时，可查看患者的健康画像，包括身高、体重、血氧饱和度、收缩压、舒张压、体温、BMI、腰围、臀围、随机血糖等体征数据</w:t>
            </w:r>
          </w:p>
          <w:p w14:paraId="6760DD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远程协助：支持医生端和E站端视频连线时进行远程操作协助，能实现患者在知情并同意前提下仅需“插卡或扫码”动作配合即可完成“挂号”、“结算”、“打印凭证”的按钮操作和服务流程</w:t>
            </w:r>
          </w:p>
          <w:p w14:paraId="7E880A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视频服务：支持医生在接诊时可被动接听来自终端设备发起的视频连线，也可主动发起与患者的视频连线。</w:t>
            </w:r>
          </w:p>
          <w:p w14:paraId="0B19D5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4.终端管理</w:t>
            </w:r>
          </w:p>
          <w:p w14:paraId="4750C7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终端列表：支持显示辖区内所有终端设备的列表信息，包括设备编号、设备类型、机构名称、在线状态等。</w:t>
            </w:r>
          </w:p>
          <w:p w14:paraId="578684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电源管理：支持对终端设备进行智能电源连线管理，实现远程关机、远程开机和定时开关机服务。</w:t>
            </w:r>
          </w:p>
          <w:p w14:paraId="1BEFD6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定时开关机设置：支持自定义开/关机时间、开/关机频率、开/关机服务覆盖范围等</w:t>
            </w:r>
          </w:p>
          <w:p w14:paraId="6A4508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5.处方记录</w:t>
            </w:r>
          </w:p>
          <w:p w14:paraId="5DAB9D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处方列表：支持显示所有处方的列表信息，包括开方时间、处方编号、处方名称、机构简称、站点简称、姓名、处方医生、状态等，支持查看处方详情</w:t>
            </w:r>
          </w:p>
          <w:p w14:paraId="1F44A9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6.接诊记录</w:t>
            </w:r>
          </w:p>
          <w:p w14:paraId="1E3970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接诊列表：支持显示已接诊居民的列表信息，包括门诊号、姓名、性别、年龄、挂号时间、状态、机构简称等，支持查看接诊详细信息</w:t>
            </w:r>
          </w:p>
        </w:tc>
      </w:tr>
      <w:tr w14:paraId="6DE1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554260">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5A2ABD">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66E0D2B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五、智能随访</w:t>
            </w:r>
          </w:p>
          <w:p w14:paraId="0F913F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1.子模块介绍</w:t>
            </w:r>
          </w:p>
          <w:p w14:paraId="1BB4EE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随访模块可对在管慢病患者（高血压/糖尿病等）进行分级分类管理，动态生成随访提醒，实时提醒责任医生完成随访管理，支持体征数据自动调用、自动/人工生成健康指导模块，经医生确认的随访记录可自动与公卫系统进行数据交换。</w:t>
            </w:r>
          </w:p>
          <w:p w14:paraId="77D252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2.随访管理</w:t>
            </w:r>
          </w:p>
          <w:p w14:paraId="598E6F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随访列表：支持显示居民的列表信息，包括姓名、性别、年龄、身份证号、服务机构、服务医生、更新时间、随访项目、分级、随访分类、管理状态、签约团队</w:t>
            </w:r>
          </w:p>
          <w:p w14:paraId="355FB5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专项档案管理：支持接入慢病专项健康档案，提供不同病种患者专项建档功能， 如高血压、糖尿病、骨质疏松、慢阻肺等患者，将患者个人身份信息，与疾病相关联的主要检查检验信息等专项信息建立专病专项建档。</w:t>
            </w:r>
          </w:p>
          <w:p w14:paraId="133EF5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智能短信服务：根据患者随访情况，提供自动/人工短信推送服务</w:t>
            </w:r>
          </w:p>
          <w:p w14:paraId="348B55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随访记录：支持查看、新增随访记录</w:t>
            </w:r>
          </w:p>
          <w:p w14:paraId="2BE302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评估报告：可按时间自动生成患者季度/年度评估报告，可查看患者的季度/年度的血压/血糖监测趋势，随访次数、达标/不达标次数、控制率、并发症情况，体检情况以及检查检验情况。</w:t>
            </w:r>
          </w:p>
          <w:p w14:paraId="7944CC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一键审核：可对管理状态为“待审核”的数据，进行一键审核操作。</w:t>
            </w:r>
          </w:p>
          <w:p w14:paraId="29BB48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3.导诊提醒</w:t>
            </w:r>
          </w:p>
          <w:p w14:paraId="2FABA5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门诊挂号接入服务：支持接入当日门诊挂号信息，包括挂号科室、挂号时间、挂号状态、签约团队、签约时间。</w:t>
            </w:r>
          </w:p>
          <w:p w14:paraId="0EB675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身份识别：支持通过读卡器或扫码器获取居民信息</w:t>
            </w:r>
          </w:p>
          <w:p w14:paraId="7189B0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预随访问卷：支持提前生成预随访问卷，支持体征数据自动更新、自动调用。</w:t>
            </w:r>
          </w:p>
          <w:p w14:paraId="29251D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随访提醒：支持挂号信息实时共享，实时提醒当前候诊的慢病患者完成体征数据采集，完成预随访。</w:t>
            </w:r>
          </w:p>
          <w:p w14:paraId="1F33A6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随访审核：针对已完成预随访的患者，可自动提醒医生进行审核。</w:t>
            </w:r>
          </w:p>
          <w:p w14:paraId="4748B5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体检提醒：接入年度体检记录，智能提醒患者是否完成年度体检。</w:t>
            </w:r>
          </w:p>
          <w:p w14:paraId="3550C1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4.监控平台</w:t>
            </w:r>
          </w:p>
          <w:p w14:paraId="48C63A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支持显示辖区概况、本月随访、当日随访、医生数据、在管人群分析、并发症分布、年度指标、辖区糖尿病/高血压总览、生活方式数据</w:t>
            </w:r>
          </w:p>
          <w:p w14:paraId="4337D7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5.数据统计</w:t>
            </w:r>
          </w:p>
          <w:p w14:paraId="20E2C6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支持统计体检人次、预随访人次（当日）、审核人次、上传人次、健康处方开具人次、短信提醒人次等</w:t>
            </w:r>
          </w:p>
          <w:p w14:paraId="0ED0CB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支持按机构统计医生的审核人次情况，以及随访控制率，支持自定义时间查询</w:t>
            </w:r>
          </w:p>
        </w:tc>
      </w:tr>
      <w:tr w14:paraId="1844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C2A63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1123F">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461B034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六、签约管理</w:t>
            </w:r>
          </w:p>
          <w:p w14:paraId="41919C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1.子模块介绍</w:t>
            </w:r>
          </w:p>
          <w:p w14:paraId="35FA3A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签约管理模块支持接入第三方平台，提供居民档案调阅、签约服务内容查看、签约详情及签约回访等服务</w:t>
            </w:r>
          </w:p>
          <w:p w14:paraId="3F94C4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2.签约列表</w:t>
            </w:r>
          </w:p>
          <w:p w14:paraId="7DC676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签约列表：支持显示居民的列表信息，包括姓名、身份证、签约机构、签约医生、服务类型、签约时间、签约状态等</w:t>
            </w:r>
          </w:p>
          <w:p w14:paraId="07A005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档案管理：支持新增、修改签约居民档案</w:t>
            </w:r>
          </w:p>
          <w:p w14:paraId="5C5B35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签约对象：平台提供多种标准服务包或个性化服务包，支持多种服务对象，包括老年人、高血压、糖尿病、脑卒中、婴幼儿、孕产妇等人群。</w:t>
            </w:r>
          </w:p>
          <w:p w14:paraId="7C6814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亲友查看：支持亲友关系关联，通过查询户主信息，可查看并操作其家庭成员签约情况</w:t>
            </w:r>
          </w:p>
          <w:p w14:paraId="57EF1D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线上签约：支持选择对应服务包、签约年限、签约人群，支持电子协议签字验证</w:t>
            </w:r>
          </w:p>
          <w:p w14:paraId="11B9DE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解约/续签/转签：支持查看签约居民信息，并对其进行解约，转签、续签等操作</w:t>
            </w:r>
          </w:p>
          <w:p w14:paraId="3C4DF3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3.签约回访</w:t>
            </w:r>
          </w:p>
          <w:p w14:paraId="3264CB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支持签约两周后，通过数字人助手对签约患者进行自动语音回访</w:t>
            </w:r>
          </w:p>
        </w:tc>
      </w:tr>
      <w:tr w14:paraId="3D28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03204D">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E1BBF">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874E30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七、系统设置</w:t>
            </w:r>
          </w:p>
          <w:p w14:paraId="499809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1.子模块介绍</w:t>
            </w:r>
          </w:p>
          <w:p w14:paraId="699B64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系统设备模块提供用户管理、登录管理、日志管理等功能，可满足用户对系统设置的管理需求</w:t>
            </w:r>
          </w:p>
          <w:p w14:paraId="1659D7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2.用户管理</w:t>
            </w:r>
          </w:p>
          <w:p w14:paraId="3BB370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用户信息：支持显示用户基本信息、分身信息、设备信息、地理位置信息等</w:t>
            </w:r>
          </w:p>
          <w:p w14:paraId="2A1647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密码管理：支持储存用户登录时所保存的用户名、密码，同一用户名只保留最新保存的密码</w:t>
            </w:r>
          </w:p>
          <w:p w14:paraId="753FCA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3.登录管理</w:t>
            </w:r>
          </w:p>
          <w:p w14:paraId="19D897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登录限制：支持设置多项限制条件，包括登录时间、登录设备、同时登录</w:t>
            </w:r>
          </w:p>
          <w:p w14:paraId="5821E0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分身管理：支持分身申请、分身定制，支持设置分身的上线条件、上线时长、关闭/启用分身</w:t>
            </w:r>
          </w:p>
          <w:p w14:paraId="16C742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4.日志管理</w:t>
            </w:r>
          </w:p>
          <w:p w14:paraId="681516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登录日志：支持分别记录用户和分身的登录时间、离线时间、登录设备、登录IP</w:t>
            </w:r>
          </w:p>
          <w:p w14:paraId="238637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操作日志：支持分别记录用户和分身的操作记录</w:t>
            </w:r>
          </w:p>
        </w:tc>
      </w:tr>
      <w:tr w14:paraId="74C3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14:paraId="1D7566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8011D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管理端（新建）</w:t>
            </w: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4B1A07D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一、系统设置</w:t>
            </w:r>
          </w:p>
          <w:p w14:paraId="3F7989E4">
            <w:pPr>
              <w:keepNext w:val="0"/>
              <w:keepLines w:val="0"/>
              <w:widowControl/>
              <w:numPr>
                <w:ilvl w:val="0"/>
                <w:numId w:val="279"/>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机构管理</w:t>
            </w:r>
          </w:p>
          <w:p w14:paraId="1CDE8A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支持查看平台所有机构列表，包括机构编码、机构名称、机构简称、所属区域等字段</w:t>
            </w:r>
          </w:p>
          <w:p w14:paraId="7EC885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支持对机构的增删改查，以及对机构信息的维护，包括机构编码、机构名称、机构简称、所属区域等</w:t>
            </w:r>
          </w:p>
          <w:p w14:paraId="1C5AFA3C">
            <w:pPr>
              <w:keepNext w:val="0"/>
              <w:keepLines w:val="0"/>
              <w:widowControl/>
              <w:numPr>
                <w:ilvl w:val="0"/>
                <w:numId w:val="279"/>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医生管理</w:t>
            </w:r>
          </w:p>
          <w:p w14:paraId="7A615A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支持查看平台所有医生列表，包括姓名、性别、职称、专科特长、所属团队、所属机构等</w:t>
            </w:r>
          </w:p>
          <w:p w14:paraId="526F69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支持对医生的增删改查，以及对医生基本信息的维护，包括姓名、性别、职称、专科特长、所属团队、所属机构等</w:t>
            </w:r>
          </w:p>
          <w:p w14:paraId="2384A054">
            <w:pPr>
              <w:keepNext w:val="0"/>
              <w:keepLines w:val="0"/>
              <w:widowControl/>
              <w:numPr>
                <w:ilvl w:val="0"/>
                <w:numId w:val="279"/>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家医团队</w:t>
            </w:r>
          </w:p>
          <w:p w14:paraId="4C863E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支持查看平台所有家医团队列表，包括团队负责人、团队成员，所属机构等字段</w:t>
            </w:r>
          </w:p>
          <w:p w14:paraId="3898CA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支持对团队成员的增删改查，如成员新增、成员删除、团队负责人转移等</w:t>
            </w:r>
          </w:p>
          <w:p w14:paraId="565DA38B">
            <w:pPr>
              <w:keepNext w:val="0"/>
              <w:keepLines w:val="0"/>
              <w:widowControl/>
              <w:numPr>
                <w:ilvl w:val="0"/>
                <w:numId w:val="279"/>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设备管理</w:t>
            </w:r>
          </w:p>
          <w:p w14:paraId="7A0869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支持查看平台所有设备列表，包括设备编码、设备名称、设备型号、设备品牌、来源机构、创建时间、绑定状态、维保时间等字段</w:t>
            </w:r>
          </w:p>
          <w:p w14:paraId="04A0A9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支持对设备的增删改查，以及设备信息的维护，如设备编码、设备名称、设备型号、设备品牌、来源机构、创建时间、绑定状态、维保时间等</w:t>
            </w:r>
          </w:p>
          <w:p w14:paraId="1FED0871">
            <w:pPr>
              <w:keepNext w:val="0"/>
              <w:keepLines w:val="0"/>
              <w:widowControl/>
              <w:numPr>
                <w:ilvl w:val="0"/>
                <w:numId w:val="279"/>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权限管理</w:t>
            </w:r>
          </w:p>
          <w:p w14:paraId="48F1F5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支持对机构、角色进行权限管理，使不同机构、不同角色有不同的数据权限；系统管理员能根据各级工作职责为其分配相应的权限；使用者只能做已授权的操作，并只能访问其管辖范围内的数据</w:t>
            </w:r>
          </w:p>
        </w:tc>
      </w:tr>
      <w:tr w14:paraId="5396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0AA990">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BB99AE">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D94A7B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二、问卷管理</w:t>
            </w:r>
          </w:p>
          <w:p w14:paraId="3910AC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1.问卷介绍</w:t>
            </w:r>
          </w:p>
          <w:p w14:paraId="014490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平台支持对问卷进行管理配置，包括新增、删除问卷、自定义编辑问卷内容等</w:t>
            </w:r>
          </w:p>
          <w:p w14:paraId="42DF1D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2.问卷列表</w:t>
            </w:r>
          </w:p>
          <w:p w14:paraId="72A762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支持查看平台所有问卷列表，包括问卷编码、问卷名称、问卷类型、问卷状态（上架/下架）、调用次数、作者、更新时间等字段</w:t>
            </w:r>
          </w:p>
          <w:p w14:paraId="43275A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3.问卷编辑</w:t>
            </w:r>
          </w:p>
          <w:p w14:paraId="4CD233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支持对问卷的增删改查，以及对问卷信息的维护，包括问卷名称、问卷类型、问卷状态、问卷内容编辑等</w:t>
            </w:r>
          </w:p>
          <w:p w14:paraId="74F950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4.问卷编码</w:t>
            </w:r>
          </w:p>
          <w:p w14:paraId="2FD2D1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问卷编码作为平台内问卷的唯一标识，支持自动生成</w:t>
            </w:r>
          </w:p>
          <w:p w14:paraId="63A150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5.问卷操作</w:t>
            </w:r>
          </w:p>
          <w:p w14:paraId="23140F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支持对问卷进行上架/下架操作，已上架的问卷，支持被调用。未上架的问卷，不允许被调用</w:t>
            </w:r>
          </w:p>
        </w:tc>
      </w:tr>
      <w:tr w14:paraId="170C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CCB71C">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533C74">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553636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三、知识库管理</w:t>
            </w:r>
          </w:p>
          <w:p w14:paraId="3C9974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1.营养评估</w:t>
            </w:r>
          </w:p>
          <w:p w14:paraId="529910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包括MNA量表（微型营养评价法）、营养风险筛查2002(NRS2002)、《营养不良通用筛查工具(MUST)》、微型营养评定法简表（MNA</w:t>
            </w:r>
            <w:r>
              <w:rPr>
                <w:rFonts w:hint="eastAsia" w:ascii="宋体" w:hAnsi="宋体" w:eastAsia="宋体" w:cs="宋体"/>
                <w:i w:val="0"/>
                <w:iCs w:val="0"/>
                <w:color w:val="auto"/>
                <w:kern w:val="0"/>
                <w:sz w:val="21"/>
                <w:szCs w:val="21"/>
                <w:u w:val="none"/>
                <w:lang w:val="en-US" w:eastAsia="zh-CN" w:bidi="ar"/>
              </w:rPr>
              <w:noBreakHyphen/>
            </w:r>
            <w:r>
              <w:rPr>
                <w:rFonts w:hint="eastAsia" w:ascii="宋体" w:hAnsi="宋体" w:eastAsia="宋体" w:cs="宋体"/>
                <w:i w:val="0"/>
                <w:iCs w:val="0"/>
                <w:color w:val="auto"/>
                <w:kern w:val="0"/>
                <w:sz w:val="21"/>
                <w:szCs w:val="21"/>
                <w:u w:val="none"/>
                <w:lang w:val="en-US" w:eastAsia="zh-CN" w:bidi="ar"/>
              </w:rPr>
              <w:t>SF）、营养不良通用筛查工具（MUST）、整体营养状况主观评估（PG-SGA）、营养评价（MNA）、营养状况和生长风险筛查工具（ STRONGkids）等营养相关量表以及营养评估模型</w:t>
            </w:r>
          </w:p>
          <w:p w14:paraId="436B0F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2.膳食指导</w:t>
            </w:r>
          </w:p>
          <w:p w14:paraId="768D84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包括了各种膳食模式、营养成分、食物种类、食谱种类、饮食指南等，提供有关特定人群（如儿童、孕妇、老年人等）的饮食建议，帮助预防和管理慢性疾病</w:t>
            </w:r>
          </w:p>
          <w:p w14:paraId="4367D8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3.中医评估</w:t>
            </w:r>
          </w:p>
          <w:p w14:paraId="55C008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了中医基础理论、诊断方法、体质辨识、病因病机分析等核心内容。它结合了中医经典文献与现代研究成果，提供有关中医症状分析、舌诊、脉诊等评估技术的信息，帮助用户理解中医如何通过综合评估身体状况来进行个性化的健康管理和治疗方案制定</w:t>
            </w:r>
          </w:p>
          <w:p w14:paraId="1A04DA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4.中医养生</w:t>
            </w:r>
          </w:p>
          <w:p w14:paraId="61A853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包括了如气虚、血虚、阳虚、阴虚等不同体质类型的中医养生的基本原则，常见养生方法、季节性调养、体质调整等内容，如：饮食调理、生活习惯调整、经络按摩和中药保健等。</w:t>
            </w:r>
          </w:p>
          <w:p w14:paraId="4B537D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5.运动评估</w:t>
            </w:r>
          </w:p>
          <w:p w14:paraId="48ED5B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包括各种运动评估方法，如体能测试、力量和柔韧性评估、心肺功能检测等，提供了标准化的评估工具和操作指南</w:t>
            </w:r>
          </w:p>
          <w:p w14:paraId="50958B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6.运动指导</w:t>
            </w:r>
          </w:p>
          <w:p w14:paraId="028005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不同类型的运动（如有氧运动、力量训练、柔韧性练习等）的详细介绍，提供针对不同健康目标（如减肥、增肌、增强心肺功能等）的个性化训练方案。此外，它还包括运动前后的准备活动和恢复方法，以及运动过程中如何避免常见的伤害和过度训练</w:t>
            </w:r>
          </w:p>
          <w:p w14:paraId="122F7A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7.心理测评</w:t>
            </w:r>
          </w:p>
          <w:p w14:paraId="0AC1AD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包括了多种心理测评方法和工具，包括心理测试、人格评估、情绪状态分析、认知能力评估等，如：焦虑自评量表（</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SAS）</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、抑郁自评量表（</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SDS）、行为评定量表、青少年社会适应健康测量表、社会适应能力诊断量表、社会再适应评定量表、孤独感测试量表、自杀态度问卷(QSA)等相关量表以及心理测评模型</w:t>
            </w:r>
          </w:p>
          <w:p w14:paraId="3D9757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8.心理干预</w:t>
            </w:r>
          </w:p>
          <w:p w14:paraId="04183D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不同心理干预方法的详细介绍和实施指南，如如何通过心理咨询帮助个体解决问题、如何运用认知行为疗法调整负面思维模式、如何通过放松技巧缓解压力等。它还提供了干预效果的评估方法，以及根据不同心理问题（如焦虑、抑郁、压力等）制定的干预方案和实践建议</w:t>
            </w:r>
          </w:p>
          <w:p w14:paraId="6B2B57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9.知识库列表</w:t>
            </w:r>
          </w:p>
          <w:p w14:paraId="01B3A6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支持查看所有知识库列表，包括知识库编码、知识库名称、知识库类型、版本、用途说明、适用人群、作者、更新时间等字段</w:t>
            </w:r>
          </w:p>
          <w:p w14:paraId="0EB2B9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支持对知识库进行查询</w:t>
            </w:r>
          </w:p>
          <w:p w14:paraId="4C3000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10.知识库编辑</w:t>
            </w:r>
          </w:p>
          <w:p w14:paraId="20FCC5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支持对知识库的增删改查，以及对知识库的维护，包括知识库名称、知识库类型、版本、用途说明、适用人群等</w:t>
            </w:r>
          </w:p>
          <w:p w14:paraId="0527DD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支持对知识库的逻辑条件进行自定义</w:t>
            </w:r>
          </w:p>
        </w:tc>
      </w:tr>
      <w:tr w14:paraId="3E8E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98511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3DB46B">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6E77AFE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四、服务管理</w:t>
            </w:r>
          </w:p>
          <w:p w14:paraId="248A82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1.服务项目管理</w:t>
            </w:r>
          </w:p>
          <w:p w14:paraId="3990ED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支持查看平台所有服务项目列表，包括服务编码、服务名称、服务类型、服务规格、收费标准、收费代码、状态(停用/在用)、所属区域（省/市/区）等</w:t>
            </w:r>
          </w:p>
          <w:p w14:paraId="6946F7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支持对服务项目的增删改查，以及对服务项目的维护，包括服务名称、服务类型、服务规格、收费标准、收费代码、状态(停用/在用)、所属区域（省/市/区/院）等</w:t>
            </w:r>
          </w:p>
          <w:p w14:paraId="15F05A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2.服务包管理</w:t>
            </w:r>
          </w:p>
          <w:p w14:paraId="2E7549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支持查看平台所有服务包列表，包括服务包编码、服务包名称、服务包类型、服务包规格、服务包周期、服务包状态(停用/在用)、服务包总价、服务包优惠价、发布者、服务包服务范围（省/市/区/院）等</w:t>
            </w:r>
          </w:p>
          <w:p w14:paraId="3B54DE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支持对服务项目的增删改查，以及对服务项目的维护，包括服务名称、服务类型、服务规格、收费标准、收费代码、状态(停用/在用)、所属区域（省/市/区）等</w:t>
            </w:r>
          </w:p>
        </w:tc>
      </w:tr>
      <w:tr w14:paraId="399A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A30DA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0357D">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782634C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五、家医驾驶舱</w:t>
            </w:r>
          </w:p>
          <w:p w14:paraId="7214B4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1.辖区概况</w:t>
            </w:r>
          </w:p>
          <w:p w14:paraId="164EC6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包含区域慢病管理水平：常住人口、两慢病患病人数（高血压/糖尿病）、签约人数、签约率、续签率</w:t>
            </w:r>
          </w:p>
          <w:p w14:paraId="194A90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2.医生概况</w:t>
            </w:r>
          </w:p>
          <w:p w14:paraId="43B8256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分析区域内家庭医生的情况，包括家医总数（系统在册总数）、家医排名（在管人数、随访人数、控制率）</w:t>
            </w:r>
          </w:p>
          <w:p w14:paraId="34AF18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3.患者管理</w:t>
            </w:r>
          </w:p>
          <w:p w14:paraId="1CC66B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高血压患者管理情况分析：分析区域内高血压患者管理情况，包括：在管人数、规范管理率、控制率、体检率</w:t>
            </w:r>
          </w:p>
          <w:p w14:paraId="3C74B2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糖尿病患者管理情况分析：分析区域内糖尿病患者管理情况，包括：在管人数、规范管理率、控制率、体检率</w:t>
            </w:r>
          </w:p>
          <w:p w14:paraId="6ECA80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4.患者随访</w:t>
            </w:r>
          </w:p>
          <w:p w14:paraId="3B0BA7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分析区域内患者的随访情况，包括本月随访（应访人数、已访人数、本月完成率）、当日随访（应访人数、已访人数、当日完成率）</w:t>
            </w:r>
          </w:p>
          <w:p w14:paraId="3B21EE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5.患者分布概况</w:t>
            </w:r>
          </w:p>
          <w:p w14:paraId="5E544D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人群分布分析：分析区域内两慢病患者的人群分布情况，包括：不同年龄段两慢病患者分布、不同年龄段高血压患者分布、不同年 龄段糖尿病患者分布。（35-45岁、45岁-65岁、65岁-80岁、80岁以上）</w:t>
            </w:r>
          </w:p>
          <w:p w14:paraId="7121A7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性别分布分析：分析区域内两慢病患者的性别分布情况，包括：两慢病患 者性别分布、高血压患者性别分布、糖尿病患者性别分布</w:t>
            </w:r>
          </w:p>
          <w:p w14:paraId="2DB7DD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管理级别分布分析：分析区域内两慢病患者的管理级别分布情况，包括：高血压患者管理级别分布、糖尿病患者管理级别分布等</w:t>
            </w:r>
          </w:p>
          <w:p w14:paraId="3E5733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6.风险分析</w:t>
            </w:r>
          </w:p>
          <w:p w14:paraId="6C8709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并发症情况分析：分析区域内两慢病患者的并发症情况，包括：高血压患者并发症排名、糖尿病患者并发症排名、患者伴并发症数量 情况等</w:t>
            </w:r>
          </w:p>
          <w:p w14:paraId="669BEB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肥胖情况分析：分析区域内两慢病患者的肥胖情况，包括：BMI 肥胖人数、 比例、变化情况，BMI超重人数、 比例、变化情况， 中心性肥胖人数、 比例、变化情况等</w:t>
            </w:r>
          </w:p>
          <w:p w14:paraId="5FFCAD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家族病史情况分析：分析区域内两慢病患者的家族病史情况，包括：有高血压 家族史人数、比例，有糖尿病家族史人数、 比例等</w:t>
            </w:r>
          </w:p>
          <w:p w14:paraId="4660A5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不良生活习惯分析：分析区域内两慢病患者的不良生活习惯情况，包括：吸烟、不运动、重盐重油等维度的人数、比例、变化情况等</w:t>
            </w:r>
          </w:p>
        </w:tc>
      </w:tr>
      <w:tr w14:paraId="7E93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851FC">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414F54">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48EB63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六、管理报表</w:t>
            </w:r>
          </w:p>
          <w:p w14:paraId="4DB4FE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1.工作量统计</w:t>
            </w:r>
          </w:p>
          <w:p w14:paraId="47C134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支持按照机构统计医生的签约工作量，支持自定义选择时间、区域导出</w:t>
            </w:r>
          </w:p>
          <w:p w14:paraId="356D53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2.签约统计</w:t>
            </w:r>
          </w:p>
          <w:p w14:paraId="082C9A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支持按照机构统计规范与标准签约人数、规范与标准签约率信息，支持自定义选择时间、区域导出</w:t>
            </w:r>
          </w:p>
          <w:p w14:paraId="51DCE1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3.服务统计</w:t>
            </w:r>
          </w:p>
          <w:p w14:paraId="4CD800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支持按机构统计签约机构下的服务包签约次数、服务包收入、服务人次，支持自定义选择时间、区域导出</w:t>
            </w:r>
          </w:p>
          <w:p w14:paraId="463742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4.工作评价</w:t>
            </w:r>
          </w:p>
          <w:p w14:paraId="1FF0D9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支持按机构统计签约机构下的签约人数、新增签约人数、续签人数、过期人数，支持自定义选择时间、区域导出</w:t>
            </w:r>
          </w:p>
        </w:tc>
      </w:tr>
      <w:tr w14:paraId="6102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26AEC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CCEAFD">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1AA0AB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七、素材管理</w:t>
            </w:r>
          </w:p>
          <w:p w14:paraId="7328CF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1.素材列表</w:t>
            </w:r>
          </w:p>
          <w:p w14:paraId="04DA86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支持查看平台所有素材列表，包括素材编码、素材名称、素材类型(音频/图片/视频)、素材状态（上架/下架）、调用次数、发布者、发布时间等字段</w:t>
            </w:r>
          </w:p>
          <w:p w14:paraId="1E605C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2.素材编辑</w:t>
            </w:r>
          </w:p>
          <w:p w14:paraId="01591B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支持对素材的增删改查，以及对素材信息的维护，包括素材名称、素材类型、素材状态、素材内容编辑等</w:t>
            </w:r>
          </w:p>
          <w:p w14:paraId="4BA8AE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3.素材操作</w:t>
            </w:r>
          </w:p>
          <w:p w14:paraId="4CF291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支持对素材进行上架/下架操作，已上架的素材，支持被调用。未上架的素材，不允许被调用</w:t>
            </w:r>
          </w:p>
        </w:tc>
      </w:tr>
      <w:tr w14:paraId="106A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14:paraId="7D9F7D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2734F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居民端（新建）</w:t>
            </w: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2990DF8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一、数字家医</w:t>
            </w:r>
          </w:p>
          <w:p w14:paraId="3E2CD39F">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w:t>
            </w:r>
          </w:p>
          <w:p w14:paraId="042842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支持姓名+身份证+手机号验证登录或支付宝、浙里办、微信授权登录</w:t>
            </w:r>
          </w:p>
          <w:p w14:paraId="3491213D">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就诊人切换</w:t>
            </w:r>
          </w:p>
          <w:p w14:paraId="499257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支持注册用户登录后添加就诊人，添加成功可切换就诊人</w:t>
            </w:r>
          </w:p>
          <w:p w14:paraId="70E3707B">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我的</w:t>
            </w:r>
          </w:p>
          <w:p w14:paraId="1B6A1D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陪诊记录：支持通过文字、语音输入或点击问答按钮，进行多轮对话识别后唤起陪诊记录页面</w:t>
            </w:r>
          </w:p>
          <w:p w14:paraId="3361C7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消息通知管理：支持通过文字、语音输入或点击问答按钮，进行多轮对话识别后唤起消息通知管理页面</w:t>
            </w:r>
          </w:p>
          <w:p w14:paraId="622084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消息推送记录：支持通过文字、语音输入或点击问答按钮，进行多轮对话识别后唤起消息推送记录页面</w:t>
            </w:r>
          </w:p>
          <w:p w14:paraId="2B2AE0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用户反馈与协议公告：支持通过文字、语音输入或点击问答按钮，进行多轮对话识别后唤起用户反馈和协议公告页面</w:t>
            </w:r>
          </w:p>
          <w:p w14:paraId="4910EA97">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用户交互</w:t>
            </w:r>
          </w:p>
          <w:p w14:paraId="299FEC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支持多种交互方式，包括文字交互、语音交互、图文交互</w:t>
            </w:r>
          </w:p>
          <w:p w14:paraId="2CC554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文字交互：可通过内置键盘，进行文本信息输入，包括拼音输入、笔划输入、手写输入等</w:t>
            </w:r>
          </w:p>
          <w:p w14:paraId="7BFD5C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语音交互：支持自动唤起数字人，可与数字人进行语音对话</w:t>
            </w:r>
          </w:p>
          <w:p w14:paraId="7EC77B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图文交互：支持图片上传，数字人可对上传图片进行自动识别</w:t>
            </w:r>
          </w:p>
          <w:p w14:paraId="673C1BCD">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智能导诊</w:t>
            </w:r>
          </w:p>
          <w:p w14:paraId="2DE004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支持通过文字、语音输入或点击问答按钮，进行多轮对话识别患者目前需求，推荐合适服务或相关科室，支持语音播报</w:t>
            </w:r>
          </w:p>
          <w:p w14:paraId="1495E37A">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预约挂号</w:t>
            </w:r>
          </w:p>
          <w:p w14:paraId="5AE6C0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支持通过文字或语音进行多轮对话，推荐患者合适科室；提供机构、科室、医生信息，挂号接口配置，实现自助预约挂号</w:t>
            </w:r>
          </w:p>
          <w:p w14:paraId="32B96BB4">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用药助手</w:t>
            </w:r>
          </w:p>
          <w:p w14:paraId="4ECB61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支持文字、语音、图片输入，识别药品名、商品名，自动生成合理用药指导，支持语音播报</w:t>
            </w:r>
          </w:p>
          <w:p w14:paraId="4DF69269">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病情咨询</w:t>
            </w:r>
          </w:p>
          <w:p w14:paraId="47EF64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支持文字、语音、图片输入，识别患者语义，自动生成相关建议，支持语音播报</w:t>
            </w:r>
          </w:p>
          <w:p w14:paraId="032F19EF">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指标解读</w:t>
            </w:r>
          </w:p>
          <w:p w14:paraId="6A018E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支持患者上传报告图片，识别存在异常指标，解读相关报告与患者进行多轮交互问答，支持语音播报</w:t>
            </w:r>
          </w:p>
          <w:p w14:paraId="7A5ADB90">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健康知识</w:t>
            </w:r>
          </w:p>
          <w:p w14:paraId="1E8CF9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支持文字、语音、图片输入，自动生成相关健康知识，支持语音播报</w:t>
            </w:r>
          </w:p>
          <w:p w14:paraId="26D02F4B">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就医陪诊</w:t>
            </w:r>
          </w:p>
          <w:p w14:paraId="61DB9F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提供患者就诊记录列表查看，点击可跳转就诊详情，如：就诊时间、就诊科室、就诊医生、处方明细、检查明细等</w:t>
            </w:r>
          </w:p>
          <w:p w14:paraId="1907222C">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健康档案</w:t>
            </w:r>
          </w:p>
          <w:p w14:paraId="27EDBF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支持跳转浙里健康e生，查看患者健康概况、医疗服务、公共卫生、自我健康管理等内容</w:t>
            </w:r>
          </w:p>
          <w:p w14:paraId="5D2090D2">
            <w:pPr>
              <w:keepNext w:val="0"/>
              <w:keepLines w:val="0"/>
              <w:widowControl/>
              <w:numPr>
                <w:ilvl w:val="0"/>
                <w:numId w:val="280"/>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中医咨询</w:t>
            </w:r>
          </w:p>
          <w:p w14:paraId="45FF65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支持文字、语音、图片输入，自动生成相关建议及注意事项，支持语音播报</w:t>
            </w:r>
          </w:p>
        </w:tc>
      </w:tr>
      <w:tr w14:paraId="55A7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2F79B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F38905">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F5AEC3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二、灵动岛</w:t>
            </w:r>
          </w:p>
          <w:p w14:paraId="533C19BA">
            <w:pPr>
              <w:keepNext w:val="0"/>
              <w:keepLines w:val="0"/>
              <w:widowControl/>
              <w:numPr>
                <w:ilvl w:val="0"/>
                <w:numId w:val="281"/>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取号提醒</w:t>
            </w:r>
          </w:p>
          <w:p w14:paraId="1BC526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支持关联患者预约挂号信息，提前一天推送取号信息，就诊当天提前2小时再次推送，避免患者忘记就诊日程</w:t>
            </w:r>
          </w:p>
          <w:p w14:paraId="65523E88">
            <w:pPr>
              <w:keepNext w:val="0"/>
              <w:keepLines w:val="0"/>
              <w:widowControl/>
              <w:numPr>
                <w:ilvl w:val="0"/>
                <w:numId w:val="281"/>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就诊提醒</w:t>
            </w:r>
          </w:p>
          <w:p w14:paraId="5119E8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患者到院签到后，关联就诊信息，实时推送就诊序列号及排队人数，距离就诊仅剩3人时进行强提醒一次</w:t>
            </w:r>
          </w:p>
          <w:p w14:paraId="2E1E889D">
            <w:pPr>
              <w:keepNext w:val="0"/>
              <w:keepLines w:val="0"/>
              <w:widowControl/>
              <w:numPr>
                <w:ilvl w:val="0"/>
                <w:numId w:val="281"/>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缴费提醒</w:t>
            </w:r>
          </w:p>
          <w:p w14:paraId="2D4CD9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支持患者就诊后，进行提醒缴费或缴费费用明细推送，点击跳转消息记录</w:t>
            </w:r>
          </w:p>
          <w:p w14:paraId="20243642">
            <w:pPr>
              <w:keepNext w:val="0"/>
              <w:keepLines w:val="0"/>
              <w:widowControl/>
              <w:numPr>
                <w:ilvl w:val="0"/>
                <w:numId w:val="281"/>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用药提醒</w:t>
            </w:r>
          </w:p>
          <w:p w14:paraId="34CD8F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支持患者取药后，推送具体用药方式及注意事项，并在用药时间范围内，按照用药频次进行提醒</w:t>
            </w:r>
          </w:p>
          <w:p w14:paraId="24921671">
            <w:pPr>
              <w:keepNext w:val="0"/>
              <w:keepLines w:val="0"/>
              <w:widowControl/>
              <w:numPr>
                <w:ilvl w:val="0"/>
                <w:numId w:val="281"/>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复诊提醒</w:t>
            </w:r>
          </w:p>
          <w:p w14:paraId="39D0FD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支持按照患者下一次复诊时间，提前3天推送复诊提醒，点击跳转预约挂号页面</w:t>
            </w:r>
          </w:p>
          <w:p w14:paraId="02D46B96">
            <w:pPr>
              <w:keepNext w:val="0"/>
              <w:keepLines w:val="0"/>
              <w:widowControl/>
              <w:numPr>
                <w:ilvl w:val="0"/>
                <w:numId w:val="281"/>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随访提醒</w:t>
            </w:r>
          </w:p>
          <w:p w14:paraId="7B0EAE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支持向患者推送随访提醒，并显示任务完成百分比，点击跳转随访详情页面</w:t>
            </w:r>
          </w:p>
          <w:p w14:paraId="60EE0017">
            <w:pPr>
              <w:keepNext w:val="0"/>
              <w:keepLines w:val="0"/>
              <w:widowControl/>
              <w:numPr>
                <w:ilvl w:val="0"/>
                <w:numId w:val="281"/>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评价提醒</w:t>
            </w:r>
          </w:p>
          <w:p w14:paraId="526F42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支持向患者推送评价服务信息，点击跳转服务评价页面</w:t>
            </w:r>
          </w:p>
        </w:tc>
      </w:tr>
      <w:tr w14:paraId="411F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4723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F18AC">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E63126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三、服务评价</w:t>
            </w:r>
          </w:p>
          <w:p w14:paraId="21EC64BF">
            <w:pPr>
              <w:keepNext w:val="0"/>
              <w:keepLines w:val="0"/>
              <w:widowControl/>
              <w:numPr>
                <w:ilvl w:val="0"/>
                <w:numId w:val="282"/>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服务列表</w:t>
            </w:r>
          </w:p>
          <w:p w14:paraId="206CBA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支持通过文字、语音输入或点击问答按钮，查看所有就诊服务记录，按照时间、医院、服务筛选就诊服务记录</w:t>
            </w:r>
          </w:p>
          <w:p w14:paraId="4E2303B9">
            <w:pPr>
              <w:keepNext w:val="0"/>
              <w:keepLines w:val="0"/>
              <w:widowControl/>
              <w:numPr>
                <w:ilvl w:val="0"/>
                <w:numId w:val="282"/>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待评价</w:t>
            </w:r>
          </w:p>
          <w:p w14:paraId="62723A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支持通过文字、语音输入或点击问答按钮，进行多轮对话识别后查看待点评列表，可选择是否公开评价、图片+文字+打分评价</w:t>
            </w:r>
          </w:p>
          <w:p w14:paraId="1D077912">
            <w:pPr>
              <w:keepNext w:val="0"/>
              <w:keepLines w:val="0"/>
              <w:widowControl/>
              <w:numPr>
                <w:ilvl w:val="0"/>
                <w:numId w:val="282"/>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已评价</w:t>
            </w:r>
          </w:p>
          <w:p w14:paraId="2299C1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支持通过文字、语音输入或点击问答按钮，进行多轮对话识别后查看已评价服务列表、评价浏览量、评论量及点赞量，可选择是否公开</w:t>
            </w:r>
          </w:p>
          <w:p w14:paraId="63F39CF6">
            <w:pPr>
              <w:keepNext w:val="0"/>
              <w:keepLines w:val="0"/>
              <w:widowControl/>
              <w:numPr>
                <w:ilvl w:val="0"/>
                <w:numId w:val="282"/>
              </w:numPr>
              <w:suppressLineNumbers w:val="0"/>
              <w:ind w:left="425" w:leftChars="0" w:hanging="425"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可追评</w:t>
            </w:r>
          </w:p>
          <w:p w14:paraId="32AFC0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支持通过文字、语音输入或点击问答按钮，进行多轮对话识别后查看就诊服务记录，按照时间、医院、服务筛选就诊服务记录，并对评价过的服务进行追评</w:t>
            </w:r>
          </w:p>
        </w:tc>
      </w:tr>
      <w:tr w14:paraId="087F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14:paraId="2FB413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0594D9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应用支撑（新建）</w:t>
            </w: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1FAC40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一、预约挂号</w:t>
            </w:r>
          </w:p>
          <w:p w14:paraId="090166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自助预约</w:t>
            </w:r>
          </w:p>
          <w:p w14:paraId="64304D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供前端应用调用，配置时间、机构、科室、医生等相关信息，实现自助预约功能</w:t>
            </w:r>
          </w:p>
          <w:p w14:paraId="10D7CA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自助挂号</w:t>
            </w:r>
          </w:p>
          <w:p w14:paraId="6B2B47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供前端应用调用，选择时间、机构、科室、医生信息，配置挂号信息，实现自助挂号功能</w:t>
            </w:r>
          </w:p>
        </w:tc>
      </w:tr>
      <w:tr w14:paraId="4AC0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89B78D">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757B3">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64E287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二、积分管理</w:t>
            </w:r>
          </w:p>
          <w:p w14:paraId="225272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新增积分</w:t>
            </w:r>
          </w:p>
          <w:p w14:paraId="3BFFC3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供前端应用调用，业务积分自动累加、统一汇总与管理，供前端应用展示</w:t>
            </w:r>
          </w:p>
          <w:p w14:paraId="1355D6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兑换积分</w:t>
            </w:r>
          </w:p>
          <w:p w14:paraId="7A70B0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供前端应用调用，基于积分兑换规则与使用场景，实现积分兑换服务</w:t>
            </w:r>
          </w:p>
          <w:p w14:paraId="60919A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积分规则</w:t>
            </w:r>
          </w:p>
          <w:p w14:paraId="5E9250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支持积分规则设置、修改与发布，供管理端调用执行</w:t>
            </w:r>
          </w:p>
        </w:tc>
      </w:tr>
      <w:tr w14:paraId="1F97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984EC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7C9E48">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07B21F4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三、疾病管理</w:t>
            </w:r>
          </w:p>
          <w:p w14:paraId="301880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高血压管理</w:t>
            </w:r>
          </w:p>
          <w:p w14:paraId="05E541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供前端应用调用，实现血压数据查询、提取、统计、分析、研判，自动生成高血压报告，供前端应用展示</w:t>
            </w:r>
          </w:p>
          <w:p w14:paraId="7FA82E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糖尿病管理</w:t>
            </w:r>
          </w:p>
          <w:p w14:paraId="692960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供前端应用调用，实现血糖数据查询、提取、统计、分析、研判，自动生成糖尿病报告，供前端应用展示</w:t>
            </w:r>
          </w:p>
          <w:p w14:paraId="63A27C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高血脂管理</w:t>
            </w:r>
          </w:p>
          <w:p w14:paraId="0BA7BF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供前端应用调用，实现血脂数据查询、提取、统计、分析、研判，自动生成高血脂报告，供前端应用展示</w:t>
            </w:r>
          </w:p>
        </w:tc>
      </w:tr>
      <w:tr w14:paraId="2A6D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02A2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89A3CD">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0D1C768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四、远程视频</w:t>
            </w:r>
          </w:p>
          <w:p w14:paraId="3B30D0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音视频呼入</w:t>
            </w:r>
          </w:p>
          <w:p w14:paraId="71F74E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供前端应用调用，创建点对点会议模式，接入小鱼视讯服务系统，实现音视频远程问诊前端呼入</w:t>
            </w:r>
          </w:p>
          <w:p w14:paraId="280AA7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音视频呼出</w:t>
            </w:r>
          </w:p>
          <w:p w14:paraId="6C4732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供前端应用调用，创建点对点会议模式，接入小鱼视讯服务系统，实现音视频远程问诊后端呼出</w:t>
            </w:r>
          </w:p>
          <w:p w14:paraId="752334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音视频挂断</w:t>
            </w:r>
          </w:p>
          <w:p w14:paraId="3E4B55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供前端应用调用，主动挂断音视频在线服务</w:t>
            </w:r>
          </w:p>
        </w:tc>
      </w:tr>
      <w:tr w14:paraId="4B31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AC7E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E2381B">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270AA16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五、服务管理</w:t>
            </w:r>
          </w:p>
          <w:p w14:paraId="76B116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新增签约/审核</w:t>
            </w:r>
          </w:p>
          <w:p w14:paraId="28657A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供前端应用调用，提供新增签约/审核接口服务，通过配置签约协议、签约信息、签约审核，完成签约/审核流程</w:t>
            </w:r>
          </w:p>
          <w:p w14:paraId="470EEC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续约申请/审核</w:t>
            </w:r>
          </w:p>
          <w:p w14:paraId="1828E6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供前端应用调用，提供续约/审核接口服务，通过更新签约协议、签约信息、签约审核，完成续约/审核流程</w:t>
            </w:r>
          </w:p>
          <w:p w14:paraId="7BC06E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签约查询</w:t>
            </w:r>
          </w:p>
          <w:p w14:paraId="379C66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供前端应用调用，提供签约数据查询接口，供前端展示实时、历史签约记录查询与详情查询</w:t>
            </w:r>
          </w:p>
          <w:p w14:paraId="4688EE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签约统计</w:t>
            </w:r>
          </w:p>
          <w:p w14:paraId="69DBD4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供前端应用调用，提供签约数据统计接口，前端获取数据后进行综合统计与可视化展示</w:t>
            </w:r>
          </w:p>
          <w:p w14:paraId="7F31F8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服务包配置</w:t>
            </w:r>
          </w:p>
          <w:p w14:paraId="413893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供前端应用调用，支持根据不同场景要求，自定义选择配置服务包相关检查与评估项目</w:t>
            </w:r>
          </w:p>
        </w:tc>
      </w:tr>
      <w:tr w14:paraId="3C4D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93D3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8F344F">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62E54E8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六、体征检测</w:t>
            </w:r>
          </w:p>
          <w:p w14:paraId="0F9002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体征数据提取/查询</w:t>
            </w:r>
          </w:p>
          <w:p w14:paraId="296667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供前端应用调用，通过数据提取接口，完成体征数据，比如身高、体重、血压、血糖、血氧等数据的提取与查询</w:t>
            </w:r>
          </w:p>
          <w:p w14:paraId="1A727D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体征数据统计</w:t>
            </w:r>
          </w:p>
          <w:p w14:paraId="5AA53A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供前端应用调用，支持体征数据实时统计与可视化展示</w:t>
            </w:r>
          </w:p>
          <w:p w14:paraId="2C01D0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体征数据分析</w:t>
            </w:r>
          </w:p>
          <w:p w14:paraId="38C032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供前端应用调用，支持体征数据自动汇总分析与报告生成</w:t>
            </w:r>
          </w:p>
        </w:tc>
      </w:tr>
      <w:tr w14:paraId="0E77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2FFE00">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8B39C">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77C0B66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七、聚合支付</w:t>
            </w:r>
          </w:p>
          <w:p w14:paraId="1AA1F5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交易记录查询</w:t>
            </w:r>
          </w:p>
          <w:p w14:paraId="20C20E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供前端应用调用，提供查询接口，获取交易记录列表查看、详细交易信息阅览，支持导出与打印</w:t>
            </w:r>
          </w:p>
          <w:p w14:paraId="781FFA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支付方式配置</w:t>
            </w:r>
          </w:p>
          <w:p w14:paraId="21A1FB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供前端应用调用，支持支付方式配置，比如支付宝、微信、银联等支付方式</w:t>
            </w:r>
          </w:p>
          <w:p w14:paraId="63CE2F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支付模式配置</w:t>
            </w:r>
          </w:p>
          <w:p w14:paraId="71C34F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供前端应用调用，支持支付模式配置，比如刷卡、扫码（正扫、反扫）等模式</w:t>
            </w:r>
          </w:p>
        </w:tc>
      </w:tr>
      <w:tr w14:paraId="622B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74707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F27CF2">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C8C849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八、消息盒子</w:t>
            </w:r>
          </w:p>
          <w:p w14:paraId="5EB106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通知模板管理</w:t>
            </w:r>
          </w:p>
          <w:p w14:paraId="11D2B0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供前端应用调用，提供通知模板管理接口，前端根据不同业务场景，自定义通知模板的格式，比如预约提醒、随访提醒、用药提醒、报告提醒等</w:t>
            </w:r>
          </w:p>
          <w:p w14:paraId="19DF8E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预警模版管理</w:t>
            </w:r>
          </w:p>
          <w:p w14:paraId="0C82A2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供前端应用调用，提供预警模板管理接口，前端根据不同场景自定义高血压预警、糖尿病预警、高血脂预警等</w:t>
            </w:r>
          </w:p>
          <w:p w14:paraId="2C9AE0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通知模式配置</w:t>
            </w:r>
          </w:p>
          <w:p w14:paraId="16B4B5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供前端应用调用，提供模式配置接口，支持配置通知模式，比如主动通知、被动通知，可选小程序、公众号、APP、短信等模式</w:t>
            </w:r>
          </w:p>
        </w:tc>
      </w:tr>
      <w:tr w14:paraId="6558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4AA98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7D8F60">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5F61C4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九、健康评估</w:t>
            </w:r>
          </w:p>
          <w:p w14:paraId="2A5C7E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营养评估</w:t>
            </w:r>
          </w:p>
          <w:p w14:paraId="64DB3C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供前端应用调用，针对需求人群，支持问卷智能推送，智能回收，生成营养评估报告，供前端应用展示</w:t>
            </w:r>
          </w:p>
          <w:p w14:paraId="502EED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中医评估</w:t>
            </w:r>
          </w:p>
          <w:p w14:paraId="17674E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供前端应用调用，支持问卷智能推送，智能回收，以及问卷结果推送，生成中医体质辨识报告，供前端应用展示</w:t>
            </w:r>
          </w:p>
          <w:p w14:paraId="19834C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供前端应用调用，支持针对中医体质辨识结果，生成个性化的健康生活方式，推送给患者，生成生活方式评估报告，供前端应用展示</w:t>
            </w:r>
          </w:p>
          <w:p w14:paraId="070813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运动评估</w:t>
            </w:r>
          </w:p>
          <w:p w14:paraId="40C576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供前端应用调用，实现收集患者每周次数，每次的运动时长，以及运动项目，以此来评定患者的运动积极性以及运动偏好，供前端展示</w:t>
            </w:r>
          </w:p>
          <w:p w14:paraId="778364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供前端应用调用，实现收集包括身体灵活性、</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力量、</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耐力和速度等方面的测试。</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例如，</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可以了解俯卧撑数量测试、</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柔韧性测试、</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跑步时间等，</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实现评估运动能力功能。</w:t>
            </w:r>
          </w:p>
          <w:p w14:paraId="65E23A1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供前端应用调用，支持根据患者健康状况情况、运动习惯，进行个人运动风险评估，实现风险测评功能</w:t>
            </w:r>
          </w:p>
          <w:p w14:paraId="7B9F81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心理测评</w:t>
            </w:r>
          </w:p>
          <w:p w14:paraId="5321F9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供前端应用调用，支持提供“焦虑自评量表（</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SAS）</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”、“抑郁自评量表（</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SDS）</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”，在线进行心理测评，生成精神压力报告，供前端应用展示</w:t>
            </w:r>
          </w:p>
          <w:p w14:paraId="4E477F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供前端应用调用，支持提供适应“行为评定量表”、“青少年社会适应健康测量表”、“社会适应能力诊断量表”、“社会再适应评定量表”，在线进行心理测评，生成社会适应性报告，供前端应用展示</w:t>
            </w:r>
          </w:p>
          <w:p w14:paraId="6B6599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供前端应用调用，支持提供“孤独感测试量表”，在线进行心理测评，生成孤独指数报告，供前端应用展示</w:t>
            </w:r>
          </w:p>
          <w:p w14:paraId="02D787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供前端应用调用，支持提供“自杀态度问卷(QSA)”，在线进行心理测评，生成自杀态度报告，供前端应用展示</w:t>
            </w:r>
          </w:p>
          <w:p w14:paraId="396E55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供前端应用调用，支持提供“儿少心理健康量表（MHS-CA）”，实现在线进行心理测评，完成儿少测评功能</w:t>
            </w:r>
          </w:p>
          <w:p w14:paraId="5841E8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老年评估</w:t>
            </w:r>
          </w:p>
          <w:p w14:paraId="7A5E2D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供前端应用调用，支持提供“简易精神状态检查量表（MMSE）”、“蒙特利尔认知评估量表（MoCA）”，在线进行智能评估，生成认知能力报告，供前端应用展示</w:t>
            </w:r>
          </w:p>
          <w:p w14:paraId="181128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供前端应用调用，支持提供“老年人生活自理能力评估表”，在线进行智能评估，生成自理能力报告，供前端应用展示</w:t>
            </w:r>
          </w:p>
          <w:p w14:paraId="74D780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供前端应用调用，支持提供“简易智能精神状态检查量表（</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MMSE）</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”，在线进行智能评估，生成记忆力评估报告，供前端应用展示</w:t>
            </w:r>
          </w:p>
        </w:tc>
      </w:tr>
      <w:tr w14:paraId="4133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A12DB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47A3F4">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8A8E3C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十、健康指导</w:t>
            </w:r>
          </w:p>
          <w:p w14:paraId="4F54FF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膳食指导</w:t>
            </w:r>
          </w:p>
          <w:p w14:paraId="5A9B25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患者的饮食摄入情况，可智能分析患者的饮食结构，包括三大供能物质摄入分析，微量营养素摄入分析，优质蛋白摄入分析，基础代谢率分析，餐次能量分配比等，合理调整饮食结构，，供前端应用展示</w:t>
            </w:r>
          </w:p>
          <w:p w14:paraId="342BCD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供前端应用调用，支持根据患者健康情况，考虑其所需营养素、饮食习惯、生活方式和健康状况的饮食方式。制定个性化健康营养餐，实现个性化营养配餐功能，供前端应用展示</w:t>
            </w:r>
          </w:p>
          <w:p w14:paraId="1BBA70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中医养生指导</w:t>
            </w:r>
          </w:p>
          <w:p w14:paraId="7010D9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供前端应用调用，支持根据患者健康情况，提供个性化中医运动指导方案，来调节身体机能、预防和治疗疾病。中医运动可包括气功、太极拳、八段锦、五禽戏等，实现中医运动指导功能</w:t>
            </w:r>
          </w:p>
          <w:p w14:paraId="7EAAD2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供前端应用调用，支持根据患者体质，通过中医药理理论指导，提供个性化的中医饮食（膳食、药膳）指导。实现中医饮食指导功能</w:t>
            </w:r>
          </w:p>
          <w:p w14:paraId="32D4A8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供前端应用调用，中药治疗压力和焦虑、针灸缓解压力和焦虑、按摩和气功缓解压力和焦虑，实现中医舒缓功能</w:t>
            </w:r>
          </w:p>
          <w:p w14:paraId="1CB971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运动指导</w:t>
            </w:r>
          </w:p>
          <w:p w14:paraId="555DDD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供前端应用调用，支持根据患者健康状况，和患者自身需求，制定运动目标。从运动经验、运动时间、运动强度、运动类型等几个方面，提供运动指导方案，供前端应用展示</w:t>
            </w:r>
          </w:p>
          <w:p w14:paraId="04756B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心理干预</w:t>
            </w:r>
          </w:p>
          <w:p w14:paraId="30F1EB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供前端应用调用，支持根据患者自身情况，进行心理舒缓，主要有倾听，沟通，提供心情舒缓方式（适量运动，调节饮食，定时休息与放松）实现心里舒缓功能</w:t>
            </w:r>
          </w:p>
        </w:tc>
      </w:tr>
      <w:tr w14:paraId="6A32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F60F0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FADB3">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70CF2D6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十一、风险预警</w:t>
            </w:r>
          </w:p>
          <w:p w14:paraId="6DC766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通知模板</w:t>
            </w:r>
          </w:p>
          <w:p w14:paraId="4B0B6E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供前端应用调用，提供通知模板管理接口，前端根据不同业务场景，自定义通知模板的格式</w:t>
            </w:r>
          </w:p>
          <w:p w14:paraId="56F131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通知方式</w:t>
            </w:r>
          </w:p>
          <w:p w14:paraId="62181F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供前端应用调用，提供通知方式配置接口，支持配置通知方式，比如主动通知、被动通知，可选小程序、公众号、APP、短信等模式</w:t>
            </w:r>
          </w:p>
          <w:p w14:paraId="537EB4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预警设置</w:t>
            </w:r>
          </w:p>
          <w:p w14:paraId="0A016B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供前端应用调用，提供预警级别设置接口，前端支持配置不同指标风险阈值、疾病的预警级别等</w:t>
            </w:r>
          </w:p>
        </w:tc>
      </w:tr>
      <w:tr w14:paraId="11B6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47829D">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65D3F8">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0FB312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十二、SOP管理</w:t>
            </w:r>
          </w:p>
          <w:p w14:paraId="2F3FC3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服务配置</w:t>
            </w:r>
          </w:p>
          <w:p w14:paraId="667660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供前端应用调用，提供接口，支持前端实现服务项目的自定义配置</w:t>
            </w:r>
          </w:p>
          <w:p w14:paraId="372D80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健康指标</w:t>
            </w:r>
          </w:p>
          <w:p w14:paraId="318A53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供前端应用调用，提供接口，支持前端服务项目具体的健康指标自定义配置</w:t>
            </w:r>
          </w:p>
          <w:p w14:paraId="2CDE9D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阈值设置</w:t>
            </w:r>
          </w:p>
          <w:p w14:paraId="0CC44C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供前端应用调用，提供接口，支持前端具体体征指标的阈值设置，按照实际需要配置</w:t>
            </w:r>
          </w:p>
          <w:p w14:paraId="78F88F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服务频率</w:t>
            </w:r>
          </w:p>
          <w:p w14:paraId="1DE315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供前端应用调用，提供接口，支持前端支持服务频次自动生成与手动配置</w:t>
            </w:r>
          </w:p>
          <w:p w14:paraId="2D801B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服务结论</w:t>
            </w:r>
          </w:p>
          <w:p w14:paraId="5F4E3F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供前端应用调用，提供接口，支持前端自定义结论模板设置，对模板增删改查操作</w:t>
            </w:r>
          </w:p>
        </w:tc>
      </w:tr>
      <w:tr w14:paraId="6923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A4F86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887DC">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DF1E63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十三、CRM画像</w:t>
            </w:r>
          </w:p>
          <w:p w14:paraId="1E09F9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用户画像</w:t>
            </w:r>
          </w:p>
          <w:p w14:paraId="5485D8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供前端调用，支持自定义画像显示元素，通过调用接口获取用户画像信息并可视化展示</w:t>
            </w:r>
          </w:p>
        </w:tc>
      </w:tr>
      <w:tr w14:paraId="11D1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5A9EB5">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5D82A5">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31A8C48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十四、问卷素材</w:t>
            </w:r>
          </w:p>
          <w:p w14:paraId="1368DA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疾病初筛</w:t>
            </w:r>
          </w:p>
          <w:p w14:paraId="3555A0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供前端应用调用，能够针对高血压患病人群，高危人群，支持问卷智能推送，智能回收。实现高血压初筛功能</w:t>
            </w:r>
          </w:p>
          <w:p w14:paraId="334060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供前端应用调用，能够针对糖尿病患病人群，高危人群，支持问卷智能推送，智能回收。实现糖尿病初筛功能</w:t>
            </w:r>
          </w:p>
          <w:p w14:paraId="12FE0C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供前端应用调用，能够针对高血脂患病人群，高危人群，支持问卷智能推送，智能回收。实现高血脂初筛功能</w:t>
            </w:r>
          </w:p>
          <w:p w14:paraId="30E62D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供前端应用调用，能够针对骨质疏松患病人群，高危人群，支持问卷智能推送，智能回收。实现骨质疏松初筛功能</w:t>
            </w:r>
          </w:p>
          <w:p w14:paraId="4009EC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供前端应用调用，能够针对慢阻肺患病人群，高危人群，支持问卷智能推送，智能回收。完成慢阻肺初筛功能</w:t>
            </w:r>
          </w:p>
          <w:p w14:paraId="70BD70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供前端应用调用，能够针对慢阻肺患病人群，高危人群，支持问卷智能推送，智能回收。实现高嘌呤初筛功能</w:t>
            </w:r>
          </w:p>
          <w:p w14:paraId="7D1A8B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慢病随访</w:t>
            </w:r>
          </w:p>
          <w:p w14:paraId="2543E7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供前端应用调用，能够根据高血压患者分级管理路径，实现高血压患者随访问卷的智能推送，智能回收。实现高血压随访功能</w:t>
            </w:r>
          </w:p>
          <w:p w14:paraId="789D51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供前端应用调用，能够根据糖尿病患者分级管理路径，实现高血压患者随访问卷的智能推送，智能回收。实现糖尿病随访功能</w:t>
            </w:r>
          </w:p>
          <w:p w14:paraId="41296E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供前端应用调用，能够根据慢阻肺患者分级管理路径，实现高血压患者随访问卷的智能推送，智能回收。实现慢阻肺随访功能</w:t>
            </w:r>
          </w:p>
          <w:p w14:paraId="27419E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随机问卷</w:t>
            </w:r>
          </w:p>
          <w:p w14:paraId="74BFF2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供前端应用调用，平台支持按照随机原则，进行“健康调查文件”智能推送，智能回收，实现健康调查功能</w:t>
            </w:r>
          </w:p>
          <w:p w14:paraId="774F99F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供前端应用调用，平台支持按照随机原则，进行“临床问卷”智能推送，智能回收，实现临床问卷功能</w:t>
            </w:r>
          </w:p>
          <w:p w14:paraId="14DA7E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r>
              <w:rPr>
                <w:rFonts w:hint="eastAsia" w:ascii="宋体" w:hAnsi="宋体" w:eastAsia="宋体" w:cs="宋体"/>
                <w:i w:val="0"/>
                <w:iCs w:val="0"/>
                <w:color w:val="auto"/>
                <w:kern w:val="0"/>
                <w:sz w:val="21"/>
                <w:szCs w:val="21"/>
                <w:u w:val="single"/>
                <w:lang w:val="en-US" w:eastAsia="zh-CN" w:bidi="ar"/>
              </w:rPr>
              <w:t>宣教素材</w:t>
            </w:r>
          </w:p>
          <w:p w14:paraId="6DA356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r>
              <w:rPr>
                <w:rFonts w:hint="eastAsia" w:ascii="宋体" w:hAnsi="宋体" w:eastAsia="宋体" w:cs="宋体"/>
                <w:i w:val="0"/>
                <w:iCs w:val="0"/>
                <w:color w:val="auto"/>
                <w:kern w:val="0"/>
                <w:sz w:val="21"/>
                <w:szCs w:val="21"/>
                <w:u w:val="single"/>
                <w:lang w:val="en-US" w:eastAsia="zh-CN" w:bidi="ar"/>
              </w:rPr>
              <w:t>慢病宣教</w:t>
            </w:r>
          </w:p>
          <w:p w14:paraId="3155C72A">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供前端应用调用，支持定时给高血压患者推送基础性的疾病知识文章，画报，视频等形式的宣教内容，实现高血压宣教功能</w:t>
            </w:r>
          </w:p>
          <w:p w14:paraId="551E4665">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供前端应用调用，支持定时给糖尿病患者推送基础性的疾病知识文章，画报，视频等形式的宣教内容，实现糖尿病宣教功能</w:t>
            </w:r>
          </w:p>
          <w:p w14:paraId="0E0FF6EC">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供前端应用调用，支持定时给高血脂患者推送基础性的疾病知识文章，画报，视频等形式的宣教内容，实现高血脂宣教功能</w:t>
            </w:r>
          </w:p>
          <w:p w14:paraId="0B0EB66B">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供前端应用调用，支持定时给骨质疏松患者推送基础性的疾病知识文章，画报，视频等形式的宣教内容，实现骨质疏松宣教功能</w:t>
            </w:r>
          </w:p>
          <w:p w14:paraId="55517092">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供前端应用调用，支持定时给慢阻肺患者推送基础性的疾病知识文章，画报，视频等形式的宣教内容，实现慢阻肺宣教功能</w:t>
            </w:r>
          </w:p>
          <w:p w14:paraId="3C89AE68">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供前端应用调用，支持定时给高嘌呤患者推送基础性的疾病知识文章，画报，视频等形式的宣教内容，实现高嘌呤宣教功能</w:t>
            </w:r>
          </w:p>
          <w:p w14:paraId="775F57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r>
              <w:rPr>
                <w:rFonts w:hint="eastAsia" w:ascii="宋体" w:hAnsi="宋体" w:eastAsia="宋体" w:cs="宋体"/>
                <w:i w:val="0"/>
                <w:iCs w:val="0"/>
                <w:color w:val="auto"/>
                <w:kern w:val="0"/>
                <w:sz w:val="21"/>
                <w:szCs w:val="21"/>
                <w:u w:val="single"/>
                <w:lang w:val="en-US" w:eastAsia="zh-CN" w:bidi="ar"/>
              </w:rPr>
              <w:t>健康宣教</w:t>
            </w:r>
          </w:p>
          <w:p w14:paraId="134D4536">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供前端应用调用，支持定时给处于青春期人群推送关于社会生活、生理变化、心理健康等方面的文章，画报以及视频等形式的宣教内容，实现青春期宣教功能</w:t>
            </w:r>
          </w:p>
          <w:p w14:paraId="1219BA36">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供前端应用调用，支持定时给孕产妇推送关于孕妇的身体健康、心理健康、分娩和产后护理、母乳喂养和新生儿护理以及健康生活方式等文章，画报，视频等形式的宣教内容，实现孕产妇宣教功能</w:t>
            </w:r>
          </w:p>
          <w:p w14:paraId="1E32AEB6">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供前端应用调用定时推送家庭教育，小儿养护，流行疾病防护，亲子互动等文章，画报，视频等形式的宣教内容，实现亲子宣教功能</w:t>
            </w:r>
          </w:p>
          <w:p w14:paraId="56F7E6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r>
              <w:rPr>
                <w:rFonts w:hint="eastAsia" w:ascii="宋体" w:hAnsi="宋体" w:eastAsia="宋体" w:cs="宋体"/>
                <w:i w:val="0"/>
                <w:iCs w:val="0"/>
                <w:color w:val="auto"/>
                <w:kern w:val="0"/>
                <w:sz w:val="21"/>
                <w:szCs w:val="21"/>
                <w:u w:val="single"/>
                <w:lang w:val="en-US" w:eastAsia="zh-CN" w:bidi="ar"/>
              </w:rPr>
              <w:t>公益宣教</w:t>
            </w:r>
          </w:p>
          <w:p w14:paraId="66DCC9CE">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供前端应用调用，支持定时推送关于环境保护的文章，画报，视频等形式的宣教内容，实现环保宣教功能</w:t>
            </w:r>
          </w:p>
          <w:p w14:paraId="4ECAE8DC">
            <w:pPr>
              <w:keepNext w:val="0"/>
              <w:keepLines w:val="0"/>
              <w:widowControl/>
              <w:suppressLineNumbers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供前端应用调用，支持定时推送关于和谐邻里关系的文章，画报，视频等形式的宣教内容，实现和谐邻里功能</w:t>
            </w:r>
          </w:p>
        </w:tc>
      </w:tr>
      <w:tr w14:paraId="6BD5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14:paraId="52AF46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22886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数字孪生（新建）</w:t>
            </w: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4E10122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一、仿真组件</w:t>
            </w:r>
          </w:p>
          <w:p w14:paraId="798062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仿真功能</w:t>
            </w:r>
          </w:p>
          <w:p w14:paraId="72C465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通过数字人服务接入，为家庭医生用户提供防真助手形像设计、交互界面、语音交互，使医生用户可实时呼叫或调用防真助手，实现语音唤醒、帮助操作</w:t>
            </w:r>
          </w:p>
          <w:p w14:paraId="45D843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虚拟医生</w:t>
            </w:r>
          </w:p>
          <w:p w14:paraId="250877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通过模型训练和算法设计，系统呈现具有自动操作能力的虚拟医生服务，在预置条件下虚拟医生可执行经配置和训练后开放的医生能力专项替代服务，包括如预随访、患者提醒、远程协助、信息交互</w:t>
            </w:r>
          </w:p>
        </w:tc>
      </w:tr>
      <w:tr w14:paraId="756E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D761F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613494">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08BA699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二、环境监控</w:t>
            </w:r>
          </w:p>
          <w:p w14:paraId="47B76B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SCADA功能</w:t>
            </w:r>
          </w:p>
          <w:p w14:paraId="27DB22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数据采集与环境监测系统(SCADA)作为数字孪生中台服务，通过收集系统运行数据实时为数字人和大模型后台提供当前状态、业务进度、数据交互，</w:t>
            </w:r>
            <w:r>
              <w:rPr>
                <w:rFonts w:hint="default" w:ascii="Times New Roman" w:hAnsi="Times New Roman" w:eastAsia="宋体" w:cs="Times New Roman"/>
                <w:color w:val="auto"/>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实现数字孪生环境交互与现实用户系统数据交互保持同步</w:t>
            </w:r>
          </w:p>
        </w:tc>
      </w:tr>
      <w:tr w14:paraId="7AC1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97708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9265AC">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742D1AB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三、意图判断</w:t>
            </w:r>
          </w:p>
          <w:p w14:paraId="36281C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意图说明</w:t>
            </w:r>
          </w:p>
          <w:p w14:paraId="42B6FE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系统后台通过前端数字人的语音交互、大模型分析和算法模型支持，给出用户意图预判输出，意图判断最终通过后台服务转化为决策编码输出</w:t>
            </w:r>
          </w:p>
        </w:tc>
      </w:tr>
      <w:tr w14:paraId="5CA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086605">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B5AC13">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33DC0B0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四、辅助操作</w:t>
            </w:r>
          </w:p>
          <w:p w14:paraId="050460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功能说明</w:t>
            </w:r>
          </w:p>
          <w:p w14:paraId="222E1A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界面包含的页面、菜单、按钮、交互需进行标准化、格式化、编码化改造，前端能在数字人“上线”发出决策编码“指令”时与数字孪生中台建立联系，响应指令编码操作，并持续交互状态编码，达成数字人上线操作的结果</w:t>
            </w:r>
          </w:p>
        </w:tc>
      </w:tr>
      <w:tr w14:paraId="7A7A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6D737A">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E70C0F">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1CA690B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五、计划助手</w:t>
            </w:r>
          </w:p>
          <w:p w14:paraId="31A85F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计划说明</w:t>
            </w:r>
          </w:p>
          <w:p w14:paraId="52FCB4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系统通过申请数字人服务审批后，自动为当前医生用户制定本月工作计划、工作任务，计划任务内容包括预置的如随访任务、体检任务、签约任务等</w:t>
            </w:r>
          </w:p>
          <w:p w14:paraId="464870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一键计划</w:t>
            </w:r>
          </w:p>
          <w:p w14:paraId="242F15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计划助手支持医生端一键计划的方式自动生成工作计划，计划任务规则由系统或医生自定义，支持医生用户自行修改和同步</w:t>
            </w:r>
          </w:p>
        </w:tc>
      </w:tr>
      <w:tr w14:paraId="5571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48A74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D8AAE5">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7E86E03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六、服务助手</w:t>
            </w:r>
          </w:p>
          <w:p w14:paraId="0F2354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助手功能</w:t>
            </w:r>
          </w:p>
          <w:p w14:paraId="2D32D5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服务助手可通过语音识别进行基本交互，可以为医生提供使用帮助，帮助医生为服务对象输出信息提醒服务</w:t>
            </w:r>
          </w:p>
        </w:tc>
      </w:tr>
      <w:tr w14:paraId="6225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4A2C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18047">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5E5F8F6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七、工作小结</w:t>
            </w:r>
          </w:p>
          <w:p w14:paraId="258133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小结功能</w:t>
            </w:r>
          </w:p>
          <w:p w14:paraId="7A577E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系统依据预置条件，自动为医生完成当天工作日志、月度工作总结，并对本月工作和服务结果进行动态评价</w:t>
            </w:r>
          </w:p>
        </w:tc>
      </w:tr>
      <w:tr w14:paraId="30FF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57927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0233B">
            <w:pPr>
              <w:jc w:val="left"/>
              <w:rPr>
                <w:rFonts w:hint="eastAsia" w:ascii="宋体" w:hAnsi="宋体" w:eastAsia="宋体" w:cs="宋体"/>
                <w:i w:val="0"/>
                <w:iCs w:val="0"/>
                <w:color w:val="auto"/>
                <w:sz w:val="21"/>
                <w:szCs w:val="21"/>
                <w:u w:val="none"/>
              </w:rPr>
            </w:pPr>
          </w:p>
        </w:tc>
        <w:tc>
          <w:tcPr>
            <w:tcW w:w="3918" w:type="pct"/>
            <w:tcBorders>
              <w:top w:val="single" w:color="000000" w:sz="4" w:space="0"/>
              <w:left w:val="single" w:color="000000" w:sz="4" w:space="0"/>
              <w:bottom w:val="single" w:color="000000" w:sz="4" w:space="0"/>
              <w:right w:val="single" w:color="000000" w:sz="4" w:space="0"/>
            </w:tcBorders>
            <w:noWrap w:val="0"/>
            <w:vAlign w:val="center"/>
          </w:tcPr>
          <w:p w14:paraId="443507F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八、数字分身</w:t>
            </w:r>
          </w:p>
          <w:p w14:paraId="1EC6A1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分身申请</w:t>
            </w:r>
          </w:p>
          <w:p w14:paraId="264BEA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用于分身协助，在医生离线或忙线时上线代为处理工作，用户通过申请开通数字人，并可选定制数字人形像并进行个性化形像设计</w:t>
            </w:r>
          </w:p>
          <w:p w14:paraId="5DDDD3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分身设计</w:t>
            </w:r>
          </w:p>
          <w:p w14:paraId="4CA0B0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支持用户对分身功能进行配置和预订，依据业务需要设计分身上线所能协助工作能力范围</w:t>
            </w:r>
          </w:p>
        </w:tc>
      </w:tr>
    </w:tbl>
    <w:p w14:paraId="6EC06776">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ascii="Calibri" w:hAnsi="Calibri" w:eastAsia="宋体" w:cs="Times New Roman"/>
          <w:b/>
          <w:color w:val="auto"/>
          <w:kern w:val="2"/>
          <w:sz w:val="21"/>
          <w:szCs w:val="21"/>
          <w:lang w:val="en-US" w:eastAsia="zh-CN" w:bidi="ar-SA"/>
        </w:rPr>
        <w:t>传染病监测预警</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9"/>
        <w:gridCol w:w="1190"/>
        <w:gridCol w:w="6631"/>
      </w:tblGrid>
      <w:tr w14:paraId="2A35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399" w:type="pct"/>
            <w:tcBorders>
              <w:top w:val="single" w:color="000000" w:sz="4" w:space="0"/>
              <w:left w:val="single" w:color="000000" w:sz="4" w:space="0"/>
              <w:bottom w:val="single" w:color="000000" w:sz="4" w:space="0"/>
              <w:right w:val="single" w:color="000000" w:sz="4" w:space="0"/>
            </w:tcBorders>
            <w:noWrap w:val="0"/>
            <w:vAlign w:val="center"/>
          </w:tcPr>
          <w:p w14:paraId="3179675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83E8DC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5E2E469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子功能及技术参数</w:t>
            </w:r>
          </w:p>
        </w:tc>
      </w:tr>
      <w:tr w14:paraId="266B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99" w:type="pct"/>
            <w:vMerge w:val="restart"/>
            <w:tcBorders>
              <w:top w:val="single" w:color="000000" w:sz="4" w:space="0"/>
              <w:left w:val="single" w:color="000000" w:sz="4" w:space="0"/>
              <w:bottom w:val="single" w:color="000000" w:sz="4" w:space="0"/>
              <w:right w:val="single" w:color="000000" w:sz="4" w:space="0"/>
            </w:tcBorders>
            <w:noWrap w:val="0"/>
            <w:vAlign w:val="center"/>
          </w:tcPr>
          <w:p w14:paraId="20EB21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17B8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监测数据智能化分析（改造）</w:t>
            </w: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655E8C0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支持查看鄞州区传染病监测工作的发展史</w:t>
            </w:r>
          </w:p>
          <w:p w14:paraId="66480F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支持查看鄞州区不明原因肺炎、不明原因发热、不明原因腹泻疾病情况</w:t>
            </w:r>
          </w:p>
          <w:p w14:paraId="0D4B2A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支持查看一般/重症肺炎的发生趋势</w:t>
            </w:r>
          </w:p>
          <w:p w14:paraId="4CB20C6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支持查看甲类、乙类、丙类法定传染病报卡情况</w:t>
            </w:r>
          </w:p>
          <w:p w14:paraId="7D1AEE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支持以地图的形式展现鄞州的传染病事件分布情况</w:t>
            </w:r>
          </w:p>
          <w:p w14:paraId="4EF11B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支持查看各个年龄段的学生人群传染病事件发生情况</w:t>
            </w:r>
          </w:p>
          <w:p w14:paraId="52DE7B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支持查看其他重点人群多发的传染病发生情况</w:t>
            </w:r>
          </w:p>
        </w:tc>
      </w:tr>
      <w:tr w14:paraId="30BA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399" w:type="pct"/>
            <w:vMerge w:val="restart"/>
            <w:tcBorders>
              <w:top w:val="single" w:color="000000" w:sz="4" w:space="0"/>
              <w:left w:val="single" w:color="000000" w:sz="4" w:space="0"/>
              <w:bottom w:val="single" w:color="000000" w:sz="4" w:space="0"/>
              <w:right w:val="single" w:color="000000" w:sz="4" w:space="0"/>
            </w:tcBorders>
            <w:noWrap w:val="0"/>
            <w:vAlign w:val="center"/>
          </w:tcPr>
          <w:p w14:paraId="547937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60350F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疑似传染病数据分析（改造）</w:t>
            </w: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1880E6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支持查看鄞州区不明原因肺炎、不明原因发热、不明原因腹泻疾病的详细情况</w:t>
            </w:r>
          </w:p>
          <w:p w14:paraId="0CF465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支持查看鄞州区各家医疗机构不明原因疾病的接诊情况</w:t>
            </w:r>
          </w:p>
          <w:p w14:paraId="617040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支持查看鄞州区不明原因疾病事件的分布情况</w:t>
            </w:r>
          </w:p>
          <w:p w14:paraId="095293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支持查看鄞州区发生的不明原因疾病可疑事件的地址详细情况</w:t>
            </w:r>
          </w:p>
          <w:p w14:paraId="3D3A4F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支持查看不明原因疾病可疑事件的增长曲线以及疾病人群的构成分析、年龄分析、人员类型、性别构成</w:t>
            </w:r>
          </w:p>
        </w:tc>
      </w:tr>
      <w:tr w14:paraId="0999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99" w:type="pct"/>
            <w:vMerge w:val="restart"/>
            <w:tcBorders>
              <w:top w:val="single" w:color="000000" w:sz="4" w:space="0"/>
              <w:left w:val="single" w:color="000000" w:sz="4" w:space="0"/>
              <w:bottom w:val="single" w:color="000000" w:sz="4" w:space="0"/>
              <w:right w:val="single" w:color="000000" w:sz="4" w:space="0"/>
            </w:tcBorders>
            <w:noWrap w:val="0"/>
            <w:vAlign w:val="center"/>
          </w:tcPr>
          <w:p w14:paraId="43D2A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C15D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确诊传染病地域分布预警（改造）</w:t>
            </w: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18B107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支持查看法定传染病事件的分布情况</w:t>
            </w:r>
          </w:p>
          <w:p w14:paraId="4ADCBD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支持查看法定传染病病例信息</w:t>
            </w:r>
          </w:p>
          <w:p w14:paraId="294C60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支持查看法定传染病的单个个案信息</w:t>
            </w:r>
          </w:p>
          <w:p w14:paraId="58D9F9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支持查看法定传染病一周内的处置情况</w:t>
            </w:r>
          </w:p>
          <w:p w14:paraId="4829E7D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支持查看法定传染病的总病例数</w:t>
            </w:r>
          </w:p>
        </w:tc>
      </w:tr>
      <w:tr w14:paraId="7BA4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399" w:type="pct"/>
            <w:vMerge w:val="restart"/>
            <w:tcBorders>
              <w:top w:val="single" w:color="000000" w:sz="4" w:space="0"/>
              <w:left w:val="single" w:color="000000" w:sz="4" w:space="0"/>
              <w:bottom w:val="single" w:color="000000" w:sz="4" w:space="0"/>
              <w:right w:val="single" w:color="000000" w:sz="4" w:space="0"/>
            </w:tcBorders>
            <w:noWrap w:val="0"/>
            <w:vAlign w:val="center"/>
          </w:tcPr>
          <w:p w14:paraId="5BF008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1A67A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专项监测数据分析（改造）</w:t>
            </w: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63287C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一、中小学生监测数据分析</w:t>
            </w:r>
          </w:p>
          <w:p w14:paraId="7EEB0F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支持查看中小学生传染病可疑事件总数</w:t>
            </w:r>
          </w:p>
          <w:p w14:paraId="7B3B2F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支持查看鄞州区的学校数量</w:t>
            </w:r>
          </w:p>
          <w:p w14:paraId="472D98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支持查看鄞州区的学生数量</w:t>
            </w:r>
          </w:p>
          <w:p w14:paraId="7EB71B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支持查看鄞州区的教职工数量</w:t>
            </w:r>
          </w:p>
          <w:p w14:paraId="56D064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支持查看鄞州区各个学校传染病事件列表信息</w:t>
            </w:r>
          </w:p>
          <w:p w14:paraId="775635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支持查看鄞州区学生的体检进度、体检转诊情侣、体检部分项目总结情况</w:t>
            </w:r>
          </w:p>
          <w:p w14:paraId="3FDC79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支持查看鄞州区学校传染病事件在地图上的分布情况</w:t>
            </w:r>
          </w:p>
          <w:p w14:paraId="6CDF2D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支持查看鄞州区学生的近视率、近视情况分布、近视率学校排行榜</w:t>
            </w:r>
          </w:p>
        </w:tc>
      </w:tr>
      <w:tr w14:paraId="57F0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AD3231">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85FEBA">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3CC5ACD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二、重点人群监测数据分析</w:t>
            </w:r>
          </w:p>
          <w:p w14:paraId="6A0C5C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支持查看鄞州区传染病疾病数量的情况</w:t>
            </w:r>
          </w:p>
          <w:p w14:paraId="7C44EC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支持查看鄞州区重点人群基础性疾病、接种疫苗的情况</w:t>
            </w:r>
          </w:p>
          <w:p w14:paraId="0074B4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支持查看鄞州区重点人群传染病事件在地图的分布情况</w:t>
            </w:r>
          </w:p>
          <w:p w14:paraId="3CF340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支持查看鄞州区重点人群可疑事件的发生情况</w:t>
            </w:r>
          </w:p>
          <w:p w14:paraId="7EC5E8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支持查看鄞州区可疑疾病事件的增长曲线、人群年龄构成、性别构成</w:t>
            </w:r>
          </w:p>
        </w:tc>
      </w:tr>
      <w:tr w14:paraId="65DC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99" w:type="pct"/>
            <w:vMerge w:val="restart"/>
            <w:tcBorders>
              <w:top w:val="single" w:color="000000" w:sz="4" w:space="0"/>
              <w:left w:val="single" w:color="000000" w:sz="4" w:space="0"/>
              <w:bottom w:val="single" w:color="000000" w:sz="4" w:space="0"/>
              <w:right w:val="single" w:color="000000" w:sz="4" w:space="0"/>
            </w:tcBorders>
            <w:noWrap w:val="0"/>
            <w:vAlign w:val="center"/>
          </w:tcPr>
          <w:p w14:paraId="3C1868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24E211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传染病报卡管理（改造）</w:t>
            </w: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6F55EA2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一、报卡数据查询</w:t>
            </w:r>
          </w:p>
          <w:p w14:paraId="173ACB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支持查看智能化生成的传染病报卡数据</w:t>
            </w:r>
          </w:p>
        </w:tc>
      </w:tr>
      <w:tr w14:paraId="7392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1B2A80">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6DCEDD">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7CB81BD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二、报卡筛选</w:t>
            </w:r>
          </w:p>
          <w:p w14:paraId="5E9635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支持按照已有筛选条件，根据个人需求筛选传染病报卡</w:t>
            </w:r>
          </w:p>
        </w:tc>
      </w:tr>
      <w:tr w14:paraId="42C1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8BD96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035FA3">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3941A18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三、报卡对照维护</w:t>
            </w:r>
          </w:p>
          <w:p w14:paraId="14E16B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支持对生成的报卡内容与原始数据进行对比和修改</w:t>
            </w:r>
          </w:p>
        </w:tc>
      </w:tr>
      <w:tr w14:paraId="329C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427C86">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EA915">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67B16DD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四、报卡更新维护</w:t>
            </w:r>
          </w:p>
          <w:p w14:paraId="22F53F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支持对生成的报卡内容进行更新和维护</w:t>
            </w:r>
          </w:p>
        </w:tc>
      </w:tr>
      <w:tr w14:paraId="1188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65E30">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71363">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2FAD00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五、报卡审核</w:t>
            </w:r>
          </w:p>
          <w:p w14:paraId="1637BC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支持对自动生成好的报卡进行核对</w:t>
            </w:r>
          </w:p>
        </w:tc>
      </w:tr>
      <w:tr w14:paraId="641D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7070CB">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1C2BC0">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5B3773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六、报卡上报</w:t>
            </w:r>
          </w:p>
          <w:p w14:paraId="554672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支持对自动生成好并且核对好的报卡信息进行数据上传</w:t>
            </w:r>
          </w:p>
        </w:tc>
      </w:tr>
      <w:tr w14:paraId="1B0F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99"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E23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9B51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传染病事件诊断（改造）</w:t>
            </w: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71A12AF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一、事件筛选</w:t>
            </w:r>
          </w:p>
          <w:p w14:paraId="3EF1EF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支持对根据规则判定的传染病事件信息进行按条件查询</w:t>
            </w:r>
          </w:p>
        </w:tc>
      </w:tr>
      <w:tr w14:paraId="6049C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8D668">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F3A296">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15BE57F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二、事件数据查询</w:t>
            </w:r>
          </w:p>
          <w:p w14:paraId="19818E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支持对根据规则自动判定的传染病事件详细信息进行查询</w:t>
            </w:r>
          </w:p>
        </w:tc>
      </w:tr>
      <w:tr w14:paraId="3997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0D724F">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4CAA73">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FDFC27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三、事件处理</w:t>
            </w:r>
          </w:p>
          <w:p w14:paraId="2E5FE4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支持对生成的传染病事件进行干预处理</w:t>
            </w:r>
          </w:p>
        </w:tc>
      </w:tr>
      <w:tr w14:paraId="51D1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FF830">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1CC180">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6B0BB59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四、事件明细查询</w:t>
            </w:r>
          </w:p>
          <w:p w14:paraId="517FF6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支持对根据规则自动生成的传染病事件内的具体个案明细信息进行查询</w:t>
            </w:r>
          </w:p>
        </w:tc>
      </w:tr>
      <w:tr w14:paraId="331F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6B46E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4EAE2">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FBDF76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五、事件导出</w:t>
            </w:r>
          </w:p>
          <w:p w14:paraId="16082D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支持对传染病事件以及对应的个案内容进行导出</w:t>
            </w:r>
          </w:p>
        </w:tc>
      </w:tr>
      <w:tr w14:paraId="380D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71194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AADF6">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14CC1F7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六、事件编辑维护</w:t>
            </w:r>
          </w:p>
          <w:p w14:paraId="0FE56B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支持对传染病事件的基本信息进行调整修改</w:t>
            </w:r>
          </w:p>
        </w:tc>
      </w:tr>
      <w:tr w14:paraId="15A6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1121CE">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907FC3">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09A499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七、事件发生情况分析</w:t>
            </w:r>
          </w:p>
          <w:p w14:paraId="46E818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支持查看传染病事件的发生数量统计情况</w:t>
            </w:r>
          </w:p>
        </w:tc>
      </w:tr>
      <w:tr w14:paraId="3CD5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2C9016">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880638">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403EB2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八、事件处理情况分析</w:t>
            </w:r>
          </w:p>
          <w:p w14:paraId="1F6FB5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支持查看传染病事件的发生处理情况统计情况，包括待处置、处置中、已处置、已排除</w:t>
            </w:r>
          </w:p>
        </w:tc>
      </w:tr>
      <w:tr w14:paraId="380B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9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7325E">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4AA57F">
            <w:pPr>
              <w:jc w:val="center"/>
              <w:rPr>
                <w:rFonts w:hint="eastAsia" w:ascii="宋体" w:hAnsi="宋体" w:eastAsia="宋体" w:cs="宋体"/>
                <w:i w:val="0"/>
                <w:iCs w:val="0"/>
                <w:color w:val="auto"/>
                <w:sz w:val="21"/>
                <w:szCs w:val="21"/>
                <w:u w:val="none"/>
              </w:rPr>
            </w:pPr>
          </w:p>
        </w:tc>
        <w:tc>
          <w:tcPr>
            <w:tcW w:w="3899" w:type="pct"/>
            <w:tcBorders>
              <w:top w:val="single" w:color="000000" w:sz="4" w:space="0"/>
              <w:left w:val="single" w:color="000000" w:sz="4" w:space="0"/>
              <w:bottom w:val="single" w:color="000000" w:sz="4" w:space="0"/>
              <w:right w:val="single" w:color="000000" w:sz="4" w:space="0"/>
            </w:tcBorders>
            <w:noWrap w:val="0"/>
            <w:vAlign w:val="center"/>
          </w:tcPr>
          <w:p w14:paraId="4728198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九、事件类型分布情况分析</w:t>
            </w:r>
          </w:p>
          <w:p w14:paraId="3001C4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支持对事件类型的分布比例进行统计，内容包括单例事件、局部事件以及流行事件的占比情况</w:t>
            </w:r>
          </w:p>
        </w:tc>
      </w:tr>
    </w:tbl>
    <w:p w14:paraId="5EBD5593">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ascii="Calibri" w:hAnsi="Calibri" w:eastAsia="宋体" w:cs="Times New Roman"/>
          <w:b/>
          <w:color w:val="auto"/>
          <w:kern w:val="2"/>
          <w:sz w:val="21"/>
          <w:szCs w:val="21"/>
          <w:lang w:val="en-US" w:eastAsia="zh-CN" w:bidi="ar-SA"/>
        </w:rPr>
        <w:t>疾病管理</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1190"/>
        <w:gridCol w:w="6640"/>
      </w:tblGrid>
      <w:tr w14:paraId="7C8B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2A7E293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2C4C5B1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30D75B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62F1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6F04BE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3B256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社区概况（改造）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573F83F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一、社区人口概况</w:t>
            </w:r>
          </w:p>
          <w:p w14:paraId="25A3D4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支持社区人口概况的展示，包括社区人口分布，性别维度的分布等</w:t>
            </w:r>
          </w:p>
        </w:tc>
      </w:tr>
      <w:tr w14:paraId="1FE6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1D85FE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076EBE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健康档案报表分析（改造）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43CB24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支持健康档案报表的统计分析，如建档率等</w:t>
            </w:r>
          </w:p>
        </w:tc>
      </w:tr>
      <w:tr w14:paraId="2F6F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39BD6C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6A5175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慢病报表分析（改造）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5E5DD3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支持慢病报表的分析，如高血压分级管理情况，糖尿病分级管理情况</w:t>
            </w:r>
          </w:p>
        </w:tc>
      </w:tr>
      <w:tr w14:paraId="0E8C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55EC1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3364AC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患者情况报表分析（改造）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58C26E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支持患者情况报表统计</w:t>
            </w:r>
          </w:p>
        </w:tc>
      </w:tr>
      <w:tr w14:paraId="64B2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170967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B19E4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慢病分析（改造）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02F653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支持慢病分析，如高血压患者吸烟情况，饮酒情况等</w:t>
            </w:r>
          </w:p>
        </w:tc>
      </w:tr>
      <w:tr w14:paraId="3CA7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702517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1F52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公共卫生服务项目（改造）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58A733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支持公共卫生服务项目统计分析</w:t>
            </w:r>
          </w:p>
        </w:tc>
      </w:tr>
      <w:tr w14:paraId="2C92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200723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483A55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基层业务数据（改造）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78A28D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支持基层业务数据分析</w:t>
            </w:r>
          </w:p>
        </w:tc>
      </w:tr>
      <w:tr w14:paraId="6327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restart"/>
            <w:tcBorders>
              <w:top w:val="single" w:color="000000" w:sz="4" w:space="0"/>
              <w:left w:val="single" w:color="000000" w:sz="4" w:space="0"/>
              <w:bottom w:val="single" w:color="000000" w:sz="4" w:space="0"/>
              <w:right w:val="single" w:color="000000" w:sz="4" w:space="0"/>
            </w:tcBorders>
            <w:noWrap w:val="0"/>
            <w:vAlign w:val="center"/>
          </w:tcPr>
          <w:p w14:paraId="1BBB4A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FCAE3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高血压监测（改造）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11818AC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一、高血压报卡管理</w:t>
            </w:r>
          </w:p>
          <w:p w14:paraId="12BB61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支持按照条件查询在管高血压信息，支持查看高血压报卡明细信息，支持调阅健康档案信息。</w:t>
            </w:r>
          </w:p>
        </w:tc>
      </w:tr>
      <w:tr w14:paraId="7208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BA85C6">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ECCC15">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6B3FD4A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二、高血压随访管理</w:t>
            </w:r>
          </w:p>
          <w:p w14:paraId="1B496F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支持查询高血压随访信息，支持查看高血压随访明细信息，支持调阅健康档案。</w:t>
            </w:r>
          </w:p>
        </w:tc>
      </w:tr>
      <w:tr w14:paraId="0B6D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39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227B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55762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1CBB3AC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一、糖尿病报卡管理</w:t>
            </w:r>
          </w:p>
          <w:p w14:paraId="2A229F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支持按照条件查询在管糖尿病信息，支持查看糖尿病明细信息，支持调阅健康档案信息。</w:t>
            </w:r>
          </w:p>
        </w:tc>
      </w:tr>
      <w:tr w14:paraId="568C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8A448">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1C0686">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4D0CE0A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二、糖尿病随访管理</w:t>
            </w:r>
          </w:p>
          <w:p w14:paraId="04959D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提供查询糖尿病患者分级情况，支持查询糖尿病分级信息，支持查看糖尿病分级明细信息，支持调阅健康档案。</w:t>
            </w:r>
          </w:p>
        </w:tc>
      </w:tr>
      <w:tr w14:paraId="6DB1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394" w:type="pct"/>
            <w:vMerge w:val="restart"/>
            <w:tcBorders>
              <w:top w:val="single" w:color="000000" w:sz="4" w:space="0"/>
              <w:left w:val="single" w:color="000000" w:sz="4" w:space="0"/>
              <w:bottom w:val="single" w:color="000000" w:sz="4" w:space="0"/>
              <w:right w:val="single" w:color="000000" w:sz="4" w:space="0"/>
            </w:tcBorders>
            <w:noWrap w:val="0"/>
            <w:vAlign w:val="center"/>
          </w:tcPr>
          <w:p w14:paraId="5150D2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0483E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心脑血管监测（改造）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7BAA490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一、心脑血管报卡管理</w:t>
            </w:r>
          </w:p>
          <w:p w14:paraId="60937F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提供查询管理基层在管冠心病患者情况，支持按照条件查询在管冠心病信息，支持查看冠心病明细信息，支持调阅健康档案信息，支持原始健康档案信息。</w:t>
            </w:r>
          </w:p>
        </w:tc>
      </w:tr>
      <w:tr w14:paraId="7CFA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D42AD0">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1D4931">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0610AC1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二、心脑血管随访管理</w:t>
            </w:r>
          </w:p>
          <w:p w14:paraId="61C1E9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提供查询冠心病患者随访情况，支持查询冠心病随访信息，支持查看冠心病随访明细信息，支持调阅健康档案。</w:t>
            </w:r>
          </w:p>
        </w:tc>
      </w:tr>
      <w:tr w14:paraId="56B0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vMerge w:val="restart"/>
            <w:tcBorders>
              <w:top w:val="single" w:color="000000" w:sz="4" w:space="0"/>
              <w:left w:val="single" w:color="000000" w:sz="4" w:space="0"/>
              <w:bottom w:val="single" w:color="000000" w:sz="4" w:space="0"/>
              <w:right w:val="single" w:color="000000" w:sz="4" w:space="0"/>
            </w:tcBorders>
            <w:noWrap w:val="0"/>
            <w:vAlign w:val="center"/>
          </w:tcPr>
          <w:p w14:paraId="2AB459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0A673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肿瘤监测（改造）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63E13F1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一、肿瘤报卡管理</w:t>
            </w:r>
          </w:p>
          <w:p w14:paraId="4B1B7C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提供查询管理基层在管肿瘤患者情况，支持按照条件查询在管肿瘤信息，支持查看肿瘤明细信息，支持调阅健康档案信息，支持原始健康档案信息。</w:t>
            </w:r>
          </w:p>
        </w:tc>
      </w:tr>
      <w:tr w14:paraId="4132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236C30">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F560AA">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2280F2F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二、肿瘤随访管理</w:t>
            </w:r>
          </w:p>
          <w:p w14:paraId="406E21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提供查询肿瘤患者随访情况，支持查询肿瘤随访信息，支持查看肿瘤随访明细信息，支持调阅健康档案。</w:t>
            </w:r>
          </w:p>
        </w:tc>
      </w:tr>
      <w:tr w14:paraId="4D25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394" w:type="pct"/>
            <w:vMerge w:val="restart"/>
            <w:tcBorders>
              <w:top w:val="single" w:color="000000" w:sz="4" w:space="0"/>
              <w:left w:val="single" w:color="000000" w:sz="4" w:space="0"/>
              <w:bottom w:val="single" w:color="000000" w:sz="4" w:space="0"/>
              <w:right w:val="single" w:color="000000" w:sz="4" w:space="0"/>
            </w:tcBorders>
            <w:noWrap w:val="0"/>
            <w:vAlign w:val="center"/>
          </w:tcPr>
          <w:p w14:paraId="1894D2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00B135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精神病监测（改造）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24EC8C9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一、精神病报卡管理</w:t>
            </w:r>
          </w:p>
          <w:p w14:paraId="7A52EE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提供查询管理基层在管重精患者情况，支持按照条件查询在管重精信息，支持查看重精明细信息，支持调阅健康档案信息，支持原始健康档案信息。</w:t>
            </w:r>
          </w:p>
        </w:tc>
      </w:tr>
      <w:tr w14:paraId="1151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2E91E">
            <w:pPr>
              <w:jc w:val="center"/>
              <w:rPr>
                <w:rFonts w:hint="eastAsia" w:ascii="宋体" w:hAnsi="宋体" w:eastAsia="宋体" w:cs="宋体"/>
                <w:i w:val="0"/>
                <w:iCs w:val="0"/>
                <w:color w:val="auto"/>
                <w:sz w:val="21"/>
                <w:szCs w:val="21"/>
                <w:u w:val="none"/>
              </w:rPr>
            </w:pP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216D5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高危人群监测（改造）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181928E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二、高危报卡管理</w:t>
            </w:r>
          </w:p>
          <w:p w14:paraId="29F75E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提供查询管理基层在管高危患者情况，支持按照条件查询在管高危信息，支持查看高危明细信息，支持调阅健康档案信息，支持原始健康档案信息。</w:t>
            </w:r>
          </w:p>
        </w:tc>
      </w:tr>
      <w:tr w14:paraId="6AC5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95DD6C">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C48D97">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79BAA5F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三、高危随访管理</w:t>
            </w:r>
          </w:p>
          <w:p w14:paraId="05E02A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提供查询高危患者随访情况，支持查询高危随访信息，支持查看高危随访明细信息，支持调阅健康档案。</w:t>
            </w:r>
          </w:p>
        </w:tc>
      </w:tr>
      <w:tr w14:paraId="38F1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0E348C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5245AA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疾病防控（改造）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4A8020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支持按照查询条件查询相关的慢性病情况，支持查询基层和市属医院慢性病报告卡信息，支持查看报卡明细信息。</w:t>
            </w:r>
          </w:p>
        </w:tc>
      </w:tr>
      <w:tr w14:paraId="7A09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3427D2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780331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死亡监测（改造）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370048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提供按照查询条件查询死亡登记信息，实现查看居民死亡登记信息的功能。</w:t>
            </w:r>
          </w:p>
        </w:tc>
      </w:tr>
      <w:tr w14:paraId="13A2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303977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5D405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食源性监测（改造）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00C708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支持食源性报卡的监测信息，如食源性报卡信息等</w:t>
            </w:r>
          </w:p>
        </w:tc>
      </w:tr>
      <w:tr w14:paraId="3EB1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tcBorders>
              <w:top w:val="single" w:color="000000" w:sz="4" w:space="0"/>
              <w:left w:val="single" w:color="000000" w:sz="4" w:space="0"/>
              <w:bottom w:val="single" w:color="000000" w:sz="4" w:space="0"/>
              <w:right w:val="single" w:color="000000" w:sz="4" w:space="0"/>
            </w:tcBorders>
            <w:noWrap w:val="0"/>
            <w:vAlign w:val="center"/>
          </w:tcPr>
          <w:p w14:paraId="61E133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52A70C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传染病监测（改造）</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617A3F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支持传染病数据的监测信息，如各类传染病报卡情况。</w:t>
            </w:r>
          </w:p>
        </w:tc>
      </w:tr>
      <w:tr w14:paraId="196E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394" w:type="pct"/>
            <w:vMerge w:val="restart"/>
            <w:tcBorders>
              <w:top w:val="single" w:color="000000" w:sz="4" w:space="0"/>
              <w:left w:val="single" w:color="000000" w:sz="4" w:space="0"/>
              <w:bottom w:val="single" w:color="000000" w:sz="4" w:space="0"/>
              <w:right w:val="single" w:color="000000" w:sz="4" w:space="0"/>
            </w:tcBorders>
            <w:noWrap w:val="0"/>
            <w:vAlign w:val="center"/>
          </w:tcPr>
          <w:p w14:paraId="0CAED0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075475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医疗服务信息调阅（新建）</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6A1D153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一、门诊诊疗信息管理</w:t>
            </w:r>
          </w:p>
          <w:p w14:paraId="142778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支持根据姓名、身份证、就诊信息等关键字对个人就诊情况进行检索，支持查看病人门诊就诊详情（包括诊断、医嘱、检查、检验、治疗等），支持调阅病人健康档案基本信息。</w:t>
            </w:r>
          </w:p>
        </w:tc>
      </w:tr>
      <w:tr w14:paraId="1E4F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92EC8F">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9F5A6B">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4380FB6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二、住院诊疗信息管理</w:t>
            </w:r>
          </w:p>
          <w:p w14:paraId="33E7CD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支持根据姓名、身份证等信息对个人住院信息进行检索，支持查看病人住院就诊详情，可查看该次住院对应的病案首页、医嘱、检查、化验、电子病历、出院小结等信息，支持调阅病人健康档案基本信息。</w:t>
            </w:r>
          </w:p>
        </w:tc>
      </w:tr>
      <w:tr w14:paraId="6217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A0B568">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F1E81">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3647622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三、检验信息管理</w:t>
            </w:r>
          </w:p>
          <w:p w14:paraId="61669C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支持根据姓名、身份证等信息对检验记录进行检索，支持查看病人检验详情，查看化验报告单，支持调阅病人健康档案基本信息。</w:t>
            </w:r>
          </w:p>
        </w:tc>
      </w:tr>
      <w:tr w14:paraId="04AE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7DBE5A">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49B46D">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788A093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四、检查信息管理</w:t>
            </w:r>
          </w:p>
          <w:p w14:paraId="10D2CF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支持根据姓名、身份证等信息对检查记录进行检索，支持查看病人检查详情，查看检查告单，支持调阅病人健康档案基本信息。</w:t>
            </w:r>
          </w:p>
        </w:tc>
      </w:tr>
      <w:tr w14:paraId="119A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52477">
            <w:pPr>
              <w:jc w:val="center"/>
              <w:rPr>
                <w:rFonts w:hint="eastAsia" w:ascii="宋体" w:hAnsi="宋体" w:eastAsia="宋体" w:cs="宋体"/>
                <w:i w:val="0"/>
                <w:iCs w:val="0"/>
                <w:color w:val="auto"/>
                <w:sz w:val="21"/>
                <w:szCs w:val="21"/>
                <w:u w:val="none"/>
              </w:rPr>
            </w:pP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6B21C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基层卫生信息调阅（新建）</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44CF93B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一、个人信息查询</w:t>
            </w:r>
          </w:p>
          <w:p w14:paraId="570DD3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支持根据姓名、身份证号等关键字对个人档案进行信息检索，支持调阅病人健康档案信息，支持查看病人原始云公卫健康档案基本信息。</w:t>
            </w:r>
          </w:p>
        </w:tc>
      </w:tr>
      <w:tr w14:paraId="2460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ACFDA">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880211">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6C32AFB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二、体检信息查询</w:t>
            </w:r>
          </w:p>
          <w:p w14:paraId="3127B5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支持根据姓名、身份证等信息对个人体检信息进行检索，支持查看体检详情，可查看体检报告单，如该次体检为健康体检，则显示对应健康体检详情，如该次体检为常规体检，则显示对应常规体检详情。</w:t>
            </w:r>
          </w:p>
        </w:tc>
      </w:tr>
      <w:tr w14:paraId="4AC7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15D23">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DD962E">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07C4888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三、出生信息查询</w:t>
            </w:r>
          </w:p>
          <w:p w14:paraId="315B10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支持根据编号、婴儿姓名等信息对出生信息进行检索，支持查看出生信息详情页面，查看详细信息。</w:t>
            </w:r>
          </w:p>
        </w:tc>
      </w:tr>
      <w:tr w14:paraId="71D8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E46846">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AA8413">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2C62E48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四、妇保信息查询</w:t>
            </w:r>
          </w:p>
          <w:p w14:paraId="766778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支持根据姓名、身份证等信息对妇保信息进行检索，支持查看妇女保健详情页面，查看详细信息，包括孕产建册、初次产检、产后随访、产后访视、产后42天检查等信息。</w:t>
            </w:r>
          </w:p>
        </w:tc>
      </w:tr>
      <w:tr w14:paraId="3237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D8C5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1F7DB4">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7228781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五、儿保信息查询</w:t>
            </w:r>
          </w:p>
          <w:p w14:paraId="347D2B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支持根据姓名、身份证等信息对儿保信息进行检索，支持查看儿童保健详情页面，查看详细信息，包括儿童保健、新生儿访视、保健体检等。</w:t>
            </w:r>
          </w:p>
        </w:tc>
      </w:tr>
      <w:tr w14:paraId="4030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B3FF79">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68B161">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595F048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六、计免信息查询</w:t>
            </w:r>
          </w:p>
          <w:p w14:paraId="16F134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支持根据姓名、身份证等信息对计免信息进行检索，支持查看计免信息详情页面，查看详细信息，包括基本信息、接种信息、预种信息等。</w:t>
            </w:r>
          </w:p>
        </w:tc>
      </w:tr>
      <w:tr w14:paraId="181F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0CF2A">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42B1F">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2072516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七、精神档案查询</w:t>
            </w:r>
          </w:p>
          <w:p w14:paraId="464DC1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支持根据姓名、身份证等信息对精神病信息进行检索，支持查看精神病详情页面，查看详情信息。包括患者基本信息、监护人信息等。</w:t>
            </w:r>
          </w:p>
        </w:tc>
      </w:tr>
      <w:tr w14:paraId="5945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D9193">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ED0118">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3148B7A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八、护理信息查询</w:t>
            </w:r>
          </w:p>
          <w:p w14:paraId="729D56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支持根据姓名、身份证等信息对护理信息进行检索，支持查看护理详情页面，查看详情信息。包括患者基本信息、护理项目信息等。</w:t>
            </w:r>
          </w:p>
        </w:tc>
      </w:tr>
      <w:tr w14:paraId="0E39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F0D6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3042BC">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61C1E5B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九、输血信息查询</w:t>
            </w:r>
          </w:p>
          <w:p w14:paraId="3672E0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支持根据姓名、身份证等信息对输血信息进行检索，支持查看输血详情页面，查看详情信息。包括输血详情、输血人基本信息等。</w:t>
            </w:r>
          </w:p>
        </w:tc>
      </w:tr>
      <w:tr w14:paraId="5BAB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591719">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3BF51B">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5DADB8C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十、献血信息查询</w:t>
            </w:r>
          </w:p>
          <w:p w14:paraId="1DD6C7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支持根据姓名、身份证等信息对献血信息进行检索，支持查看献血详情页面，查看详情信息。包括献血详情、献血人基本信息、献血量等。</w:t>
            </w:r>
          </w:p>
        </w:tc>
      </w:tr>
      <w:tr w14:paraId="21F6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E51A7">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48EC8E">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5180B71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十一、急救出车查询</w:t>
            </w:r>
          </w:p>
          <w:p w14:paraId="0F8A48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支持根据流水号、车牌号等信息对急救出车信息进行检索，支持查看急救出车详情页面，查看详情信息。包括派车类型、呼叫原因、出车时间等。</w:t>
            </w:r>
          </w:p>
        </w:tc>
      </w:tr>
      <w:tr w14:paraId="310C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DE0840">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A75D07">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7C2AE8D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十二、检查信息查询（省下发）</w:t>
            </w:r>
          </w:p>
          <w:p w14:paraId="3BE25D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支持根据姓名、身份证等信息对省下发的检查信息进行检索，支持查看检查详情页面，查看详情信息。包括检查机构名称、申请科室、检查类型等。</w:t>
            </w:r>
          </w:p>
        </w:tc>
      </w:tr>
      <w:tr w14:paraId="4E9B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70F94C">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C04848">
            <w:pPr>
              <w:jc w:val="center"/>
              <w:rPr>
                <w:rFonts w:hint="eastAsia" w:ascii="宋体" w:hAnsi="宋体" w:eastAsia="宋体" w:cs="宋体"/>
                <w:i w:val="0"/>
                <w:iCs w:val="0"/>
                <w:color w:val="auto"/>
                <w:sz w:val="21"/>
                <w:szCs w:val="21"/>
                <w:u w:val="none"/>
              </w:rPr>
            </w:pPr>
          </w:p>
        </w:tc>
        <w:tc>
          <w:tcPr>
            <w:tcW w:w="3904" w:type="pct"/>
            <w:tcBorders>
              <w:top w:val="single" w:color="000000" w:sz="4" w:space="0"/>
              <w:left w:val="single" w:color="000000" w:sz="4" w:space="0"/>
              <w:bottom w:val="single" w:color="000000" w:sz="4" w:space="0"/>
              <w:right w:val="single" w:color="000000" w:sz="4" w:space="0"/>
            </w:tcBorders>
            <w:noWrap w:val="0"/>
            <w:vAlign w:val="center"/>
          </w:tcPr>
          <w:p w14:paraId="33E7A7B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十三、检验信息查询（省下发）</w:t>
            </w:r>
          </w:p>
          <w:p w14:paraId="40E26C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支持根据姓名、身份证等信息对省下发的检验信息进行检索，支持查看检验详情页面，查看详情信息。包括检验机构名称、科室名称、检验类型等。</w:t>
            </w:r>
          </w:p>
        </w:tc>
      </w:tr>
    </w:tbl>
    <w:p w14:paraId="1A35FB10">
      <w:pPr>
        <w:rPr>
          <w:rFonts w:hint="eastAsia" w:ascii="Calibri" w:hAnsi="Calibri" w:eastAsia="宋体" w:cs="Times New Roman"/>
          <w:color w:val="auto"/>
          <w:sz w:val="21"/>
          <w:szCs w:val="21"/>
        </w:rPr>
      </w:pPr>
    </w:p>
    <w:p w14:paraId="2441ECD3">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ascii="Calibri" w:hAnsi="Calibri" w:eastAsia="宋体" w:cs="Times New Roman"/>
          <w:b/>
          <w:color w:val="auto"/>
          <w:kern w:val="2"/>
          <w:sz w:val="21"/>
          <w:szCs w:val="21"/>
          <w:lang w:val="en-US" w:eastAsia="zh-CN" w:bidi="ar-SA"/>
        </w:rPr>
        <w:t>伤害监测</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
        <w:gridCol w:w="1190"/>
        <w:gridCol w:w="6630"/>
      </w:tblGrid>
      <w:tr w14:paraId="1460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400" w:type="pct"/>
            <w:tcBorders>
              <w:top w:val="single" w:color="000000" w:sz="4" w:space="0"/>
              <w:left w:val="single" w:color="000000" w:sz="4" w:space="0"/>
              <w:bottom w:val="single" w:color="000000" w:sz="4" w:space="0"/>
              <w:right w:val="single" w:color="000000" w:sz="4" w:space="0"/>
            </w:tcBorders>
            <w:noWrap w:val="0"/>
            <w:vAlign w:val="center"/>
          </w:tcPr>
          <w:p w14:paraId="0DAC626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4112D45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79775D3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1C7F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141C4E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7F36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伤害数据分类管理（新建）</w:t>
            </w: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1205535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一、全部伤害管理</w:t>
            </w:r>
          </w:p>
          <w:p w14:paraId="7AC85F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报卡数据管理</w:t>
            </w:r>
          </w:p>
          <w:p w14:paraId="1DE2A7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支持新增、更新编辑报卡记录信息，包括患者一般信息、伤害事件的基本情况、伤害临床信息等，支持作废</w:t>
            </w:r>
          </w:p>
          <w:p w14:paraId="345133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支持按流调状态、伤害原因、数据来源等信息进行分页查询</w:t>
            </w:r>
          </w:p>
          <w:p w14:paraId="3F4A63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报卡记录导出</w:t>
            </w:r>
          </w:p>
          <w:p w14:paraId="5556B3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支持选择需要导出的报卡记录进行一键导出</w:t>
            </w:r>
          </w:p>
          <w:p w14:paraId="35DB29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报卡导入/导出记录管理</w:t>
            </w:r>
          </w:p>
          <w:p w14:paraId="2D4ECD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支持导入/导出记录信息查看，包括时间、数据量、类型、状态</w:t>
            </w:r>
          </w:p>
          <w:p w14:paraId="01B89D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支持导入/导出记录下载、刷新</w:t>
            </w:r>
          </w:p>
          <w:p w14:paraId="2FA099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报卡对照维护</w:t>
            </w:r>
          </w:p>
          <w:p w14:paraId="2684F8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支持对照编辑，提供判断依据进行对照再编辑，提供作废操作</w:t>
            </w:r>
          </w:p>
          <w:p w14:paraId="71F3B7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报卡流调</w:t>
            </w:r>
          </w:p>
          <w:p w14:paraId="0009BE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支持报卡流调登记</w:t>
            </w:r>
          </w:p>
          <w:p w14:paraId="369222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报卡审核</w:t>
            </w:r>
          </w:p>
          <w:p w14:paraId="2BD9AD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支持报卡审核操作</w:t>
            </w:r>
          </w:p>
          <w:p w14:paraId="0A6C41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报卡审核情况分析</w:t>
            </w:r>
          </w:p>
          <w:p w14:paraId="5EB3FA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支持对待审核、待上报、已上报相关报卡审核情况进行统计分析</w:t>
            </w:r>
          </w:p>
          <w:p w14:paraId="2D72FE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报卡审核完成度分析</w:t>
            </w:r>
          </w:p>
          <w:p w14:paraId="59B6EF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支持对待审核、待上报、已上报相关报卡审核完成度进行统计分析</w:t>
            </w:r>
          </w:p>
        </w:tc>
      </w:tr>
      <w:tr w14:paraId="1077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1FF08EE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0E6A6C">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50ECC1C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二、死亡数据管理</w:t>
            </w:r>
          </w:p>
          <w:p w14:paraId="7B8C11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伤害死亡数据管理</w:t>
            </w:r>
          </w:p>
          <w:p w14:paraId="00FCFB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支持查看死亡报卡数据记录，报卡姓名、身份证、性别、文化程度、年龄、住址、死亡地址、死亡日期、死亡原因等信息</w:t>
            </w:r>
          </w:p>
          <w:p w14:paraId="7FDE23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支持按姓名、身份证、伤害原因进行分页查询</w:t>
            </w:r>
          </w:p>
          <w:p w14:paraId="2F4E60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伤害死亡数据导入</w:t>
            </w:r>
          </w:p>
          <w:p w14:paraId="1640F2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支持伤害死亡数据文件导入</w:t>
            </w:r>
          </w:p>
          <w:p w14:paraId="3DBBDF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死亡报卡自动生成</w:t>
            </w:r>
          </w:p>
          <w:p w14:paraId="478896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支持死亡报卡自动生成</w:t>
            </w:r>
          </w:p>
        </w:tc>
      </w:tr>
      <w:tr w14:paraId="459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106097B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74490">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57FF643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三、伤害专项分析</w:t>
            </w:r>
          </w:p>
          <w:p w14:paraId="4541C8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学生伤害情况分析</w:t>
            </w:r>
          </w:p>
          <w:p w14:paraId="664129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支持对多发伤害、伤害分布情况、中小学伤害情况、多发地点、发生趋势、多发学校进行统计分析</w:t>
            </w:r>
          </w:p>
          <w:p w14:paraId="3556BB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老人伤害情况分析</w:t>
            </w:r>
          </w:p>
          <w:p w14:paraId="74DCBD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支持对多发伤害、发生趋势、男女比例、多发地点、发生时间分布、故意情况进行统计分析</w:t>
            </w:r>
          </w:p>
          <w:p w14:paraId="30E37D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交通伤害情况分析</w:t>
            </w:r>
          </w:p>
          <w:p w14:paraId="59B29C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支持对多发车型、发生趋势、男女比例、多发地点、男女比例情况、故意情况进行统计分析</w:t>
            </w:r>
          </w:p>
          <w:p w14:paraId="09EDF4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职业伤害情况分析</w:t>
            </w:r>
          </w:p>
          <w:p w14:paraId="7CB8E8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支持对多发伤害、发生趋势、男女比例、高危职业、职业伤害人群受教育程度、故意情况进行统计分析</w:t>
            </w:r>
          </w:p>
        </w:tc>
      </w:tr>
      <w:tr w14:paraId="3ABB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1FD41C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79E06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伤害干预管理（新建）</w:t>
            </w: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4EF8C2A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一、干预区域划分</w:t>
            </w:r>
          </w:p>
          <w:p w14:paraId="7503D9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伤害事故自动划分归并</w:t>
            </w:r>
          </w:p>
          <w:p w14:paraId="5684A7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支持伤害事故自动按区域进行划分归并</w:t>
            </w:r>
          </w:p>
          <w:p w14:paraId="2DBD9D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伤害事故数据管理</w:t>
            </w:r>
          </w:p>
          <w:p w14:paraId="351521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支持查看、删除伤害事故数据记录，包括事故区域、伤害类型、事故数量、区划更新时间等信息</w:t>
            </w:r>
          </w:p>
          <w:p w14:paraId="110CEF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支持按区划地点、区划名称进行检索</w:t>
            </w:r>
          </w:p>
          <w:p w14:paraId="4A82B8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事故区域维护</w:t>
            </w:r>
          </w:p>
          <w:p w14:paraId="15D2B9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支持修改事故区域名称</w:t>
            </w:r>
          </w:p>
          <w:p w14:paraId="2ECAF3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事故地图打点显示</w:t>
            </w:r>
          </w:p>
          <w:p w14:paraId="5866ED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支持事故地图查看，打点定位具体事故区域，</w:t>
            </w:r>
            <w:r>
              <w:rPr>
                <w:rFonts w:hint="eastAsia" w:ascii="宋体" w:hAnsi="宋体" w:eastAsia="宋体" w:cs="宋体"/>
                <w:color w:val="auto"/>
                <w:kern w:val="0"/>
                <w:sz w:val="21"/>
                <w:szCs w:val="21"/>
                <w:lang w:bidi="ar"/>
              </w:rPr>
              <w:t>通过地图上的打点计算出同类伤害的距离，形成伤害事件重点关注区域</w:t>
            </w:r>
          </w:p>
          <w:p w14:paraId="331E35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事故危险等级标注</w:t>
            </w:r>
          </w:p>
          <w:p w14:paraId="083AB7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支持按照低危、中危、中高危、高危、超危进行事故危险等级标注</w:t>
            </w:r>
          </w:p>
        </w:tc>
      </w:tr>
      <w:tr w14:paraId="5280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32B9C555">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D083C9">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151A78A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二、事故干预管理</w:t>
            </w:r>
          </w:p>
          <w:p w14:paraId="2FFBCC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事故干预数据管理</w:t>
            </w:r>
          </w:p>
          <w:p w14:paraId="042F11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支持查看事故干预数据区域划分记录，包括事故区域、干预情况、事故类型、街道/社区联系方式、干预反馈时间等信息</w:t>
            </w:r>
          </w:p>
          <w:p w14:paraId="41AC29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支持按事故地点、干预情况、干预反馈时间进行检索区域划分情况</w:t>
            </w:r>
          </w:p>
          <w:p w14:paraId="7179B0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事故干预反馈</w:t>
            </w:r>
          </w:p>
          <w:p w14:paraId="6B225D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支持对发生事故区域进行干预反馈，包括干预类型、备注、照片、人员、时间等</w:t>
            </w:r>
          </w:p>
          <w:p w14:paraId="708FB5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事故明细查询</w:t>
            </w:r>
          </w:p>
          <w:p w14:paraId="40DB43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支持事故区域下钻伤害事件详情，包括事件地点、事故类型、姓名、发生时间、受伤程度、受伤人员联系方式、备注等信息</w:t>
            </w:r>
          </w:p>
          <w:p w14:paraId="5F1B5F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支持按姓名、事故发生时间、伤害严重程度、是否死亡、事故类型进行区域下具体伤害事件的检索</w:t>
            </w:r>
          </w:p>
          <w:p w14:paraId="139624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事故导出</w:t>
            </w:r>
          </w:p>
          <w:p w14:paraId="0B3AC3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支持伤害事故记录导出</w:t>
            </w:r>
          </w:p>
          <w:p w14:paraId="77ECE4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事故发生情况分析</w:t>
            </w:r>
          </w:p>
          <w:p w14:paraId="549537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支持伤害事故数统计</w:t>
            </w:r>
          </w:p>
          <w:p w14:paraId="439883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事故流调情况分析</w:t>
            </w:r>
          </w:p>
          <w:p w14:paraId="136BFC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支持流调件数统计</w:t>
            </w:r>
          </w:p>
          <w:p w14:paraId="1B0E5F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干预情况分析</w:t>
            </w:r>
          </w:p>
          <w:p w14:paraId="309624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支持区域干预情况（已干预、未干预）统计分析</w:t>
            </w:r>
          </w:p>
          <w:p w14:paraId="1407B3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多发街道/镇分析</w:t>
            </w:r>
          </w:p>
          <w:p w14:paraId="245122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支持多发街道/镇统计</w:t>
            </w:r>
          </w:p>
        </w:tc>
      </w:tr>
      <w:tr w14:paraId="0ECD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21866E50">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CF3AF6">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0B378AD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三、交通事故干预</w:t>
            </w:r>
          </w:p>
          <w:p w14:paraId="1680E9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交通事故干预评估</w:t>
            </w:r>
          </w:p>
          <w:p w14:paraId="7D03A1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支持交通事故干预件数及评估统计</w:t>
            </w:r>
          </w:p>
          <w:p w14:paraId="406B31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饮酒情况分析</w:t>
            </w:r>
          </w:p>
          <w:p w14:paraId="0EE873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支持交通事故饮酒情况统计分析</w:t>
            </w:r>
          </w:p>
          <w:p w14:paraId="48E170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交通事故多发时间段分析</w:t>
            </w:r>
          </w:p>
          <w:p w14:paraId="1EBC93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支持交通事故多发时间段统计分析</w:t>
            </w:r>
          </w:p>
        </w:tc>
      </w:tr>
      <w:tr w14:paraId="048D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079455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27B0B3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伤害数据管理（新建）</w:t>
            </w: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3F0B25B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一、干预数据报表</w:t>
            </w:r>
          </w:p>
          <w:p w14:paraId="2142E7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支持干预数据报表统计，包括伤害原因、区域事故数、干预数、干预比等信息</w:t>
            </w:r>
          </w:p>
        </w:tc>
      </w:tr>
      <w:tr w14:paraId="7789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00391D2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A7DDC">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22DC714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二、机构/街道数据报表</w:t>
            </w:r>
          </w:p>
          <w:p w14:paraId="1F7CF0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机构维度数据报表</w:t>
            </w:r>
          </w:p>
          <w:p w14:paraId="6568A3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机构伤害发生情况统计</w:t>
            </w:r>
          </w:p>
          <w:p w14:paraId="623838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支持根据机构划分统计机动车交通伤、非机动车交通伤、跌倒、钝器伤、火器伤等各类伤害的总数、死亡、致残数量统计</w:t>
            </w:r>
          </w:p>
          <w:p w14:paraId="519DA3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伤害发生情况明细</w:t>
            </w:r>
          </w:p>
          <w:p w14:paraId="798134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支持下钻查看各类伤害详情，包括姓名、年龄、性别、就诊时间、受伤程度、职业等信息</w:t>
            </w:r>
          </w:p>
          <w:p w14:paraId="0E197D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支持按姓名、就诊时间、伤害严重程度、性别进行检索</w:t>
            </w:r>
          </w:p>
          <w:p w14:paraId="4FFE03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街道维护数据报表</w:t>
            </w:r>
          </w:p>
          <w:p w14:paraId="01B6ED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街道伤害发生情况统计</w:t>
            </w:r>
          </w:p>
          <w:p w14:paraId="69030A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支持根据街道划分统计机动车交通伤、非机动车交通伤、跌倒、钝器伤、火器伤等各类伤害的总数、死亡、致残数量统计</w:t>
            </w:r>
          </w:p>
          <w:p w14:paraId="3CBE00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伤害发生情况明细</w:t>
            </w:r>
          </w:p>
          <w:p w14:paraId="4491DB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支持下钻查看各类伤害详情，包括姓名、年龄、性别、就诊时间、受伤程度、职业等信息</w:t>
            </w:r>
          </w:p>
          <w:p w14:paraId="7830BA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支持按姓名、就诊时间、伤害严重程度、性别进行检索</w:t>
            </w:r>
          </w:p>
        </w:tc>
      </w:tr>
      <w:tr w14:paraId="7414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4"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5A82DFF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54DE32">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401A91C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三、来源数据</w:t>
            </w:r>
          </w:p>
          <w:p w14:paraId="6271CA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伤害来源情况明细（门诊情况）</w:t>
            </w:r>
          </w:p>
          <w:p w14:paraId="390FE8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支持查看数据来源为门诊的伤害数据统计情况，内容包括伤害原因、门诊就诊人数等数据</w:t>
            </w:r>
          </w:p>
          <w:p w14:paraId="34B9A1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伤害来源情况明细（住院情况）</w:t>
            </w:r>
          </w:p>
          <w:p w14:paraId="2D63DD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支持查看数据来源为住院的伤害数据统计情况，内容包括伤害原因、住院就诊人数、住院报卡数量等数据</w:t>
            </w:r>
          </w:p>
          <w:p w14:paraId="1D168F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伤害来源情况明细（死亡情况）</w:t>
            </w:r>
          </w:p>
          <w:p w14:paraId="52797F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支持查看数据来源为死亡的伤害数据统计情况，内容包括死亡报卡数、死亡男性数量、死亡女性数量等数据</w:t>
            </w:r>
          </w:p>
          <w:p w14:paraId="306A13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伤害趋势分析</w:t>
            </w:r>
          </w:p>
          <w:p w14:paraId="45F1DF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支持对三类数据采集来源的伤害数量进行趋势分析，展示12种伤害当前年份的数据分布情况</w:t>
            </w:r>
          </w:p>
        </w:tc>
      </w:tr>
      <w:tr w14:paraId="272C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7FC73D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1E088F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监测数据质量控制（新建）</w:t>
            </w: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2E1495E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一、质控明细</w:t>
            </w:r>
          </w:p>
          <w:p w14:paraId="774539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门诊智能质控分析</w:t>
            </w:r>
          </w:p>
          <w:p w14:paraId="17FC69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支持基于模型智能质控的结果，查看门诊数据质控明细，内容包括按完整性、准确性、逻辑性、总得分</w:t>
            </w:r>
          </w:p>
          <w:p w14:paraId="1F8B56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住院智能质控分析</w:t>
            </w:r>
          </w:p>
          <w:p w14:paraId="633E5A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支持基于模型智能质控的结果，查看住院数据质控明细，内容包括按完整性、准确性、逻辑性</w:t>
            </w:r>
          </w:p>
        </w:tc>
      </w:tr>
      <w:tr w14:paraId="0BC9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7A04CF1D">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C40777">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2B56299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二、质控分析管理</w:t>
            </w:r>
          </w:p>
          <w:p w14:paraId="03BCD2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质控模型</w:t>
            </w:r>
          </w:p>
          <w:p w14:paraId="25AE1E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支持建立质控模型，自动识别、分析电子病历非结构化描述，并进行质控判断。</w:t>
            </w:r>
          </w:p>
          <w:p w14:paraId="672046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质控分析指标</w:t>
            </w:r>
          </w:p>
          <w:p w14:paraId="76565D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支持查看伤害数据质控指标数、涉及伤害种类等数据</w:t>
            </w:r>
          </w:p>
          <w:p w14:paraId="5E36BF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支持对完整性数据质控得分进行分析，内容包括得分、较上次的变化等数据</w:t>
            </w:r>
          </w:p>
          <w:p w14:paraId="1C072B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支持对准确性数据质控得分进行分析，内容包括得分、较上次的变化等数据</w:t>
            </w:r>
          </w:p>
          <w:p w14:paraId="5234DD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支持对逻辑性数据质控得分进行分析，内容包括得分、较上次的变化等数据</w:t>
            </w:r>
          </w:p>
          <w:p w14:paraId="5386AE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支持对整体数据质控得分进行分析，内容包括得分、较上次的变化等数据</w:t>
            </w:r>
          </w:p>
          <w:p w14:paraId="3D2322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支持查看机构在质控方面的表现情况，将质量等级分为优秀、良好、一般、达标</w:t>
            </w:r>
          </w:p>
          <w:p w14:paraId="3CFB14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支持查看近一周的数据质控情况，内容包括分类、指标问题名称、累计出现次数等数据</w:t>
            </w:r>
          </w:p>
          <w:p w14:paraId="3738A0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支持查看每家医院一天内的报卡数量，并对其质量进行质控分析</w:t>
            </w:r>
          </w:p>
          <w:p w14:paraId="30BF98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支持查看完整性质控分数的趋势情况,以曲线图形式呈现</w:t>
            </w:r>
          </w:p>
          <w:p w14:paraId="148020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支持查看准确性质控分数的趋势情况,以曲线图形式呈现</w:t>
            </w:r>
          </w:p>
          <w:p w14:paraId="5EFFB1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支持查看逻辑性质控分数的趋势情况,以曲线图形式呈现</w:t>
            </w:r>
          </w:p>
          <w:p w14:paraId="06C509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支持查看各机构在质控工作中的得分</w:t>
            </w:r>
          </w:p>
        </w:tc>
      </w:tr>
      <w:tr w14:paraId="7643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0BC538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14AD6C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监测数据智能分析（新建）</w:t>
            </w: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3ECA31E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一、综合数据分析</w:t>
            </w:r>
          </w:p>
          <w:p w14:paraId="07A02F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支持查看区域各类伤害的变化趋势</w:t>
            </w:r>
          </w:p>
          <w:p w14:paraId="195C3D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支持查看区域所受伤害比重的变化</w:t>
            </w:r>
          </w:p>
          <w:p w14:paraId="3864B7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支持查看区域各类伤害发生数量的排行</w:t>
            </w:r>
          </w:p>
          <w:p w14:paraId="4D34B8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支持查看伤害对健康和社会造成的总损失，包括寿命负担和费用负担两个方面</w:t>
            </w:r>
          </w:p>
          <w:p w14:paraId="0A3BFD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支持查看区域的地图，按街道划分，展示每个街道的伤害数量以及具体的例如死亡、残疾的数量。</w:t>
            </w:r>
          </w:p>
          <w:p w14:paraId="2BD687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支持查看区域内规定时间段内伤害发生人数，包括死亡人数、致残人数、伤害发生报卡数</w:t>
            </w:r>
          </w:p>
        </w:tc>
      </w:tr>
      <w:tr w14:paraId="4121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4E7947B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415044">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6C7E854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二、伤害具体分析</w:t>
            </w:r>
          </w:p>
          <w:p w14:paraId="244280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将常见伤害分为12类，支持查看各个种类的伤害发生情况</w:t>
            </w:r>
          </w:p>
          <w:p w14:paraId="7BF0B6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支持查看各类伤害的伤害发生年龄段占比</w:t>
            </w:r>
          </w:p>
          <w:p w14:paraId="29FD53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支持查看各类伤害的高危发生人群</w:t>
            </w:r>
          </w:p>
          <w:p w14:paraId="43BEA9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支持查看伤害多发地点的一个排名</w:t>
            </w:r>
          </w:p>
          <w:p w14:paraId="57BB53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支持查看各类伤害发生的人为故意情况，分为非故意和故意</w:t>
            </w:r>
          </w:p>
          <w:p w14:paraId="3E1293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支持查看各类伤害容易发生的一个高危季节</w:t>
            </w:r>
          </w:p>
          <w:p w14:paraId="7EF0E2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支持查看各类伤害发生人群的性别占比</w:t>
            </w:r>
          </w:p>
          <w:p w14:paraId="32E640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支持查看各类伤害在区域地图上的分布情况</w:t>
            </w:r>
          </w:p>
          <w:p w14:paraId="3DDC0D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支持查看各类伤害的严重情况</w:t>
            </w:r>
          </w:p>
          <w:p w14:paraId="4B7210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支持查看各类伤害的伤害发生人数</w:t>
            </w:r>
          </w:p>
        </w:tc>
      </w:tr>
      <w:tr w14:paraId="4424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673DE71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F65AD2">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21DB870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三、干预治理分析</w:t>
            </w:r>
          </w:p>
          <w:p w14:paraId="4C0424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支持评估干预质量</w:t>
            </w:r>
          </w:p>
          <w:p w14:paraId="481AB1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支持查看各类伤害事故近期发生情况</w:t>
            </w:r>
          </w:p>
          <w:p w14:paraId="60FBDD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将常见伤害分为12类，支持查看各个种类的伤害发生情况</w:t>
            </w:r>
          </w:p>
          <w:p w14:paraId="71555F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支持查看各类伤害在区域地图上的分布情况</w:t>
            </w:r>
          </w:p>
          <w:p w14:paraId="21265A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支持查看伤害多发地段的一个排名</w:t>
            </w:r>
          </w:p>
          <w:p w14:paraId="6A622A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支持查看各类伤害的伤害发生人数</w:t>
            </w:r>
          </w:p>
        </w:tc>
      </w:tr>
      <w:tr w14:paraId="7AE4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400" w:type="pct"/>
            <w:vMerge w:val="restart"/>
            <w:tcBorders>
              <w:top w:val="single" w:color="000000" w:sz="4" w:space="0"/>
              <w:left w:val="single" w:color="000000" w:sz="4" w:space="0"/>
              <w:bottom w:val="single" w:color="000000" w:sz="4" w:space="0"/>
              <w:right w:val="single" w:color="000000" w:sz="4" w:space="0"/>
            </w:tcBorders>
            <w:noWrap/>
            <w:vAlign w:val="center"/>
          </w:tcPr>
          <w:p w14:paraId="39C315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3F70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监测报卡智能生成（新建）</w:t>
            </w: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0110EF7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一、数据标注</w:t>
            </w:r>
          </w:p>
          <w:p w14:paraId="2FB1B6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伤害发生时间</w:t>
            </w:r>
          </w:p>
          <w:p w14:paraId="0785E9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支持人工收集、筛选病历，识别并标注伤害发生时间相关关键词</w:t>
            </w:r>
          </w:p>
          <w:p w14:paraId="6E027A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伤害发生原因</w:t>
            </w:r>
          </w:p>
          <w:p w14:paraId="063E23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支持人工收集、筛选病历，识别并标注伤害发生原因相关关键词</w:t>
            </w:r>
          </w:p>
          <w:p w14:paraId="7D8D62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伤害发生地点</w:t>
            </w:r>
          </w:p>
          <w:p w14:paraId="5C4430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支持人工收集、筛选病历，识别并标注伤害发生地点相关关键词</w:t>
            </w:r>
          </w:p>
          <w:p w14:paraId="08F6C1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伤害发生时活动</w:t>
            </w:r>
          </w:p>
          <w:p w14:paraId="3C0828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支持人工收集、筛选病历，识别并标注伤害发生时活动相关关键词</w:t>
            </w:r>
          </w:p>
          <w:p w14:paraId="3B4422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伤害意图</w:t>
            </w:r>
          </w:p>
          <w:p w14:paraId="4C809F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支持人工收集、筛选病历，识别并标注伤害意图相关关键词</w:t>
            </w:r>
          </w:p>
          <w:p w14:paraId="68177B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饮酒情况</w:t>
            </w:r>
          </w:p>
          <w:p w14:paraId="0F041C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支持人工收集、筛选病历，识别并标注饮酒情况相关关键词</w:t>
            </w:r>
          </w:p>
          <w:p w14:paraId="6DA108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伤害性质</w:t>
            </w:r>
          </w:p>
          <w:p w14:paraId="1A7CC5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支持人工收集、筛选病历，识别并标注伤害性质相关关键词</w:t>
            </w:r>
          </w:p>
          <w:p w14:paraId="521D0E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伤害部位</w:t>
            </w:r>
          </w:p>
          <w:p w14:paraId="3BE756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支持人工收集、筛选病历，识别并标注伤害性质相关关键词</w:t>
            </w:r>
          </w:p>
          <w:p w14:paraId="7759BF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伤害累及系统</w:t>
            </w:r>
          </w:p>
          <w:p w14:paraId="154342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支持人工收集、筛选病历，识别并标注伤害部位相关关键词</w:t>
            </w:r>
          </w:p>
          <w:p w14:paraId="318E63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伤害严重程度</w:t>
            </w:r>
          </w:p>
          <w:p w14:paraId="353E8A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支持人工收集、筛选病历，识别并标注伤害严重程度相关关键词</w:t>
            </w:r>
          </w:p>
          <w:p w14:paraId="1877FD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伤害就诊结局</w:t>
            </w:r>
          </w:p>
          <w:p w14:paraId="7DE9AE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支持人工收集、筛选病历，识别并标注伤害就诊结局相关关键词</w:t>
            </w:r>
          </w:p>
        </w:tc>
      </w:tr>
      <w:tr w14:paraId="0446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7C19229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797F94">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09F2B36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二、规则知识库构建</w:t>
            </w:r>
          </w:p>
          <w:p w14:paraId="42373C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机动车车祸伤规则知识库</w:t>
            </w:r>
          </w:p>
          <w:p w14:paraId="79D39C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支持收集、制定、验证、优化机动车车祸伤规则知识库</w:t>
            </w:r>
          </w:p>
          <w:p w14:paraId="30E600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非机动车车祸伤规则知识库</w:t>
            </w:r>
          </w:p>
          <w:p w14:paraId="2E8DDF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支持收集、制定、验证、优化非机动车车祸伤规则知识库</w:t>
            </w:r>
          </w:p>
          <w:p w14:paraId="02E1A3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跌倒/坠落伤规则知识库</w:t>
            </w:r>
          </w:p>
          <w:p w14:paraId="25FB8D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支持收集、制定、验证、优化跌倒/坠落伤规则知识库</w:t>
            </w:r>
          </w:p>
          <w:p w14:paraId="76E975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钝器伤规则知识库</w:t>
            </w:r>
          </w:p>
          <w:p w14:paraId="57E9A7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支持收集、制定、验证、优化钝器伤规则知识库</w:t>
            </w:r>
          </w:p>
          <w:p w14:paraId="2C90E8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火器伤规则知识库</w:t>
            </w:r>
          </w:p>
          <w:p w14:paraId="7DE54A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支持收集、制定、验证、优化火器伤规则知识库</w:t>
            </w:r>
          </w:p>
          <w:p w14:paraId="1F515D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刀/锐器伤规则知识库</w:t>
            </w:r>
          </w:p>
          <w:p w14:paraId="1C662C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支持收集、制定、验证、优化刀/锐器伤规则知识库</w:t>
            </w:r>
          </w:p>
          <w:p w14:paraId="0CE002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烧烫伤规则知识库</w:t>
            </w:r>
          </w:p>
          <w:p w14:paraId="5677C8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支持收集、制定、验证、优化烧烫伤规则知识库</w:t>
            </w:r>
          </w:p>
          <w:p w14:paraId="08A30E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室息/悬吊伤规则知识库</w:t>
            </w:r>
          </w:p>
          <w:p w14:paraId="5E6DD1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支持收集、制定、验证、优化室息/悬吊伤规则知识库</w:t>
            </w:r>
          </w:p>
          <w:p w14:paraId="007BE3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溺水规则知识库</w:t>
            </w:r>
          </w:p>
          <w:p w14:paraId="627280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支持收集、制定、验证、优化溺水规则知识库</w:t>
            </w:r>
          </w:p>
          <w:p w14:paraId="4CBA28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中毒规则知识库</w:t>
            </w:r>
          </w:p>
          <w:p w14:paraId="38FDA6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支持收集、制定、验证、优化中毒规则知识库</w:t>
            </w:r>
          </w:p>
          <w:p w14:paraId="5B68DF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动物伤规则知识库</w:t>
            </w:r>
          </w:p>
          <w:p w14:paraId="3613BA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支持收集、制定、验证、优化动物伤规则知识库</w:t>
            </w:r>
          </w:p>
          <w:p w14:paraId="7F4F04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性侵犯规则知识库</w:t>
            </w:r>
          </w:p>
          <w:p w14:paraId="7C9BC6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支持收集、制定、验证、优化侵犯规则知识库</w:t>
            </w:r>
          </w:p>
        </w:tc>
      </w:tr>
      <w:tr w14:paraId="7EC2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1F8FE8B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0F476C">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65A7F0E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三、数据治理</w:t>
            </w:r>
          </w:p>
          <w:p w14:paraId="7EE112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人员基本信息</w:t>
            </w:r>
          </w:p>
          <w:p w14:paraId="2C47F2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支持基于区域平台对人员基本信息进行抽取、清洗、归一化等处理</w:t>
            </w:r>
          </w:p>
          <w:p w14:paraId="4C0A95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门诊、住院电子病历信息</w:t>
            </w:r>
          </w:p>
          <w:p w14:paraId="60FC7C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支持基于区域平台对门诊、住院电子病历信息进行抽取、清洗、归一化等处理</w:t>
            </w:r>
          </w:p>
          <w:p w14:paraId="387F4A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门诊、住院费用信息</w:t>
            </w:r>
          </w:p>
          <w:p w14:paraId="3FA3C2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支持基于区域平台对门诊、住院费用信息进行抽取、清洗、归一化等处理</w:t>
            </w:r>
          </w:p>
          <w:p w14:paraId="788D65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健康档案信息</w:t>
            </w:r>
          </w:p>
          <w:p w14:paraId="079E84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支持基于区域平台对健康档案信息进行抽取、清洗、归一化等处理</w:t>
            </w:r>
          </w:p>
        </w:tc>
      </w:tr>
      <w:tr w14:paraId="20B1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400" w:type="pct"/>
            <w:vMerge w:val="continue"/>
            <w:tcBorders>
              <w:top w:val="single" w:color="000000" w:sz="4" w:space="0"/>
              <w:left w:val="single" w:color="000000" w:sz="4" w:space="0"/>
              <w:bottom w:val="single" w:color="000000" w:sz="4" w:space="0"/>
              <w:right w:val="single" w:color="000000" w:sz="4" w:space="0"/>
            </w:tcBorders>
            <w:noWrap/>
            <w:vAlign w:val="center"/>
          </w:tcPr>
          <w:p w14:paraId="71B0E7A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1A7EFC">
            <w:pPr>
              <w:jc w:val="center"/>
              <w:rPr>
                <w:rFonts w:hint="eastAsia" w:ascii="宋体" w:hAnsi="宋体" w:eastAsia="宋体" w:cs="宋体"/>
                <w:i w:val="0"/>
                <w:iCs w:val="0"/>
                <w:color w:val="auto"/>
                <w:sz w:val="21"/>
                <w:szCs w:val="21"/>
                <w:u w:val="none"/>
              </w:rPr>
            </w:pPr>
          </w:p>
        </w:tc>
        <w:tc>
          <w:tcPr>
            <w:tcW w:w="3898" w:type="pct"/>
            <w:tcBorders>
              <w:top w:val="single" w:color="000000" w:sz="4" w:space="0"/>
              <w:left w:val="single" w:color="000000" w:sz="4" w:space="0"/>
              <w:bottom w:val="single" w:color="000000" w:sz="4" w:space="0"/>
              <w:right w:val="single" w:color="000000" w:sz="4" w:space="0"/>
            </w:tcBorders>
            <w:noWrap w:val="0"/>
            <w:vAlign w:val="center"/>
          </w:tcPr>
          <w:p w14:paraId="27F2F91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四、模型选型和训练</w:t>
            </w:r>
          </w:p>
          <w:p w14:paraId="455356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模型选型</w:t>
            </w:r>
          </w:p>
          <w:p w14:paraId="72C5C6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支持根据场景的特性和数据的性质，选择适合的机器学习模型</w:t>
            </w:r>
          </w:p>
          <w:p w14:paraId="00963B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模型训练</w:t>
            </w:r>
          </w:p>
          <w:p w14:paraId="7C50E3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支持基于uie-base、uie-medium基础模型并结合标记数据集、规则库调整模型的权重和参数，以适应不同大小的服务器资源</w:t>
            </w:r>
          </w:p>
          <w:p w14:paraId="72B1E6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模型评估与优化</w:t>
            </w:r>
          </w:p>
          <w:p w14:paraId="61064C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支持使用测试集或验证集来评估模型的性能，根据评估结果调整模型参数、增加训练数据量等方法来优化模型性能</w:t>
            </w:r>
          </w:p>
        </w:tc>
      </w:tr>
    </w:tbl>
    <w:p w14:paraId="7295C522">
      <w:pPr>
        <w:rPr>
          <w:rFonts w:ascii="Calibri" w:hAnsi="Calibri" w:eastAsia="宋体" w:cs="Times New Roman"/>
          <w:color w:val="auto"/>
          <w:sz w:val="21"/>
          <w:szCs w:val="21"/>
        </w:rPr>
      </w:pPr>
    </w:p>
    <w:p w14:paraId="3A1F0603">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ascii="Calibri" w:hAnsi="Calibri" w:eastAsia="宋体" w:cs="Times New Roman"/>
          <w:b/>
          <w:color w:val="auto"/>
          <w:kern w:val="2"/>
          <w:sz w:val="21"/>
          <w:szCs w:val="21"/>
          <w:lang w:val="en-US" w:eastAsia="zh-CN" w:bidi="ar-SA"/>
        </w:rPr>
        <w:t>学生健康护航</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7"/>
        <w:gridCol w:w="1190"/>
        <w:gridCol w:w="6633"/>
      </w:tblGrid>
      <w:tr w14:paraId="4D28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B4E15C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5D95D97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56D7B65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4971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398" w:type="pct"/>
            <w:vMerge w:val="restart"/>
            <w:tcBorders>
              <w:top w:val="single" w:color="000000" w:sz="4" w:space="0"/>
              <w:left w:val="single" w:color="000000" w:sz="4" w:space="0"/>
              <w:bottom w:val="single" w:color="000000" w:sz="4" w:space="0"/>
              <w:right w:val="single" w:color="000000" w:sz="4" w:space="0"/>
            </w:tcBorders>
            <w:noWrap w:val="0"/>
            <w:vAlign w:val="center"/>
          </w:tcPr>
          <w:p w14:paraId="32E133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3A2029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学生健康护航（PC端）（改造）</w:t>
            </w: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27C11E7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一、学生信息管理</w:t>
            </w:r>
          </w:p>
          <w:p w14:paraId="610378C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基本信息</w:t>
            </w:r>
          </w:p>
          <w:p w14:paraId="383D21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学生基本信息</w:t>
            </w:r>
          </w:p>
          <w:p w14:paraId="1D3FC3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学生的姓名、性别、出生日期、身份证号、居住地、联系人及联系方式等内容，学生基本信息通过系统录入，由学校老师或相关负责人统一录入，学生基本信息与学生电子健康档案相关联，学生身份证号作为学生的唯一识别码，对于执有港澳通行证和外籍学生，以证件号作为学生唯一识别码。</w:t>
            </w:r>
          </w:p>
          <w:p w14:paraId="783B92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支持按照模板批量导入学生基本信息。</w:t>
            </w:r>
          </w:p>
          <w:p w14:paraId="633B18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支持学生基本信息的查询、新增、修改、数据导入导出。</w:t>
            </w:r>
          </w:p>
          <w:p w14:paraId="3FF37F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班级情况</w:t>
            </w:r>
          </w:p>
          <w:p w14:paraId="387DEC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包括班级的编号、学校编号、学校名称、班级名称、年级、班主任等内容，通过系统录入，由学校老师或相关负责人一一录入。</w:t>
            </w:r>
          </w:p>
          <w:p w14:paraId="76CEEC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支持班级信息的查询、新增、修改、数据导出。</w:t>
            </w:r>
          </w:p>
          <w:p w14:paraId="679888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学校教师信息</w:t>
            </w:r>
          </w:p>
          <w:p w14:paraId="4C1E67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包括教师的编号、登录号、姓名、性别、出生日期、证件号等内容，通过系统录入，由学校老师或相关负责人一一录入。</w:t>
            </w:r>
          </w:p>
          <w:p w14:paraId="714E7E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支持学校教师信息的查询、新增、修改。</w:t>
            </w:r>
          </w:p>
          <w:p w14:paraId="17F3C6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学校基本情况</w:t>
            </w:r>
          </w:p>
          <w:p w14:paraId="7CF45E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包括学校的名称、类别、性质、地址、法人代表等内容，通过系统录入，由学校老师或相关负责人一一录入。</w:t>
            </w:r>
          </w:p>
          <w:p w14:paraId="027AC1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支持学校信息的查询、新增、修改、数据导出。</w:t>
            </w:r>
          </w:p>
          <w:p w14:paraId="71050F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教育集团基本信息</w:t>
            </w:r>
          </w:p>
          <w:p w14:paraId="46EAAE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包括教育集团的名称、法人代表等信息。</w:t>
            </w:r>
          </w:p>
          <w:p w14:paraId="79D404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支持教育集团的查询、新增、修改。</w:t>
            </w:r>
          </w:p>
        </w:tc>
      </w:tr>
      <w:tr w14:paraId="35CA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50E90">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95A6D1">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6261297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二、学生体检</w:t>
            </w:r>
          </w:p>
          <w:p w14:paraId="671289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学生体检</w:t>
            </w:r>
          </w:p>
          <w:p w14:paraId="1648F8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体检统计汇总</w:t>
            </w:r>
          </w:p>
          <w:p w14:paraId="09D677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体检统计汇总展示了体检统计图和统计表，可以通过修改查询条件查询不同学校的体检信息。</w:t>
            </w:r>
          </w:p>
          <w:p w14:paraId="5A7D57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学生体检信息</w:t>
            </w:r>
          </w:p>
          <w:p w14:paraId="76CE48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记录了学生体检信息，包括姓名、性别、学校、班级、家庭地址等等信息。</w:t>
            </w:r>
          </w:p>
          <w:p w14:paraId="145ECD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支持查看、导出体检信息。</w:t>
            </w:r>
          </w:p>
          <w:p w14:paraId="7BD61D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体检预约详情</w:t>
            </w:r>
          </w:p>
          <w:p w14:paraId="65A91C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学校老师通过登录可以在权限范围内进行信息的填写和维护。</w:t>
            </w:r>
          </w:p>
          <w:p w14:paraId="060DA7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医生排班</w:t>
            </w:r>
          </w:p>
          <w:p w14:paraId="21035A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支持按照日历格式展现时间</w:t>
            </w:r>
          </w:p>
          <w:p w14:paraId="367F83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支持拥有医生权限的医生进行排班登记，支持排班的时间段，分组数，每组最小和最大人数记录</w:t>
            </w:r>
          </w:p>
          <w:p w14:paraId="2776CA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体检报表</w:t>
            </w:r>
          </w:p>
          <w:p w14:paraId="3C6032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体检统计表</w:t>
            </w:r>
          </w:p>
          <w:p w14:paraId="20323B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四个体检统计表按科室分类汇总了体检数据，包括眼科、口腔科、耳鼻喉科等等。</w:t>
            </w:r>
          </w:p>
          <w:p w14:paraId="31BF15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支持查询、查看、导出体检数据</w:t>
            </w:r>
          </w:p>
          <w:p w14:paraId="05F9AD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体检转诊统计表</w:t>
            </w:r>
          </w:p>
          <w:p w14:paraId="11DE4F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记录了学生体检转诊数据，包括学校名称、学期、学生名称、学生视力情况等信息。</w:t>
            </w:r>
          </w:p>
        </w:tc>
      </w:tr>
      <w:tr w14:paraId="6A8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C8F7EA">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C994E9">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0B2292B2">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三、视力健康</w:t>
            </w:r>
          </w:p>
        </w:tc>
      </w:tr>
      <w:tr w14:paraId="7BF1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4E3CA1">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A4C90A">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235670D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视力健康</w:t>
            </w:r>
          </w:p>
          <w:p w14:paraId="5779B5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视力健康分析</w:t>
            </w:r>
          </w:p>
          <w:p w14:paraId="701188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展示视力相关统计表，分别为本学期学生近视率、本学期学生近视稳定率、近五学年近视率变化趋势、本学期分年级段近视率、近二学年分年级近视率变化趋势、视力数据排名。</w:t>
            </w:r>
          </w:p>
          <w:p w14:paraId="5CAFFF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学生视力情况</w:t>
            </w:r>
          </w:p>
          <w:p w14:paraId="206B73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学生视力情况展示了各个学生近视情况、近视稳定情况、近视发展情况、高度近视发展情况、左眼裸眼视力、左眼屈光度数、右眼裸眼视力、右眼屈光度数的视力情况数据。</w:t>
            </w:r>
          </w:p>
          <w:p w14:paraId="774BBC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支持查询、导出视力情况数据。</w:t>
            </w:r>
          </w:p>
          <w:p w14:paraId="62B864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视力情况统计（按学校）</w:t>
            </w:r>
          </w:p>
          <w:p w14:paraId="7D3AC0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展示了按学校统计的视力情况数据，支持导出。</w:t>
            </w:r>
          </w:p>
          <w:p w14:paraId="264531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视力情况统计（按街道）</w:t>
            </w:r>
          </w:p>
          <w:p w14:paraId="763459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展示了按街道统计的视力情况数据，支持导出。</w:t>
            </w:r>
          </w:p>
          <w:p w14:paraId="046F4B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视力情况统计（按年级）</w:t>
            </w:r>
          </w:p>
          <w:p w14:paraId="559B4D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展示了按年级统计的视力情况数据，支持导出。</w:t>
            </w:r>
          </w:p>
          <w:p w14:paraId="6170C2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视力情况统计（按学校类型）</w:t>
            </w:r>
          </w:p>
          <w:p w14:paraId="700046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展示了按学校类型统计的视力情况数据，支持导出。</w:t>
            </w:r>
          </w:p>
          <w:p w14:paraId="527EEA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视力情况统计（按班级）</w:t>
            </w:r>
          </w:p>
          <w:p w14:paraId="052300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展示了按班级统计的视力情况数据，支持导出。</w:t>
            </w:r>
          </w:p>
          <w:p w14:paraId="4F6F7E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视力情况统计（按性别）</w:t>
            </w:r>
          </w:p>
          <w:p w14:paraId="409EC0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展示了按性别统计的视力情况数据，支持导出。</w:t>
            </w:r>
          </w:p>
          <w:p w14:paraId="2101FD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视力情况统计</w:t>
            </w:r>
          </w:p>
          <w:p w14:paraId="043979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视力情况统计页面展示了各个学校每个时间段内的具体视力情况，支持导出。</w:t>
            </w:r>
          </w:p>
        </w:tc>
      </w:tr>
      <w:tr w14:paraId="629D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73800C">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6FE0D">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2CDCCCD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四、心理健康</w:t>
            </w:r>
          </w:p>
          <w:p w14:paraId="21A751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心理健康</w:t>
            </w:r>
          </w:p>
          <w:p w14:paraId="05AD68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学生基本信息</w:t>
            </w:r>
          </w:p>
          <w:p w14:paraId="171AA7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学生的姓名、性别、出生日期、身份证号、居住地、联系人及联系方式等内容，学生基本信息一是通过教育局的学籍系统进行自动录入，二是通过系统录入，由学校老师或相关负责人统一录入，学生基本信息与学生电子健康档案相关联，学生身份证号作为学生的唯一识别码，对于执有港澳通行证和外籍学生，以证件号作为学生唯一识别码。</w:t>
            </w:r>
          </w:p>
          <w:p w14:paraId="3D4DD0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支持按照模板批量导入学生基本信息。</w:t>
            </w:r>
          </w:p>
          <w:p w14:paraId="42B933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支持学生基本信息的查询、新增、修改、数据导入导出。</w:t>
            </w:r>
          </w:p>
          <w:p w14:paraId="277FE0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心理测评</w:t>
            </w:r>
          </w:p>
          <w:p w14:paraId="7E976C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心理测评页面展示了心理测评记录，可在此页面新增、查看、删除心理测评记录。</w:t>
            </w:r>
          </w:p>
          <w:p w14:paraId="783C38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心理测评报表</w:t>
            </w:r>
          </w:p>
          <w:p w14:paraId="53B925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心理测评报表展示了心理测评的统计数据，可按照街道、学校、年级、班级统计。</w:t>
            </w:r>
          </w:p>
        </w:tc>
      </w:tr>
      <w:tr w14:paraId="2AC4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0CA9C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87372">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2D0BCDB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五、特殊疾病监测</w:t>
            </w:r>
          </w:p>
          <w:p w14:paraId="1A5504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特殊疾病监测</w:t>
            </w:r>
          </w:p>
          <w:p w14:paraId="7F9BD6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晨检个案登记</w:t>
            </w:r>
          </w:p>
          <w:p w14:paraId="50244A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用于登记学生晨检发生的情况，支持新增、查询、编辑、删除。</w:t>
            </w:r>
          </w:p>
          <w:p w14:paraId="3D469A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缺课个案登记</w:t>
            </w:r>
          </w:p>
          <w:p w14:paraId="4E0095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用于登记学生缺课情况，支持新增、查询、编辑、删除。</w:t>
            </w:r>
          </w:p>
          <w:p w14:paraId="6F52FB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受伤个案登记</w:t>
            </w:r>
          </w:p>
          <w:p w14:paraId="2675DF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用于登记学生受伤情况，支持新增、查询、编辑、删除。</w:t>
            </w:r>
          </w:p>
          <w:p w14:paraId="663512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体质成绩登记</w:t>
            </w:r>
          </w:p>
          <w:p w14:paraId="0CC1B0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用于登记学生体质成绩，支持新增、查询、编辑、删除。</w:t>
            </w:r>
          </w:p>
          <w:p w14:paraId="0D6848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健康问题登记</w:t>
            </w:r>
          </w:p>
          <w:p w14:paraId="282014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用于登记学生健康问题，支持新增、查询、编辑、删除。</w:t>
            </w:r>
          </w:p>
          <w:p w14:paraId="1B6E64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统计报表</w:t>
            </w:r>
          </w:p>
          <w:p w14:paraId="70450A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体质成绩报表</w:t>
            </w:r>
          </w:p>
          <w:p w14:paraId="124EA2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统计汇总学生体质成绩。</w:t>
            </w:r>
          </w:p>
          <w:p w14:paraId="0614D9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体育锻炼成绩统计表</w:t>
            </w:r>
          </w:p>
          <w:p w14:paraId="36EA3C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统计汇总体育锻炼成绩。</w:t>
            </w:r>
          </w:p>
          <w:p w14:paraId="3BC8A2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生病病症统计表</w:t>
            </w:r>
          </w:p>
          <w:p w14:paraId="230F05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统计汇总学生体育锻炼成绩。</w:t>
            </w:r>
          </w:p>
          <w:p w14:paraId="766F05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学生伤害发生统计表</w:t>
            </w:r>
          </w:p>
          <w:p w14:paraId="56F9BA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统计汇总学生伤害发生情况。</w:t>
            </w:r>
          </w:p>
          <w:p w14:paraId="3D1055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学生晨检情况统计表</w:t>
            </w:r>
          </w:p>
          <w:p w14:paraId="13D045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统计汇总学生晨检情况。</w:t>
            </w:r>
          </w:p>
          <w:p w14:paraId="0769CB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学生缺课情况统计表</w:t>
            </w:r>
          </w:p>
          <w:p w14:paraId="595217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统计汇总学生缺课信息。</w:t>
            </w:r>
          </w:p>
          <w:p w14:paraId="051BC4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体质成绩统计</w:t>
            </w:r>
          </w:p>
          <w:p w14:paraId="0A8C33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统计汇总学生体质成绩。</w:t>
            </w:r>
          </w:p>
          <w:p w14:paraId="738E6C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大数据分析</w:t>
            </w:r>
          </w:p>
          <w:p w14:paraId="35B148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心脏类疾病情况</w:t>
            </w:r>
          </w:p>
          <w:p w14:paraId="2A11EF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统计汇总了学生心脏类疾病情况。</w:t>
            </w:r>
          </w:p>
          <w:p w14:paraId="0E6DC8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传染病类疾病情况</w:t>
            </w:r>
          </w:p>
          <w:p w14:paraId="53E14A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统计汇总了学生传染病类疾病情况。</w:t>
            </w:r>
          </w:p>
          <w:p w14:paraId="3C5567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特殊疾病情况</w:t>
            </w:r>
          </w:p>
          <w:p w14:paraId="4A296D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统计汇总了学生特殊疾病情况。</w:t>
            </w:r>
          </w:p>
          <w:p w14:paraId="05F786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疾病分析报告</w:t>
            </w:r>
          </w:p>
          <w:p w14:paraId="5D32D3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以图表的形式统计汇总了学生疾病情况。</w:t>
            </w:r>
          </w:p>
        </w:tc>
      </w:tr>
      <w:tr w14:paraId="675E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D3036">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1A9BD6">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3921482D">
            <w:pPr>
              <w:widowControl/>
              <w:numPr>
                <w:ilvl w:val="0"/>
                <w:numId w:val="0"/>
              </w:numPr>
              <w:jc w:val="left"/>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val="en-US" w:eastAsia="zh-CN" w:bidi="ar"/>
              </w:rPr>
              <w:t>六、</w:t>
            </w:r>
            <w:r>
              <w:rPr>
                <w:rFonts w:hint="eastAsia" w:ascii="宋体" w:hAnsi="宋体" w:eastAsia="宋体" w:cs="宋体"/>
                <w:b/>
                <w:bCs/>
                <w:color w:val="auto"/>
                <w:kern w:val="0"/>
                <w:sz w:val="21"/>
                <w:szCs w:val="21"/>
                <w:lang w:bidi="ar"/>
              </w:rPr>
              <w:t>查验接种</w:t>
            </w:r>
          </w:p>
          <w:p w14:paraId="56004E37">
            <w:pPr>
              <w:widowControl/>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1.查验接种分析报告</w:t>
            </w:r>
          </w:p>
          <w:p w14:paraId="7D431A1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以图表的形式统计汇总了查验接种分析情况。</w:t>
            </w:r>
          </w:p>
          <w:p w14:paraId="269A64F6">
            <w:pPr>
              <w:widowControl/>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2.疫苗遗漏大数据分析</w:t>
            </w:r>
          </w:p>
          <w:p w14:paraId="5E550FC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统计汇总了学生疫苗遗漏数据，单击数字可查看具体信息。</w:t>
            </w:r>
          </w:p>
          <w:p w14:paraId="759727AB">
            <w:pPr>
              <w:widowControl/>
              <w:jc w:val="left"/>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3.查验接种疫苗漏种情况</w:t>
            </w:r>
          </w:p>
          <w:p w14:paraId="6104B43C">
            <w:pP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bidi="ar"/>
              </w:rPr>
              <w:t>统计汇总了疫苗漏种数据，单击数字可查看具体信息。</w:t>
            </w:r>
          </w:p>
        </w:tc>
      </w:tr>
      <w:tr w14:paraId="233D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76DFE">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CD5F86">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40930CE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七、教学环境监测</w:t>
            </w:r>
          </w:p>
          <w:p w14:paraId="266895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学校环境监测</w:t>
            </w:r>
          </w:p>
          <w:p w14:paraId="0D01EE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校医与保健医生信息</w:t>
            </w:r>
          </w:p>
          <w:p w14:paraId="03AA32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查询校医与学校保健教师信息，包括老师姓名，职称，工作时间等信息。</w:t>
            </w:r>
          </w:p>
          <w:p w14:paraId="14EAD3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保健设施维护</w:t>
            </w:r>
          </w:p>
          <w:p w14:paraId="4DD525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查询学校保健室设置信息，包括保健室面积，各类保健设施数量等信息。</w:t>
            </w:r>
          </w:p>
          <w:p w14:paraId="5BCD76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食堂卫生信息</w:t>
            </w:r>
          </w:p>
          <w:p w14:paraId="67B53A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查询学校食堂信息，包括卫生许可证，从业人员证，各类设施等信息。</w:t>
            </w:r>
          </w:p>
          <w:p w14:paraId="4BFD6F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饮用水卫生检测</w:t>
            </w:r>
          </w:p>
          <w:p w14:paraId="36CFD1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查询学校饮用水卫生检测信息，包括学校名称，检测结果等信息。</w:t>
            </w:r>
          </w:p>
          <w:p w14:paraId="252726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学习生活环境</w:t>
            </w:r>
          </w:p>
          <w:p w14:paraId="6879FD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查询学校生活环境信息，包括教室总数，教室采光环境等信息。</w:t>
            </w:r>
          </w:p>
          <w:p w14:paraId="452950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教学环境监测</w:t>
            </w:r>
          </w:p>
          <w:p w14:paraId="456081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查询学校教学环境信息，包括教室面积，桌椅高度，黑板尺寸等信息。</w:t>
            </w:r>
          </w:p>
          <w:p w14:paraId="05DA61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健康教育工作资料册</w:t>
            </w:r>
          </w:p>
          <w:p w14:paraId="670AA3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统计汇总学校健康教育记录，包括时间、地点、内容等信息。</w:t>
            </w:r>
          </w:p>
          <w:p w14:paraId="7B1C38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健康促进工作资料册</w:t>
            </w:r>
          </w:p>
          <w:p w14:paraId="3885E5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统计汇总学校考评记录，包括考评总分、时间级别等信息。</w:t>
            </w:r>
          </w:p>
          <w:p w14:paraId="6A9215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膳食信息</w:t>
            </w:r>
          </w:p>
          <w:p w14:paraId="34BDF8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营养成分信息</w:t>
            </w:r>
          </w:p>
          <w:p w14:paraId="39303C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记录学校膳食营养成分信息，包括能量、蛋白质、脂肪等信息，支持新增，查询，查看，删除。</w:t>
            </w:r>
          </w:p>
          <w:p w14:paraId="44A71B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菜品信息</w:t>
            </w:r>
          </w:p>
          <w:p w14:paraId="758393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记录学校膳食菜品信息，包括营养成分和含量信息，支持新增，查询，查看，删除。</w:t>
            </w:r>
          </w:p>
          <w:p w14:paraId="737EE5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营养套餐信息</w:t>
            </w:r>
          </w:p>
          <w:p w14:paraId="59C294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记录学校膳食营养套餐信息，包括主食，配菜等信息，支持新增，查询，查看，删除。</w:t>
            </w:r>
          </w:p>
          <w:p w14:paraId="6754C6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学生膳食信息</w:t>
            </w:r>
          </w:p>
          <w:p w14:paraId="10D568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记录学校膳食信息，包括日期，餐别，年级等信息，支持新增，查询，查看，删除。</w:t>
            </w:r>
          </w:p>
          <w:p w14:paraId="5C5F85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学校环境监测统计表</w:t>
            </w:r>
          </w:p>
          <w:p w14:paraId="627CC1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校医与保健医生统计表</w:t>
            </w:r>
          </w:p>
          <w:p w14:paraId="7D1FC6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统计汇总校医与学校保健教师信息，包括老师姓名，职称，工作时间等信息。</w:t>
            </w:r>
          </w:p>
          <w:p w14:paraId="16C45D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保健设施统计表</w:t>
            </w:r>
          </w:p>
          <w:p w14:paraId="13A6DD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统计汇总学校保健室设置信息，包括保健室面积，各类保健设施数量等信息。</w:t>
            </w:r>
          </w:p>
          <w:p w14:paraId="006821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食堂卫生统计表</w:t>
            </w:r>
          </w:p>
          <w:p w14:paraId="41B6CF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统计汇总学校食堂信息，包括卫生许可证，从业人员证，各类设施等信息。</w:t>
            </w:r>
          </w:p>
          <w:p w14:paraId="34E3B7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学习生活环境统计表</w:t>
            </w:r>
          </w:p>
          <w:p w14:paraId="42B7BA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统计汇总学校生活环境信息，包括教室总数，教室采光环境等信息。</w:t>
            </w:r>
          </w:p>
          <w:p w14:paraId="49D36F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健康教育统计表</w:t>
            </w:r>
          </w:p>
          <w:p w14:paraId="071453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统计汇总学校健康教育记录，包括时间、地点、内容等信息。</w:t>
            </w:r>
          </w:p>
          <w:p w14:paraId="601F9D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健康促进学校统计表</w:t>
            </w:r>
          </w:p>
          <w:p w14:paraId="598A64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统计汇总学校考评记录，包括考评总分、时间级别等信息。</w:t>
            </w:r>
          </w:p>
        </w:tc>
      </w:tr>
      <w:tr w14:paraId="675A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F1DE57">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20AF5">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37B93B4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八、专项调查</w:t>
            </w:r>
          </w:p>
          <w:p w14:paraId="10F080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健康问卷调查</w:t>
            </w:r>
          </w:p>
          <w:p w14:paraId="7D8568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知信行问卷调查</w:t>
            </w:r>
          </w:p>
          <w:p w14:paraId="251A95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记录知信行问卷，支持新增，编辑，查看，删除。</w:t>
            </w:r>
          </w:p>
          <w:p w14:paraId="3088CE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防艾知识问卷调查</w:t>
            </w:r>
          </w:p>
          <w:p w14:paraId="0CB8F9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记录防艾知识问卷，支持新增，编辑，查看，删除。</w:t>
            </w:r>
          </w:p>
          <w:p w14:paraId="16596B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结核病防治知识问卷调查</w:t>
            </w:r>
          </w:p>
          <w:p w14:paraId="1E9023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记录结核病防治知识问卷，支持新增，编辑，查看，删除。</w:t>
            </w:r>
          </w:p>
          <w:p w14:paraId="488D64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心理测评记录</w:t>
            </w:r>
          </w:p>
          <w:p w14:paraId="0D744E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记录了心理测评信息，包括问卷名称，状态，结果等信息。</w:t>
            </w:r>
          </w:p>
          <w:p w14:paraId="4AA9AF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心理测评报表</w:t>
            </w:r>
          </w:p>
          <w:p w14:paraId="47799F0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记录了心理测评记录，包括学校，班级，压力等级信息，支持按街道，学校，年级，班级汇总。</w:t>
            </w:r>
          </w:p>
        </w:tc>
      </w:tr>
      <w:tr w14:paraId="50DA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73E258">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F505BF">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0A5BED1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九、基础管理</w:t>
            </w:r>
          </w:p>
          <w:p w14:paraId="67A4EA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系统对象管理</w:t>
            </w:r>
          </w:p>
          <w:p w14:paraId="1C5C6F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可维护学生健康系统对应的模块和对应菜单的属性管理</w:t>
            </w:r>
          </w:p>
          <w:p w14:paraId="197B32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支持模块和菜单页面的查询，修改，新增，删除等操作</w:t>
            </w:r>
          </w:p>
          <w:p w14:paraId="49ECF7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系统菜单管理</w:t>
            </w:r>
          </w:p>
          <w:p w14:paraId="4753B9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可维护系统的页面菜单，可配置菜单对应的人员权限，支持直接分配人员或分配对应角色权限</w:t>
            </w:r>
          </w:p>
          <w:p w14:paraId="68A022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支持二级菜单页面的新增，修改，删除等操作</w:t>
            </w:r>
          </w:p>
          <w:p w14:paraId="2200E0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系统模块管理</w:t>
            </w:r>
          </w:p>
          <w:p w14:paraId="130C03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可维护系统的一级模块信息，包括模块名称，版本号等信息</w:t>
            </w:r>
          </w:p>
          <w:p w14:paraId="121065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支持系统模块的新增，修改，删除等操作</w:t>
            </w:r>
          </w:p>
          <w:p w14:paraId="2D16C58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系统角色管理</w:t>
            </w:r>
          </w:p>
          <w:p w14:paraId="3B56D5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可维护登陆系统的角色信息，看分配对应人员的角色信息，可配置角色能够打开的页面菜单</w:t>
            </w:r>
          </w:p>
          <w:p w14:paraId="05E3FC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支持新增，删除，修改等操作，支持二级子角色的新增</w:t>
            </w:r>
          </w:p>
          <w:p w14:paraId="67861E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系统参数管理</w:t>
            </w:r>
          </w:p>
          <w:p w14:paraId="590F36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可维护系统的相关参数，包括参数的名称，参数类型，参数的功能描述，参数所属模块等信息</w:t>
            </w:r>
          </w:p>
          <w:p w14:paraId="63632E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支持系统参数的新增，修改，删除等操作</w:t>
            </w:r>
          </w:p>
          <w:p w14:paraId="0500F2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系统日志管理</w:t>
            </w:r>
          </w:p>
          <w:p w14:paraId="49C769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记录登陆系统人员的操作记录，记录内容包括登陆时间，登陆人员功能，登陆的电脑IP地址，操作详情</w:t>
            </w:r>
          </w:p>
          <w:p w14:paraId="4DEB9E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支持日志记录的分类查询</w:t>
            </w:r>
          </w:p>
          <w:p w14:paraId="399F5F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系统人员管理</w:t>
            </w:r>
          </w:p>
          <w:p w14:paraId="78356F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可维护登陆系统的人员信息，包括登陆账号，人员姓名，使用状态，可配置人员所属角色</w:t>
            </w:r>
          </w:p>
          <w:p w14:paraId="5C1E39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支持人员信息的新增，修改，删除等功能</w:t>
            </w:r>
          </w:p>
        </w:tc>
      </w:tr>
      <w:tr w14:paraId="39BE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restart"/>
            <w:tcBorders>
              <w:top w:val="single" w:color="000000" w:sz="4" w:space="0"/>
              <w:left w:val="single" w:color="000000" w:sz="4" w:space="0"/>
              <w:bottom w:val="single" w:color="000000" w:sz="4" w:space="0"/>
              <w:right w:val="single" w:color="000000" w:sz="4" w:space="0"/>
            </w:tcBorders>
            <w:noWrap w:val="0"/>
            <w:vAlign w:val="center"/>
          </w:tcPr>
          <w:p w14:paraId="0AEC25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2C7DBE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学生健康护航（移动端）（改造）</w:t>
            </w: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4DE9DD9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一、家长注册</w:t>
            </w:r>
          </w:p>
          <w:p w14:paraId="7E4507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提供家长实名注册功能，注册后需要家长绑定学生信息，才可查询基本信息</w:t>
            </w:r>
          </w:p>
        </w:tc>
      </w:tr>
      <w:tr w14:paraId="271C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984CFF">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D3C36E">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5399DC8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二、健康信息反馈</w:t>
            </w:r>
          </w:p>
          <w:p w14:paraId="5CA6C1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学生健康问题登记反馈给家长后，可查询历史健康问题信息</w:t>
            </w:r>
          </w:p>
        </w:tc>
      </w:tr>
      <w:tr w14:paraId="34C6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9B56F7">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B7608A">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3103D69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三、预约转诊</w:t>
            </w:r>
          </w:p>
          <w:p w14:paraId="0AD531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学生体检信息反馈给家长后，如需进行复查的，系统提供预约功能，家长根据反馈建议可发起转诊预约申请</w:t>
            </w:r>
          </w:p>
        </w:tc>
      </w:tr>
      <w:tr w14:paraId="7BB5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B388FD">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DC2227">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24F40AD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四、心理测评</w:t>
            </w:r>
          </w:p>
          <w:p w14:paraId="2C47D6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提供心理测评模块，家长可以根据自身需求进行学生心理测评，心理测评结果及时反馈给家长，对于测评结果比较严重的，建议家长到专业心理机构进行进一步检查治疗</w:t>
            </w:r>
          </w:p>
        </w:tc>
      </w:tr>
      <w:tr w14:paraId="4501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3D83E3">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BC8EFC">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60086F3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五、视力专项</w:t>
            </w:r>
          </w:p>
          <w:p w14:paraId="195DED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展示孩子历次视力变化情况及视力就诊记录信息</w:t>
            </w:r>
          </w:p>
        </w:tc>
      </w:tr>
      <w:tr w14:paraId="3DE3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F8C8D9">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C7FE72">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1D26B0E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六、体检信息</w:t>
            </w:r>
          </w:p>
          <w:p w14:paraId="2F9917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以时间轴顺序展示孩子历次体检记录，可查看体检详情，并提供快速跳转预约转诊功能</w:t>
            </w:r>
          </w:p>
        </w:tc>
      </w:tr>
      <w:tr w14:paraId="56CB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FA3EE8">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BEA2FD">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2FBBB3E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七、心理专项</w:t>
            </w:r>
          </w:p>
          <w:p w14:paraId="5FA6F4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提供学生心理调查问卷，可记录学生心理状况</w:t>
            </w:r>
          </w:p>
        </w:tc>
      </w:tr>
      <w:tr w14:paraId="1B7C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C9DD4">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420A0D">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2DDA5BE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八、子女绑定</w:t>
            </w:r>
          </w:p>
          <w:p w14:paraId="188097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提供子女绑定功能，绑定子女后首页会以首位绑定子女为默认展示人员展示基础信息</w:t>
            </w:r>
          </w:p>
          <w:p w14:paraId="06C4AE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各项测试页面提供子女选择功能，对指定的子女进行测试，并提供快捷的子女切换功能</w:t>
            </w:r>
          </w:p>
        </w:tc>
      </w:tr>
      <w:tr w14:paraId="39F0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39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8FDD8">
            <w:pPr>
              <w:jc w:val="center"/>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46E6D8">
            <w:pPr>
              <w:jc w:val="center"/>
              <w:rPr>
                <w:rFonts w:hint="eastAsia" w:ascii="宋体" w:hAnsi="宋体" w:eastAsia="宋体" w:cs="宋体"/>
                <w:i w:val="0"/>
                <w:iCs w:val="0"/>
                <w:color w:val="auto"/>
                <w:sz w:val="21"/>
                <w:szCs w:val="21"/>
                <w:u w:val="none"/>
              </w:rPr>
            </w:pPr>
          </w:p>
        </w:tc>
        <w:tc>
          <w:tcPr>
            <w:tcW w:w="3900" w:type="pct"/>
            <w:tcBorders>
              <w:top w:val="single" w:color="000000" w:sz="4" w:space="0"/>
              <w:left w:val="single" w:color="000000" w:sz="4" w:space="0"/>
              <w:bottom w:val="single" w:color="000000" w:sz="4" w:space="0"/>
              <w:right w:val="single" w:color="000000" w:sz="4" w:space="0"/>
            </w:tcBorders>
            <w:noWrap w:val="0"/>
            <w:vAlign w:val="center"/>
          </w:tcPr>
          <w:p w14:paraId="02133A5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九、个人中心</w:t>
            </w:r>
          </w:p>
          <w:p w14:paraId="256347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展示家长基础信息</w:t>
            </w:r>
          </w:p>
          <w:p w14:paraId="369C22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提供子女列表管理跳转功能</w:t>
            </w:r>
          </w:p>
          <w:p w14:paraId="61BCBF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提供退出登录功能</w:t>
            </w:r>
          </w:p>
        </w:tc>
      </w:tr>
    </w:tbl>
    <w:p w14:paraId="29CD4B7C">
      <w:pPr>
        <w:rPr>
          <w:rFonts w:ascii="Calibri" w:hAnsi="Calibri" w:eastAsia="宋体" w:cs="Times New Roman"/>
          <w:color w:val="auto"/>
          <w:sz w:val="21"/>
          <w:szCs w:val="21"/>
        </w:rPr>
      </w:pPr>
    </w:p>
    <w:p w14:paraId="2AE57CB6">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ascii="Calibri" w:hAnsi="Calibri" w:eastAsia="宋体" w:cs="Times New Roman"/>
          <w:b/>
          <w:color w:val="auto"/>
          <w:kern w:val="2"/>
          <w:sz w:val="21"/>
          <w:szCs w:val="21"/>
          <w:lang w:val="en-US" w:eastAsia="zh-CN" w:bidi="ar-SA"/>
        </w:rPr>
        <w:t>复课(工)开具证明系统</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2"/>
        <w:gridCol w:w="1190"/>
        <w:gridCol w:w="6618"/>
      </w:tblGrid>
      <w:tr w14:paraId="2A1B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BB49F">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EDB8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A2B85">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功能技术参数</w:t>
            </w:r>
          </w:p>
        </w:tc>
      </w:tr>
      <w:tr w14:paraId="51CE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FFD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518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复课(工)开具证明系统（PC端）（新建）</w:t>
            </w: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1CB9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一、疾病审核规则设置</w:t>
            </w:r>
          </w:p>
          <w:p w14:paraId="7FBDDB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疾病审核条件</w:t>
            </w:r>
          </w:p>
          <w:p w14:paraId="3E9DA2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支持复课（工）表单根据以下要求进行审核</w:t>
            </w:r>
          </w:p>
          <w:p w14:paraId="744E04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①不满足条件、不上传附件，退回；</w:t>
            </w:r>
          </w:p>
          <w:p w14:paraId="62B2FB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②不满足条件任一条件，上传附件，人工审核</w:t>
            </w:r>
          </w:p>
          <w:p w14:paraId="6DF93B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③申请日期早于报卡发病日期的审核可自动通过</w:t>
            </w:r>
          </w:p>
          <w:p w14:paraId="045965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百日咳审核规则</w:t>
            </w:r>
          </w:p>
          <w:p w14:paraId="21C66E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支持百日咳疾病的复课（工）表单根据以下要求进行审核</w:t>
            </w:r>
          </w:p>
          <w:p w14:paraId="605257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①申请日期-发病时间＞5天，满足复课条件；②申请日期-发病时间≥21天</w:t>
            </w:r>
          </w:p>
          <w:p w14:paraId="0B6BE9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新型冠状病毒感染审核规则</w:t>
            </w:r>
          </w:p>
          <w:p w14:paraId="561F52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支持新冠疾病的复课（工）表单根据以下要求进行审核</w:t>
            </w:r>
          </w:p>
          <w:p w14:paraId="0E2B26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①申请日期-发病时间≥7天；②申请日期-所有症状消失时间＞0天，且申请日期-发热消失时间≥2天</w:t>
            </w:r>
          </w:p>
          <w:p w14:paraId="2D8090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麻疹审核规则</w:t>
            </w:r>
          </w:p>
          <w:p w14:paraId="276AF2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支持麻疹疾病的复课（工）表单根据以下要求进行审核</w:t>
            </w:r>
          </w:p>
          <w:p w14:paraId="683359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①如未发生肺炎ICD，申请日期-出疹时间≥5天</w:t>
            </w:r>
          </w:p>
          <w:p w14:paraId="57A2EB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②如发生肺炎，申请日期-出疹时间≥10天</w:t>
            </w:r>
          </w:p>
          <w:p w14:paraId="6BEB10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手足口病审核规则</w:t>
            </w:r>
          </w:p>
          <w:p w14:paraId="4F42BD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支持手足口疾病的复课（工）表单根据以下要求进行审核</w:t>
            </w:r>
          </w:p>
          <w:p w14:paraId="6F4974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申请日期-发病时间≥14天，且疱疹全部结痂</w:t>
            </w:r>
          </w:p>
          <w:p w14:paraId="2A979A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水痘审核规则</w:t>
            </w:r>
          </w:p>
          <w:p w14:paraId="1BB378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支持水痘疾病的复课（工）表单根据以下要求进行审核</w:t>
            </w:r>
          </w:p>
          <w:p w14:paraId="0B002A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申请日期-发病时间≥14天，且疱疹全部结痂</w:t>
            </w:r>
          </w:p>
          <w:p w14:paraId="106B01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 流感审核规则</w:t>
            </w:r>
          </w:p>
          <w:p w14:paraId="0D35C6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支持流感疾病的复课（工）表单根据以下要求进行审核</w:t>
            </w:r>
          </w:p>
          <w:p w14:paraId="1E6F46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①流感有报卡后不到7天但是有核酸阴性，进行人工审核；②流感无报卡但是有核酸阴性证明，进行人工审核；③发病后不足7天但满足先有阳性后有阴性核酸数据，自动审核，若平台无查找到阴性数据，但是申请内容上传图片，进行人工审核</w:t>
            </w:r>
          </w:p>
          <w:p w14:paraId="56437C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 流行性腮腺炎审核规则</w:t>
            </w:r>
          </w:p>
          <w:p w14:paraId="6E3137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支持流行性腮腺炎疾病的复课（工）表单根据以下要求进行审核</w:t>
            </w:r>
          </w:p>
          <w:p w14:paraId="1A64C1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申请日期-发病时间≥14天，且腮腺肿大完全消失</w:t>
            </w:r>
          </w:p>
          <w:p w14:paraId="22953A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流行性出血性结膜炎审核规则</w:t>
            </w:r>
          </w:p>
          <w:p w14:paraId="7FEEEF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支持流行性出血性结膜炎疾病的复课（工）表单根据以下要求进行审核</w:t>
            </w:r>
          </w:p>
          <w:p w14:paraId="03DBFB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申请日期-发病时间≥7天，且眼部眼红，流炎性分泌物等症状完全消失</w:t>
            </w:r>
          </w:p>
          <w:p w14:paraId="5A5111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 猩红热审核规则</w:t>
            </w:r>
          </w:p>
          <w:p w14:paraId="40587D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支持猩红热疾病的复课（工）表单根据以下要求进行审核</w:t>
            </w:r>
          </w:p>
          <w:p w14:paraId="0B3100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申请日期-发病时间≥7天，且临床症状完全消失</w:t>
            </w:r>
          </w:p>
          <w:p w14:paraId="104191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 伤寒/副伤寒审核规则</w:t>
            </w:r>
          </w:p>
          <w:p w14:paraId="290293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支持伤寒/副伤寒疾病的复课（工）表单根据以下要求进行审核</w:t>
            </w:r>
          </w:p>
          <w:p w14:paraId="3FD118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申请日期-发热消失时间≥15天，且临床症状完全消失</w:t>
            </w:r>
          </w:p>
          <w:p w14:paraId="203D85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 甲肝、戊肝审核规则</w:t>
            </w:r>
          </w:p>
          <w:p w14:paraId="19644C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支持甲肝、戊肝疾病的复课（工）表单根据以下要求进行审核</w:t>
            </w:r>
          </w:p>
          <w:p w14:paraId="098AE3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①申请日期-发病时间≥21天，且临床症状完全消失；</w:t>
            </w:r>
          </w:p>
          <w:p w14:paraId="636718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②申请日期-发病时间≥7天且申请日期-所有症状消失时间＞0天且发病时间后至申请日期之前有血生化检测中ALT与AST无异常；</w:t>
            </w:r>
          </w:p>
          <w:p w14:paraId="015268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③申请日期-发病时间≥7天且申请日期-所有症状消失时间＞0天，无血生化检测；</w:t>
            </w:r>
          </w:p>
          <w:p w14:paraId="160328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 流行性脑膜炎审核规则</w:t>
            </w:r>
          </w:p>
          <w:p w14:paraId="746B17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支持流行性脑膜炎疾病的复课（工）表单根据以下要求进行审核</w:t>
            </w:r>
          </w:p>
          <w:p w14:paraId="1263F3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申请日期-发病时间≥7天且申请日期-临床症状消失时间≥3天</w:t>
            </w:r>
          </w:p>
          <w:p w14:paraId="164179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 乙脑审核规则</w:t>
            </w:r>
          </w:p>
          <w:p w14:paraId="69C6DD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支持乙脑疾病的复课（工）表单根据以下要求进行审核</w:t>
            </w:r>
          </w:p>
          <w:p w14:paraId="7B4F47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申请日期-发热消失时间≥1天且申请日期-所有症状消失时间＞0天</w:t>
            </w:r>
          </w:p>
          <w:p w14:paraId="324AD5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 细菌性痢疾审核规则</w:t>
            </w:r>
          </w:p>
          <w:p w14:paraId="1C429A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支持细菌性痢疾疾病的复课（工）表单根据以下要求进行审核</w:t>
            </w:r>
          </w:p>
          <w:p w14:paraId="6FB067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申请日期-临床症状消失时间＞7天时，且临床症状完全消失</w:t>
            </w:r>
          </w:p>
        </w:tc>
      </w:tr>
      <w:tr w14:paraId="7B34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5E680">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CE86A">
            <w:pPr>
              <w:jc w:val="left"/>
              <w:rPr>
                <w:rFonts w:hint="eastAsia" w:ascii="宋体" w:hAnsi="宋体" w:eastAsia="宋体" w:cs="宋体"/>
                <w:i w:val="0"/>
                <w:iCs w:val="0"/>
                <w:color w:val="auto"/>
                <w:sz w:val="21"/>
                <w:szCs w:val="21"/>
                <w:u w:val="none"/>
              </w:rPr>
            </w:pP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BFFE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二、疾病自动审核规则</w:t>
            </w:r>
          </w:p>
          <w:p w14:paraId="524535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申请信息比对</w:t>
            </w:r>
          </w:p>
          <w:p w14:paraId="44CFFA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支持根据疾控提供的传染病复课规则，将家长填写的复课申请内容与全民健康信息平台的就诊信息、传染病报卡进行对比，自动审核通过满足规则的复课申请</w:t>
            </w:r>
          </w:p>
          <w:p w14:paraId="7514A2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自动审核通过</w:t>
            </w:r>
          </w:p>
          <w:p w14:paraId="784A9B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支持根据疾病规则对符合的申请记录自动审核通过</w:t>
            </w:r>
          </w:p>
          <w:p w14:paraId="560742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自动审核退回</w:t>
            </w:r>
          </w:p>
          <w:p w14:paraId="287385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支持根据疾病规则对不符合的申请记录自动审核退回，并填写退回理由</w:t>
            </w:r>
          </w:p>
        </w:tc>
      </w:tr>
      <w:tr w14:paraId="0CED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8A0C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DF582">
            <w:pPr>
              <w:jc w:val="left"/>
              <w:rPr>
                <w:rFonts w:hint="eastAsia" w:ascii="宋体" w:hAnsi="宋体" w:eastAsia="宋体" w:cs="宋体"/>
                <w:i w:val="0"/>
                <w:iCs w:val="0"/>
                <w:color w:val="auto"/>
                <w:sz w:val="21"/>
                <w:szCs w:val="21"/>
                <w:u w:val="none"/>
              </w:rPr>
            </w:pP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C050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三、人工审核管理</w:t>
            </w:r>
          </w:p>
          <w:p w14:paraId="692B62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复课审核</w:t>
            </w:r>
          </w:p>
          <w:p w14:paraId="7398CE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复课审核列表</w:t>
            </w:r>
          </w:p>
          <w:p w14:paraId="597C93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支持查看审核列表记录详情，包括学校所属街道、审核时间、审核人员；</w:t>
            </w:r>
          </w:p>
          <w:p w14:paraId="7DF4CC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支持按学生姓名、联系电话、所属学校、所属街道等查询检索</w:t>
            </w:r>
          </w:p>
          <w:p w14:paraId="6B062B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数据查看权限设置</w:t>
            </w:r>
          </w:p>
          <w:p w14:paraId="3CE7F1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支持区级账号允许查看/导出所有申请信息，防保科仅允许查看本街道数据</w:t>
            </w:r>
          </w:p>
          <w:p w14:paraId="4C9D1C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审核详情</w:t>
            </w:r>
          </w:p>
          <w:p w14:paraId="36DA10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支持查看审核详情展示个人信息，复课信息，传染病报卡信息，平台核酸/抗原记录，满足复课主要条件，并且支持调阅申请人诊疗记录</w:t>
            </w:r>
          </w:p>
          <w:p w14:paraId="5A52FD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审核流程管理</w:t>
            </w:r>
          </w:p>
          <w:p w14:paraId="1D06C9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支持提供人工审核权限分为审核通过和审核退回</w:t>
            </w:r>
          </w:p>
          <w:p w14:paraId="29ABBB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人工批量审批</w:t>
            </w:r>
          </w:p>
          <w:p w14:paraId="01AA87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支持批量审核通过、不通过复课申请表单</w:t>
            </w:r>
          </w:p>
          <w:p w14:paraId="02D292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超时申请标记颜色提示</w:t>
            </w:r>
          </w:p>
          <w:p w14:paraId="58303A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支持标红显示超出规定审核时间的复课申请表单信息</w:t>
            </w:r>
          </w:p>
          <w:p w14:paraId="0EC6D3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复工审核</w:t>
            </w:r>
          </w:p>
          <w:p w14:paraId="13CD3D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复工审核列表</w:t>
            </w:r>
          </w:p>
          <w:p w14:paraId="4ACDD9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支持查看审核列表记录详情，包括所属街道、审核时间、审核人员；</w:t>
            </w:r>
          </w:p>
          <w:p w14:paraId="2DE789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支持按姓名、联系电话、所属街道等查询检索</w:t>
            </w:r>
          </w:p>
          <w:p w14:paraId="15F0A7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数据查看权限设置</w:t>
            </w:r>
          </w:p>
          <w:p w14:paraId="1EDBC9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支持区级账号允许查看/导出所有申请信息，防保科仅允许查看本街道数据</w:t>
            </w:r>
          </w:p>
          <w:p w14:paraId="01C2E8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审核详情</w:t>
            </w:r>
          </w:p>
          <w:p w14:paraId="7E9CA5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支持查看审核详情展示个人信息，复课信息，传染病报卡信息，平台核酸/抗原记录，满足复课主要条件，并且支持调阅申请人诊疗记录</w:t>
            </w:r>
          </w:p>
          <w:p w14:paraId="69A6A9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审核流程管理</w:t>
            </w:r>
          </w:p>
          <w:p w14:paraId="263DE4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支持提供人工审核权限分为审核通过和审核退回</w:t>
            </w:r>
          </w:p>
          <w:p w14:paraId="1AF560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人工批量审批</w:t>
            </w:r>
          </w:p>
          <w:p w14:paraId="11C9E4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支持批量审核通过、不通过复课申请表单</w:t>
            </w:r>
          </w:p>
          <w:p w14:paraId="7A09AD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 超时申请标记颜色提示</w:t>
            </w:r>
          </w:p>
          <w:p w14:paraId="3BA5D0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支持标红显示超出规定审核时间的复工申请表单信息</w:t>
            </w:r>
          </w:p>
        </w:tc>
      </w:tr>
      <w:tr w14:paraId="408C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B88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2CD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复课(工)开具证明系统（移动端）（新建）</w:t>
            </w: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A91E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一、复课证明</w:t>
            </w:r>
          </w:p>
          <w:p w14:paraId="4940FF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复课申请列表</w:t>
            </w:r>
          </w:p>
          <w:p w14:paraId="76229FD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支持移动端展示复课申请历史列表，允许学生、家长查询复课证明记录</w:t>
            </w:r>
          </w:p>
          <w:p w14:paraId="0EBC02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复课申请表单</w:t>
            </w:r>
          </w:p>
          <w:p w14:paraId="24231F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支持新增/编辑申请表单申请界面，允许上传数字签名和佐证材料照片，支持审核退回后重新编辑。</w:t>
            </w:r>
          </w:p>
          <w:p w14:paraId="5CB8C3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疾病复课标准说明</w:t>
            </w:r>
          </w:p>
          <w:p w14:paraId="54683F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支持复课表单中选中疾病展示对应的复课要求文本，方便提示用户操作</w:t>
            </w:r>
          </w:p>
          <w:p w14:paraId="34B831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复课申请详情</w:t>
            </w:r>
          </w:p>
          <w:p w14:paraId="27BF5D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支持申请提交后查看申请表单详细，支持查看表单生成的复课证明材料</w:t>
            </w:r>
          </w:p>
          <w:p w14:paraId="7D3F63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复课审核提醒</w:t>
            </w:r>
          </w:p>
          <w:p w14:paraId="035D29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支持界面提示用户：人工将在工作日16：00前完成审核，超过当天16：00人工审核将在次日9:00完成审核，周末及假节日将在24小时内完成审核，防保科电话</w:t>
            </w:r>
          </w:p>
        </w:tc>
      </w:tr>
      <w:tr w14:paraId="70AD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0D5D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2BC32">
            <w:pPr>
              <w:jc w:val="left"/>
              <w:rPr>
                <w:rFonts w:hint="eastAsia" w:ascii="宋体" w:hAnsi="宋体" w:eastAsia="宋体" w:cs="宋体"/>
                <w:i w:val="0"/>
                <w:iCs w:val="0"/>
                <w:color w:val="auto"/>
                <w:sz w:val="21"/>
                <w:szCs w:val="21"/>
                <w:u w:val="none"/>
              </w:rPr>
            </w:pP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5A56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二、复工证明</w:t>
            </w:r>
          </w:p>
          <w:p w14:paraId="061E0A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复工申请列表</w:t>
            </w:r>
          </w:p>
          <w:p w14:paraId="714754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支持移动端展示复工申请历史列表，允许企业员工查询复工证明记录</w:t>
            </w:r>
          </w:p>
          <w:p w14:paraId="11BA59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复工申请表单</w:t>
            </w:r>
          </w:p>
          <w:p w14:paraId="4E0CDA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支持新增/编辑申请表单申请界面，允许上传数字签名和佐证材料照片，支持审核退回后重新编辑。</w:t>
            </w:r>
          </w:p>
          <w:p w14:paraId="1EE3BA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疾病复工标准说明</w:t>
            </w:r>
          </w:p>
          <w:p w14:paraId="5439EA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支持复工表单中选中疾病展示对应的复工要求文本，方便提示用户操作</w:t>
            </w:r>
          </w:p>
          <w:p w14:paraId="7AF6E8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复工申请详情</w:t>
            </w:r>
          </w:p>
          <w:p w14:paraId="47B974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支持申请提交后查看申请表单详细，支持查看表单生成的复工证明材料</w:t>
            </w:r>
          </w:p>
          <w:p w14:paraId="25FB57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复工审核提醒</w:t>
            </w:r>
          </w:p>
          <w:p w14:paraId="680E25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支持界面提示用户：人工将在工作日16：00前完成审核，超过当天16：00人工审核将在次日9:00完成审核，周末及假节日将在24小时内完成审核，防保科电话</w:t>
            </w:r>
          </w:p>
        </w:tc>
      </w:tr>
      <w:tr w14:paraId="4C7D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BBF9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4F43B">
            <w:pPr>
              <w:jc w:val="left"/>
              <w:rPr>
                <w:rFonts w:hint="eastAsia" w:ascii="宋体" w:hAnsi="宋体" w:eastAsia="宋体" w:cs="宋体"/>
                <w:i w:val="0"/>
                <w:iCs w:val="0"/>
                <w:color w:val="auto"/>
                <w:sz w:val="21"/>
                <w:szCs w:val="21"/>
                <w:u w:val="none"/>
              </w:rPr>
            </w:pP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581F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三、标准说明书</w:t>
            </w:r>
          </w:p>
          <w:p w14:paraId="18EA98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1.复课（工）证明说明书</w:t>
            </w:r>
          </w:p>
          <w:p w14:paraId="5BF214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支持展示复课（工）隔离标准的说明书</w:t>
            </w:r>
          </w:p>
        </w:tc>
      </w:tr>
      <w:tr w14:paraId="1640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F754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24651">
            <w:pPr>
              <w:jc w:val="left"/>
              <w:rPr>
                <w:rFonts w:hint="eastAsia" w:ascii="宋体" w:hAnsi="宋体" w:eastAsia="宋体" w:cs="宋体"/>
                <w:i w:val="0"/>
                <w:iCs w:val="0"/>
                <w:color w:val="auto"/>
                <w:sz w:val="21"/>
                <w:szCs w:val="21"/>
                <w:u w:val="none"/>
              </w:rPr>
            </w:pPr>
          </w:p>
        </w:tc>
        <w:tc>
          <w:tcPr>
            <w:tcW w:w="38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8354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四、系统对接</w:t>
            </w:r>
          </w:p>
          <w:p w14:paraId="4C57CE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对接浙里办登录体系</w:t>
            </w:r>
          </w:p>
          <w:p w14:paraId="4B4E1F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支持调用引领健康获取登录信息接口，使用浙里办注册账号，每位用户只可用浙里办账号申请本人的复课复工申请</w:t>
            </w:r>
          </w:p>
        </w:tc>
      </w:tr>
    </w:tbl>
    <w:p w14:paraId="2493FF89">
      <w:pPr>
        <w:pageBreakBefore w:val="0"/>
        <w:widowControl/>
        <w:kinsoku/>
        <w:wordWrap/>
        <w:overflowPunct/>
        <w:topLinePunct w:val="0"/>
        <w:autoSpaceDE/>
        <w:autoSpaceDN/>
        <w:bidi w:val="0"/>
        <w:adjustRightInd w:val="0"/>
        <w:snapToGrid w:val="0"/>
        <w:spacing w:before="0" w:after="0" w:line="240" w:lineRule="auto"/>
        <w:ind w:left="0" w:firstLine="0"/>
        <w:jc w:val="left"/>
        <w:rPr>
          <w:rFonts w:ascii="Calibri" w:hAnsi="Calibri" w:eastAsia="宋体" w:cs="Times New Roman"/>
          <w:color w:val="auto"/>
          <w:sz w:val="21"/>
          <w:szCs w:val="21"/>
        </w:rPr>
      </w:pPr>
    </w:p>
    <w:p w14:paraId="280E5E09">
      <w:pPr>
        <w:keepNext/>
        <w:keepLines/>
        <w:widowControl w:val="0"/>
        <w:numPr>
          <w:ilvl w:val="3"/>
          <w:numId w:val="2"/>
        </w:numPr>
        <w:bidi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行政管理</w:t>
      </w:r>
    </w:p>
    <w:p w14:paraId="3C8C0B80">
      <w:pPr>
        <w:keepNext/>
        <w:keepLines/>
        <w:widowControl w:val="0"/>
        <w:numPr>
          <w:ilvl w:val="4"/>
          <w:numId w:val="2"/>
        </w:numPr>
        <w:bidi w:val="0"/>
        <w:spacing w:before="280" w:beforeLines="0" w:beforeAutospacing="0" w:after="290" w:afterLines="0" w:afterAutospacing="0" w:line="372" w:lineRule="auto"/>
        <w:ind w:left="1008" w:hanging="1008"/>
        <w:jc w:val="both"/>
        <w:outlineLvl w:val="4"/>
        <w:rPr>
          <w:rFonts w:ascii="Calibri" w:hAnsi="Calibri" w:eastAsia="宋体" w:cs="Times New Roman"/>
          <w:b/>
          <w:color w:val="auto"/>
          <w:kern w:val="2"/>
          <w:sz w:val="21"/>
          <w:szCs w:val="21"/>
          <w:lang w:val="en-US" w:eastAsia="zh-CN" w:bidi="ar-SA"/>
        </w:rPr>
      </w:pPr>
      <w:r>
        <w:rPr>
          <w:rFonts w:ascii="Calibri" w:hAnsi="Calibri" w:eastAsia="宋体" w:cs="Times New Roman"/>
          <w:b/>
          <w:color w:val="auto"/>
          <w:kern w:val="2"/>
          <w:sz w:val="21"/>
          <w:szCs w:val="21"/>
          <w:lang w:val="en-US" w:eastAsia="zh-CN" w:bidi="ar-SA"/>
        </w:rPr>
        <w:t>基层机构补偿机制改革绩效考核评价系统</w:t>
      </w:r>
    </w:p>
    <w:tbl>
      <w:tblPr>
        <w:tblStyle w:val="13"/>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9"/>
        <w:gridCol w:w="1190"/>
        <w:gridCol w:w="6671"/>
      </w:tblGrid>
      <w:tr w14:paraId="6B45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3E0CFD0">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14:paraId="3A1F65F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系统</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064EE48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功能及技术参数</w:t>
            </w:r>
          </w:p>
        </w:tc>
      </w:tr>
      <w:tr w14:paraId="0275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463B1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B9870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区域考核（改造）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2ED78B6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一、方案管理</w:t>
            </w:r>
          </w:p>
          <w:p w14:paraId="1EA0BF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考核方案配置维护</w:t>
            </w:r>
          </w:p>
          <w:p w14:paraId="3B9E37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基于业务数据集成平台，实现区级绩效考核方案的自主配置和管理，包括工作数量、工作质量、满意度等多维度考核指标的可配置化，以及各类权重、考核周期的自主设置，并实现考核指标流程的电子化管理。</w:t>
            </w:r>
          </w:p>
          <w:p w14:paraId="0401B1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考核方案发布</w:t>
            </w:r>
          </w:p>
          <w:p w14:paraId="0F72FB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可针对不同的基层医疗卫生机构配置不同的考核方案，配置完成后可发布应用对应的考核方案。</w:t>
            </w:r>
          </w:p>
          <w:p w14:paraId="5C9788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分类数据、顺序数据管理</w:t>
            </w:r>
          </w:p>
          <w:p w14:paraId="142D86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引用分类数据、顺序数据的考核项目（如工作质量考核方案），其值域应支持分类数据、顺序数据、数值数据（含相对数），并支持第三方分类数据、顺序数据的转换和运算，如合理用药系统、电子病历系统等。</w:t>
            </w:r>
          </w:p>
        </w:tc>
      </w:tr>
      <w:tr w14:paraId="5F93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68B01C">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CEDBF1">
            <w:pPr>
              <w:jc w:val="center"/>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058E928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二、方案进度</w:t>
            </w:r>
          </w:p>
          <w:p w14:paraId="685C35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可根据各个账号的指标权限，在所对应的环节，查询当前方案的各个指标的进度。</w:t>
            </w:r>
          </w:p>
        </w:tc>
      </w:tr>
      <w:tr w14:paraId="3EA9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3E1B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DD8F5F">
            <w:pPr>
              <w:jc w:val="center"/>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7545820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三、结果查询</w:t>
            </w:r>
          </w:p>
          <w:p w14:paraId="2C467A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考核方案完成后，支持考核方案结果查询，直观展示各机构数值。</w:t>
            </w:r>
          </w:p>
        </w:tc>
      </w:tr>
      <w:tr w14:paraId="4B7E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D03BF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2A6EC">
            <w:pPr>
              <w:jc w:val="center"/>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60219B0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四、月填报管理</w:t>
            </w:r>
          </w:p>
          <w:p w14:paraId="36F246D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非系统采集数据手工填报</w:t>
            </w:r>
          </w:p>
          <w:p w14:paraId="2E6748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支持区级考核月度填报，各机构可根据权限填写上报方案中的指标。</w:t>
            </w:r>
          </w:p>
        </w:tc>
      </w:tr>
      <w:tr w14:paraId="726E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F7F0D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06C6E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院内考核（改造）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0C5293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一、方案管理</w:t>
            </w:r>
          </w:p>
          <w:p w14:paraId="107588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可按科室、医生、团队进行考核，包含考核方案的管理功能，包括工作数量、工作质量、满意度等多维度考核指标的可配置化，以及各类权重、考核周期的自主设置。</w:t>
            </w:r>
          </w:p>
        </w:tc>
      </w:tr>
      <w:tr w14:paraId="09CD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62BCA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4702F7">
            <w:pPr>
              <w:jc w:val="center"/>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56C296E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二、方案进度</w:t>
            </w:r>
          </w:p>
          <w:p w14:paraId="3F50B0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支持院内考核方案进度查看，各个账号可在方案进度中查询对应指标目前的上报情况。</w:t>
            </w:r>
          </w:p>
        </w:tc>
      </w:tr>
      <w:tr w14:paraId="7DCF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E8CD2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B58BA">
            <w:pPr>
              <w:jc w:val="center"/>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60CDA0C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三、对象独立系数管理</w:t>
            </w:r>
          </w:p>
          <w:p w14:paraId="53B08F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支持设置针对考核对象或者是指标设置独立系数，该系数可应用与考核结果。</w:t>
            </w:r>
          </w:p>
        </w:tc>
      </w:tr>
      <w:tr w14:paraId="05C9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79B4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5357B">
            <w:pPr>
              <w:jc w:val="center"/>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615C939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四、院指标总览</w:t>
            </w:r>
          </w:p>
          <w:p w14:paraId="5DE524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考核完成后，可查询对应考核方案所有的指标结果，指标结果可按照不同分组展示。</w:t>
            </w:r>
          </w:p>
        </w:tc>
      </w:tr>
      <w:tr w14:paraId="3270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3D9CB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614F41">
            <w:pPr>
              <w:jc w:val="center"/>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792E2F7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五、结果查询</w:t>
            </w:r>
          </w:p>
          <w:p w14:paraId="65EA92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考核完成后，支持考核结果查询。</w:t>
            </w:r>
          </w:p>
        </w:tc>
      </w:tr>
      <w:tr w14:paraId="3524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4BF48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C8E2A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薪酬管理（改造）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26D81A1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一、薪酬审核</w:t>
            </w:r>
          </w:p>
          <w:p w14:paraId="49B106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工作量数据审核</w:t>
            </w:r>
          </w:p>
          <w:p w14:paraId="1429F4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支持对最终的薪酬结果进行审核，支持审核通过或者驳回，被驳回的可在原来内容基础上再次进行提交审核。</w:t>
            </w:r>
          </w:p>
        </w:tc>
      </w:tr>
      <w:tr w14:paraId="5321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95BF7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CB48C4">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E71352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二、薪酬查询</w:t>
            </w:r>
          </w:p>
          <w:p w14:paraId="6A0330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支持查询所有分配薪酬的结果，支持按照考核方案进行薪酬查询。</w:t>
            </w:r>
          </w:p>
        </w:tc>
      </w:tr>
      <w:tr w14:paraId="0109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F239C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3E5B0">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241476C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三、考核方案薪酬查询</w:t>
            </w:r>
          </w:p>
          <w:p w14:paraId="41DC63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方案维护管理</w:t>
            </w:r>
          </w:p>
          <w:p w14:paraId="34B41F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支持点击进入考核方案，根据考核方案查询目前薪酬分配的情况。</w:t>
            </w:r>
          </w:p>
          <w:p w14:paraId="24E843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方案查询</w:t>
            </w:r>
          </w:p>
          <w:p w14:paraId="6A8595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按照季度间期，状态，创建时间查询。</w:t>
            </w:r>
          </w:p>
          <w:p w14:paraId="62996F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试算执行</w:t>
            </w:r>
          </w:p>
          <w:p w14:paraId="3F2502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根据制定好的方案进行方案试算，可以对方案按照科室和人员进行两次试算，试算的目的主要是查验方案的可行性。如果方案试算有问题，可以对方案状态为试算中的方案进行维护。</w:t>
            </w:r>
          </w:p>
          <w:p w14:paraId="6C5F70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方案预算查询</w:t>
            </w:r>
          </w:p>
          <w:p w14:paraId="346F35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按不同时间维度，取上季度或上个月各项指标工作量，套用薪酬方案计算出每个家庭医生薪酬值，与上季度或上个月已发放薪酬比较，得出薪酬方案是否合理。</w:t>
            </w:r>
          </w:p>
        </w:tc>
      </w:tr>
      <w:tr w14:paraId="212A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0EF32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81BA3D">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46196A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四、奖金分配</w:t>
            </w:r>
          </w:p>
          <w:p w14:paraId="4DC3E3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系统可对固定薪酬工资进行维护管理，也可对可变薪酬工资进行维护管理，根据最终绩效分配结果，自动计算出院内人员固定薪酬及可变薪酬数值，并提交主要领导确认签发。</w:t>
            </w:r>
          </w:p>
        </w:tc>
      </w:tr>
      <w:tr w14:paraId="21A7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0DD29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EADFB2">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63FA60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五、考核奖金查询</w:t>
            </w:r>
          </w:p>
          <w:p w14:paraId="6D59DB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考核完成后，支持科室考核或团队考核绩效分配给医生的奖金的查询。</w:t>
            </w:r>
          </w:p>
        </w:tc>
      </w:tr>
      <w:tr w14:paraId="23FC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58E8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8EDEF1">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7DF7C7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六、费别管理</w:t>
            </w:r>
          </w:p>
          <w:p w14:paraId="101B95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支持配置各类薪酬条目的费用类别，支持费用列表的新增、删除、编辑以及停用。</w:t>
            </w:r>
          </w:p>
        </w:tc>
      </w:tr>
      <w:tr w14:paraId="0569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3F06A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F15258">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67DD89F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七、基础费用管理</w:t>
            </w:r>
          </w:p>
          <w:p w14:paraId="771F36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支持自定义基础费用，可默认设置一个薪酬的基础金额数额。</w:t>
            </w:r>
          </w:p>
        </w:tc>
      </w:tr>
      <w:tr w14:paraId="4F0E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84AFB6">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7ADF26">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3AD4C51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八、全院薪资表</w:t>
            </w:r>
          </w:p>
          <w:p w14:paraId="210F10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支持查询全院的薪酬报表。</w:t>
            </w:r>
          </w:p>
        </w:tc>
      </w:tr>
      <w:tr w14:paraId="7168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6AC5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EF7A68">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37C3A7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九、全年薪资查询</w:t>
            </w:r>
          </w:p>
          <w:p w14:paraId="290188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支持查询全年的薪酬报表。</w:t>
            </w:r>
          </w:p>
        </w:tc>
      </w:tr>
      <w:tr w14:paraId="076F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D1EE1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0163B6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监管分析（改造）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01BC6E1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一、指标总览</w:t>
            </w:r>
          </w:p>
          <w:p w14:paraId="07B9D3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可以筛选机构，考核指标，时间段，展示每机构的总工作量（指标值），总工作当量。</w:t>
            </w:r>
          </w:p>
        </w:tc>
      </w:tr>
      <w:tr w14:paraId="6510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F495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F868D9">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5E6DC38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二、区财政补偿</w:t>
            </w:r>
          </w:p>
          <w:p w14:paraId="2941B6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可以筛选机构，考核方案，时间段，展示每机构的总工作当量，以及分类的基本医疗当量和公共卫生当量数据，以及对应的补偿金额，和对应类型的基本医疗金额和公共卫生金额。</w:t>
            </w:r>
          </w:p>
        </w:tc>
      </w:tr>
      <w:tr w14:paraId="4779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8D72C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D551C7">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B7099A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三、区工作量分析</w:t>
            </w:r>
          </w:p>
          <w:p w14:paraId="677ED9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可以筛选医生，考核方案，时间段，展示每医生的总薪酬，以及其他分类的薪酬数据，以及对应的补偿金额，和调节金额等。</w:t>
            </w:r>
          </w:p>
        </w:tc>
      </w:tr>
      <w:tr w14:paraId="0EE4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5D87C">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C45A41">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38F64AE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四、趋势分析</w:t>
            </w:r>
          </w:p>
          <w:p w14:paraId="6854B2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以去年同比前年的增长率，来预测今年同比去年的</w:t>
            </w:r>
          </w:p>
        </w:tc>
      </w:tr>
      <w:tr w14:paraId="576F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5E6063">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A95F02">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D647E3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五、异常预警</w:t>
            </w:r>
          </w:p>
          <w:p w14:paraId="00B730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可以在考核标准里配置每个指标的预警数值，当超过预警值后，将可以在查询界面中查询到</w:t>
            </w:r>
          </w:p>
        </w:tc>
      </w:tr>
      <w:tr w14:paraId="7D7B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E5B3B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0F375">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32305BE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六、预设指标排名</w:t>
            </w:r>
          </w:p>
          <w:p w14:paraId="4C2E0D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根据每家机构的总工作当量，给机构排名。</w:t>
            </w:r>
          </w:p>
        </w:tc>
      </w:tr>
      <w:tr w14:paraId="4CCB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B61238">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1B3326">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6C8F0BE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七、考核补偿统计</w:t>
            </w:r>
          </w:p>
          <w:p w14:paraId="632B7F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支持考核补偿结果的统计。</w:t>
            </w:r>
          </w:p>
        </w:tc>
      </w:tr>
      <w:tr w14:paraId="2EEE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08CFBC">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424688">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A27E9C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八、资金拨付预测</w:t>
            </w:r>
          </w:p>
          <w:p w14:paraId="3D1033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以去年同比前年的增长率，来预测今年同比去年的资金拨付。</w:t>
            </w:r>
          </w:p>
        </w:tc>
      </w:tr>
      <w:tr w14:paraId="0554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53034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1DE6CC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标准管理（改造）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60DE37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一、类型管理</w:t>
            </w:r>
          </w:p>
          <w:p w14:paraId="01F3A8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支持标准类型管理，包含类型的新增、编辑以及停用。</w:t>
            </w:r>
          </w:p>
        </w:tc>
      </w:tr>
      <w:tr w14:paraId="37B2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312890">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B4EBC5">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C4C07D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二、指标管理</w:t>
            </w:r>
          </w:p>
          <w:p w14:paraId="5765D0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指标新增</w:t>
            </w:r>
          </w:p>
          <w:p w14:paraId="42679D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支持指标的添加，可以自定义配置需要的指标，包括一些指标名称，指标编码，指标类型等基本信息，允许机构添加，本机构自己定义的指标，支持指标的描述、采集方式的切换，允许手工填报。</w:t>
            </w:r>
          </w:p>
          <w:p w14:paraId="6C51F8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指标维护</w:t>
            </w:r>
          </w:p>
          <w:p w14:paraId="4A8F58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可以新建指标、修改、扩展已有指标的因子及其他属性、指标自定义等；可以灵活的实现指标分类，指标大类、指标子类、关键指标设置等全面维护。</w:t>
            </w:r>
          </w:p>
          <w:p w14:paraId="65C5D8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指标查询</w:t>
            </w:r>
          </w:p>
          <w:p w14:paraId="6E3016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针对指标越来越多，用户无法快速找到指标的问题，系统提供指标快速定位功能。</w:t>
            </w:r>
          </w:p>
          <w:p w14:paraId="12EDC6E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个性化指标配置</w:t>
            </w:r>
          </w:p>
          <w:p w14:paraId="355DBB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支持机构考核指标，机构内共性指标，医院个性指标配置。</w:t>
            </w:r>
          </w:p>
        </w:tc>
      </w:tr>
      <w:tr w14:paraId="72EF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61D9C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993305">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23E38CC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三、指标权限管理</w:t>
            </w:r>
          </w:p>
          <w:p w14:paraId="679A1A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可以筛选指标、考核类别、考核标准等条件，可以查询所有指标每个环节下的账号个数，点击数字可以增加有权限的账号并保存，支持精细化配置，每个账号在每个环节所能操作的指标。</w:t>
            </w:r>
          </w:p>
        </w:tc>
      </w:tr>
      <w:tr w14:paraId="42A7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838979">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099076">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F70898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四、年度标准管理</w:t>
            </w:r>
          </w:p>
          <w:p w14:paraId="633626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考核标准，应当包含改考核标准的基本信息，如名称、考核标准的年度、详情描述等。</w:t>
            </w:r>
          </w:p>
        </w:tc>
      </w:tr>
      <w:tr w14:paraId="19CB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16A21D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0ECA3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调度任务（改造）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5E4E76B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一、调度库管理</w:t>
            </w:r>
          </w:p>
          <w:p w14:paraId="53A01F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支持调度采集任务的查看，支持通过调度库进行采集任务管理。</w:t>
            </w:r>
          </w:p>
        </w:tc>
      </w:tr>
      <w:tr w14:paraId="6CD2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A00D5">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5C3B05">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66F0FC4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二、维度维护</w:t>
            </w:r>
          </w:p>
          <w:p w14:paraId="57C4E5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支持调度任务按照不同的维度进行采集抽取。</w:t>
            </w:r>
          </w:p>
        </w:tc>
      </w:tr>
      <w:tr w14:paraId="52AF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A358C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80B832">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42D656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三、连接池维护</w:t>
            </w:r>
          </w:p>
          <w:p w14:paraId="2ED7AF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支持查看调度任务状态，是否连接成功。</w:t>
            </w:r>
          </w:p>
        </w:tc>
      </w:tr>
      <w:tr w14:paraId="22C9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AEF4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AED42">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50D4422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四、调度监控</w:t>
            </w:r>
          </w:p>
          <w:p w14:paraId="7FF502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支持监测调度任务的执行状态。</w:t>
            </w:r>
          </w:p>
        </w:tc>
      </w:tr>
      <w:tr w14:paraId="6308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B5DF7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7F369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数据质控（改造）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0960FE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一、采集数据量总览</w:t>
            </w:r>
          </w:p>
          <w:p w14:paraId="0C805E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支持在数据质控页面看到所有数据的质控情况，支持一致性总览、及时性总览、规范率总览、完整性总览以及稳定性总览。</w:t>
            </w:r>
          </w:p>
        </w:tc>
      </w:tr>
      <w:tr w14:paraId="11C8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D0CC6A">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4D58EA">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27D348C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二、数据质控管理</w:t>
            </w:r>
          </w:p>
          <w:p w14:paraId="367806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支持指标结果质控以及指标核减分析，可以查询原医院实时统计的指标值</w:t>
            </w:r>
          </w:p>
        </w:tc>
      </w:tr>
      <w:tr w14:paraId="13FD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88677">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1262D5">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322B27A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三、数据质量管理</w:t>
            </w:r>
          </w:p>
          <w:p w14:paraId="235DC7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支持查看数据质量评价、明细对账日志以及指标对账日志。</w:t>
            </w:r>
          </w:p>
        </w:tc>
      </w:tr>
      <w:tr w14:paraId="10ED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09B407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5F770B2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补录管理（改造）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59B1FC9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一、年度人员薪酬补录</w:t>
            </w:r>
          </w:p>
          <w:p w14:paraId="0539A7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针对人员薪酬类指标，在考核流程中支持手工录入。支持佐证上传，支持上传图片和压缩包文件。</w:t>
            </w:r>
          </w:p>
        </w:tc>
      </w:tr>
      <w:tr w14:paraId="2B82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542443">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D3717A">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78DF025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二、机构政府补偿补录</w:t>
            </w:r>
          </w:p>
          <w:p w14:paraId="4256F7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针对机构政府补偿类指标，在考核流程中支持手工录入。支持佐证上传，支持上传图片和压缩包文件。</w:t>
            </w:r>
          </w:p>
        </w:tc>
      </w:tr>
      <w:tr w14:paraId="72A8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A3B71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FF8EC">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E4962A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三、月手工指标补录</w:t>
            </w:r>
          </w:p>
          <w:p w14:paraId="6C6FA6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支持手工录入单独界面，针对无法采集的指标项，支持按不同的机构，对不同的指标项支持批量录入功能。</w:t>
            </w:r>
          </w:p>
        </w:tc>
      </w:tr>
      <w:tr w14:paraId="7E5E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54EBA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F513E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人力资源（改造）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7EA7795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一、人力资源管理</w:t>
            </w:r>
          </w:p>
          <w:p w14:paraId="444214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人力资源信息新增</w:t>
            </w:r>
          </w:p>
          <w:p w14:paraId="0DE1F98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基层医疗卫生机构对医务人员个人信息的新增，新增的内容包括医务人员姓名、性别、出生年月、身份证号、注册证号、所在机构编码、所在机构名称、职称、职务、联系电话、在编情况等等，以身份证号作为人员身份的唯一识别标识，机构编码+身份证号作为人员在不同机构执业的唯一识别标识。</w:t>
            </w:r>
          </w:p>
          <w:p w14:paraId="1B9C06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 人力资源变更及维护</w:t>
            </w:r>
          </w:p>
          <w:p w14:paraId="5F0FB1B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实现医务人员个人信息变更后的及时更新，人员调动等情况的及时维护，同时记录每次更新维护内容情况。</w:t>
            </w:r>
          </w:p>
          <w:p w14:paraId="6D643A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人力资源查询</w:t>
            </w:r>
          </w:p>
          <w:p w14:paraId="286F95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实现医共体牵头单位对各成员单位医务人员信息的查询查看，基层医疗卫生机构对本机构医务人员信息的查询查看，同时提供数据接口，供业务应用系统同步更新并应用区域内统一的医务人员信息。</w:t>
            </w:r>
          </w:p>
          <w:p w14:paraId="132D62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 统一应用系统身份认证</w:t>
            </w:r>
          </w:p>
          <w:p w14:paraId="5FB3A8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各业务应用系统实现与唯一身份识别认证系统对接，实现各业务应用系统与补偿机制改革绩效考核信息系统用户一致，也可依托人力资源管理系统实现。</w:t>
            </w:r>
          </w:p>
        </w:tc>
      </w:tr>
      <w:tr w14:paraId="22EC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08F65">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BF769">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96AEFF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二、人力资源变更日志</w:t>
            </w:r>
          </w:p>
          <w:p w14:paraId="134C1E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支持人力资源变更后，有日志可以查询变更记录。</w:t>
            </w:r>
          </w:p>
        </w:tc>
      </w:tr>
      <w:tr w14:paraId="0E2A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AA99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8FD76F">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6FAC4C8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三、科室管理</w:t>
            </w:r>
          </w:p>
          <w:p w14:paraId="1D9388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支持医疗机构科室新增、编辑、修改以及停用。</w:t>
            </w:r>
          </w:p>
        </w:tc>
      </w:tr>
      <w:tr w14:paraId="451A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361FE">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151BB2">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7732EB1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四、机构管理</w:t>
            </w:r>
          </w:p>
          <w:p w14:paraId="4A7372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支持机构新增、编辑、修改以及停用。</w:t>
            </w:r>
          </w:p>
        </w:tc>
      </w:tr>
      <w:tr w14:paraId="6B44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1EF571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0AE5AE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系统管理（改造）</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7E9C40F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一、系统管理</w:t>
            </w:r>
          </w:p>
          <w:p w14:paraId="691D04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支持主框架下子系统的管理、模块的管理、菜单的管理、账户角色的管理以及账户的管理。</w:t>
            </w:r>
          </w:p>
        </w:tc>
      </w:tr>
      <w:tr w14:paraId="0746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7E05A9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CA99B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考核指标中心（新建）</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31321AA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一、数据填报采集</w:t>
            </w:r>
          </w:p>
          <w:p w14:paraId="1C30BF2B">
            <w:pPr>
              <w:keepNext w:val="0"/>
              <w:keepLines w:val="0"/>
              <w:widowControl/>
              <w:suppressLineNumbers w:val="0"/>
              <w:jc w:val="both"/>
              <w:textAlignment w:val="center"/>
              <w:rPr>
                <w:rFonts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．数据填报流程审批组件</w:t>
            </w:r>
          </w:p>
          <w:p w14:paraId="54C7BE2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支持在用户完成数据填报后，系统将生成数据入库审批流程，实现对所传数据的内容和操作进行审批，审批完成后作为合法数据进行入库流程。</w:t>
            </w:r>
          </w:p>
          <w:p w14:paraId="0A95D9A2">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填报结果查询、维护、模板导入</w:t>
            </w:r>
          </w:p>
          <w:p w14:paraId="0088DA0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支持数据填报完成后，可查询填报记录的审批流程情况，并对已填报的数据记录进行维护修改。填报时，可选择采用标准的数据模板进行直接导入，减少手工填报的复杂度。</w:t>
            </w:r>
          </w:p>
          <w:p w14:paraId="6AF31297">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分角色报表查询、导出</w:t>
            </w:r>
          </w:p>
          <w:p w14:paraId="5661AB9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用户可自定义选择指标</w:t>
            </w:r>
            <w:r>
              <w:rPr>
                <w:rFonts w:hint="default" w:ascii="Calibri" w:hAnsi="Calibri" w:eastAsia="宋体" w:cs="Calibri"/>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选择指标展示维度如医疗机构</w:t>
            </w:r>
            <w:r>
              <w:rPr>
                <w:rFonts w:hint="default" w:ascii="Calibri" w:hAnsi="Calibri" w:eastAsia="宋体" w:cs="Calibri"/>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选择指标的查询条件</w:t>
            </w:r>
            <w:r>
              <w:rPr>
                <w:rFonts w:hint="default" w:ascii="Calibri" w:hAnsi="Calibri" w:eastAsia="宋体" w:cs="Calibri"/>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生成固定报表。对区域、医共体和基层医疗机构等不同维度围绕基层医疗机构绩效考核报表进行查询、导出。</w:t>
            </w:r>
          </w:p>
          <w:p w14:paraId="384DB7FB">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数据手工填报</w:t>
            </w:r>
          </w:p>
          <w:p w14:paraId="328639B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支持填报页面进行定制开发，通过基层医疗卫生机构定期考核，操作人员日常对考核指标数据的收集、补录等汇集成临时指标集。</w:t>
            </w:r>
          </w:p>
        </w:tc>
      </w:tr>
      <w:tr w14:paraId="3F8C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0B7F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0E8A92">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1AF75A8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二、机构识别标识及归属</w:t>
            </w:r>
          </w:p>
          <w:p w14:paraId="5D95EE49">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绩效考核机构主索引管理</w:t>
            </w:r>
          </w:p>
          <w:p w14:paraId="5F77C38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可对区域内参与基层医疗机构绩效考核工作的基层医疗机构信息进行统一的管理，包括对医疗机构的新增、删除和信息修改。</w:t>
            </w:r>
          </w:p>
          <w:p w14:paraId="20FEA3C6">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医共体成员单位主索引管理</w:t>
            </w:r>
          </w:p>
          <w:p w14:paraId="6772DC4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可对区域内参与基层医疗机构绩效考核工作的医共体成员单位进行统一的管理，包括对医共体成员单位的新增、删除和信息修改。</w:t>
            </w:r>
          </w:p>
          <w:p w14:paraId="71FB9310">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医疗机构编码匹配</w:t>
            </w:r>
          </w:p>
          <w:p w14:paraId="6FEF8C8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基层医疗卫生机构主索引是实现基层医疗卫生机构绩效考核的核心基础，拟基于医疗卫生机构</w:t>
            </w:r>
            <w:r>
              <w:rPr>
                <w:rFonts w:hint="default" w:ascii="Calibri" w:hAnsi="Calibri" w:eastAsia="宋体" w:cs="Calibri"/>
                <w:i w:val="0"/>
                <w:iCs w:val="0"/>
                <w:color w:val="auto"/>
                <w:kern w:val="0"/>
                <w:sz w:val="21"/>
                <w:szCs w:val="21"/>
                <w:u w:val="none"/>
                <w:lang w:val="en-US" w:eastAsia="zh-CN" w:bidi="ar"/>
              </w:rPr>
              <w:t>22</w:t>
            </w:r>
            <w:r>
              <w:rPr>
                <w:rFonts w:hint="eastAsia" w:ascii="宋体" w:hAnsi="宋体" w:eastAsia="宋体" w:cs="宋体"/>
                <w:i w:val="0"/>
                <w:iCs w:val="0"/>
                <w:color w:val="auto"/>
                <w:kern w:val="0"/>
                <w:sz w:val="21"/>
                <w:szCs w:val="21"/>
                <w:u w:val="none"/>
                <w:lang w:val="en-US" w:eastAsia="zh-CN" w:bidi="ar"/>
              </w:rPr>
              <w:t>位注册编码，创建统一标准的基层医疗卫生机构唯一主索引，数据采集所需对接的第三方系统中机构编码自动与机构主索引进行匹配，系统匹配失败的机构，执行人工匹配。</w:t>
            </w:r>
          </w:p>
        </w:tc>
      </w:tr>
      <w:tr w14:paraId="6437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2"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4BF2F2">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7D3653">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0B55FB1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三、考核指标库</w:t>
            </w:r>
          </w:p>
          <w:p w14:paraId="3E2644EB">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数据项管理</w:t>
            </w:r>
          </w:p>
          <w:p w14:paraId="30AB40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每个指标的业务特征和实际的数据支撑条件，会采用不同的技术实现方式，生成、创建指标，管理员可以根据指标定义及指导选择数据获取方式，通过具体的指标监测项的计算方式的配置开展基层医疗卫生机构绩效考核与数据的监测。</w:t>
            </w:r>
          </w:p>
          <w:p w14:paraId="16BF78CF">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统计口径管理</w:t>
            </w:r>
          </w:p>
          <w:p w14:paraId="7DB177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为绩效考核系统建立统一标准的评价规则与计算口径，以满足绩效考核、综合评价的需要。</w:t>
            </w:r>
          </w:p>
          <w:p w14:paraId="4295FCB3">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复合指标自定义配置管理</w:t>
            </w:r>
          </w:p>
          <w:p w14:paraId="33DF50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纳入考核体系的指标数据以数据表的形式进行可视化的指标管理基础上，对由基本指标经二次运算生成的复合指标实现组装和计算，实现基本指标项的灵活组合，满足各考核指标在各种不同业务类型、不同统计口径、不同对象层次、不同时间段等维度下考核需求。</w:t>
            </w:r>
          </w:p>
          <w:p w14:paraId="2CDB5FBE">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指标目录树管理</w:t>
            </w:r>
          </w:p>
          <w:p w14:paraId="51BEE3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通过指标目录树可以迅速定位到指标所属大类、模块和具体指标，并方便进行检索查询。实现对指标目录树体系的机构调整、指标所属位置调整等管理功能。</w:t>
            </w:r>
          </w:p>
          <w:p w14:paraId="03899DE7">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指标查看、维护</w:t>
            </w:r>
          </w:p>
          <w:p w14:paraId="04BFE6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对于存在于指标字典中的所有指标支持进行检索、查看和维护。</w:t>
            </w:r>
          </w:p>
          <w:p w14:paraId="1AD94036">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指标核对、更新</w:t>
            </w:r>
          </w:p>
          <w:p w14:paraId="7904C3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指标核对、更新功能，可以对已存在和新增的指标内容进行查看和核对，并对已有指标的数据可进行更新维护。</w:t>
            </w:r>
          </w:p>
          <w:p w14:paraId="760E210A">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指标禁用</w:t>
            </w:r>
          </w:p>
          <w:p w14:paraId="27AD83A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机构管理员可根据实际情况，对相应指标进行禁用操作，暂时从本机构绩效管理考核范围中挂起。</w:t>
            </w:r>
          </w:p>
        </w:tc>
      </w:tr>
      <w:tr w14:paraId="2C9A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21D8B">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0A7E7">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E95A79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四、数据监测</w:t>
            </w:r>
          </w:p>
          <w:p w14:paraId="7654093F">
            <w:pPr>
              <w:keepNext w:val="0"/>
              <w:keepLines w:val="0"/>
              <w:widowControl/>
              <w:suppressLineNumbers w:val="0"/>
              <w:jc w:val="left"/>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数据台账</w:t>
            </w:r>
          </w:p>
          <w:p w14:paraId="7686A5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数据中心对进出中心的所有数据进行明细记录，对什么时间那些数据进行了增、删、改、查等操作的信息进行保留，可通过标准的呈现形式和模板，对选定时间范围内的数据记录进行呈现。</w:t>
            </w:r>
          </w:p>
          <w:p w14:paraId="3A7AF9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2.数据审批</w:t>
            </w:r>
          </w:p>
          <w:p w14:paraId="063F54C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管理员可以根据机构指标数据项、指标值、申诉值状态进行审批，也可以选择批量审批。</w:t>
            </w:r>
          </w:p>
        </w:tc>
      </w:tr>
      <w:tr w14:paraId="74B8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BEE69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14:paraId="263790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绩效考核（新建）</w:t>
            </w: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D90B4E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一、指标项及权重配置</w:t>
            </w:r>
          </w:p>
          <w:p w14:paraId="05FCDD81">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指标项管理</w:t>
            </w:r>
          </w:p>
          <w:p w14:paraId="3ED23D5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指标项管理主要是对于考核数据库中的指标进行管理。</w:t>
            </w:r>
          </w:p>
          <w:p w14:paraId="4AB4F5B0">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分值权重管理</w:t>
            </w:r>
          </w:p>
          <w:p w14:paraId="09CF35A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机构管理员可以设置指标分值权重，并进行相应权重的赋值。支持通过对相关业务数据的分析建模，实现指标项对应考核得分统计算法配置。</w:t>
            </w:r>
          </w:p>
        </w:tc>
      </w:tr>
      <w:tr w14:paraId="17EA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6971B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A43EA">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248BEF6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二、考核组织管理</w:t>
            </w:r>
          </w:p>
          <w:p w14:paraId="3F2B4973">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机构基础信息管理</w:t>
            </w:r>
          </w:p>
          <w:p w14:paraId="64CAE37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对区域内参与基层医疗机构绩效考核工作的基层医疗机构基础信息进行统一的管理，包括对医疗机构的新增、删除和信息修改。</w:t>
            </w:r>
          </w:p>
          <w:p w14:paraId="49D3985D">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机构角色配置</w:t>
            </w:r>
          </w:p>
          <w:p w14:paraId="3F8083A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为卫生管理部门的领导者、卫生管理人员、医疗机构管理人员按照不同的业务需求和管理角色定制相应的管理应用。</w:t>
            </w:r>
          </w:p>
          <w:p w14:paraId="778111CB">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机构权限配置</w:t>
            </w:r>
          </w:p>
          <w:p w14:paraId="3AAF53C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根据绩效考核评价主体和考核对象要求进行权限配置，根据系统用户的不同定位，为各用户配置相应的系统权限和应用功能。</w:t>
            </w:r>
          </w:p>
        </w:tc>
      </w:tr>
      <w:tr w14:paraId="7B32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8"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98E2E1">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2643EF">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0DA80C5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三、绩效考核方案制定</w:t>
            </w:r>
          </w:p>
          <w:p w14:paraId="63CF154D">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医共体考核方案配置</w:t>
            </w:r>
          </w:p>
          <w:p w14:paraId="063A012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卫生健康行政部门对医共体进行考核方案配置，基于指标体系组合形成面向基层医疗机构的考核方案的灵活配置和统一发布。包括对医共体管理、方案定制、方案维护等，实现对指标的多重组合及执行该考核方案的机构的灵活配置，维护完成后可发布应用考核方案。</w:t>
            </w:r>
          </w:p>
          <w:p w14:paraId="16BC2E0F">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医疗机构考核方案配置</w:t>
            </w:r>
          </w:p>
          <w:p w14:paraId="25C58E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持卫生健康行政部门及医共体对基层医疗卫生机构考核方案配置，通知可以区分与归并不同层级、类型的考核对象（乡镇卫生院、社区卫生服务中心、社区卫生服务站、村卫生室等），被考核机构可以配置医共体归属。</w:t>
            </w:r>
          </w:p>
          <w:p w14:paraId="43A25F7B">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考核方案生成</w:t>
            </w:r>
          </w:p>
          <w:p w14:paraId="167A0FC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针对不同的医共体或基层医疗卫生机构、不同考核周期创建不同的考核方案，根据所设定的规则在指标体系中进行指标筛选，确定合适的指标纳入考核数据表。</w:t>
            </w:r>
          </w:p>
          <w:p w14:paraId="1E9D80C5">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考核方案维护</w:t>
            </w:r>
          </w:p>
          <w:p w14:paraId="0D1ED8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系统提供统一的、可视化的考核方案数据表维护管理功能，以针对已经创建好的考核方案数据表，提供相关的维护与管理功能，主要包括考核方案撤销、删除、有效性维护等功能。</w:t>
            </w:r>
          </w:p>
          <w:p w14:paraId="15DDE2D3">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历史方案管理</w:t>
            </w:r>
          </w:p>
          <w:p w14:paraId="5522D96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系统支持对历史考核方案的管理，制定考核方案时，可以沿用历史考核方案，可查看调阅历年考核结果，历史数据可按时间、内容等多维度对比。</w:t>
            </w:r>
          </w:p>
        </w:tc>
      </w:tr>
      <w:tr w14:paraId="3247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40148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05F20">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23EE4E6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四、考核全流程管理</w:t>
            </w:r>
          </w:p>
          <w:p w14:paraId="709A2FF4">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考核工作流配置</w:t>
            </w:r>
          </w:p>
          <w:p w14:paraId="1FA993C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管理员可以根据所设定的规则在指标体系中进行指标筛选，确定合适的指标纳入考核数据表。</w:t>
            </w:r>
          </w:p>
          <w:p w14:paraId="057006A6">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考核数据审核</w:t>
            </w:r>
          </w:p>
          <w:p w14:paraId="57E4D84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可对系统采集数据及考核者维护数据下发核对，手工填报数据、考核人员可进行分权限数据审核，对于定性指标评分录入，可设置考核人员审核确认。</w:t>
            </w:r>
          </w:p>
          <w:p w14:paraId="6773104E">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考核方案发布</w:t>
            </w:r>
          </w:p>
          <w:p w14:paraId="1CF2E0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可对制定好的考核方案进行统一的发布，考核方案承载各项考核指标及考核权重的组合。</w:t>
            </w:r>
          </w:p>
          <w:p w14:paraId="0ABD4CD2">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考核结果审核</w:t>
            </w:r>
          </w:p>
          <w:p w14:paraId="4DCCD39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系统根据考核方案生成被考核机构得分结果后，考核人员可进行审核，业务条线领导也可以进行审核。</w:t>
            </w:r>
          </w:p>
          <w:p w14:paraId="149EA2D4">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考核结果签发</w:t>
            </w:r>
          </w:p>
          <w:p w14:paraId="72C82D0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根据考核主体与考核对象，由局级或医共体牵头医院对基层医疗卫生机构对考核结果进行签发。</w:t>
            </w:r>
          </w:p>
          <w:p w14:paraId="43EF32AC">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考核结果申诉</w:t>
            </w:r>
          </w:p>
          <w:p w14:paraId="48BEAF2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根据已发布的考核结果，医疗机构可根据结果数据进行分析，如发现数据不符、指标错漏等情况，可通过考核结果申诉功能，向上级绩效考核机构进行申诉。</w:t>
            </w:r>
          </w:p>
          <w:p w14:paraId="48076EBC">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操作日志查询</w:t>
            </w:r>
          </w:p>
          <w:p w14:paraId="4B29C4B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系统可记录相关人员数据操作日志，追溯参与指标结果计算的基础业务数据值，确保考核结果真实客观。</w:t>
            </w:r>
          </w:p>
        </w:tc>
      </w:tr>
      <w:tr w14:paraId="1625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86504">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83D2C1">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0227589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五、考核结果统计分析</w:t>
            </w:r>
          </w:p>
          <w:p w14:paraId="627309BE">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分类别得分、排名统计分析</w:t>
            </w:r>
          </w:p>
          <w:p w14:paraId="4624B31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指标可按照年、月、区县、行政区划、科室等维度展示，并可通过时间、行政区划、机构级别等相关维度条件过滤。</w:t>
            </w:r>
          </w:p>
          <w:p w14:paraId="7FF61B45">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详细指标得分、排名统计分析</w:t>
            </w:r>
          </w:p>
          <w:p w14:paraId="625C08D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支持按照服务提供、综合管理、可持续发展、满意度评价四个维度分类别对机构进行得分排名统计。</w:t>
            </w:r>
          </w:p>
          <w:p w14:paraId="46431EB2">
            <w:pPr>
              <w:keepNext w:val="0"/>
              <w:keepLines w:val="0"/>
              <w:widowControl/>
              <w:suppressLineNumbers w:val="0"/>
              <w:jc w:val="both"/>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机构各指标得分、排名统计分析</w:t>
            </w:r>
          </w:p>
          <w:p w14:paraId="6C2AA15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支持单指标和多指标的联合查询，多指标相同查询条件查询。对同一家医疗机构的指标比对情况图表展示，也可针对多家医疗机构的同一个指标进行比对分析图表展示。</w:t>
            </w:r>
          </w:p>
        </w:tc>
      </w:tr>
      <w:tr w14:paraId="4673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1B3A7F">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03DF95">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7C32139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六、考核指标监测预警</w:t>
            </w:r>
          </w:p>
          <w:p w14:paraId="42943D5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按照服务提供、综合管理、可持续发展、满意度评价四个方面，查看指标监测状态</w:t>
            </w:r>
          </w:p>
        </w:tc>
      </w:tr>
      <w:tr w14:paraId="5998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A1E47">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784F3C">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4EB143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七、服务提供指标监测预警</w:t>
            </w:r>
          </w:p>
          <w:p w14:paraId="607AAD3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点评价基层医疗卫生机构功能定位、服务效率、医疗质量与安全。通过基本医疗服务、基本公共卫生服务、签约服务等指标考核功能定位情况；通过人员负荷指标考核医疗资源利用效率；通过合理用药、脑卒中发病率等指标考核基本医疗和公共卫生服务质量与安全。</w:t>
            </w:r>
          </w:p>
        </w:tc>
      </w:tr>
      <w:tr w14:paraId="326C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CAB12D">
            <w:pPr>
              <w:jc w:val="left"/>
              <w:rPr>
                <w:rFonts w:hint="eastAsia" w:ascii="宋体" w:hAnsi="宋体" w:eastAsia="宋体" w:cs="宋体"/>
                <w:i w:val="0"/>
                <w:iCs w:val="0"/>
                <w:color w:val="auto"/>
                <w:sz w:val="21"/>
                <w:szCs w:val="21"/>
                <w:u w:val="none"/>
              </w:rPr>
            </w:pP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3F5064">
            <w:pPr>
              <w:jc w:val="left"/>
              <w:rPr>
                <w:rFonts w:hint="eastAsia" w:ascii="宋体" w:hAnsi="宋体" w:eastAsia="宋体" w:cs="宋体"/>
                <w:i w:val="0"/>
                <w:iCs w:val="0"/>
                <w:color w:val="auto"/>
                <w:sz w:val="21"/>
                <w:szCs w:val="21"/>
                <w:u w:val="none"/>
              </w:rPr>
            </w:pPr>
          </w:p>
        </w:tc>
        <w:tc>
          <w:tcPr>
            <w:tcW w:w="3923" w:type="pct"/>
            <w:tcBorders>
              <w:top w:val="single" w:color="000000" w:sz="4" w:space="0"/>
              <w:left w:val="single" w:color="000000" w:sz="4" w:space="0"/>
              <w:bottom w:val="single" w:color="000000" w:sz="4" w:space="0"/>
              <w:right w:val="single" w:color="000000" w:sz="4" w:space="0"/>
            </w:tcBorders>
            <w:noWrap w:val="0"/>
            <w:vAlign w:val="center"/>
          </w:tcPr>
          <w:p w14:paraId="42F5CEA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八、综合管理指标监测预警</w:t>
            </w:r>
          </w:p>
          <w:p w14:paraId="09ABC6F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点评价基层医疗卫生机构经济管理、信息管理和协同服务情况。通过经济管理指标考核收支结构的合理性；通过信息管理指标考核各项服务信息化功能实现情况；通过双向转诊、一体化管理等指标考核协同服务情况。</w:t>
            </w:r>
          </w:p>
        </w:tc>
      </w:tr>
    </w:tbl>
    <w:p w14:paraId="57BCB05E">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13E20369">
      <w:pPr>
        <w:keepNext/>
        <w:keepLines/>
        <w:pageBreakBefore w:val="0"/>
        <w:widowControl w:val="0"/>
        <w:numPr>
          <w:ilvl w:val="2"/>
          <w:numId w:val="2"/>
        </w:numPr>
        <w:kinsoku/>
        <w:wordWrap/>
        <w:overflowPunct/>
        <w:topLinePunct w:val="0"/>
        <w:autoSpaceDE/>
        <w:autoSpaceDN/>
        <w:bidi w:val="0"/>
        <w:adjustRightInd w:val="0"/>
        <w:snapToGrid w:val="0"/>
        <w:spacing w:before="260" w:beforeLines="0" w:beforeAutospacing="0" w:after="260" w:afterLines="0" w:afterAutospacing="0" w:line="413" w:lineRule="auto"/>
        <w:ind w:left="720" w:hanging="720"/>
        <w:jc w:val="both"/>
        <w:outlineLvl w:val="2"/>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应用支撑层</w:t>
      </w:r>
    </w:p>
    <w:p w14:paraId="7C8FF320">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标准规范</w:t>
      </w:r>
    </w:p>
    <w:tbl>
      <w:tblPr>
        <w:tblStyle w:val="13"/>
        <w:tblW w:w="9056" w:type="dxa"/>
        <w:tblInd w:w="0" w:type="dxa"/>
        <w:tblLayout w:type="autofit"/>
        <w:tblCellMar>
          <w:top w:w="15" w:type="dxa"/>
          <w:left w:w="15" w:type="dxa"/>
          <w:bottom w:w="15" w:type="dxa"/>
          <w:right w:w="15" w:type="dxa"/>
        </w:tblCellMar>
      </w:tblPr>
      <w:tblGrid>
        <w:gridCol w:w="745"/>
        <w:gridCol w:w="745"/>
        <w:gridCol w:w="7476"/>
        <w:gridCol w:w="90"/>
      </w:tblGrid>
      <w:tr w14:paraId="32C4A78C">
        <w:tblPrEx>
          <w:tblCellMar>
            <w:top w:w="15" w:type="dxa"/>
            <w:left w:w="15" w:type="dxa"/>
            <w:bottom w:w="15" w:type="dxa"/>
            <w:right w:w="15" w:type="dxa"/>
          </w:tblCellMar>
        </w:tblPrEx>
        <w:trPr>
          <w:gridAfter w:val="1"/>
          <w:wAfter w:w="90" w:type="dxa"/>
          <w:trHeight w:val="235" w:hRule="atLeast"/>
        </w:trPr>
        <w:tc>
          <w:tcPr>
            <w:tcW w:w="745"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3AA155E7">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序号</w:t>
            </w:r>
          </w:p>
        </w:tc>
        <w:tc>
          <w:tcPr>
            <w:tcW w:w="745"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4E970CBD">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模块</w:t>
            </w:r>
          </w:p>
        </w:tc>
        <w:tc>
          <w:tcPr>
            <w:tcW w:w="7476"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42570AEA">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功能及技术参数</w:t>
            </w:r>
          </w:p>
        </w:tc>
      </w:tr>
      <w:tr w14:paraId="4ED4974F">
        <w:tblPrEx>
          <w:tblCellMar>
            <w:top w:w="15" w:type="dxa"/>
            <w:left w:w="15" w:type="dxa"/>
            <w:bottom w:w="15" w:type="dxa"/>
            <w:right w:w="15" w:type="dxa"/>
          </w:tblCellMar>
        </w:tblPrEx>
        <w:trPr>
          <w:gridAfter w:val="1"/>
          <w:wAfter w:w="90" w:type="dxa"/>
          <w:trHeight w:val="312" w:hRule="atLeast"/>
        </w:trPr>
        <w:tc>
          <w:tcPr>
            <w:tcW w:w="745" w:type="dxa"/>
            <w:vMerge w:val="restart"/>
            <w:tcBorders>
              <w:left w:val="single" w:color="000000" w:sz="4" w:space="0"/>
              <w:right w:val="single" w:color="000000" w:sz="4" w:space="0"/>
            </w:tcBorders>
            <w:noWrap w:val="0"/>
            <w:tcMar>
              <w:top w:w="60" w:type="dxa"/>
              <w:left w:w="110" w:type="dxa"/>
              <w:bottom w:w="60" w:type="dxa"/>
              <w:right w:w="110" w:type="dxa"/>
            </w:tcMar>
            <w:vAlign w:val="center"/>
          </w:tcPr>
          <w:p w14:paraId="26EB916C">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45" w:type="dxa"/>
            <w:vMerge w:val="restart"/>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7B72739E">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标准规范（改造）</w:t>
            </w:r>
          </w:p>
        </w:tc>
        <w:tc>
          <w:tcPr>
            <w:tcW w:w="7476" w:type="dxa"/>
            <w:vMerge w:val="restart"/>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4FA373DC">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一、总体要求</w:t>
            </w:r>
          </w:p>
          <w:p w14:paraId="400B2F06">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1、需按照国家“46312”顶层规划架构，对标，围绕居民从出生到死亡的健康档案（EHR）管理，基于鄞州区现有数据标准规范，参考宁波市全民健康信息平台标准进行标准规范的扩展。</w:t>
            </w:r>
          </w:p>
          <w:p w14:paraId="2A008324">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2、需以《WS 365-2011城乡居民健康档案基本数据集》、《WS 445-2014 电子病历基本数据集》为依据、基础，结合现有公共卫生管理业务、健康大脑业务以及数据治理需求，拓展形成≥2大业务域，≥52个业务子域，≥360个数据模型，≥4200标准数据元，≥1000个值域字典。</w:t>
            </w:r>
          </w:p>
        </w:tc>
      </w:tr>
      <w:tr w14:paraId="59E37B61">
        <w:tblPrEx>
          <w:tblCellMar>
            <w:top w:w="15" w:type="dxa"/>
            <w:left w:w="15" w:type="dxa"/>
            <w:bottom w:w="15" w:type="dxa"/>
            <w:right w:w="15" w:type="dxa"/>
          </w:tblCellMar>
        </w:tblPrEx>
        <w:trPr>
          <w:trHeight w:val="1064" w:hRule="atLeast"/>
        </w:trPr>
        <w:tc>
          <w:tcPr>
            <w:tcW w:w="745" w:type="dxa"/>
            <w:vMerge w:val="continue"/>
            <w:tcBorders>
              <w:left w:val="single" w:color="000000" w:sz="4" w:space="0"/>
              <w:right w:val="single" w:color="000000" w:sz="4" w:space="0"/>
            </w:tcBorders>
            <w:noWrap w:val="0"/>
            <w:vAlign w:val="center"/>
          </w:tcPr>
          <w:p w14:paraId="4C0C6D11">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089B4">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8B1DC">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c>
          <w:tcPr>
            <w:tcW w:w="90" w:type="dxa"/>
            <w:noWrap w:val="0"/>
            <w:vAlign w:val="center"/>
          </w:tcPr>
          <w:p w14:paraId="79E5EE36">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r>
      <w:tr w14:paraId="54B31F32">
        <w:tblPrEx>
          <w:tblCellMar>
            <w:top w:w="15" w:type="dxa"/>
            <w:left w:w="15" w:type="dxa"/>
            <w:bottom w:w="15" w:type="dxa"/>
            <w:right w:w="15" w:type="dxa"/>
          </w:tblCellMar>
        </w:tblPrEx>
        <w:trPr>
          <w:trHeight w:val="553" w:hRule="atLeast"/>
        </w:trPr>
        <w:tc>
          <w:tcPr>
            <w:tcW w:w="745" w:type="dxa"/>
            <w:vMerge w:val="continue"/>
            <w:tcBorders>
              <w:left w:val="single" w:color="000000" w:sz="4" w:space="0"/>
              <w:right w:val="single" w:color="000000" w:sz="4" w:space="0"/>
            </w:tcBorders>
            <w:noWrap w:val="0"/>
            <w:tcMar>
              <w:top w:w="60" w:type="dxa"/>
              <w:left w:w="110" w:type="dxa"/>
              <w:bottom w:w="60" w:type="dxa"/>
              <w:right w:w="110" w:type="dxa"/>
            </w:tcMar>
            <w:vAlign w:val="center"/>
          </w:tcPr>
          <w:p w14:paraId="336DAF7D">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44065">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76"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1EEB6F56">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二、标准制定原则</w:t>
            </w:r>
          </w:p>
          <w:p w14:paraId="01EAF829">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1、标准制定需按照国家标准→行业标准→地方标准→内部标准的序列来采纳和编制标准，并且遵循卫生行业为主导，统筹规划，急用先上，循序渐进等原则。</w:t>
            </w:r>
          </w:p>
        </w:tc>
        <w:tc>
          <w:tcPr>
            <w:tcW w:w="90" w:type="dxa"/>
            <w:noWrap w:val="0"/>
            <w:vAlign w:val="center"/>
          </w:tcPr>
          <w:p w14:paraId="1115E600">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r>
      <w:tr w14:paraId="6EB8C4A2">
        <w:tblPrEx>
          <w:tblCellMar>
            <w:top w:w="15" w:type="dxa"/>
            <w:left w:w="15" w:type="dxa"/>
            <w:bottom w:w="15" w:type="dxa"/>
            <w:right w:w="15" w:type="dxa"/>
          </w:tblCellMar>
        </w:tblPrEx>
        <w:trPr>
          <w:trHeight w:val="235" w:hRule="atLeast"/>
        </w:trPr>
        <w:tc>
          <w:tcPr>
            <w:tcW w:w="745" w:type="dxa"/>
            <w:vMerge w:val="continue"/>
            <w:tcBorders>
              <w:left w:val="single" w:color="000000" w:sz="4" w:space="0"/>
              <w:right w:val="single" w:color="000000" w:sz="4" w:space="0"/>
            </w:tcBorders>
            <w:noWrap w:val="0"/>
            <w:tcMar>
              <w:top w:w="60" w:type="dxa"/>
              <w:left w:w="110" w:type="dxa"/>
              <w:bottom w:w="60" w:type="dxa"/>
              <w:right w:w="110" w:type="dxa"/>
            </w:tcMar>
            <w:vAlign w:val="center"/>
          </w:tcPr>
          <w:p w14:paraId="0509CF29">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824C2">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76" w:type="dxa"/>
            <w:vMerge w:val="restart"/>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08351DEE">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三、数据标准制定</w:t>
            </w:r>
          </w:p>
          <w:p w14:paraId="1FB3D407">
            <w:pPr>
              <w:widowControl w:val="0"/>
              <w:spacing w:after="120" w:afterLines="0" w:afterAutospacing="0"/>
              <w:jc w:val="both"/>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建立全民健康信息平台相关的数据元及数据集标准，包含有数据集名称及数据集元数据等内容。本次项目建设应遵循《电子健康档案与区域卫生信息平台标准符合性测试规范》等标准规范要求，投标时须详细阐述数据集标准符合性方面的能力并提供证明材料。</w:t>
            </w:r>
          </w:p>
          <w:p w14:paraId="37BE2CC6">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1、数据集标准制定</w:t>
            </w:r>
          </w:p>
          <w:p w14:paraId="2520CD29">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需制定的数据集标准包含但不限于患者基本信息、患者地址、患者相关联系人、病人卡片信息、病人就诊过敏信息、门诊体温体征、门诊病人挂号信息、门诊工作日志、门诊医生西医诊断、门诊医生中医诊断、急诊分诊信息、西医门（急）诊处方、西医门（急）诊处方明细、中医门（急）诊处方、中医门（急）诊处方明细、中医门诊处方代煎、中医门诊处方代煎明细、中医处方代煎中药配送信息、中医处方代煎中药配送信息明细、门诊收费、门诊收费明细、门诊收费渠道、住院病人登记信息、患者住院诊断、住院病人医嘱信息、住院中医医嘱信息、医嘱执行记录、住院病人费用信息、住院病人结算信息、住院病人结算明细信息、出院费用结算渠道、医保结算信息、医疗结算基金分项信息、临床辅助检查报告单、病理检查报告单、化验报告单、化验报告单明细、细菌结果、药敏结果、体检登记信息、体检登记项目、体检明细信息、科室小结、体检总检信息、健康证、门诊排班信息、挂号预约记录、检查预约记录、医院日业务量统计、医院日收入统计报表。</w:t>
            </w:r>
          </w:p>
          <w:p w14:paraId="1391EC4B">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2、数据元标准制定</w:t>
            </w:r>
          </w:p>
          <w:p w14:paraId="48B48386">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需制定的数据元标准包含但不限于组织机构代码、医疗机构(院区)代码、就医业务注册号、业务来源代码、登记日期时间、居民主索引ID、姓名、性别代码、出生缺陷儿出生日期、地址-省（自治区、直辖市）、地址-市（地区、州）、地址-县（区）、地址-乡（镇、街道办事处）、地址-村（街、路、弄等）、地址-门牌号码、电话号码、身份证件类别代码、身份证件号码、职业类别代码、婚姻状况代码、文化程度代码、学历代码、ABO血型代码、Rh血型代码、国籍、民族、电子邮件地址、邮政编码、患者与本人关系代码等。</w:t>
            </w:r>
          </w:p>
          <w:p w14:paraId="7B5EFA1C">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3、值域标准制定</w:t>
            </w:r>
          </w:p>
          <w:p w14:paraId="694AA3DA">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制定的值域标准包含但不限于人的性别代码、ABO血型代码、RH(D)血型代码、文化程度代码、婚姻状况代码表、地址类型代码表、麻醉方式分类、证件类型、住院原因代码、入院途径代码、死亡最高诊断依据代码、护理等级代码、手术级别代码、手术切口类别、手术体位代码、离院方式代码、病情转归代码等。</w:t>
            </w:r>
          </w:p>
        </w:tc>
        <w:tc>
          <w:tcPr>
            <w:tcW w:w="90" w:type="dxa"/>
            <w:noWrap w:val="0"/>
            <w:vAlign w:val="center"/>
          </w:tcPr>
          <w:p w14:paraId="39388ADC">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r>
      <w:tr w14:paraId="3F741703">
        <w:tblPrEx>
          <w:tblCellMar>
            <w:top w:w="15" w:type="dxa"/>
            <w:left w:w="15" w:type="dxa"/>
            <w:bottom w:w="15" w:type="dxa"/>
            <w:right w:w="15" w:type="dxa"/>
          </w:tblCellMar>
        </w:tblPrEx>
        <w:trPr>
          <w:trHeight w:val="183" w:hRule="atLeast"/>
        </w:trPr>
        <w:tc>
          <w:tcPr>
            <w:tcW w:w="745" w:type="dxa"/>
            <w:vMerge w:val="continue"/>
            <w:tcBorders>
              <w:left w:val="single" w:color="000000" w:sz="4" w:space="0"/>
              <w:right w:val="single" w:color="000000" w:sz="4" w:space="0"/>
            </w:tcBorders>
            <w:noWrap w:val="0"/>
            <w:vAlign w:val="center"/>
          </w:tcPr>
          <w:p w14:paraId="17DC30C0">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00F2D">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8EEEE">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c>
          <w:tcPr>
            <w:tcW w:w="90" w:type="dxa"/>
            <w:noWrap w:val="0"/>
            <w:vAlign w:val="center"/>
          </w:tcPr>
          <w:p w14:paraId="1C922FF9">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r>
      <w:tr w14:paraId="1B3B3097">
        <w:tblPrEx>
          <w:tblCellMar>
            <w:top w:w="15" w:type="dxa"/>
            <w:left w:w="15" w:type="dxa"/>
            <w:bottom w:w="15" w:type="dxa"/>
            <w:right w:w="15" w:type="dxa"/>
          </w:tblCellMar>
        </w:tblPrEx>
        <w:trPr>
          <w:trHeight w:val="498" w:hRule="atLeast"/>
        </w:trPr>
        <w:tc>
          <w:tcPr>
            <w:tcW w:w="745" w:type="dxa"/>
            <w:vMerge w:val="continue"/>
            <w:tcBorders>
              <w:left w:val="single" w:color="000000" w:sz="4" w:space="0"/>
              <w:right w:val="single" w:color="000000" w:sz="4" w:space="0"/>
            </w:tcBorders>
            <w:noWrap w:val="0"/>
            <w:vAlign w:val="center"/>
          </w:tcPr>
          <w:p w14:paraId="35CD575C">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E6C2D">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305F8">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c>
          <w:tcPr>
            <w:tcW w:w="90" w:type="dxa"/>
            <w:noWrap w:val="0"/>
            <w:vAlign w:val="center"/>
          </w:tcPr>
          <w:p w14:paraId="417B8512">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r>
      <w:tr w14:paraId="720BA0F3">
        <w:tblPrEx>
          <w:tblCellMar>
            <w:top w:w="15" w:type="dxa"/>
            <w:left w:w="15" w:type="dxa"/>
            <w:bottom w:w="15" w:type="dxa"/>
            <w:right w:w="15" w:type="dxa"/>
          </w:tblCellMar>
        </w:tblPrEx>
        <w:trPr>
          <w:trHeight w:val="559" w:hRule="atLeast"/>
        </w:trPr>
        <w:tc>
          <w:tcPr>
            <w:tcW w:w="745" w:type="dxa"/>
            <w:vMerge w:val="continue"/>
            <w:tcBorders>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492D1BB4">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8D271">
            <w:pPr>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1"/>
                <w:szCs w:val="21"/>
              </w:rPr>
            </w:pPr>
          </w:p>
        </w:tc>
        <w:tc>
          <w:tcPr>
            <w:tcW w:w="7476" w:type="dxa"/>
            <w:tcBorders>
              <w:top w:val="single" w:color="000000" w:sz="4" w:space="0"/>
              <w:left w:val="single" w:color="000000" w:sz="4" w:space="0"/>
              <w:bottom w:val="single" w:color="000000" w:sz="4" w:space="0"/>
              <w:right w:val="single" w:color="000000" w:sz="4" w:space="0"/>
            </w:tcBorders>
            <w:noWrap w:val="0"/>
            <w:tcMar>
              <w:top w:w="60" w:type="dxa"/>
              <w:left w:w="110" w:type="dxa"/>
              <w:bottom w:w="60" w:type="dxa"/>
              <w:right w:w="110" w:type="dxa"/>
            </w:tcMar>
            <w:vAlign w:val="center"/>
          </w:tcPr>
          <w:p w14:paraId="50244B9E">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四、标准规范实施</w:t>
            </w:r>
          </w:p>
          <w:p w14:paraId="7F28C13E">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需组建标准实施团队，共同制定完善地方数据标准，并将标准落实至整个项目的信息系统中。</w:t>
            </w:r>
          </w:p>
        </w:tc>
        <w:tc>
          <w:tcPr>
            <w:tcW w:w="90" w:type="dxa"/>
            <w:noWrap w:val="0"/>
            <w:vAlign w:val="center"/>
          </w:tcPr>
          <w:p w14:paraId="57E4AB05">
            <w:pPr>
              <w:keepNext w:val="0"/>
              <w:keepLines w:val="0"/>
              <w:pageBreakBefore w:val="0"/>
              <w:widowControl/>
              <w:kinsoku/>
              <w:wordWrap/>
              <w:overflowPunct/>
              <w:topLinePunct w:val="0"/>
              <w:autoSpaceDE/>
              <w:autoSpaceDN/>
              <w:bidi w:val="0"/>
              <w:adjustRightInd w:val="0"/>
              <w:snapToGrid w:val="0"/>
              <w:spacing w:line="240" w:lineRule="auto"/>
              <w:ind w:left="0" w:firstLine="0"/>
              <w:textAlignment w:val="auto"/>
              <w:rPr>
                <w:rFonts w:hint="eastAsia" w:ascii="宋体" w:hAnsi="宋体" w:eastAsia="宋体" w:cs="宋体"/>
                <w:color w:val="auto"/>
                <w:sz w:val="21"/>
                <w:szCs w:val="21"/>
              </w:rPr>
            </w:pPr>
          </w:p>
        </w:tc>
      </w:tr>
    </w:tbl>
    <w:p w14:paraId="68AAF6DE">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7E0D99DF">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基础组件</w:t>
      </w:r>
    </w:p>
    <w:p w14:paraId="21AB3869">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主数据管理</w:t>
      </w:r>
    </w:p>
    <w:tbl>
      <w:tblPr>
        <w:tblStyle w:val="13"/>
        <w:tblW w:w="49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794"/>
        <w:gridCol w:w="6885"/>
      </w:tblGrid>
      <w:tr w14:paraId="645A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tcBorders>
              <w:tl2br w:val="nil"/>
              <w:tr2bl w:val="nil"/>
            </w:tcBorders>
            <w:noWrap w:val="0"/>
            <w:vAlign w:val="center"/>
          </w:tcPr>
          <w:p w14:paraId="5A59D8D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序号</w:t>
            </w:r>
          </w:p>
        </w:tc>
        <w:tc>
          <w:tcPr>
            <w:tcW w:w="807" w:type="dxa"/>
            <w:tcBorders>
              <w:tl2br w:val="nil"/>
              <w:tr2bl w:val="nil"/>
            </w:tcBorders>
            <w:noWrap w:val="0"/>
            <w:vAlign w:val="center"/>
          </w:tcPr>
          <w:p w14:paraId="4E238BD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模块</w:t>
            </w:r>
          </w:p>
        </w:tc>
        <w:tc>
          <w:tcPr>
            <w:tcW w:w="7379" w:type="dxa"/>
            <w:tcBorders>
              <w:tl2br w:val="nil"/>
              <w:tr2bl w:val="nil"/>
            </w:tcBorders>
            <w:noWrap w:val="0"/>
            <w:vAlign w:val="center"/>
          </w:tcPr>
          <w:p w14:paraId="2E98CCA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功能及技术参数</w:t>
            </w:r>
          </w:p>
        </w:tc>
      </w:tr>
      <w:tr w14:paraId="136F2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restart"/>
            <w:tcBorders>
              <w:tl2br w:val="nil"/>
              <w:tr2bl w:val="nil"/>
            </w:tcBorders>
            <w:noWrap w:val="0"/>
            <w:vAlign w:val="center"/>
          </w:tcPr>
          <w:p w14:paraId="33520E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1</w:t>
            </w:r>
          </w:p>
        </w:tc>
        <w:tc>
          <w:tcPr>
            <w:tcW w:w="807" w:type="dxa"/>
            <w:vMerge w:val="restart"/>
            <w:tcBorders>
              <w:tl2br w:val="nil"/>
              <w:tr2bl w:val="nil"/>
            </w:tcBorders>
            <w:noWrap w:val="0"/>
            <w:vAlign w:val="center"/>
          </w:tcPr>
          <w:p w14:paraId="5F16BF4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kern w:val="0"/>
                <w:sz w:val="21"/>
                <w:szCs w:val="21"/>
                <w:lang w:bidi="ar"/>
              </w:rPr>
              <w:t>主数据管理</w:t>
            </w:r>
            <w:r>
              <w:rPr>
                <w:rFonts w:hint="eastAsia" w:ascii="宋体" w:hAnsi="宋体" w:eastAsia="宋体" w:cs="宋体"/>
                <w:b w:val="0"/>
                <w:color w:val="auto"/>
                <w:kern w:val="0"/>
                <w:sz w:val="21"/>
                <w:szCs w:val="21"/>
                <w:lang w:val="en-US" w:eastAsia="zh-CN" w:bidi="ar"/>
              </w:rPr>
              <w:t>(改造)</w:t>
            </w:r>
          </w:p>
        </w:tc>
        <w:tc>
          <w:tcPr>
            <w:tcW w:w="7379" w:type="dxa"/>
            <w:tcBorders>
              <w:tl2br w:val="nil"/>
              <w:tr2bl w:val="nil"/>
            </w:tcBorders>
            <w:noWrap w:val="0"/>
            <w:vAlign w:val="center"/>
          </w:tcPr>
          <w:p w14:paraId="221B32F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一、业务域管理</w:t>
            </w:r>
          </w:p>
          <w:p w14:paraId="02B6A13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1.业务域分类维护</w:t>
            </w:r>
          </w:p>
          <w:p w14:paraId="3CA49D1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支持以业务分类，业务域大类，业务域名称，业务域子类为基础的分级分类，按照不同的业务进行分类规划。</w:t>
            </w:r>
          </w:p>
          <w:p w14:paraId="3DF7F5C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2.业务域变更记录</w:t>
            </w:r>
          </w:p>
          <w:p w14:paraId="47568A5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支持业务域变更记录管理功能，在业务域管理对内容进行维护保存时，需要记录相应的变更原因</w:t>
            </w:r>
          </w:p>
          <w:p w14:paraId="75B3AA8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支持变更内容的查看，包括变更时间，变更人员，变更原因等</w:t>
            </w:r>
          </w:p>
          <w:p w14:paraId="695C8D9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3.业务域模型关联</w:t>
            </w:r>
          </w:p>
          <w:p w14:paraId="21FAFE2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支持业务域模型关联，将数据模型与业务域进行关联，从而分析对应的业务域下包含多少个模型</w:t>
            </w:r>
          </w:p>
          <w:p w14:paraId="0B7DE2F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4.业务域文档下载</w:t>
            </w:r>
          </w:p>
          <w:p w14:paraId="7DB36CC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支持模型文档下载，在选择对应的业务域后，能够下载归属于该业务域下的数据模型接口文档，供对接方查阅</w:t>
            </w:r>
          </w:p>
        </w:tc>
      </w:tr>
      <w:tr w14:paraId="4404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1B04002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3F84DCD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6E0F203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二、数据模型管理</w:t>
            </w:r>
          </w:p>
          <w:p w14:paraId="55968F8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1.数据模型维护</w:t>
            </w:r>
          </w:p>
          <w:p w14:paraId="6B4EC5C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支持对数据模型进行管理维护，支持模型的新增删除修改</w:t>
            </w:r>
          </w:p>
          <w:p w14:paraId="48A7415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2.数据模型文档下载</w:t>
            </w:r>
          </w:p>
          <w:p w14:paraId="014224E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支持下载选中模型的接口文档，接口文档中包含了改数据相应的数据结构内容</w:t>
            </w:r>
          </w:p>
          <w:p w14:paraId="5D49978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3.数据元关联</w:t>
            </w:r>
          </w:p>
          <w:p w14:paraId="57B1907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支持数据模型与数据元的关联，不同模型如使用同一个数据元，则需要关联相同的数据元</w:t>
            </w:r>
          </w:p>
          <w:p w14:paraId="2DEC8CB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4.数据模型概况</w:t>
            </w:r>
          </w:p>
          <w:p w14:paraId="1ACAFD3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支持查看数据模型概况，包括数据模型关联的数据元个数，以及数据元的各种类型，同时也可展示模型所在的物理地址</w:t>
            </w:r>
          </w:p>
          <w:p w14:paraId="6096645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5.数据模型变更记录</w:t>
            </w:r>
          </w:p>
          <w:p w14:paraId="155ADCD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支持记录数据模型基础信息，数据元关联/取消关联操作时，都需要记录变更原因</w:t>
            </w:r>
          </w:p>
          <w:p w14:paraId="6016B4F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支持展示相应的变更明细，包括变更人，变更时间，变更原因等</w:t>
            </w:r>
          </w:p>
        </w:tc>
      </w:tr>
      <w:tr w14:paraId="4889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0C6CB48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6B2E64C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5E76B4E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三、数据元管理</w:t>
            </w:r>
          </w:p>
          <w:p w14:paraId="2A87FF2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1.数据元维护</w:t>
            </w:r>
          </w:p>
          <w:p w14:paraId="3536F07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支持管理维护数据元，支持数据元的新增，修改删除</w:t>
            </w:r>
          </w:p>
          <w:p w14:paraId="4085F61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2.标准数据元导入导出</w:t>
            </w:r>
          </w:p>
          <w:p w14:paraId="4A86DCE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支持标准数据元导入导出功能，标准数据元的导入模板包含数据字段与标准数据元，多个同一个含义的数据字段应使用同一个标准数据元</w:t>
            </w:r>
          </w:p>
          <w:p w14:paraId="5373CB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支持导入出现异常时，允许下载错误记录</w:t>
            </w:r>
          </w:p>
          <w:p w14:paraId="4B08DF2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支持数据元的导出，导出参考相应格式导出</w:t>
            </w:r>
          </w:p>
          <w:p w14:paraId="2932DA2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3.数据元变更记录</w:t>
            </w:r>
          </w:p>
          <w:p w14:paraId="266125A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支持记录标准数据元的变更内容，每次修订数据元时，包括新增，修改，删除，都需要填写变更原因，同时如本次新增字段涉及到对应政策文件，也可以在变更原因中选择关联对应的标准文件</w:t>
            </w:r>
          </w:p>
          <w:p w14:paraId="30DE674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支持查看变更人，变更时间，变更原因，如有参考文件可支持参考文件的预览</w:t>
            </w:r>
          </w:p>
          <w:p w14:paraId="4BA05BB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4.数据元关联属性查看</w:t>
            </w:r>
          </w:p>
          <w:p w14:paraId="72214CE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支持查看当前标准数据元的基础信息，以及变更记录，在明细中可查看使用同一个标准数据元的字段内容，也可查看当前数据元在哪些数据模型中被引用</w:t>
            </w:r>
          </w:p>
          <w:p w14:paraId="4EF1C41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5.数据元值域关联</w:t>
            </w:r>
          </w:p>
          <w:p w14:paraId="65B3208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支持维护数据元时，关联数据值域功能，实现与值域的联动</w:t>
            </w:r>
          </w:p>
          <w:p w14:paraId="172367F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支持数据元为人员，科室时，通过值域分类的字典表模式，关联人员，科室，诊断等字典表</w:t>
            </w:r>
          </w:p>
          <w:p w14:paraId="21B96D9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支持标准数据元上点击值域可查看具体的值域明细</w:t>
            </w:r>
          </w:p>
        </w:tc>
      </w:tr>
      <w:tr w14:paraId="2E1D3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2A50331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732AD63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2450F51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四、数据值域管理</w:t>
            </w:r>
          </w:p>
          <w:p w14:paraId="68153F0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1.数据值域管理</w:t>
            </w:r>
          </w:p>
          <w:p w14:paraId="3820A89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支持值域的管理维护，支持新增，修改，删除</w:t>
            </w:r>
          </w:p>
          <w:p w14:paraId="1A16635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2.值域版本管理</w:t>
            </w:r>
          </w:p>
          <w:p w14:paraId="02632F2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支持数据值域版本管理功能，在调整数据值域的内容后，保存内容时可选择是否创建新版本</w:t>
            </w:r>
          </w:p>
          <w:p w14:paraId="51EEE84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3.值域变更记录</w:t>
            </w:r>
          </w:p>
          <w:p w14:paraId="7F47DD5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支持值域变更记录功能，每次值域内容的变更，包括值域分类的变更，值域明细内容的变更在保存时都需要填写变更原因</w:t>
            </w:r>
          </w:p>
          <w:p w14:paraId="5ACC8A5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支持查看对应的变更人，变更时间，变更原因等</w:t>
            </w:r>
          </w:p>
          <w:p w14:paraId="075636E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4.值域概况查看</w:t>
            </w:r>
          </w:p>
          <w:p w14:paraId="73136D7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支持展示当前值域的相关信息，例如值域编码，值域分类，值域被使用的数据元、数据模型，以及值域的变更情况</w:t>
            </w:r>
          </w:p>
        </w:tc>
      </w:tr>
      <w:tr w14:paraId="33E8B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restart"/>
            <w:tcBorders>
              <w:tl2br w:val="nil"/>
              <w:tr2bl w:val="nil"/>
            </w:tcBorders>
            <w:noWrap w:val="0"/>
            <w:vAlign w:val="center"/>
          </w:tcPr>
          <w:p w14:paraId="1B362ED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2</w:t>
            </w:r>
          </w:p>
        </w:tc>
        <w:tc>
          <w:tcPr>
            <w:tcW w:w="807" w:type="dxa"/>
            <w:vMerge w:val="restart"/>
            <w:tcBorders>
              <w:tl2br w:val="nil"/>
              <w:tr2bl w:val="nil"/>
            </w:tcBorders>
            <w:noWrap w:val="0"/>
            <w:vAlign w:val="center"/>
          </w:tcPr>
          <w:p w14:paraId="624B5A4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业务资源管理（改造）</w:t>
            </w:r>
          </w:p>
        </w:tc>
        <w:tc>
          <w:tcPr>
            <w:tcW w:w="7379" w:type="dxa"/>
            <w:tcBorders>
              <w:tl2br w:val="nil"/>
              <w:tr2bl w:val="nil"/>
            </w:tcBorders>
            <w:noWrap w:val="0"/>
            <w:vAlign w:val="center"/>
          </w:tcPr>
          <w:p w14:paraId="27A87B7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一、源端人员管理</w:t>
            </w:r>
          </w:p>
          <w:p w14:paraId="0CDFFC8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支持通过数据采集方式归集医疗机构的人员信息</w:t>
            </w:r>
          </w:p>
        </w:tc>
      </w:tr>
      <w:tr w14:paraId="25DA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074CAF0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03137FD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5AB1ED6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二、源端值域管理</w:t>
            </w:r>
          </w:p>
          <w:p w14:paraId="7D40E8B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支持通过数据采集方式归集医疗机构的值域信息</w:t>
            </w:r>
          </w:p>
        </w:tc>
      </w:tr>
      <w:tr w14:paraId="61AE5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restart"/>
            <w:tcBorders>
              <w:tl2br w:val="nil"/>
              <w:tr2bl w:val="nil"/>
            </w:tcBorders>
            <w:noWrap w:val="0"/>
            <w:vAlign w:val="center"/>
          </w:tcPr>
          <w:p w14:paraId="361D692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3</w:t>
            </w:r>
          </w:p>
        </w:tc>
        <w:tc>
          <w:tcPr>
            <w:tcW w:w="807" w:type="dxa"/>
            <w:vMerge w:val="restart"/>
            <w:tcBorders>
              <w:tl2br w:val="nil"/>
              <w:tr2bl w:val="nil"/>
            </w:tcBorders>
            <w:noWrap w:val="0"/>
            <w:vAlign w:val="center"/>
          </w:tcPr>
          <w:p w14:paraId="6DA3694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bidi="ar"/>
              </w:rPr>
              <w:t>业务资源映射</w:t>
            </w:r>
            <w:r>
              <w:rPr>
                <w:rFonts w:hint="eastAsia" w:ascii="宋体" w:hAnsi="宋体" w:eastAsia="宋体" w:cs="宋体"/>
                <w:b w:val="0"/>
                <w:color w:val="auto"/>
                <w:kern w:val="0"/>
                <w:sz w:val="21"/>
                <w:szCs w:val="21"/>
                <w:lang w:eastAsia="zh-CN" w:bidi="ar"/>
              </w:rPr>
              <w:t>（</w:t>
            </w:r>
            <w:r>
              <w:rPr>
                <w:rFonts w:hint="eastAsia" w:ascii="宋体" w:hAnsi="宋体" w:eastAsia="宋体" w:cs="宋体"/>
                <w:b w:val="0"/>
                <w:color w:val="auto"/>
                <w:kern w:val="0"/>
                <w:sz w:val="21"/>
                <w:szCs w:val="21"/>
                <w:lang w:val="en-US" w:eastAsia="zh-CN" w:bidi="ar"/>
              </w:rPr>
              <w:t>改造</w:t>
            </w:r>
            <w:r>
              <w:rPr>
                <w:rFonts w:hint="eastAsia" w:ascii="宋体" w:hAnsi="宋体" w:eastAsia="宋体" w:cs="宋体"/>
                <w:b w:val="0"/>
                <w:color w:val="auto"/>
                <w:kern w:val="0"/>
                <w:sz w:val="21"/>
                <w:szCs w:val="21"/>
                <w:lang w:eastAsia="zh-CN" w:bidi="ar"/>
              </w:rPr>
              <w:t>）</w:t>
            </w:r>
          </w:p>
        </w:tc>
        <w:tc>
          <w:tcPr>
            <w:tcW w:w="7379" w:type="dxa"/>
            <w:tcBorders>
              <w:tl2br w:val="nil"/>
              <w:tr2bl w:val="nil"/>
            </w:tcBorders>
            <w:noWrap w:val="0"/>
            <w:vAlign w:val="center"/>
          </w:tcPr>
          <w:p w14:paraId="7412C4F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一、值域映射</w:t>
            </w:r>
          </w:p>
          <w:p w14:paraId="6560BC4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1.值域映射</w:t>
            </w:r>
          </w:p>
          <w:p w14:paraId="6DAA468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支持值域映射，实现医疗机构值域和中心值域的对应关系</w:t>
            </w:r>
          </w:p>
          <w:p w14:paraId="3C327B4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2.值域映射概况</w:t>
            </w:r>
          </w:p>
          <w:p w14:paraId="78EE8DC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支持统计值域映射情况，包括涉及到值域数，值域明细数量，值域标化映射率，映射数量等</w:t>
            </w:r>
          </w:p>
          <w:p w14:paraId="0E8547B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3.值域映射变更记录</w:t>
            </w:r>
          </w:p>
          <w:p w14:paraId="743CC5B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支持值域映射变更记录的展示，包括机构值域与中心值域的映射情况，可展示具体的映射方式，例如AI智能映射或人工映射</w:t>
            </w:r>
          </w:p>
          <w:p w14:paraId="1E932F6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4.值域映射申领</w:t>
            </w:r>
          </w:p>
          <w:p w14:paraId="2BBD19E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支持值域映射申领保证不同的人不会存在业务交叉</w:t>
            </w:r>
          </w:p>
          <w:p w14:paraId="28F7918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支持对选择的内容进行申领或快速申领</w:t>
            </w:r>
          </w:p>
          <w:p w14:paraId="41EECB7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支持对已经申领的内容，选择取消申领，取消申领后，相应的操作如标化等都无法进行</w:t>
            </w:r>
          </w:p>
          <w:p w14:paraId="0C4E836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支持调用大模型组件中的数据智能映射模型，利用值域映射子模型对数据进行映射匹配</w:t>
            </w:r>
          </w:p>
          <w:p w14:paraId="797533B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5.值域AI映射</w:t>
            </w:r>
          </w:p>
          <w:p w14:paraId="500B8F7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支持对映射后相似度未达100%，进行人工确认</w:t>
            </w:r>
          </w:p>
        </w:tc>
      </w:tr>
      <w:tr w14:paraId="399F8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616A1B2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3985CAA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4FBE956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二、源端值域分类映射</w:t>
            </w:r>
          </w:p>
          <w:p w14:paraId="606CD41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1.源端值域分类查询</w:t>
            </w:r>
          </w:p>
          <w:p w14:paraId="5C9C86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支持值域分类的管理维护，支持新增，修改，删除</w:t>
            </w:r>
          </w:p>
          <w:p w14:paraId="2DA1492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2.值域分类自动匹配</w:t>
            </w:r>
          </w:p>
          <w:p w14:paraId="15944C9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支持将机构端的值域分类与平台端的值域分类进行对应，对于未标化的，支持人工选择对应的值域分类建立映射关系</w:t>
            </w:r>
          </w:p>
        </w:tc>
      </w:tr>
      <w:tr w14:paraId="07DE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restart"/>
            <w:tcBorders>
              <w:tl2br w:val="nil"/>
              <w:tr2bl w:val="nil"/>
            </w:tcBorders>
            <w:noWrap w:val="0"/>
            <w:vAlign w:val="center"/>
          </w:tcPr>
          <w:p w14:paraId="20CCEB8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4</w:t>
            </w:r>
          </w:p>
        </w:tc>
        <w:tc>
          <w:tcPr>
            <w:tcW w:w="807" w:type="dxa"/>
            <w:vMerge w:val="restart"/>
            <w:tcBorders>
              <w:tl2br w:val="nil"/>
              <w:tr2bl w:val="nil"/>
            </w:tcBorders>
            <w:noWrap w:val="0"/>
            <w:vAlign w:val="center"/>
          </w:tcPr>
          <w:p w14:paraId="649CCE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bidi="ar"/>
              </w:rPr>
              <w:t>数据字典管理</w:t>
            </w:r>
            <w:r>
              <w:rPr>
                <w:rFonts w:hint="eastAsia" w:ascii="宋体" w:hAnsi="宋体" w:eastAsia="宋体" w:cs="宋体"/>
                <w:b w:val="0"/>
                <w:color w:val="auto"/>
                <w:kern w:val="0"/>
                <w:sz w:val="21"/>
                <w:szCs w:val="21"/>
                <w:lang w:eastAsia="zh-CN" w:bidi="ar"/>
              </w:rPr>
              <w:t>（</w:t>
            </w:r>
            <w:r>
              <w:rPr>
                <w:rFonts w:hint="eastAsia" w:ascii="宋体" w:hAnsi="宋体" w:eastAsia="宋体" w:cs="宋体"/>
                <w:b w:val="0"/>
                <w:color w:val="auto"/>
                <w:kern w:val="0"/>
                <w:sz w:val="21"/>
                <w:szCs w:val="21"/>
                <w:lang w:val="en-US" w:eastAsia="zh-CN" w:bidi="ar"/>
              </w:rPr>
              <w:t>改造</w:t>
            </w:r>
            <w:r>
              <w:rPr>
                <w:rFonts w:hint="eastAsia" w:ascii="宋体" w:hAnsi="宋体" w:eastAsia="宋体" w:cs="宋体"/>
                <w:b w:val="0"/>
                <w:color w:val="auto"/>
                <w:kern w:val="0"/>
                <w:sz w:val="21"/>
                <w:szCs w:val="21"/>
                <w:lang w:eastAsia="zh-CN" w:bidi="ar"/>
              </w:rPr>
              <w:t>）</w:t>
            </w:r>
          </w:p>
        </w:tc>
        <w:tc>
          <w:tcPr>
            <w:tcW w:w="7379" w:type="dxa"/>
            <w:tcBorders>
              <w:tl2br w:val="nil"/>
              <w:tr2bl w:val="nil"/>
            </w:tcBorders>
            <w:noWrap w:val="0"/>
            <w:vAlign w:val="center"/>
          </w:tcPr>
          <w:p w14:paraId="5D8D4E8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一、标准科室管理</w:t>
            </w:r>
          </w:p>
          <w:p w14:paraId="41597F2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1.标准科室管理</w:t>
            </w:r>
          </w:p>
          <w:p w14:paraId="766FDF7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支持维护标准科室，包括科室的新增，删除，修改</w:t>
            </w:r>
          </w:p>
          <w:p w14:paraId="00ECC3B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2.标准科室导入</w:t>
            </w:r>
          </w:p>
          <w:p w14:paraId="2A93E5E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支持标准科室导入功能，能够按照模板导入标准的业务科室，同时科室能够按照层级进行展示</w:t>
            </w:r>
          </w:p>
          <w:p w14:paraId="5BB9E70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3.科室标化情况</w:t>
            </w:r>
          </w:p>
          <w:p w14:paraId="78637D8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支持查看中心科室与医疗机构科室的映射关系，支持按照层级方式展示</w:t>
            </w:r>
          </w:p>
        </w:tc>
      </w:tr>
      <w:tr w14:paraId="358A2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644AA09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4A50E30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62D68CF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二、医务人员</w:t>
            </w:r>
          </w:p>
          <w:p w14:paraId="12AFCFF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支持中心人员的同一管理和查看，中心人员数据来源于各个医疗机构</w:t>
            </w:r>
          </w:p>
        </w:tc>
      </w:tr>
      <w:tr w14:paraId="7BCE9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3AF62DB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1DFE610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50046B6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三、疾病诊断目录</w:t>
            </w:r>
          </w:p>
          <w:p w14:paraId="1EFEFAE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1.诊断目录管理</w:t>
            </w:r>
          </w:p>
          <w:p w14:paraId="74A110C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支持中心诊断目录的管理维护，支持新增，修改，删除</w:t>
            </w:r>
          </w:p>
          <w:p w14:paraId="57B9018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2.诊断目录导入</w:t>
            </w:r>
          </w:p>
          <w:p w14:paraId="21BA731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支持诊断目录导入功能，按照模板导入诊断目录，模板中包含诊断的ICD编码，诊断的适用性，诊断的分类如传染病诊断等</w:t>
            </w:r>
          </w:p>
          <w:p w14:paraId="4FE1A4B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3.诊断目录版本管理</w:t>
            </w:r>
          </w:p>
          <w:p w14:paraId="0EB2B61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支持诊断版本管理，对于多种诊断版本，需要同步管理，例如互联互通测评诊断，国家临床诊断。</w:t>
            </w:r>
          </w:p>
          <w:p w14:paraId="5BDB201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支持在界面上根据诊断版本选择展示不同的内容</w:t>
            </w:r>
          </w:p>
          <w:p w14:paraId="74B169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4.诊断目录标化情况</w:t>
            </w:r>
          </w:p>
          <w:p w14:paraId="11E3DC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支持查看中心诊断与医疗机构诊断的映射关系，支持按照层级方式展示</w:t>
            </w:r>
          </w:p>
        </w:tc>
      </w:tr>
      <w:tr w14:paraId="2916C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483EFF1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2E5DDE4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1D200BB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四、医学检查目录</w:t>
            </w:r>
          </w:p>
          <w:p w14:paraId="14D4054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1.检查目录管理</w:t>
            </w:r>
          </w:p>
          <w:p w14:paraId="43B5A96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支持检查目录的维护，支持检查目录的新增，修改，删除</w:t>
            </w:r>
          </w:p>
          <w:p w14:paraId="761EDB0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2.检查目录导入（新增）</w:t>
            </w:r>
          </w:p>
          <w:p w14:paraId="54C6025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支持检查目录导入功能，根据模板导入检查目录，模板内容包含检查项目名称，检查项目编码，检查部位等内容</w:t>
            </w:r>
          </w:p>
        </w:tc>
      </w:tr>
      <w:tr w14:paraId="49AB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5179D9C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267B483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3ADAB43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五、医学检验目录</w:t>
            </w:r>
          </w:p>
          <w:p w14:paraId="57F67B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1.检验目录管理</w:t>
            </w:r>
          </w:p>
          <w:p w14:paraId="5DFE4DD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支持检验目录的维护，支持检验目录的新增，修改，删除</w:t>
            </w:r>
          </w:p>
          <w:p w14:paraId="56A7E46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2.检验目录导入</w:t>
            </w:r>
          </w:p>
          <w:p w14:paraId="26B29E4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支持检验目录导入功能，根据模板导入检验目录，模板内容包含检验项目名称，检验项目编码，检验项目分类等内容</w:t>
            </w:r>
          </w:p>
        </w:tc>
      </w:tr>
      <w:tr w14:paraId="7F51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06E2F50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11084F9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0D0D3EA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六、医疗服务目录</w:t>
            </w:r>
          </w:p>
          <w:p w14:paraId="3C9B51A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1.医疗服务目录管理</w:t>
            </w:r>
          </w:p>
          <w:p w14:paraId="3A9B29B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支持医疗服务目录管理功能，支持医疗服务目录新增、修改、删除</w:t>
            </w:r>
          </w:p>
          <w:p w14:paraId="5B985AE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2.医疗服务目录导入</w:t>
            </w:r>
          </w:p>
          <w:p w14:paraId="4332358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支持医疗服务目录导入功能，根据模板导入医疗服务目录，模板内容包含医疗服务项目名称，医疗服务项目编码等内容</w:t>
            </w:r>
          </w:p>
          <w:p w14:paraId="37A7D5F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3.医疗服务目录审核</w:t>
            </w:r>
          </w:p>
          <w:p w14:paraId="1C10B2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支持医疗服务目录审核功能，当有新增的医疗服务目录时，能够对新增的服务目录能进行审核，支持审核通过和拒绝</w:t>
            </w:r>
          </w:p>
        </w:tc>
      </w:tr>
      <w:tr w14:paraId="3472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13A50E9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127C17F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7C14D70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bCs/>
                <w:color w:val="auto"/>
                <w:kern w:val="0"/>
                <w:sz w:val="21"/>
                <w:szCs w:val="21"/>
                <w:lang w:bidi="ar"/>
              </w:rPr>
              <w:t>七、支持物价目录的管理维护</w:t>
            </w:r>
          </w:p>
        </w:tc>
      </w:tr>
      <w:tr w14:paraId="42B54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063C1C3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6153DC4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3A28E49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八、材料目录</w:t>
            </w:r>
          </w:p>
          <w:p w14:paraId="7A6F827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1.材料目录管理</w:t>
            </w:r>
          </w:p>
          <w:p w14:paraId="037BE5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支持材料目录的管理维护，支持材料目录新增、修改、删除</w:t>
            </w:r>
          </w:p>
          <w:p w14:paraId="353F907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2.材料目录导入</w:t>
            </w:r>
          </w:p>
          <w:p w14:paraId="0C726E6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支持材料目录导入功能，根据模板导入医疗服务目录，模板内容包含材料目录名称，材料目录编码，材料分类等内容</w:t>
            </w:r>
          </w:p>
          <w:p w14:paraId="00307D5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3.材料目录审核</w:t>
            </w:r>
          </w:p>
          <w:p w14:paraId="1314367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支持材料目录审核功能，当有新增的材料目录时，能够对新增的材料目录能进行审核，支持审核通过和拒绝</w:t>
            </w:r>
          </w:p>
        </w:tc>
      </w:tr>
      <w:tr w14:paraId="347A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72C0C42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604379A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5D52925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九、药品目录</w:t>
            </w:r>
          </w:p>
          <w:p w14:paraId="32E8AC1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1.药品目录管理</w:t>
            </w:r>
          </w:p>
          <w:p w14:paraId="0B3EEE2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支持药品目录的管理维护，支持药品目录的新增，修改，删除</w:t>
            </w:r>
          </w:p>
          <w:p w14:paraId="59D14FB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2.药品目录审核</w:t>
            </w:r>
          </w:p>
          <w:p w14:paraId="181E41B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支持药品目录审核功能，当有新增的药品目录时，能够对新增的药品目录能进行审核，支持审核通过和拒绝</w:t>
            </w:r>
          </w:p>
        </w:tc>
      </w:tr>
      <w:tr w14:paraId="46D5D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336A3D1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51EBB3B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58B2BB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十、药品通用名</w:t>
            </w:r>
          </w:p>
          <w:p w14:paraId="326EB4A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1.药品通用名管理</w:t>
            </w:r>
          </w:p>
          <w:p w14:paraId="49BCA70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支持药品通用名管理维护，支持通用名的新增，修改</w:t>
            </w:r>
          </w:p>
          <w:p w14:paraId="521A2BE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2.药品通用名导入</w:t>
            </w:r>
          </w:p>
          <w:p w14:paraId="2488E0C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支持导入药品通用名，支持按照模板导入</w:t>
            </w:r>
          </w:p>
        </w:tc>
      </w:tr>
      <w:tr w14:paraId="0E55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54256A6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193A952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13A0D09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十一、药品药理</w:t>
            </w:r>
          </w:p>
          <w:p w14:paraId="54891EE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1.药品药理管理</w:t>
            </w:r>
          </w:p>
          <w:p w14:paraId="583AD0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支持药品药理的管理维护，支持药品药理的新增，修改，删除</w:t>
            </w:r>
          </w:p>
        </w:tc>
      </w:tr>
      <w:tr w14:paraId="7A16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513634C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62425FE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7838E4F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十二、药品生产厂家</w:t>
            </w:r>
          </w:p>
          <w:p w14:paraId="2A80D6F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1.药品生产厂家管理</w:t>
            </w:r>
          </w:p>
          <w:p w14:paraId="13DCA9C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支持药品生产厂家的管理维护，支持厂家的新增，修改</w:t>
            </w:r>
          </w:p>
          <w:p w14:paraId="648B223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2.生产厂家审核</w:t>
            </w:r>
          </w:p>
          <w:p w14:paraId="38E42EA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支持药品生产厂家审核功能，当新增的药品中，包含的生厂厂家不在原有厂家名单中时，能够新增至生产厂家名单，并通过审核功能，实现厂家信息的入库</w:t>
            </w:r>
          </w:p>
        </w:tc>
      </w:tr>
      <w:tr w14:paraId="3DBBD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6982526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4318B9E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57E95C9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十三、人员职称职务</w:t>
            </w:r>
          </w:p>
          <w:p w14:paraId="53CEB53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1.职工类型管理</w:t>
            </w:r>
          </w:p>
          <w:p w14:paraId="7D15616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支持职工类型的管理维护，支持新增，修改删除</w:t>
            </w:r>
          </w:p>
          <w:p w14:paraId="2127E0D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2.职称等级管理</w:t>
            </w:r>
          </w:p>
          <w:p w14:paraId="2CF6CE3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支持职称等级的管理维护，支持新增，修改删除</w:t>
            </w:r>
          </w:p>
          <w:p w14:paraId="574FDC6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3.职务管理</w:t>
            </w:r>
          </w:p>
          <w:p w14:paraId="57B3FA2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支持职务的管理维护，支持新增，修改删除</w:t>
            </w:r>
          </w:p>
        </w:tc>
      </w:tr>
      <w:tr w14:paraId="40B70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tcBorders>
              <w:tl2br w:val="nil"/>
              <w:tr2bl w:val="nil"/>
            </w:tcBorders>
            <w:noWrap w:val="0"/>
            <w:vAlign w:val="center"/>
          </w:tcPr>
          <w:p w14:paraId="09022A8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val="en-US" w:eastAsia="zh-CN" w:bidi="ar"/>
              </w:rPr>
              <w:t>5</w:t>
            </w:r>
          </w:p>
        </w:tc>
        <w:tc>
          <w:tcPr>
            <w:tcW w:w="807" w:type="dxa"/>
            <w:tcBorders>
              <w:tl2br w:val="nil"/>
              <w:tr2bl w:val="nil"/>
            </w:tcBorders>
            <w:noWrap w:val="0"/>
            <w:vAlign w:val="center"/>
          </w:tcPr>
          <w:p w14:paraId="4C6BAF1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主数据总览（新增）</w:t>
            </w:r>
          </w:p>
        </w:tc>
        <w:tc>
          <w:tcPr>
            <w:tcW w:w="7379" w:type="dxa"/>
            <w:tcBorders>
              <w:tl2br w:val="nil"/>
              <w:tr2bl w:val="nil"/>
            </w:tcBorders>
            <w:noWrap w:val="0"/>
            <w:vAlign w:val="center"/>
          </w:tcPr>
          <w:p w14:paraId="620EA8C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一、平台主数据总览</w:t>
            </w:r>
          </w:p>
          <w:p w14:paraId="021E3F7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1.主数据数据标准总览</w:t>
            </w:r>
          </w:p>
          <w:p w14:paraId="1ACB9A4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支持全区平台建设的业务域，数据模型，数据元，值域管理等内容</w:t>
            </w:r>
          </w:p>
          <w:p w14:paraId="7B89F3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支持展示平台存储的各类标准参考文件内容滚动</w:t>
            </w:r>
          </w:p>
          <w:p w14:paraId="1394EF6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2.数据标化统计</w:t>
            </w:r>
          </w:p>
          <w:p w14:paraId="278BF0F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支持按照数据标化情况进行统计</w:t>
            </w:r>
          </w:p>
          <w:p w14:paraId="1A23ACB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3.数据任务统计</w:t>
            </w:r>
          </w:p>
          <w:p w14:paraId="6414ACC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支持按照数据标化任务维度进行同级</w:t>
            </w:r>
          </w:p>
          <w:p w14:paraId="2E8C830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二、机构端主数据总览</w:t>
            </w:r>
          </w:p>
          <w:p w14:paraId="7B7BE09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1.机构端主数据总览</w:t>
            </w:r>
          </w:p>
          <w:p w14:paraId="24938F2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支持查看本机构的数据标化情况</w:t>
            </w:r>
          </w:p>
          <w:p w14:paraId="1ACDAA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支持查看平台端的标准规范体系，包括业务域、数据模型、数据元，参考文件等内容</w:t>
            </w:r>
          </w:p>
        </w:tc>
      </w:tr>
      <w:tr w14:paraId="5B44E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tcBorders>
              <w:tl2br w:val="nil"/>
              <w:tr2bl w:val="nil"/>
            </w:tcBorders>
            <w:noWrap w:val="0"/>
            <w:vAlign w:val="center"/>
          </w:tcPr>
          <w:p w14:paraId="01CFC7E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val="en-US" w:eastAsia="zh-CN" w:bidi="ar"/>
              </w:rPr>
              <w:t>6</w:t>
            </w:r>
          </w:p>
        </w:tc>
        <w:tc>
          <w:tcPr>
            <w:tcW w:w="807" w:type="dxa"/>
            <w:tcBorders>
              <w:tl2br w:val="nil"/>
              <w:tr2bl w:val="nil"/>
            </w:tcBorders>
            <w:noWrap w:val="0"/>
            <w:vAlign w:val="center"/>
          </w:tcPr>
          <w:p w14:paraId="6A222DE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标准</w:t>
            </w:r>
            <w:r>
              <w:rPr>
                <w:rFonts w:hint="eastAsia" w:ascii="宋体" w:hAnsi="宋体" w:eastAsia="宋体" w:cs="宋体"/>
                <w:b w:val="0"/>
                <w:color w:val="auto"/>
                <w:kern w:val="0"/>
                <w:sz w:val="21"/>
                <w:szCs w:val="21"/>
                <w:lang w:val="en-US" w:eastAsia="zh-CN" w:bidi="ar"/>
              </w:rPr>
              <w:t>文件</w:t>
            </w:r>
            <w:r>
              <w:rPr>
                <w:rFonts w:hint="eastAsia" w:ascii="宋体" w:hAnsi="宋体" w:eastAsia="宋体" w:cs="宋体"/>
                <w:b w:val="0"/>
                <w:color w:val="auto"/>
                <w:kern w:val="0"/>
                <w:sz w:val="21"/>
                <w:szCs w:val="21"/>
                <w:lang w:bidi="ar"/>
              </w:rPr>
              <w:t>管理（新增）</w:t>
            </w:r>
          </w:p>
        </w:tc>
        <w:tc>
          <w:tcPr>
            <w:tcW w:w="7379" w:type="dxa"/>
            <w:tcBorders>
              <w:tl2br w:val="nil"/>
              <w:tr2bl w:val="nil"/>
            </w:tcBorders>
            <w:noWrap w:val="0"/>
            <w:vAlign w:val="center"/>
          </w:tcPr>
          <w:p w14:paraId="2EFC53C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一、标准文件管理</w:t>
            </w:r>
          </w:p>
          <w:p w14:paraId="43149AF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1.标准文件管理</w:t>
            </w:r>
          </w:p>
          <w:p w14:paraId="7BDB9C8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支持新增修改删除标准文件，支持参考文件的分类标记</w:t>
            </w:r>
          </w:p>
          <w:p w14:paraId="4DCD9BC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支持对卫健局发布的政策进行统一发布和管理</w:t>
            </w:r>
          </w:p>
          <w:p w14:paraId="375EE81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2.标准文件预览</w:t>
            </w:r>
          </w:p>
          <w:p w14:paraId="4D10A58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支持对上传的标准文件进行预览，PDF格式的文件支持通过功能点击查看</w:t>
            </w:r>
          </w:p>
          <w:p w14:paraId="3222791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3.标准文件下载</w:t>
            </w:r>
          </w:p>
          <w:p w14:paraId="1065610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支持对上传的文件进行下载，包括各类接口文档，政策规范通知等</w:t>
            </w:r>
          </w:p>
          <w:p w14:paraId="08E7018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支持按照规范设置的接口文档版本能够根据数据元变化情况，实时更新</w:t>
            </w:r>
          </w:p>
          <w:p w14:paraId="2B5815A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4.文件标签管理</w:t>
            </w:r>
          </w:p>
          <w:p w14:paraId="7CFDF38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支持对文件进行标签管理，允许对文件添加自定义标签</w:t>
            </w:r>
          </w:p>
          <w:p w14:paraId="2FD0791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支持根据标签过滤相应文档，并在文档列表上展示</w:t>
            </w:r>
          </w:p>
        </w:tc>
      </w:tr>
      <w:tr w14:paraId="34E5F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restart"/>
            <w:tcBorders>
              <w:tl2br w:val="nil"/>
              <w:tr2bl w:val="nil"/>
            </w:tcBorders>
            <w:noWrap w:val="0"/>
            <w:vAlign w:val="center"/>
          </w:tcPr>
          <w:p w14:paraId="0BDDEA6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val="en-US" w:eastAsia="zh-CN" w:bidi="ar"/>
              </w:rPr>
            </w:pPr>
            <w:r>
              <w:rPr>
                <w:rFonts w:hint="eastAsia" w:ascii="宋体" w:hAnsi="宋体" w:eastAsia="宋体" w:cs="宋体"/>
                <w:b w:val="0"/>
                <w:color w:val="auto"/>
                <w:kern w:val="0"/>
                <w:sz w:val="21"/>
                <w:szCs w:val="21"/>
                <w:lang w:val="en-US" w:eastAsia="zh-CN" w:bidi="ar"/>
              </w:rPr>
              <w:t>7</w:t>
            </w:r>
          </w:p>
          <w:p w14:paraId="0A6AD9F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restart"/>
            <w:tcBorders>
              <w:tl2br w:val="nil"/>
              <w:tr2bl w:val="nil"/>
            </w:tcBorders>
            <w:noWrap w:val="0"/>
            <w:vAlign w:val="center"/>
          </w:tcPr>
          <w:p w14:paraId="2C0FF94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业务资源管理（新增）</w:t>
            </w:r>
          </w:p>
        </w:tc>
        <w:tc>
          <w:tcPr>
            <w:tcW w:w="7379" w:type="dxa"/>
            <w:tcBorders>
              <w:tl2br w:val="nil"/>
              <w:tr2bl w:val="nil"/>
            </w:tcBorders>
            <w:noWrap w:val="0"/>
            <w:vAlign w:val="center"/>
          </w:tcPr>
          <w:p w14:paraId="703A8E3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一、采集业务管理</w:t>
            </w:r>
          </w:p>
          <w:p w14:paraId="57AFE2A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1.采集范围配置</w:t>
            </w:r>
          </w:p>
          <w:p w14:paraId="49B16D9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支持医疗机构结合自身业务设置数据的范围</w:t>
            </w:r>
          </w:p>
          <w:p w14:paraId="7DE0476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w:t>
            </w:r>
            <w:r>
              <w:rPr>
                <w:rFonts w:hint="eastAsia" w:ascii="宋体" w:hAnsi="宋体" w:eastAsia="宋体" w:cs="宋体"/>
                <w:color w:val="auto"/>
                <w:kern w:val="0"/>
                <w:sz w:val="21"/>
                <w:szCs w:val="21"/>
                <w:lang w:bidi="ar"/>
              </w:rPr>
              <w:t>通过问卷形式实现机构端业务采集范围的自动配置</w:t>
            </w:r>
          </w:p>
          <w:p w14:paraId="0384F76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支持对已标记为采集的业务进行调整</w:t>
            </w:r>
          </w:p>
          <w:p w14:paraId="594B358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2.采集范围周末/节假日配置</w:t>
            </w:r>
          </w:p>
          <w:p w14:paraId="1EF05B0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支持额外的周末/节假日配置，其中对于周六日未开展业务的医疗机构，可设置周末无数据，节假日同理</w:t>
            </w:r>
          </w:p>
          <w:p w14:paraId="19F7C29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3.采集范围变更记录</w:t>
            </w:r>
          </w:p>
          <w:p w14:paraId="2029330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支持记录相应的变更信息，在变更记录中可查看具体的变更信息，如变更人，变更时间，变更内容等</w:t>
            </w:r>
          </w:p>
        </w:tc>
      </w:tr>
      <w:tr w14:paraId="74B3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6791C93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005DCEB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3FAB7F7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二、源端科室管理</w:t>
            </w:r>
          </w:p>
          <w:p w14:paraId="543937A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支持行政科室与挂号科室的共同管理</w:t>
            </w:r>
          </w:p>
        </w:tc>
      </w:tr>
      <w:tr w14:paraId="3EDB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4E86E3E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6A5FF9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2300658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三、源端药品管理</w:t>
            </w:r>
          </w:p>
          <w:p w14:paraId="16A3A27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支持通过数据采集方式归集医疗机构的药品信息</w:t>
            </w:r>
          </w:p>
          <w:p w14:paraId="3B497E6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支持查看采集的医疗机构药品信息，支持查看药品详细信息</w:t>
            </w:r>
          </w:p>
        </w:tc>
      </w:tr>
      <w:tr w14:paraId="7C547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0E3D46D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7A997A6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303367C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四、源端诊断管理</w:t>
            </w:r>
          </w:p>
          <w:p w14:paraId="3FEB591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支持通过采集方式归集医疗机构的诊断信息</w:t>
            </w:r>
          </w:p>
          <w:p w14:paraId="1B4D2C2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支持通过采集方式归集医疗机构的手术及操作信息</w:t>
            </w:r>
          </w:p>
        </w:tc>
      </w:tr>
      <w:tr w14:paraId="1780A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restart"/>
            <w:tcBorders>
              <w:tl2br w:val="nil"/>
              <w:tr2bl w:val="nil"/>
            </w:tcBorders>
            <w:noWrap w:val="0"/>
            <w:vAlign w:val="center"/>
          </w:tcPr>
          <w:p w14:paraId="33673B0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8</w:t>
            </w:r>
          </w:p>
        </w:tc>
        <w:tc>
          <w:tcPr>
            <w:tcW w:w="807" w:type="dxa"/>
            <w:vMerge w:val="restart"/>
            <w:tcBorders>
              <w:tl2br w:val="nil"/>
              <w:tr2bl w:val="nil"/>
            </w:tcBorders>
            <w:noWrap w:val="0"/>
            <w:vAlign w:val="center"/>
          </w:tcPr>
          <w:p w14:paraId="6277417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业务资源标化（新增）</w:t>
            </w:r>
          </w:p>
        </w:tc>
        <w:tc>
          <w:tcPr>
            <w:tcW w:w="7379" w:type="dxa"/>
            <w:tcBorders>
              <w:tl2br w:val="nil"/>
              <w:tr2bl w:val="nil"/>
            </w:tcBorders>
            <w:noWrap w:val="0"/>
            <w:vAlign w:val="center"/>
          </w:tcPr>
          <w:p w14:paraId="1D7C1D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一、标化任务申领</w:t>
            </w:r>
          </w:p>
          <w:p w14:paraId="508B5E7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1.标化任务申领</w:t>
            </w:r>
          </w:p>
          <w:p w14:paraId="0891149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支持通过快速标化和申领两种方式，申领方式可通过选择对应的标化记录进行申领（需提供系统截图）</w:t>
            </w:r>
          </w:p>
          <w:p w14:paraId="44484DD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2.快速标化功能</w:t>
            </w:r>
          </w:p>
          <w:p w14:paraId="0F2B6D2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支持按照选择的待标化记录，逐条对比和建立映射关系并提交</w:t>
            </w:r>
          </w:p>
          <w:p w14:paraId="5D3AD79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支持查看对应的标化内容和标化记录</w:t>
            </w:r>
          </w:p>
          <w:p w14:paraId="2CBFC4C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3.标化操作说明下载</w:t>
            </w:r>
          </w:p>
          <w:p w14:paraId="7B8204E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支持预览标化操作手册</w:t>
            </w:r>
          </w:p>
          <w:p w14:paraId="713A551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支持下载标化手册进行查看</w:t>
            </w:r>
          </w:p>
        </w:tc>
      </w:tr>
      <w:tr w14:paraId="4925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7916B0D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0BEF50F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2F0D629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二、科室标化</w:t>
            </w:r>
          </w:p>
          <w:p w14:paraId="0EF6348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1.科室标化申领</w:t>
            </w:r>
          </w:p>
          <w:p w14:paraId="0FB5421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支持科室标化任务申领，支持按照选中的行记录或按数量快速申领</w:t>
            </w:r>
          </w:p>
          <w:p w14:paraId="7943F20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支持对已申领的科室标化任务取消申领</w:t>
            </w:r>
          </w:p>
          <w:p w14:paraId="7AA8529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2.科室AI标化</w:t>
            </w:r>
          </w:p>
          <w:p w14:paraId="57527BD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▲科室标化能力，基于平台科室数据及机构端历史科室匹配记录，利用NLP模型构建科室深度学习模型，针对机构端科室数据，利用快速获取召回模型，再利用深度学习模型实现与平台科室数据的精准匹配。</w:t>
            </w:r>
          </w:p>
          <w:p w14:paraId="6D88D2F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支持对科室AI标化后未达100%，进行人工确认</w:t>
            </w:r>
          </w:p>
          <w:p w14:paraId="37F15BB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3.科室快速标化</w:t>
            </w:r>
          </w:p>
          <w:p w14:paraId="5E1D99D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支持按照选择的科室待标化记录，逐条对比和建立映射关系并提交</w:t>
            </w:r>
          </w:p>
          <w:p w14:paraId="14A139D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支持查看对应科室的标化内容和标化记录</w:t>
            </w:r>
          </w:p>
          <w:p w14:paraId="6792496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4.科室标化变更记录</w:t>
            </w:r>
          </w:p>
          <w:p w14:paraId="7DDB792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支持科室标化的变更记录，用于记录每次标化的操作内容，支持查看标化方式，标化操作人，标化操作时间等信息</w:t>
            </w:r>
          </w:p>
        </w:tc>
      </w:tr>
      <w:tr w14:paraId="0D40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0307CD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0F79BFA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1ED4C7D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三、诊断标化</w:t>
            </w:r>
          </w:p>
          <w:p w14:paraId="7396F1A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1.诊断标化申领</w:t>
            </w:r>
          </w:p>
          <w:p w14:paraId="7C2CB15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支持诊断标化任务申领，支持按照选中的行记录或按数量快速申领</w:t>
            </w:r>
          </w:p>
          <w:p w14:paraId="6463AAC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支持已申领的诊断标化任务取消申领</w:t>
            </w:r>
          </w:p>
          <w:p w14:paraId="5D6B823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2.诊断AI标化</w:t>
            </w:r>
          </w:p>
          <w:p w14:paraId="0E436D3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医学诊断标化能力：基于ICD编码和名称，构建字典树和快速召回模型，通过算法获取相似召回集，再进一步基于NLP训练深度学习模型，预测出最相似的标准诊断文本。利用该模型与算法，实现机构端诊断与平台诊断快速建立对应关系。</w:t>
            </w:r>
          </w:p>
          <w:p w14:paraId="1CE38D7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支持对诊断AI标化后未达100%，进行人工确认</w:t>
            </w:r>
          </w:p>
          <w:p w14:paraId="2A01F55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3.诊断快速标化</w:t>
            </w:r>
          </w:p>
          <w:p w14:paraId="2940F5F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支持按照选择的诊断待标化记录，逐条对比和建立映射关系并提交</w:t>
            </w:r>
          </w:p>
          <w:p w14:paraId="6536121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支持查看对应诊断的标化内容和标化记录</w:t>
            </w:r>
          </w:p>
          <w:p w14:paraId="4100102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4.诊断标化变更记录</w:t>
            </w:r>
          </w:p>
          <w:p w14:paraId="004066D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支持诊断标化的变更记录，用于记录每次标化的操作内容，支持查看标化方式，标化操作人，标化操作时间等信息</w:t>
            </w:r>
          </w:p>
        </w:tc>
      </w:tr>
      <w:tr w14:paraId="0146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vMerge w:val="continue"/>
            <w:tcBorders>
              <w:tl2br w:val="nil"/>
              <w:tr2bl w:val="nil"/>
            </w:tcBorders>
            <w:noWrap w:val="0"/>
            <w:vAlign w:val="center"/>
          </w:tcPr>
          <w:p w14:paraId="2A4B4AB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7" w:type="dxa"/>
            <w:vMerge w:val="continue"/>
            <w:tcBorders>
              <w:tl2br w:val="nil"/>
              <w:tr2bl w:val="nil"/>
            </w:tcBorders>
            <w:noWrap w:val="0"/>
            <w:vAlign w:val="center"/>
          </w:tcPr>
          <w:p w14:paraId="0B6FDD6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379" w:type="dxa"/>
            <w:tcBorders>
              <w:tl2br w:val="nil"/>
              <w:tr2bl w:val="nil"/>
            </w:tcBorders>
            <w:noWrap w:val="0"/>
            <w:vAlign w:val="center"/>
          </w:tcPr>
          <w:p w14:paraId="3B1249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四、药品标化</w:t>
            </w:r>
          </w:p>
          <w:p w14:paraId="4AD275B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1.药品标化申领</w:t>
            </w:r>
          </w:p>
          <w:p w14:paraId="28E68EC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支持药品标化任务申领，支持按照选中的行记录或按数量快速申领</w:t>
            </w:r>
          </w:p>
          <w:p w14:paraId="4AFAEF3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支持对已申领的药品标化任务取消申领</w:t>
            </w:r>
          </w:p>
          <w:p w14:paraId="399870F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2.药品AI标化</w:t>
            </w:r>
          </w:p>
          <w:p w14:paraId="41F7D19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支持调用药品智能映射模型，对药品的数据进行智能映射</w:t>
            </w:r>
          </w:p>
          <w:p w14:paraId="0C94EB1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支持对药品AI标化后未达100%，进行人工确认</w:t>
            </w:r>
          </w:p>
          <w:p w14:paraId="4A2459C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3.药品快速标化</w:t>
            </w:r>
          </w:p>
          <w:p w14:paraId="2483501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支持按照选择的药品待标化记录，逐条对比和建立映射关系并提交</w:t>
            </w:r>
          </w:p>
          <w:p w14:paraId="440C897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支持查看对应药品的标化内容和标化记录</w:t>
            </w:r>
          </w:p>
          <w:p w14:paraId="01C7151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4.药品纳入中心目录</w:t>
            </w:r>
          </w:p>
          <w:p w14:paraId="126619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支持对于不在中心药品目录范围内的医疗机构药品，选择纳入中心药品目录</w:t>
            </w:r>
          </w:p>
          <w:p w14:paraId="7A9E6A4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支持中心管理员在药品目录页面看到需要纳入到中心药品的信息，并支持审核/拒绝</w:t>
            </w:r>
          </w:p>
          <w:p w14:paraId="08D5C92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支持对审核通过的药品，自动建立映射关系</w:t>
            </w:r>
          </w:p>
          <w:p w14:paraId="6EBDEE2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5.药品标化变更记录</w:t>
            </w:r>
          </w:p>
          <w:p w14:paraId="00F243D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支持药品标化的变更记录，用于记录每次标化的操作内容，支持查看标化方式，标化操作人，标化操作时间等信息</w:t>
            </w:r>
          </w:p>
        </w:tc>
      </w:tr>
      <w:tr w14:paraId="0CF3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6" w:type="dxa"/>
            <w:tcBorders>
              <w:tl2br w:val="nil"/>
              <w:tr2bl w:val="nil"/>
            </w:tcBorders>
            <w:noWrap w:val="0"/>
            <w:vAlign w:val="center"/>
          </w:tcPr>
          <w:p w14:paraId="5A11CF5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val="en-US" w:eastAsia="zh-CN" w:bidi="ar"/>
              </w:rPr>
            </w:pPr>
            <w:r>
              <w:rPr>
                <w:rFonts w:hint="eastAsia" w:ascii="宋体" w:hAnsi="宋体" w:eastAsia="宋体" w:cs="宋体"/>
                <w:b w:val="0"/>
                <w:color w:val="auto"/>
                <w:kern w:val="0"/>
                <w:sz w:val="21"/>
                <w:szCs w:val="21"/>
                <w:lang w:val="en-US" w:eastAsia="zh-CN" w:bidi="ar"/>
              </w:rPr>
              <w:t>9</w:t>
            </w:r>
          </w:p>
        </w:tc>
        <w:tc>
          <w:tcPr>
            <w:tcW w:w="807" w:type="dxa"/>
            <w:tcBorders>
              <w:tl2br w:val="nil"/>
              <w:tr2bl w:val="nil"/>
            </w:tcBorders>
            <w:noWrap w:val="0"/>
            <w:vAlign w:val="center"/>
          </w:tcPr>
          <w:p w14:paraId="1E61578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数据字典管理（新增）</w:t>
            </w:r>
          </w:p>
        </w:tc>
        <w:tc>
          <w:tcPr>
            <w:tcW w:w="7379" w:type="dxa"/>
            <w:tcBorders>
              <w:tl2br w:val="nil"/>
              <w:tr2bl w:val="nil"/>
            </w:tcBorders>
            <w:noWrap w:val="0"/>
            <w:vAlign w:val="center"/>
          </w:tcPr>
          <w:p w14:paraId="5C31313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1.行政区划管理</w:t>
            </w:r>
          </w:p>
          <w:p w14:paraId="493D2CE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支持维护全国行政区划代码，从省、市、区县、街道、社区村五级的行政区划编码</w:t>
            </w:r>
          </w:p>
          <w:p w14:paraId="66AB700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支持按照分类树进行查询和显示，逐级展示对应的行政区划信息</w:t>
            </w:r>
          </w:p>
        </w:tc>
      </w:tr>
    </w:tbl>
    <w:p w14:paraId="31AF2A62">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5FCB2254">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主索引管理（EMPI）</w:t>
      </w:r>
    </w:p>
    <w:tbl>
      <w:tblPr>
        <w:tblStyle w:val="13"/>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792"/>
        <w:gridCol w:w="6964"/>
      </w:tblGrid>
      <w:tr w14:paraId="3B970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tcBorders>
              <w:tl2br w:val="nil"/>
              <w:tr2bl w:val="nil"/>
            </w:tcBorders>
            <w:noWrap w:val="0"/>
            <w:vAlign w:val="center"/>
          </w:tcPr>
          <w:p w14:paraId="2054C69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bCs/>
                <w:color w:val="auto"/>
                <w:kern w:val="0"/>
                <w:sz w:val="21"/>
                <w:szCs w:val="21"/>
                <w:lang w:bidi="ar"/>
              </w:rPr>
              <w:t>序号</w:t>
            </w:r>
          </w:p>
        </w:tc>
        <w:tc>
          <w:tcPr>
            <w:tcW w:w="804" w:type="dxa"/>
            <w:tcBorders>
              <w:tl2br w:val="nil"/>
              <w:tr2bl w:val="nil"/>
            </w:tcBorders>
            <w:noWrap w:val="0"/>
            <w:vAlign w:val="center"/>
          </w:tcPr>
          <w:p w14:paraId="77F222A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bCs/>
                <w:color w:val="auto"/>
                <w:kern w:val="0"/>
                <w:sz w:val="21"/>
                <w:szCs w:val="21"/>
                <w:lang w:bidi="ar"/>
              </w:rPr>
              <w:t>模块</w:t>
            </w:r>
          </w:p>
        </w:tc>
        <w:tc>
          <w:tcPr>
            <w:tcW w:w="7464" w:type="dxa"/>
            <w:tcBorders>
              <w:tl2br w:val="nil"/>
              <w:tr2bl w:val="nil"/>
            </w:tcBorders>
            <w:noWrap w:val="0"/>
            <w:vAlign w:val="center"/>
          </w:tcPr>
          <w:p w14:paraId="4F55203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bCs/>
                <w:color w:val="auto"/>
                <w:kern w:val="0"/>
                <w:sz w:val="21"/>
                <w:szCs w:val="21"/>
                <w:lang w:bidi="ar"/>
              </w:rPr>
              <w:t>功能及技术参数</w:t>
            </w:r>
          </w:p>
        </w:tc>
      </w:tr>
      <w:tr w14:paraId="7A406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5A8FE7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1</w:t>
            </w:r>
          </w:p>
        </w:tc>
        <w:tc>
          <w:tcPr>
            <w:tcW w:w="804" w:type="dxa"/>
            <w:vMerge w:val="restart"/>
            <w:tcBorders>
              <w:tl2br w:val="nil"/>
              <w:tr2bl w:val="nil"/>
            </w:tcBorders>
            <w:noWrap w:val="0"/>
            <w:vAlign w:val="center"/>
          </w:tcPr>
          <w:p w14:paraId="133960D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bidi="ar"/>
              </w:rPr>
              <w:t>患者主索引管理</w:t>
            </w:r>
            <w:r>
              <w:rPr>
                <w:rFonts w:hint="eastAsia" w:ascii="宋体" w:hAnsi="宋体" w:eastAsia="宋体" w:cs="宋体"/>
                <w:b w:val="0"/>
                <w:color w:val="auto"/>
                <w:kern w:val="0"/>
                <w:sz w:val="21"/>
                <w:szCs w:val="21"/>
                <w:lang w:eastAsia="zh-CN" w:bidi="ar"/>
              </w:rPr>
              <w:t>（</w:t>
            </w:r>
            <w:r>
              <w:rPr>
                <w:rFonts w:hint="eastAsia" w:ascii="宋体" w:hAnsi="宋体" w:eastAsia="宋体" w:cs="宋体"/>
                <w:b w:val="0"/>
                <w:color w:val="auto"/>
                <w:kern w:val="0"/>
                <w:sz w:val="21"/>
                <w:szCs w:val="21"/>
                <w:lang w:val="en-US" w:eastAsia="zh-CN" w:bidi="ar"/>
              </w:rPr>
              <w:t>改造</w:t>
            </w:r>
            <w:r>
              <w:rPr>
                <w:rFonts w:hint="eastAsia" w:ascii="宋体" w:hAnsi="宋体" w:eastAsia="宋体" w:cs="宋体"/>
                <w:b w:val="0"/>
                <w:color w:val="auto"/>
                <w:kern w:val="0"/>
                <w:sz w:val="21"/>
                <w:szCs w:val="21"/>
                <w:lang w:eastAsia="zh-CN" w:bidi="ar"/>
              </w:rPr>
              <w:t>）</w:t>
            </w:r>
          </w:p>
        </w:tc>
        <w:tc>
          <w:tcPr>
            <w:tcW w:w="7464" w:type="dxa"/>
            <w:tcBorders>
              <w:tl2br w:val="nil"/>
              <w:tr2bl w:val="nil"/>
            </w:tcBorders>
            <w:noWrap w:val="0"/>
            <w:vAlign w:val="center"/>
          </w:tcPr>
          <w:p w14:paraId="5417255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一、主索引查询</w:t>
            </w:r>
          </w:p>
          <w:p w14:paraId="4128154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1.主索引信息查询</w:t>
            </w:r>
          </w:p>
          <w:p w14:paraId="64002EF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支持查询主索引号、姓名、证件信息、性别等内容，支持按照姓名、证件号码、更新日期等条件进行查询</w:t>
            </w:r>
          </w:p>
          <w:p w14:paraId="65E2DE8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2.主索引明细查询</w:t>
            </w:r>
          </w:p>
          <w:p w14:paraId="46E10C3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1）主索引详情查询</w:t>
            </w:r>
          </w:p>
          <w:p w14:paraId="04D24AF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支持查询主索引创建日期、患者基础信息、证件信息、就诊卡信息、联系信息、地址信息、联系人信息等内容</w:t>
            </w:r>
          </w:p>
          <w:p w14:paraId="3EABB33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2）索引更新记录</w:t>
            </w:r>
          </w:p>
          <w:p w14:paraId="4C14CBE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支持查看索引更新的操作类型、来源、业务注册号、记录日期等信息，支持根据更新类型、记录日期进行查询</w:t>
            </w:r>
          </w:p>
          <w:p w14:paraId="76DA524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业务注册信息记录</w:t>
            </w:r>
          </w:p>
          <w:p w14:paraId="1BF976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支持查看索引的明细业务注册记录，来源方、业务来源、业务编号等信息</w:t>
            </w:r>
          </w:p>
          <w:p w14:paraId="245F96B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3）关联索引查询</w:t>
            </w:r>
          </w:p>
          <w:p w14:paraId="7EEB6F7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支持根据关联索引查询明细业务注册信息</w:t>
            </w:r>
          </w:p>
          <w:p w14:paraId="6B98B35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4）患者信息详情查询</w:t>
            </w:r>
          </w:p>
          <w:p w14:paraId="24B7AAD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支持查询明细业务注册信息的患者信息，业务来源、业务号、来源方、注册日期等内容</w:t>
            </w:r>
          </w:p>
          <w:p w14:paraId="68E1C03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5）患者注册信息差异对比详情</w:t>
            </w:r>
          </w:p>
          <w:p w14:paraId="5589E1C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支持查看患者注册信息与主索引信息差异对并内容，相似度、匹配规则名称、匹配规则优先级、本次患者注册信息、主索引信息项等内容</w:t>
            </w:r>
          </w:p>
        </w:tc>
      </w:tr>
      <w:tr w14:paraId="1371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7DBB8BB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4E32432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418D75F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二、主索引归并</w:t>
            </w:r>
          </w:p>
          <w:p w14:paraId="7528106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1.自动待归并记录</w:t>
            </w:r>
          </w:p>
          <w:p w14:paraId="7C05B3C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支持查看系统自动匹配成功的待归并记录，支持查看主索引号、证件类型、待归并类型、相似索引数等信息</w:t>
            </w:r>
          </w:p>
          <w:p w14:paraId="2E6D637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2.手工待归并记录</w:t>
            </w:r>
          </w:p>
          <w:p w14:paraId="6E6B668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支持查看人工匹配成功的待归并记录，支持查看主索引号、证件类型、待归并类型、相似索引数等信息</w:t>
            </w:r>
          </w:p>
          <w:p w14:paraId="415C187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3.待归并记录详情</w:t>
            </w:r>
          </w:p>
          <w:p w14:paraId="123116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1）相似主索引列表</w:t>
            </w:r>
          </w:p>
          <w:p w14:paraId="40CE715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支持查看相似主索引信息，相似主索引号、姓名、性别、年龄等信息</w:t>
            </w:r>
          </w:p>
          <w:p w14:paraId="6CE5453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2）索引快照</w:t>
            </w:r>
          </w:p>
          <w:p w14:paraId="4145DF1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支持查看主索引与相似索引由系统自动匹配时产生的相似度及各相似字段的对比情况，包括相似度、权重分值和权重得分</w:t>
            </w:r>
          </w:p>
          <w:p w14:paraId="6A33EB1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3）源信息对比</w:t>
            </w:r>
          </w:p>
          <w:p w14:paraId="24C180E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支持查看主索引与相似索引全部信息字段的对比情况</w:t>
            </w:r>
          </w:p>
          <w:p w14:paraId="07E0041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4）设置目标归入主索引</w:t>
            </w:r>
          </w:p>
          <w:p w14:paraId="26594C9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支持对主索引和相似索引设置目标归入主索引标记，被设置的索引将会作为主索引聚合其他相似索引</w:t>
            </w:r>
          </w:p>
          <w:p w14:paraId="25661DB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5）单条归并操作</w:t>
            </w:r>
          </w:p>
          <w:p w14:paraId="428578B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支持主索引和单条相似索引进行一对一的归并操作</w:t>
            </w:r>
          </w:p>
          <w:p w14:paraId="14FAFDD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6）批量归并操作</w:t>
            </w:r>
          </w:p>
          <w:p w14:paraId="405555E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支持主索引和多条相似索引进行多对一的归并操作</w:t>
            </w:r>
          </w:p>
          <w:p w14:paraId="33611F2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7）确认不归并操作改造</w:t>
            </w:r>
          </w:p>
          <w:p w14:paraId="67D6EB1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支持对不相似的索引记录进行确认不归并操作，该条索引将会作为独立主索引存在</w:t>
            </w:r>
          </w:p>
          <w:p w14:paraId="301AAB7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4.手工创建待归并记录</w:t>
            </w:r>
          </w:p>
          <w:p w14:paraId="6C6D827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支持对已生成的主索引进行人工匹配，手工创建待归并记录</w:t>
            </w:r>
          </w:p>
        </w:tc>
      </w:tr>
      <w:tr w14:paraId="2101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573AB9D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0241F9F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5C24FE2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三、主索引拆分</w:t>
            </w:r>
          </w:p>
          <w:p w14:paraId="3DC189B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1.交叉索引详情</w:t>
            </w:r>
          </w:p>
          <w:p w14:paraId="2434852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支持查看交叉索引详情，主索引号、患者基本信息、证件信息等内容</w:t>
            </w:r>
          </w:p>
          <w:p w14:paraId="39EE46E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2.主索引拆分详情</w:t>
            </w:r>
          </w:p>
          <w:p w14:paraId="3883C6C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支持查看主索引拆分的原因等信息</w:t>
            </w:r>
          </w:p>
        </w:tc>
      </w:tr>
      <w:tr w14:paraId="0209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3424831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3BB090F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43B4737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四、索引归并记录查询</w:t>
            </w:r>
          </w:p>
          <w:p w14:paraId="7E40545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支持查看人工操作归并的记录，支持查看主索引号、更新类型、操作人、操作时间等信息</w:t>
            </w:r>
          </w:p>
        </w:tc>
      </w:tr>
      <w:tr w14:paraId="59190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279B984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2</w:t>
            </w:r>
          </w:p>
        </w:tc>
        <w:tc>
          <w:tcPr>
            <w:tcW w:w="804" w:type="dxa"/>
            <w:vMerge w:val="restart"/>
            <w:tcBorders>
              <w:tl2br w:val="nil"/>
              <w:tr2bl w:val="nil"/>
            </w:tcBorders>
            <w:noWrap w:val="0"/>
            <w:vAlign w:val="center"/>
          </w:tcPr>
          <w:p w14:paraId="0466BDE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bidi="ar"/>
              </w:rPr>
              <w:t>主索算法引模型</w:t>
            </w:r>
            <w:r>
              <w:rPr>
                <w:rFonts w:hint="eastAsia" w:ascii="宋体" w:hAnsi="宋体" w:eastAsia="宋体" w:cs="宋体"/>
                <w:b w:val="0"/>
                <w:color w:val="auto"/>
                <w:kern w:val="0"/>
                <w:sz w:val="21"/>
                <w:szCs w:val="21"/>
                <w:lang w:eastAsia="zh-CN" w:bidi="ar"/>
              </w:rPr>
              <w:t>（</w:t>
            </w:r>
            <w:r>
              <w:rPr>
                <w:rFonts w:hint="eastAsia" w:ascii="宋体" w:hAnsi="宋体" w:eastAsia="宋体" w:cs="宋体"/>
                <w:b w:val="0"/>
                <w:color w:val="auto"/>
                <w:kern w:val="0"/>
                <w:sz w:val="21"/>
                <w:szCs w:val="21"/>
                <w:lang w:val="en-US" w:eastAsia="zh-CN" w:bidi="ar"/>
              </w:rPr>
              <w:t>新增</w:t>
            </w:r>
            <w:r>
              <w:rPr>
                <w:rFonts w:hint="eastAsia" w:ascii="宋体" w:hAnsi="宋体" w:eastAsia="宋体" w:cs="宋体"/>
                <w:b w:val="0"/>
                <w:color w:val="auto"/>
                <w:kern w:val="0"/>
                <w:sz w:val="21"/>
                <w:szCs w:val="21"/>
                <w:lang w:eastAsia="zh-CN" w:bidi="ar"/>
              </w:rPr>
              <w:t>）</w:t>
            </w:r>
          </w:p>
        </w:tc>
        <w:tc>
          <w:tcPr>
            <w:tcW w:w="7464" w:type="dxa"/>
            <w:tcBorders>
              <w:tl2br w:val="nil"/>
              <w:tr2bl w:val="nil"/>
            </w:tcBorders>
            <w:noWrap w:val="0"/>
            <w:vAlign w:val="center"/>
          </w:tcPr>
          <w:p w14:paraId="66325BA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一、权重因子算法模型</w:t>
            </w:r>
          </w:p>
          <w:p w14:paraId="60A81BB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具备利用大数据技术分析主数据各属性的饱和度及唯一率的技术，通过筛选出满足要求的饱和度，结合信息熵理论结合分层累加方式确定各属性所能代表数据维度的信息度量，进一步得到基于平台的权重因子</w:t>
            </w:r>
          </w:p>
        </w:tc>
      </w:tr>
      <w:tr w14:paraId="70217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3EBB5C7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4CF542D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6ED2765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二、精确匹配算法</w:t>
            </w:r>
          </w:p>
          <w:p w14:paraId="0FECB8E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具备利用字符比对算法来检查文本字段是否完全相同，完全相同的索引将由系统自动归并</w:t>
            </w:r>
          </w:p>
        </w:tc>
      </w:tr>
      <w:tr w14:paraId="38468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55B3E6A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7093FBF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3D5C9A3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三、模糊匹配算法</w:t>
            </w:r>
          </w:p>
          <w:p w14:paraId="75FAE96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具备利用字符比对算法来计算文本字段相似的程度，各文本按照权重分值进行计算，计算得到的总分值再与相似和相同匹配阈值进行比较，判断患者信息是否自动归并还是需要人工归并</w:t>
            </w:r>
          </w:p>
        </w:tc>
      </w:tr>
      <w:tr w14:paraId="628F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3EBF325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val="en-US" w:eastAsia="zh-CN" w:bidi="ar"/>
              </w:rPr>
              <w:t>3</w:t>
            </w:r>
          </w:p>
        </w:tc>
        <w:tc>
          <w:tcPr>
            <w:tcW w:w="804" w:type="dxa"/>
            <w:vMerge w:val="restart"/>
            <w:tcBorders>
              <w:tl2br w:val="nil"/>
              <w:tr2bl w:val="nil"/>
            </w:tcBorders>
            <w:noWrap w:val="0"/>
            <w:vAlign w:val="center"/>
          </w:tcPr>
          <w:p w14:paraId="63602AC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主索引服务能力</w:t>
            </w:r>
          </w:p>
        </w:tc>
        <w:tc>
          <w:tcPr>
            <w:tcW w:w="7464" w:type="dxa"/>
            <w:tcBorders>
              <w:tl2br w:val="nil"/>
              <w:tr2bl w:val="nil"/>
            </w:tcBorders>
            <w:noWrap w:val="0"/>
            <w:vAlign w:val="center"/>
          </w:tcPr>
          <w:p w14:paraId="0D1F0C5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一、个人信息注册接口</w:t>
            </w:r>
            <w:r>
              <w:rPr>
                <w:rFonts w:hint="eastAsia" w:ascii="宋体" w:hAnsi="宋体" w:eastAsia="宋体" w:cs="宋体"/>
                <w:b/>
                <w:bCs w:val="0"/>
                <w:color w:val="auto"/>
                <w:kern w:val="0"/>
                <w:sz w:val="21"/>
                <w:szCs w:val="21"/>
                <w:lang w:eastAsia="zh-CN" w:bidi="ar"/>
              </w:rPr>
              <w:t>（</w:t>
            </w:r>
            <w:r>
              <w:rPr>
                <w:rFonts w:hint="eastAsia" w:ascii="宋体" w:hAnsi="宋体" w:eastAsia="宋体" w:cs="宋体"/>
                <w:b/>
                <w:bCs w:val="0"/>
                <w:color w:val="auto"/>
                <w:kern w:val="0"/>
                <w:sz w:val="21"/>
                <w:szCs w:val="21"/>
                <w:lang w:val="en-US" w:eastAsia="zh-CN" w:bidi="ar"/>
              </w:rPr>
              <w:t>改造</w:t>
            </w:r>
            <w:r>
              <w:rPr>
                <w:rFonts w:hint="eastAsia" w:ascii="宋体" w:hAnsi="宋体" w:eastAsia="宋体" w:cs="宋体"/>
                <w:b/>
                <w:bCs w:val="0"/>
                <w:color w:val="auto"/>
                <w:kern w:val="0"/>
                <w:sz w:val="21"/>
                <w:szCs w:val="21"/>
                <w:lang w:eastAsia="zh-CN" w:bidi="ar"/>
              </w:rPr>
              <w:t>）</w:t>
            </w:r>
          </w:p>
          <w:p w14:paraId="198AD7D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支持将患者新的个人信息注册到主索引系统中，以便于后续的查询和管理</w:t>
            </w:r>
          </w:p>
        </w:tc>
      </w:tr>
      <w:tr w14:paraId="5CC11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6C2AE64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01574F1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45D560A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二、个人信息预匹配接口</w:t>
            </w:r>
            <w:r>
              <w:rPr>
                <w:rFonts w:hint="eastAsia" w:ascii="宋体" w:hAnsi="宋体" w:eastAsia="宋体" w:cs="宋体"/>
                <w:b/>
                <w:bCs w:val="0"/>
                <w:color w:val="auto"/>
                <w:kern w:val="0"/>
                <w:sz w:val="21"/>
                <w:szCs w:val="21"/>
                <w:lang w:eastAsia="zh-CN" w:bidi="ar"/>
              </w:rPr>
              <w:t>（</w:t>
            </w:r>
            <w:r>
              <w:rPr>
                <w:rFonts w:hint="eastAsia" w:ascii="宋体" w:hAnsi="宋体" w:eastAsia="宋体" w:cs="宋体"/>
                <w:b/>
                <w:bCs w:val="0"/>
                <w:color w:val="auto"/>
                <w:kern w:val="0"/>
                <w:sz w:val="21"/>
                <w:szCs w:val="21"/>
                <w:lang w:val="en-US" w:eastAsia="zh-CN" w:bidi="ar"/>
              </w:rPr>
              <w:t>新增</w:t>
            </w:r>
            <w:r>
              <w:rPr>
                <w:rFonts w:hint="eastAsia" w:ascii="宋体" w:hAnsi="宋体" w:eastAsia="宋体" w:cs="宋体"/>
                <w:b/>
                <w:bCs w:val="0"/>
                <w:color w:val="auto"/>
                <w:kern w:val="0"/>
                <w:sz w:val="21"/>
                <w:szCs w:val="21"/>
                <w:lang w:eastAsia="zh-CN" w:bidi="ar"/>
              </w:rPr>
              <w:t>）</w:t>
            </w:r>
          </w:p>
          <w:p w14:paraId="6947DF3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支持在患者业务注册信息产生前，通过提供的个人信息在主索引系统中进行预匹配，以确保患者信息的唯一性和一致性</w:t>
            </w:r>
          </w:p>
        </w:tc>
      </w:tr>
      <w:tr w14:paraId="5867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1DEFFE1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761ED88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5F268DB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三、个人信息查询接口</w:t>
            </w:r>
            <w:r>
              <w:rPr>
                <w:rFonts w:hint="eastAsia" w:ascii="宋体" w:hAnsi="宋体" w:eastAsia="宋体" w:cs="宋体"/>
                <w:b/>
                <w:bCs w:val="0"/>
                <w:color w:val="auto"/>
                <w:kern w:val="0"/>
                <w:sz w:val="21"/>
                <w:szCs w:val="21"/>
                <w:lang w:eastAsia="zh-CN" w:bidi="ar"/>
              </w:rPr>
              <w:t>（</w:t>
            </w:r>
            <w:r>
              <w:rPr>
                <w:rFonts w:hint="eastAsia" w:ascii="宋体" w:hAnsi="宋体" w:eastAsia="宋体" w:cs="宋体"/>
                <w:b/>
                <w:bCs w:val="0"/>
                <w:color w:val="auto"/>
                <w:kern w:val="0"/>
                <w:sz w:val="21"/>
                <w:szCs w:val="21"/>
                <w:lang w:val="en-US" w:eastAsia="zh-CN" w:bidi="ar"/>
              </w:rPr>
              <w:t>改造</w:t>
            </w:r>
            <w:r>
              <w:rPr>
                <w:rFonts w:hint="eastAsia" w:ascii="宋体" w:hAnsi="宋体" w:eastAsia="宋体" w:cs="宋体"/>
                <w:b/>
                <w:bCs w:val="0"/>
                <w:color w:val="auto"/>
                <w:kern w:val="0"/>
                <w:sz w:val="21"/>
                <w:szCs w:val="21"/>
                <w:lang w:eastAsia="zh-CN" w:bidi="ar"/>
              </w:rPr>
              <w:t>）</w:t>
            </w:r>
          </w:p>
          <w:p w14:paraId="767E46D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支持根据业务系统提供的主索引号或患者个人信息从主索引系统中查询患者信息</w:t>
            </w:r>
          </w:p>
        </w:tc>
      </w:tr>
      <w:tr w14:paraId="6CAA7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1B79B0A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val="en-US" w:eastAsia="zh-CN" w:bidi="ar"/>
              </w:rPr>
              <w:t>4</w:t>
            </w:r>
          </w:p>
        </w:tc>
        <w:tc>
          <w:tcPr>
            <w:tcW w:w="804" w:type="dxa"/>
            <w:vMerge w:val="restart"/>
            <w:tcBorders>
              <w:tl2br w:val="nil"/>
              <w:tr2bl w:val="nil"/>
            </w:tcBorders>
            <w:noWrap w:val="0"/>
            <w:vAlign w:val="center"/>
          </w:tcPr>
          <w:p w14:paraId="6E147E5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患者信息管理</w:t>
            </w:r>
          </w:p>
        </w:tc>
        <w:tc>
          <w:tcPr>
            <w:tcW w:w="7464" w:type="dxa"/>
            <w:tcBorders>
              <w:tl2br w:val="nil"/>
              <w:tr2bl w:val="nil"/>
            </w:tcBorders>
            <w:noWrap w:val="0"/>
            <w:vAlign w:val="center"/>
          </w:tcPr>
          <w:p w14:paraId="7E03B52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一、患者信息注册（改造）</w:t>
            </w:r>
          </w:p>
          <w:p w14:paraId="21AA7F1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1.患者注册信息采集服务</w:t>
            </w:r>
          </w:p>
          <w:p w14:paraId="75AF383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支持采集患者注册信息</w:t>
            </w:r>
          </w:p>
          <w:p w14:paraId="029D5CA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2.患者注册信息删除服务</w:t>
            </w:r>
          </w:p>
          <w:p w14:paraId="539AF0D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支持对患者注册信息进行逻辑删除</w:t>
            </w:r>
          </w:p>
          <w:p w14:paraId="6D4725C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3.患者注册信息丰度校验</w:t>
            </w:r>
          </w:p>
          <w:p w14:paraId="289E1E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支持将业务数据不全或数据质量较差的注册信息过滤，不生成为主索引，加速匹配流程</w:t>
            </w:r>
          </w:p>
        </w:tc>
      </w:tr>
      <w:tr w14:paraId="5D399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12D4C34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0B76207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68F856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二、患者信息匹配（改造）</w:t>
            </w:r>
          </w:p>
          <w:p w14:paraId="1628734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患者注册信息匹配加锁</w:t>
            </w:r>
          </w:p>
          <w:p w14:paraId="24BC10E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具备在业务注册信息开始时需要加锁处理，避免2个可能合并的业务注册信息同时进行生成主索引,然后导致2个业务注册信息没有归并的情况</w:t>
            </w:r>
          </w:p>
        </w:tc>
      </w:tr>
      <w:tr w14:paraId="413B8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0F0BBE2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49A34A4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292998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kern w:val="0"/>
                <w:sz w:val="21"/>
                <w:szCs w:val="21"/>
                <w:lang w:eastAsia="zh-CN" w:bidi="ar"/>
              </w:rPr>
            </w:pPr>
            <w:r>
              <w:rPr>
                <w:rFonts w:hint="eastAsia" w:ascii="宋体" w:hAnsi="宋体" w:eastAsia="宋体" w:cs="宋体"/>
                <w:b/>
                <w:bCs w:val="0"/>
                <w:color w:val="auto"/>
                <w:kern w:val="0"/>
                <w:sz w:val="21"/>
                <w:szCs w:val="21"/>
                <w:lang w:bidi="ar"/>
              </w:rPr>
              <w:t>三、患者信息变更审查（新增）</w:t>
            </w:r>
          </w:p>
          <w:p w14:paraId="6B40048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1.患者注册信息暂停归并列表</w:t>
            </w:r>
          </w:p>
          <w:p w14:paraId="5DAD0010">
            <w:pPr>
              <w:adjustRightInd w:val="0"/>
              <w:snapToGrid w:val="0"/>
              <w:textAlignment w:val="center"/>
              <w:rPr>
                <w:rFonts w:hint="eastAsia" w:ascii="宋体" w:hAnsi="宋体" w:eastAsia="宋体" w:cs="宋体"/>
                <w:color w:val="auto"/>
                <w:kern w:val="0"/>
                <w:sz w:val="21"/>
                <w:szCs w:val="21"/>
                <w:lang w:bidi="ar"/>
              </w:rPr>
            </w:pPr>
            <w:r>
              <w:rPr>
                <w:rFonts w:hint="eastAsia" w:ascii="宋体" w:hAnsi="宋体" w:eastAsia="宋体" w:cs="宋体"/>
                <w:b w:val="0"/>
                <w:color w:val="auto"/>
                <w:kern w:val="0"/>
                <w:sz w:val="21"/>
                <w:szCs w:val="21"/>
                <w:lang w:bidi="ar"/>
              </w:rPr>
              <w:t>支持查看因患者注册信息有重大变更时由系统判断产生的暂停归并记录，支持查看业务来源、变更后患者姓名、变更后证件号码等信息。</w:t>
            </w:r>
            <w:r>
              <w:rPr>
                <w:rFonts w:hint="eastAsia" w:ascii="宋体" w:hAnsi="宋体" w:eastAsia="宋体" w:cs="宋体"/>
                <w:color w:val="auto"/>
                <w:kern w:val="0"/>
                <w:sz w:val="21"/>
                <w:szCs w:val="21"/>
                <w:lang w:bidi="ar"/>
              </w:rPr>
              <w:t>允许人工介入进行恢复归并处理。</w:t>
            </w:r>
          </w:p>
          <w:p w14:paraId="7C13B10A">
            <w:pPr>
              <w:rPr>
                <w:rFonts w:ascii="Calibri" w:hAnsi="Calibri" w:eastAsia="宋体" w:cs="Times New Roman"/>
                <w:color w:val="auto"/>
                <w:sz w:val="21"/>
                <w:szCs w:val="21"/>
              </w:rPr>
            </w:pPr>
          </w:p>
          <w:p w14:paraId="0B05B93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2.患者注册信息变更详情</w:t>
            </w:r>
          </w:p>
          <w:p w14:paraId="263115B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支持查看业务来源、业务编号、来源方和注册日期，支持查看各字段变更前和变更后的对比情况</w:t>
            </w:r>
          </w:p>
          <w:p w14:paraId="3E8509A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3.患者注册信息恢复归并</w:t>
            </w:r>
          </w:p>
          <w:p w14:paraId="3223192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支持对患者注册信息进行恢复归并，将会更新患者的信息和相应的主索引信息</w:t>
            </w:r>
          </w:p>
        </w:tc>
      </w:tr>
      <w:tr w14:paraId="2F29A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0F74710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val="en-US" w:eastAsia="zh-CN" w:bidi="ar"/>
              </w:rPr>
              <w:t>5</w:t>
            </w:r>
          </w:p>
        </w:tc>
        <w:tc>
          <w:tcPr>
            <w:tcW w:w="804" w:type="dxa"/>
            <w:vMerge w:val="restart"/>
            <w:tcBorders>
              <w:tl2br w:val="nil"/>
              <w:tr2bl w:val="nil"/>
            </w:tcBorders>
            <w:noWrap w:val="0"/>
            <w:vAlign w:val="center"/>
          </w:tcPr>
          <w:p w14:paraId="597CDD5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bidi="ar"/>
              </w:rPr>
              <w:t>系统基础设置</w:t>
            </w:r>
            <w:r>
              <w:rPr>
                <w:rFonts w:hint="eastAsia" w:ascii="宋体" w:hAnsi="宋体" w:eastAsia="宋体" w:cs="宋体"/>
                <w:b w:val="0"/>
                <w:color w:val="auto"/>
                <w:kern w:val="0"/>
                <w:sz w:val="21"/>
                <w:szCs w:val="21"/>
                <w:lang w:eastAsia="zh-CN" w:bidi="ar"/>
              </w:rPr>
              <w:t>（</w:t>
            </w:r>
            <w:r>
              <w:rPr>
                <w:rFonts w:hint="eastAsia" w:ascii="宋体" w:hAnsi="宋体" w:eastAsia="宋体" w:cs="宋体"/>
                <w:b w:val="0"/>
                <w:color w:val="auto"/>
                <w:kern w:val="0"/>
                <w:sz w:val="21"/>
                <w:szCs w:val="21"/>
                <w:lang w:val="en-US" w:eastAsia="zh-CN" w:bidi="ar"/>
              </w:rPr>
              <w:t>改造</w:t>
            </w:r>
            <w:r>
              <w:rPr>
                <w:rFonts w:hint="eastAsia" w:ascii="宋体" w:hAnsi="宋体" w:eastAsia="宋体" w:cs="宋体"/>
                <w:b w:val="0"/>
                <w:color w:val="auto"/>
                <w:kern w:val="0"/>
                <w:sz w:val="21"/>
                <w:szCs w:val="21"/>
                <w:lang w:eastAsia="zh-CN" w:bidi="ar"/>
              </w:rPr>
              <w:t>）</w:t>
            </w:r>
          </w:p>
        </w:tc>
        <w:tc>
          <w:tcPr>
            <w:tcW w:w="7464" w:type="dxa"/>
            <w:tcBorders>
              <w:tl2br w:val="nil"/>
              <w:tr2bl w:val="nil"/>
            </w:tcBorders>
            <w:noWrap w:val="0"/>
            <w:vAlign w:val="center"/>
          </w:tcPr>
          <w:p w14:paraId="0574516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一、匹配因子权重设置</w:t>
            </w:r>
          </w:p>
          <w:p w14:paraId="078D2D8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1.权重参考预分析</w:t>
            </w:r>
          </w:p>
          <w:p w14:paraId="519DEFB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支持根据数据模型进行分析，对各匹配因子的权重提供参考依据</w:t>
            </w:r>
          </w:p>
          <w:p w14:paraId="7C50524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2.匹配规则创建</w:t>
            </w:r>
          </w:p>
          <w:p w14:paraId="42915F4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支持创建精确匹配规则，支持选择匹配因子</w:t>
            </w:r>
          </w:p>
          <w:p w14:paraId="2D8BBE7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支持创建模糊匹配规则，支持配置匹配因子、是否验证拼音条件</w:t>
            </w:r>
          </w:p>
          <w:p w14:paraId="249D342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支持对匹配规则进行启用和停用操作</w:t>
            </w:r>
          </w:p>
        </w:tc>
      </w:tr>
      <w:tr w14:paraId="114D6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1434B07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627B09A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7C732FF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二、系统参数设置</w:t>
            </w:r>
          </w:p>
          <w:p w14:paraId="7796FBA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1.系统参数创建</w:t>
            </w:r>
          </w:p>
          <w:p w14:paraId="28921E4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支持设置主索引相同匹配阈值</w:t>
            </w:r>
          </w:p>
          <w:p w14:paraId="1202588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支持设置主索引相似匹配阈值</w:t>
            </w:r>
          </w:p>
        </w:tc>
      </w:tr>
      <w:tr w14:paraId="45FF4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085EC25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val="en-US" w:eastAsia="zh-CN" w:bidi="ar"/>
              </w:rPr>
              <w:t>6</w:t>
            </w:r>
          </w:p>
        </w:tc>
        <w:tc>
          <w:tcPr>
            <w:tcW w:w="804" w:type="dxa"/>
            <w:vMerge w:val="restart"/>
            <w:tcBorders>
              <w:tl2br w:val="nil"/>
              <w:tr2bl w:val="nil"/>
            </w:tcBorders>
            <w:noWrap w:val="0"/>
            <w:vAlign w:val="center"/>
          </w:tcPr>
          <w:p w14:paraId="1A42D6F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主索引总览分析</w:t>
            </w:r>
          </w:p>
        </w:tc>
        <w:tc>
          <w:tcPr>
            <w:tcW w:w="7464" w:type="dxa"/>
            <w:tcBorders>
              <w:tl2br w:val="nil"/>
              <w:tr2bl w:val="nil"/>
            </w:tcBorders>
            <w:noWrap w:val="0"/>
            <w:vAlign w:val="center"/>
          </w:tcPr>
          <w:p w14:paraId="6D21F1A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一、索引数据分析（改造）</w:t>
            </w:r>
          </w:p>
          <w:p w14:paraId="6FDC57A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支持查看患者主索引总数和待人工归并索引数</w:t>
            </w:r>
          </w:p>
        </w:tc>
      </w:tr>
      <w:tr w14:paraId="425BE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2F68D13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764D59B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38FC6B8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二、系统性能分析（改造）</w:t>
            </w:r>
          </w:p>
          <w:p w14:paraId="2367B3F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支持查看患者信息实时采集速率、平均采集速率、索引实时建立速率、平均建立速率</w:t>
            </w:r>
          </w:p>
        </w:tc>
      </w:tr>
      <w:tr w14:paraId="201F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4F75607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19CE98A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06B26B6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三、原始数据分析（改造）</w:t>
            </w:r>
          </w:p>
          <w:p w14:paraId="3C10EA0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支持查看累计就诊患者次数、已建立主索引数、已归并到主索引数等信息</w:t>
            </w:r>
          </w:p>
        </w:tc>
      </w:tr>
      <w:tr w14:paraId="0B8B8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538534C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7E8692D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1E59EF5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四、患者信息索引建立速率分析（新增）</w:t>
            </w:r>
          </w:p>
          <w:p w14:paraId="2E2E116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支持查看各时段的平均耗时和处理量，支持昨日和今日的统计量对比分析</w:t>
            </w:r>
          </w:p>
        </w:tc>
      </w:tr>
      <w:tr w14:paraId="29050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022F0E9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0C68689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24335B6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五、患者信息索引建立批次分析（新增）</w:t>
            </w:r>
          </w:p>
          <w:p w14:paraId="25B114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支持查看各批次的索引建立情况，包括生成时间、数据量、总耗时和单条平均耗时分析</w:t>
            </w:r>
          </w:p>
        </w:tc>
      </w:tr>
      <w:tr w14:paraId="087AA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7869679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212869E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37AF13D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六、索引来源分析（新增）</w:t>
            </w:r>
          </w:p>
          <w:p w14:paraId="25EBFA65">
            <w:pPr>
              <w:keepNext w:val="0"/>
              <w:keepLines w:val="0"/>
              <w:pageBreakBefore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支持查看分析各来源的索引情况</w:t>
            </w:r>
          </w:p>
        </w:tc>
      </w:tr>
      <w:tr w14:paraId="69A36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57ABCC5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2F9E73F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6006CDF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七、数据采集失败原因分析（新增）</w:t>
            </w:r>
          </w:p>
          <w:p w14:paraId="48E3162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支持查看各数据采集失败原因的情况和占比</w:t>
            </w:r>
          </w:p>
        </w:tc>
      </w:tr>
      <w:tr w14:paraId="64986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2AF00E1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5930258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6947D26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八、索引生成失败原因分析（</w:t>
            </w:r>
            <w:r>
              <w:rPr>
                <w:rFonts w:hint="eastAsia" w:ascii="宋体" w:hAnsi="宋体" w:eastAsia="宋体" w:cs="宋体"/>
                <w:b/>
                <w:bCs/>
                <w:color w:val="auto"/>
                <w:kern w:val="0"/>
                <w:sz w:val="21"/>
                <w:szCs w:val="21"/>
                <w:lang w:val="en-US" w:eastAsia="zh-CN" w:bidi="ar"/>
              </w:rPr>
              <w:t>新增</w:t>
            </w:r>
            <w:r>
              <w:rPr>
                <w:rFonts w:hint="eastAsia" w:ascii="宋体" w:hAnsi="宋体" w:eastAsia="宋体" w:cs="宋体"/>
                <w:b/>
                <w:bCs/>
                <w:color w:val="auto"/>
                <w:kern w:val="0"/>
                <w:sz w:val="21"/>
                <w:szCs w:val="21"/>
                <w:lang w:bidi="ar"/>
              </w:rPr>
              <w:t>）</w:t>
            </w:r>
          </w:p>
          <w:p w14:paraId="0C54C67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支持查看索引生成失败原因的情况和占比</w:t>
            </w:r>
          </w:p>
        </w:tc>
      </w:tr>
      <w:tr w14:paraId="351F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3F76ADE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4D90A47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0C1DBA7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九、新增索引时间段分析（新增）</w:t>
            </w:r>
          </w:p>
          <w:p w14:paraId="75B320E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支持查看各时段新增索引的趋势</w:t>
            </w:r>
          </w:p>
        </w:tc>
      </w:tr>
      <w:tr w14:paraId="5D79B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4D4876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2ED8A44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0AB79ED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十、索引质量分析（新增）</w:t>
            </w:r>
          </w:p>
          <w:p w14:paraId="7DC1D3A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支持查看门诊和住院来源下各字段的得分情况</w:t>
            </w:r>
          </w:p>
        </w:tc>
      </w:tr>
      <w:tr w14:paraId="7F87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6831549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val="en-US" w:eastAsia="zh-CN" w:bidi="ar"/>
              </w:rPr>
              <w:t>7</w:t>
            </w:r>
          </w:p>
        </w:tc>
        <w:tc>
          <w:tcPr>
            <w:tcW w:w="804" w:type="dxa"/>
            <w:vMerge w:val="restart"/>
            <w:tcBorders>
              <w:tl2br w:val="nil"/>
              <w:tr2bl w:val="nil"/>
            </w:tcBorders>
            <w:noWrap w:val="0"/>
            <w:vAlign w:val="center"/>
          </w:tcPr>
          <w:p w14:paraId="1CD2747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bidi="ar"/>
              </w:rPr>
              <w:t>统计分析</w:t>
            </w:r>
            <w:r>
              <w:rPr>
                <w:rFonts w:hint="eastAsia" w:ascii="宋体" w:hAnsi="宋体" w:eastAsia="宋体" w:cs="宋体"/>
                <w:b w:val="0"/>
                <w:color w:val="auto"/>
                <w:kern w:val="0"/>
                <w:sz w:val="21"/>
                <w:szCs w:val="21"/>
                <w:lang w:eastAsia="zh-CN" w:bidi="ar"/>
              </w:rPr>
              <w:t>（</w:t>
            </w:r>
            <w:r>
              <w:rPr>
                <w:rFonts w:hint="eastAsia" w:ascii="宋体" w:hAnsi="宋体" w:eastAsia="宋体" w:cs="宋体"/>
                <w:b w:val="0"/>
                <w:color w:val="auto"/>
                <w:kern w:val="0"/>
                <w:sz w:val="21"/>
                <w:szCs w:val="21"/>
                <w:lang w:val="en-US" w:eastAsia="zh-CN" w:bidi="ar"/>
              </w:rPr>
              <w:t>新增</w:t>
            </w:r>
            <w:r>
              <w:rPr>
                <w:rFonts w:hint="eastAsia" w:ascii="宋体" w:hAnsi="宋体" w:eastAsia="宋体" w:cs="宋体"/>
                <w:b w:val="0"/>
                <w:color w:val="auto"/>
                <w:kern w:val="0"/>
                <w:sz w:val="21"/>
                <w:szCs w:val="21"/>
                <w:lang w:eastAsia="zh-CN" w:bidi="ar"/>
              </w:rPr>
              <w:t>）</w:t>
            </w:r>
          </w:p>
        </w:tc>
        <w:tc>
          <w:tcPr>
            <w:tcW w:w="7464" w:type="dxa"/>
            <w:tcBorders>
              <w:tl2br w:val="nil"/>
              <w:tr2bl w:val="nil"/>
            </w:tcBorders>
            <w:noWrap w:val="0"/>
            <w:vAlign w:val="center"/>
          </w:tcPr>
          <w:p w14:paraId="7F02894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一、新增主索引统计</w:t>
            </w:r>
          </w:p>
          <w:p w14:paraId="4D8D5D6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1.新增患者来源分析</w:t>
            </w:r>
          </w:p>
          <w:p w14:paraId="075FC9F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支持查看门诊和住院患者数量及其占比</w:t>
            </w:r>
          </w:p>
          <w:p w14:paraId="28228EB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2.新增患者归并情况分析</w:t>
            </w:r>
          </w:p>
          <w:p w14:paraId="73BB2BE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支持查看各种归并类型的数量和占比，包括新建索引、人工干预、自动归并等</w:t>
            </w:r>
          </w:p>
          <w:p w14:paraId="795CD27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3.新增患者归并率分析</w:t>
            </w:r>
          </w:p>
          <w:p w14:paraId="4A8E9DC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支持查看归并前后索引的数量和变化情况</w:t>
            </w:r>
          </w:p>
          <w:p w14:paraId="0C5883F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eastAsia="zh-CN" w:bidi="ar"/>
              </w:rPr>
            </w:pPr>
            <w:r>
              <w:rPr>
                <w:rFonts w:hint="eastAsia" w:ascii="宋体" w:hAnsi="宋体" w:eastAsia="宋体" w:cs="宋体"/>
                <w:b w:val="0"/>
                <w:color w:val="auto"/>
                <w:kern w:val="0"/>
                <w:sz w:val="21"/>
                <w:szCs w:val="21"/>
                <w:lang w:bidi="ar"/>
              </w:rPr>
              <w:t>4.新增患者概览记录</w:t>
            </w:r>
          </w:p>
          <w:p w14:paraId="20852BD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支持查看患者主索引的基础信息统计，包括业务来源、证件类型、证件号码、联系方式等</w:t>
            </w:r>
          </w:p>
        </w:tc>
      </w:tr>
      <w:tr w14:paraId="7408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074C470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335719A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6B7001D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二、归并主索引统计</w:t>
            </w:r>
          </w:p>
          <w:p w14:paraId="1B34DA5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1.归并患者来源分析</w:t>
            </w:r>
          </w:p>
          <w:p w14:paraId="05A7B5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支持查看已归并患者索引信息的来源，包括门诊和住院患者的数量和占比</w:t>
            </w:r>
          </w:p>
          <w:p w14:paraId="166B2A5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2.归并类型分析</w:t>
            </w:r>
          </w:p>
          <w:p w14:paraId="67130EA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支持查看自动归并和手动归并的数量和占比</w:t>
            </w:r>
          </w:p>
          <w:p w14:paraId="047CFC3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3.归并数量分析</w:t>
            </w:r>
          </w:p>
          <w:p w14:paraId="505037A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支持查看主索引每一天的归并记录的数量</w:t>
            </w:r>
          </w:p>
          <w:p w14:paraId="1EC6301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4.归并耗时分析</w:t>
            </w:r>
          </w:p>
          <w:p w14:paraId="1F816D3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支持查看每个主索引归并所需的时间耗时</w:t>
            </w:r>
          </w:p>
        </w:tc>
      </w:tr>
      <w:tr w14:paraId="4E8D8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0122A99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14A787F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5B04D2F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三、拆分主索引统计</w:t>
            </w:r>
          </w:p>
          <w:p w14:paraId="5604A298">
            <w:pPr>
              <w:keepNext w:val="0"/>
              <w:keepLines w:val="0"/>
              <w:pageBreakBefore w:val="0"/>
              <w:widowControl/>
              <w:numPr>
                <w:ilvl w:val="0"/>
                <w:numId w:val="28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拆分数量分析</w:t>
            </w:r>
          </w:p>
          <w:p w14:paraId="5F8681F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支持查看主索引每天的拆分操作数量</w:t>
            </w:r>
          </w:p>
          <w:p w14:paraId="353B27A9">
            <w:pPr>
              <w:keepNext w:val="0"/>
              <w:keepLines w:val="0"/>
              <w:pageBreakBefore w:val="0"/>
              <w:widowControl/>
              <w:numPr>
                <w:ilvl w:val="0"/>
                <w:numId w:val="28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拆分原因分析</w:t>
            </w:r>
          </w:p>
          <w:p w14:paraId="1C04F68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支持查看不同拆分原因的数量和占比</w:t>
            </w:r>
          </w:p>
          <w:p w14:paraId="6DA407D5">
            <w:pPr>
              <w:keepNext w:val="0"/>
              <w:keepLines w:val="0"/>
              <w:pageBreakBefore w:val="0"/>
              <w:widowControl/>
              <w:numPr>
                <w:ilvl w:val="0"/>
                <w:numId w:val="28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主索引拆分记录</w:t>
            </w:r>
          </w:p>
          <w:p w14:paraId="31DF805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支持查看各个拆分记录的详细信息，包括拆分的患者信息、拆分时间、拆分操作人员等</w:t>
            </w:r>
          </w:p>
        </w:tc>
      </w:tr>
      <w:tr w14:paraId="5A0B9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79BC58F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698488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6A6680F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四、索引质量分析</w:t>
            </w:r>
          </w:p>
          <w:p w14:paraId="0F265500">
            <w:pPr>
              <w:keepNext w:val="0"/>
              <w:keepLines w:val="0"/>
              <w:pageBreakBefore w:val="0"/>
              <w:widowControl/>
              <w:numPr>
                <w:ilvl w:val="0"/>
                <w:numId w:val="28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索引信息空缺数分析</w:t>
            </w:r>
          </w:p>
          <w:p w14:paraId="1CC569F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支持查看各种来源（例如门诊、住院等）的空缺索引数量</w:t>
            </w:r>
          </w:p>
          <w:p w14:paraId="6EE07461">
            <w:pPr>
              <w:keepNext w:val="0"/>
              <w:keepLines w:val="0"/>
              <w:pageBreakBefore w:val="0"/>
              <w:widowControl/>
              <w:numPr>
                <w:ilvl w:val="0"/>
                <w:numId w:val="28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索引信息缺失项分析</w:t>
            </w:r>
          </w:p>
          <w:p w14:paraId="4102A37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支持查看各个字段的空缺数量</w:t>
            </w:r>
          </w:p>
          <w:p w14:paraId="06835EC6">
            <w:pPr>
              <w:keepNext w:val="0"/>
              <w:keepLines w:val="0"/>
              <w:pageBreakBefore w:val="0"/>
              <w:widowControl/>
              <w:numPr>
                <w:ilvl w:val="0"/>
                <w:numId w:val="28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索引信息空缺率分析</w:t>
            </w:r>
          </w:p>
          <w:p w14:paraId="2091431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支持查看每个字段的空缺率百分比</w:t>
            </w:r>
          </w:p>
        </w:tc>
      </w:tr>
      <w:tr w14:paraId="20381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45E12B3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55DAE7F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5ABC35D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五、权重模型分析</w:t>
            </w:r>
          </w:p>
          <w:p w14:paraId="0924BEC7">
            <w:pPr>
              <w:keepNext w:val="0"/>
              <w:keepLines w:val="0"/>
              <w:pageBreakBefore w:val="0"/>
              <w:widowControl/>
              <w:numPr>
                <w:ilvl w:val="0"/>
                <w:numId w:val="2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索引来源饱和度分析</w:t>
            </w:r>
          </w:p>
          <w:p w14:paraId="42451E3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支持查看各个属性字段在各个来源渠道的索引数据饱和度。（需提供系统截图）</w:t>
            </w:r>
          </w:p>
          <w:p w14:paraId="22530F0D">
            <w:pPr>
              <w:keepNext w:val="0"/>
              <w:keepLines w:val="0"/>
              <w:pageBreakBefore w:val="0"/>
              <w:widowControl/>
              <w:numPr>
                <w:ilvl w:val="0"/>
                <w:numId w:val="2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索引信息独立率分析</w:t>
            </w:r>
          </w:p>
          <w:p w14:paraId="6289EB5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支持查看各个字段之间的数据独立率</w:t>
            </w:r>
          </w:p>
        </w:tc>
      </w:tr>
      <w:tr w14:paraId="23210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restart"/>
            <w:tcBorders>
              <w:tl2br w:val="nil"/>
              <w:tr2bl w:val="nil"/>
            </w:tcBorders>
            <w:noWrap w:val="0"/>
            <w:vAlign w:val="center"/>
          </w:tcPr>
          <w:p w14:paraId="07678E9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val="en-US" w:eastAsia="zh-CN" w:bidi="ar"/>
              </w:rPr>
              <w:t>8</w:t>
            </w:r>
          </w:p>
        </w:tc>
        <w:tc>
          <w:tcPr>
            <w:tcW w:w="804" w:type="dxa"/>
            <w:vMerge w:val="restart"/>
            <w:tcBorders>
              <w:tl2br w:val="nil"/>
              <w:tr2bl w:val="nil"/>
            </w:tcBorders>
            <w:noWrap w:val="0"/>
            <w:vAlign w:val="center"/>
          </w:tcPr>
          <w:p w14:paraId="4F48A1B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主索引归档（新增）</w:t>
            </w:r>
          </w:p>
        </w:tc>
        <w:tc>
          <w:tcPr>
            <w:tcW w:w="7464" w:type="dxa"/>
            <w:tcBorders>
              <w:tl2br w:val="nil"/>
              <w:tr2bl w:val="nil"/>
            </w:tcBorders>
            <w:noWrap w:val="0"/>
            <w:vAlign w:val="center"/>
          </w:tcPr>
          <w:p w14:paraId="7389FAB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一、索引归档记录</w:t>
            </w:r>
          </w:p>
          <w:p w14:paraId="6BE82D6F">
            <w:pPr>
              <w:keepNext w:val="0"/>
              <w:keepLines w:val="0"/>
              <w:pageBreakBefore w:val="0"/>
              <w:widowControl/>
              <w:numPr>
                <w:ilvl w:val="0"/>
                <w:numId w:val="28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已归档索引记录查询</w:t>
            </w:r>
          </w:p>
          <w:p w14:paraId="77A3DB2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支持查看已归档的索引记录，支持查看主索引号、归档日期等</w:t>
            </w:r>
          </w:p>
          <w:p w14:paraId="17F1B5F0">
            <w:pPr>
              <w:keepNext w:val="0"/>
              <w:keepLines w:val="0"/>
              <w:pageBreakBefore w:val="0"/>
              <w:widowControl/>
              <w:numPr>
                <w:ilvl w:val="0"/>
                <w:numId w:val="28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已归档索引恢复</w:t>
            </w:r>
          </w:p>
          <w:p w14:paraId="675C263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支持对已归档的主索引信息进行恢复，从而正常进行主索引匹配</w:t>
            </w:r>
          </w:p>
        </w:tc>
      </w:tr>
      <w:tr w14:paraId="70AC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4" w:type="dxa"/>
            <w:vMerge w:val="continue"/>
            <w:tcBorders>
              <w:tl2br w:val="nil"/>
              <w:tr2bl w:val="nil"/>
            </w:tcBorders>
            <w:noWrap w:val="0"/>
            <w:vAlign w:val="center"/>
          </w:tcPr>
          <w:p w14:paraId="39F10F6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804" w:type="dxa"/>
            <w:vMerge w:val="continue"/>
            <w:tcBorders>
              <w:tl2br w:val="nil"/>
              <w:tr2bl w:val="nil"/>
            </w:tcBorders>
            <w:noWrap w:val="0"/>
            <w:vAlign w:val="center"/>
          </w:tcPr>
          <w:p w14:paraId="4DB3317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464" w:type="dxa"/>
            <w:tcBorders>
              <w:tl2br w:val="nil"/>
              <w:tr2bl w:val="nil"/>
            </w:tcBorders>
            <w:noWrap w:val="0"/>
            <w:vAlign w:val="center"/>
          </w:tcPr>
          <w:p w14:paraId="1BCCEE1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二、主索引归档任务管理</w:t>
            </w:r>
          </w:p>
          <w:p w14:paraId="772B174A">
            <w:pPr>
              <w:keepNext w:val="0"/>
              <w:keepLines w:val="0"/>
              <w:pageBreakBefore w:val="0"/>
              <w:widowControl/>
              <w:numPr>
                <w:ilvl w:val="0"/>
                <w:numId w:val="28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归档任务创建</w:t>
            </w:r>
          </w:p>
          <w:p w14:paraId="518EFBC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支持创建归档任务，支持配置任务名称、业务注册时间范围等</w:t>
            </w:r>
          </w:p>
          <w:p w14:paraId="1DFCB73D">
            <w:pPr>
              <w:keepNext w:val="0"/>
              <w:keepLines w:val="0"/>
              <w:pageBreakBefore w:val="0"/>
              <w:widowControl/>
              <w:numPr>
                <w:ilvl w:val="0"/>
                <w:numId w:val="28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归档任务执行</w:t>
            </w:r>
          </w:p>
          <w:p w14:paraId="290187F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支持对创建成功的归档任务进行执行操作</w:t>
            </w:r>
          </w:p>
          <w:p w14:paraId="56E4A417">
            <w:pPr>
              <w:keepNext w:val="0"/>
              <w:keepLines w:val="0"/>
              <w:pageBreakBefore w:val="0"/>
              <w:widowControl/>
              <w:numPr>
                <w:ilvl w:val="0"/>
                <w:numId w:val="28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主索引归档</w:t>
            </w:r>
          </w:p>
          <w:p w14:paraId="3D60B7E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支持对相应选中范围内的主索引信息，以任务的方式进行批量归档</w:t>
            </w:r>
          </w:p>
          <w:p w14:paraId="6C0D117B">
            <w:pPr>
              <w:keepNext w:val="0"/>
              <w:keepLines w:val="0"/>
              <w:pageBreakBefore w:val="0"/>
              <w:widowControl/>
              <w:numPr>
                <w:ilvl w:val="0"/>
                <w:numId w:val="28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患者注册信息归档</w:t>
            </w:r>
          </w:p>
          <w:p w14:paraId="47E750A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支持对相应选中范围内的主索引信息对应的患者注册信息，进行批量归档</w:t>
            </w:r>
          </w:p>
        </w:tc>
      </w:tr>
    </w:tbl>
    <w:p w14:paraId="0314964C">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35D55DAD">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统一门户管理</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759"/>
        <w:gridCol w:w="7002"/>
      </w:tblGrid>
      <w:tr w14:paraId="11BA8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776D67B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0"/>
            <w:vAlign w:val="center"/>
          </w:tcPr>
          <w:p w14:paraId="2D8A293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模块</w:t>
            </w:r>
          </w:p>
        </w:tc>
        <w:tc>
          <w:tcPr>
            <w:tcW w:w="6960" w:type="dxa"/>
            <w:tcBorders>
              <w:tl2br w:val="nil"/>
              <w:tr2bl w:val="nil"/>
            </w:tcBorders>
            <w:noWrap w:val="0"/>
            <w:vAlign w:val="center"/>
          </w:tcPr>
          <w:p w14:paraId="1D40D6B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功能及技术参数</w:t>
            </w:r>
          </w:p>
        </w:tc>
      </w:tr>
      <w:tr w14:paraId="2BE6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FE57BC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70E0408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restart"/>
            <w:tcBorders>
              <w:tl2br w:val="nil"/>
              <w:tr2bl w:val="nil"/>
            </w:tcBorders>
            <w:noWrap w:val="0"/>
            <w:vAlign w:val="center"/>
          </w:tcPr>
          <w:p w14:paraId="2DFBECD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门户登录及首页</w:t>
            </w:r>
          </w:p>
        </w:tc>
        <w:tc>
          <w:tcPr>
            <w:tcW w:w="6960" w:type="dxa"/>
            <w:tcBorders>
              <w:tl2br w:val="nil"/>
              <w:tr2bl w:val="nil"/>
            </w:tcBorders>
            <w:noWrap w:val="0"/>
            <w:vAlign w:val="center"/>
          </w:tcPr>
          <w:p w14:paraId="690802C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一、门户登录及首页（改造）</w:t>
            </w:r>
          </w:p>
          <w:p w14:paraId="40DEBA1F">
            <w:pPr>
              <w:keepNext w:val="0"/>
              <w:keepLines w:val="0"/>
              <w:pageBreakBefore w:val="0"/>
              <w:widowControl/>
              <w:numPr>
                <w:ilvl w:val="0"/>
                <w:numId w:val="28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用户登录（改造）</w:t>
            </w:r>
          </w:p>
          <w:p w14:paraId="31A86C0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支持多种登录方式配置，包括：账号密码、钉钉扫码、CA、短信验证、双因子等</w:t>
            </w:r>
          </w:p>
          <w:p w14:paraId="33BFDB4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支持登录页背景、文案个性化配置</w:t>
            </w:r>
          </w:p>
          <w:p w14:paraId="082732A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支持单点登录</w:t>
            </w:r>
          </w:p>
          <w:p w14:paraId="343B7871">
            <w:pPr>
              <w:keepNext w:val="0"/>
              <w:keepLines w:val="0"/>
              <w:pageBreakBefore w:val="0"/>
              <w:widowControl/>
              <w:numPr>
                <w:ilvl w:val="0"/>
                <w:numId w:val="28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灰度发布模式（新增）</w:t>
            </w:r>
          </w:p>
          <w:p w14:paraId="1F8331A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支持灰度发布模式切换</w:t>
            </w:r>
          </w:p>
          <w:p w14:paraId="6E0794E4">
            <w:pPr>
              <w:keepNext w:val="0"/>
              <w:keepLines w:val="0"/>
              <w:pageBreakBefore w:val="0"/>
              <w:widowControl/>
              <w:numPr>
                <w:ilvl w:val="0"/>
                <w:numId w:val="28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一键清除缓存（改造）</w:t>
            </w:r>
          </w:p>
          <w:p w14:paraId="1DF8B79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支持一键清楚缓存</w:t>
            </w:r>
          </w:p>
        </w:tc>
      </w:tr>
      <w:tr w14:paraId="2099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0EF9E1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97293F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66BC1C5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二、首页（新增）</w:t>
            </w:r>
          </w:p>
          <w:p w14:paraId="59E367D0">
            <w:pPr>
              <w:keepNext w:val="0"/>
              <w:keepLines w:val="0"/>
              <w:pageBreakBefore w:val="0"/>
              <w:widowControl/>
              <w:numPr>
                <w:ilvl w:val="0"/>
                <w:numId w:val="28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主题管理</w:t>
            </w:r>
          </w:p>
          <w:p w14:paraId="33FC2F2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支持切换主题风格</w:t>
            </w:r>
          </w:p>
          <w:p w14:paraId="112419B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支持快速检索定位业务系统</w:t>
            </w:r>
          </w:p>
          <w:p w14:paraId="2DCE2AA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支持修改密码</w:t>
            </w:r>
          </w:p>
          <w:p w14:paraId="43F7277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支持查看日志</w:t>
            </w:r>
          </w:p>
          <w:p w14:paraId="17E9C02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支持SQL跟踪</w:t>
            </w:r>
          </w:p>
          <w:p w14:paraId="01EA2DE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支持下载CA证书</w:t>
            </w:r>
          </w:p>
          <w:p w14:paraId="39A6A34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支持一键解绑钉钉、浙政钉</w:t>
            </w:r>
          </w:p>
          <w:p w14:paraId="0F2924E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支持注销账号登录</w:t>
            </w:r>
          </w:p>
          <w:p w14:paraId="47BA7C91">
            <w:pPr>
              <w:keepNext w:val="0"/>
              <w:keepLines w:val="0"/>
              <w:pageBreakBefore w:val="0"/>
              <w:widowControl/>
              <w:numPr>
                <w:ilvl w:val="0"/>
                <w:numId w:val="28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系统收藏</w:t>
            </w:r>
          </w:p>
          <w:p w14:paraId="33CEE42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支持收藏业务系统快捷进入</w:t>
            </w:r>
          </w:p>
          <w:p w14:paraId="37F63586">
            <w:pPr>
              <w:keepNext w:val="0"/>
              <w:keepLines w:val="0"/>
              <w:pageBreakBefore w:val="0"/>
              <w:widowControl/>
              <w:numPr>
                <w:ilvl w:val="0"/>
                <w:numId w:val="28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最近使用系统</w:t>
            </w:r>
          </w:p>
          <w:p w14:paraId="6BAB55E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支持记录最近使用业务系统快捷进入</w:t>
            </w:r>
          </w:p>
          <w:p w14:paraId="2789809E">
            <w:pPr>
              <w:keepNext w:val="0"/>
              <w:keepLines w:val="0"/>
              <w:pageBreakBefore w:val="0"/>
              <w:widowControl/>
              <w:numPr>
                <w:ilvl w:val="0"/>
                <w:numId w:val="28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意见反馈</w:t>
            </w:r>
          </w:p>
          <w:p w14:paraId="1515A5A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支持提交意见反馈信息</w:t>
            </w:r>
          </w:p>
        </w:tc>
      </w:tr>
      <w:tr w14:paraId="3EAB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5BE5782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2</w:t>
            </w:r>
          </w:p>
        </w:tc>
        <w:tc>
          <w:tcPr>
            <w:tcW w:w="754" w:type="dxa"/>
            <w:vMerge w:val="restart"/>
            <w:tcBorders>
              <w:tl2br w:val="nil"/>
              <w:tr2bl w:val="nil"/>
            </w:tcBorders>
            <w:noWrap w:val="0"/>
            <w:vAlign w:val="center"/>
          </w:tcPr>
          <w:p w14:paraId="5A83012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平台分组维护（改造）</w:t>
            </w:r>
          </w:p>
        </w:tc>
        <w:tc>
          <w:tcPr>
            <w:tcW w:w="6960" w:type="dxa"/>
            <w:tcBorders>
              <w:tl2br w:val="nil"/>
              <w:tr2bl w:val="nil"/>
            </w:tcBorders>
            <w:noWrap w:val="0"/>
            <w:vAlign w:val="center"/>
          </w:tcPr>
          <w:p w14:paraId="2C9A2EA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一、平台管理</w:t>
            </w:r>
          </w:p>
          <w:p w14:paraId="4361750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支持角色名称分页查询功能</w:t>
            </w:r>
          </w:p>
          <w:p w14:paraId="314E856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支持对平台内的应用进行新增、编辑、删除、排序功能</w:t>
            </w:r>
          </w:p>
          <w:p w14:paraId="7D2C0DF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支持平台的图标，名称，主题布局等信息的维护</w:t>
            </w:r>
          </w:p>
        </w:tc>
      </w:tr>
      <w:tr w14:paraId="4CCD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823CE8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36E843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343497D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二、子系统</w:t>
            </w:r>
          </w:p>
          <w:p w14:paraId="4CC2DD5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支持对子系统的信息维护，包括图标，编码，排序等</w:t>
            </w:r>
          </w:p>
          <w:p w14:paraId="742DB0E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支持对子系统的新增，编辑，删除，排序操作</w:t>
            </w:r>
          </w:p>
          <w:p w14:paraId="6DD7270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支持平台分类，子系统编码或名称分页查询功能</w:t>
            </w:r>
          </w:p>
        </w:tc>
      </w:tr>
      <w:tr w14:paraId="6258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184F37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CD00B2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4D1A9BB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三、系统菜单</w:t>
            </w:r>
          </w:p>
          <w:p w14:paraId="3D33AE50">
            <w:pPr>
              <w:keepNext w:val="0"/>
              <w:keepLines w:val="0"/>
              <w:pageBreakBefore w:val="0"/>
              <w:widowControl/>
              <w:numPr>
                <w:ilvl w:val="0"/>
                <w:numId w:val="2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菜单基础配置</w:t>
            </w:r>
          </w:p>
          <w:p w14:paraId="5FFF637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支持系统菜单新增、编辑、删除的菜单名称、模块编码、URL、类别等信息的维护</w:t>
            </w:r>
          </w:p>
          <w:p w14:paraId="525BE4F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支持子系统的树形显示、菜单名称、类型过滤的分类查询功能</w:t>
            </w:r>
          </w:p>
          <w:p w14:paraId="550C05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支持设置某菜单为系统进入首页</w:t>
            </w:r>
          </w:p>
          <w:p w14:paraId="211441AE">
            <w:pPr>
              <w:keepNext w:val="0"/>
              <w:keepLines w:val="0"/>
              <w:pageBreakBefore w:val="0"/>
              <w:widowControl/>
              <w:numPr>
                <w:ilvl w:val="0"/>
                <w:numId w:val="2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菜单角色配置</w:t>
            </w:r>
          </w:p>
          <w:p w14:paraId="2F2ED6F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支持菜单新增、移除角色</w:t>
            </w:r>
          </w:p>
          <w:p w14:paraId="4C529BF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支持菜单权限角色查看</w:t>
            </w:r>
          </w:p>
          <w:p w14:paraId="1C0639CE">
            <w:pPr>
              <w:keepNext w:val="0"/>
              <w:keepLines w:val="0"/>
              <w:pageBreakBefore w:val="0"/>
              <w:widowControl/>
              <w:numPr>
                <w:ilvl w:val="0"/>
                <w:numId w:val="2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菜单快速排序</w:t>
            </w:r>
          </w:p>
          <w:p w14:paraId="537EAF3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支持菜单拖动交互快速排序</w:t>
            </w:r>
          </w:p>
        </w:tc>
      </w:tr>
      <w:tr w14:paraId="7F3C9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3B1A6F9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3</w:t>
            </w:r>
          </w:p>
        </w:tc>
        <w:tc>
          <w:tcPr>
            <w:tcW w:w="754" w:type="dxa"/>
            <w:vMerge w:val="restart"/>
            <w:tcBorders>
              <w:tl2br w:val="nil"/>
              <w:tr2bl w:val="nil"/>
            </w:tcBorders>
            <w:noWrap w:val="0"/>
            <w:vAlign w:val="center"/>
          </w:tcPr>
          <w:p w14:paraId="74D6135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系统管理</w:t>
            </w:r>
          </w:p>
        </w:tc>
        <w:tc>
          <w:tcPr>
            <w:tcW w:w="6960" w:type="dxa"/>
            <w:tcBorders>
              <w:tl2br w:val="nil"/>
              <w:tr2bl w:val="nil"/>
            </w:tcBorders>
            <w:noWrap w:val="0"/>
            <w:vAlign w:val="center"/>
          </w:tcPr>
          <w:p w14:paraId="7EAE84D1">
            <w:pPr>
              <w:keepNext w:val="0"/>
              <w:keepLines w:val="0"/>
              <w:pageBreakBefore w:val="0"/>
              <w:widowControl/>
              <w:numPr>
                <w:ilvl w:val="0"/>
                <w:numId w:val="29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机构管理（改造）</w:t>
            </w:r>
          </w:p>
          <w:p w14:paraId="4590D4B9">
            <w:pPr>
              <w:keepNext w:val="0"/>
              <w:keepLines w:val="0"/>
              <w:pageBreakBefore w:val="0"/>
              <w:widowControl/>
              <w:numPr>
                <w:ilvl w:val="0"/>
                <w:numId w:val="29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机构基础配置</w:t>
            </w:r>
          </w:p>
          <w:p w14:paraId="5D277C8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支持机构的树形显示、机构编码、机构名称、启用状态分页查询功能</w:t>
            </w:r>
          </w:p>
          <w:p w14:paraId="5EE25E7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支持机构的新增同级，新增子级，编辑，删除机构信息，包括机构名称、编码、级别、启用状态等</w:t>
            </w:r>
          </w:p>
          <w:p w14:paraId="27859400">
            <w:pPr>
              <w:keepNext w:val="0"/>
              <w:keepLines w:val="0"/>
              <w:pageBreakBefore w:val="0"/>
              <w:widowControl/>
              <w:numPr>
                <w:ilvl w:val="0"/>
                <w:numId w:val="29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机构信息导入</w:t>
            </w:r>
          </w:p>
          <w:p w14:paraId="6661B21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支持一键导入机构信息进行新增</w:t>
            </w:r>
          </w:p>
        </w:tc>
      </w:tr>
      <w:tr w14:paraId="0C2D7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E6C100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4A5501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6ADA61A1">
            <w:pPr>
              <w:keepNext w:val="0"/>
              <w:keepLines w:val="0"/>
              <w:pageBreakBefore w:val="0"/>
              <w:widowControl/>
              <w:numPr>
                <w:ilvl w:val="0"/>
                <w:numId w:val="29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系统参数</w:t>
            </w:r>
          </w:p>
          <w:p w14:paraId="2C589ECE">
            <w:pPr>
              <w:keepNext w:val="0"/>
              <w:keepLines w:val="0"/>
              <w:pageBreakBefore w:val="0"/>
              <w:widowControl/>
              <w:numPr>
                <w:ilvl w:val="0"/>
                <w:numId w:val="29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系统参数维护（改造）</w:t>
            </w:r>
          </w:p>
          <w:p w14:paraId="26CCFA3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支持参数名称分页查询，标签检索功能</w:t>
            </w:r>
          </w:p>
          <w:p w14:paraId="7AB7596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支持参数的新增，编辑，删除、查看参数相关信息，包括参数名称、参数值、中文名、描述、启用状态等</w:t>
            </w:r>
          </w:p>
          <w:p w14:paraId="71E8470F">
            <w:pPr>
              <w:keepNext w:val="0"/>
              <w:keepLines w:val="0"/>
              <w:pageBreakBefore w:val="0"/>
              <w:widowControl/>
              <w:numPr>
                <w:ilvl w:val="0"/>
                <w:numId w:val="29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门户基本信息快速配置（</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bidi="ar"/>
              </w:rPr>
              <w:t>）</w:t>
            </w:r>
          </w:p>
          <w:p w14:paraId="142CAEB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支持门户平台基础信息快速配置，包括LOGO、主题、背景、登录方式、重置密码、密码有效期等</w:t>
            </w:r>
          </w:p>
          <w:p w14:paraId="1E97B16F">
            <w:pPr>
              <w:keepNext w:val="0"/>
              <w:keepLines w:val="0"/>
              <w:pageBreakBefore w:val="0"/>
              <w:widowControl/>
              <w:numPr>
                <w:ilvl w:val="0"/>
                <w:numId w:val="29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系统参数脚本导出（新增）</w:t>
            </w:r>
          </w:p>
          <w:p w14:paraId="1CC0D3F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支持系统参数脚本导出</w:t>
            </w:r>
          </w:p>
          <w:p w14:paraId="52BDC7DE">
            <w:pPr>
              <w:keepNext w:val="0"/>
              <w:keepLines w:val="0"/>
              <w:pageBreakBefore w:val="0"/>
              <w:widowControl/>
              <w:numPr>
                <w:ilvl w:val="0"/>
                <w:numId w:val="29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系统参数标签管理（新增）</w:t>
            </w:r>
          </w:p>
          <w:p w14:paraId="481C491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支持参数标签维护，分类检索</w:t>
            </w:r>
          </w:p>
        </w:tc>
      </w:tr>
      <w:tr w14:paraId="3EA8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DBF119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EC28A8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13AD7AE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三、令牌管理（新增）</w:t>
            </w:r>
          </w:p>
          <w:p w14:paraId="2A91AD7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支持令牌管理的新增、删除（相当于踢人操作），对外提供令牌封装</w:t>
            </w:r>
          </w:p>
          <w:p w14:paraId="7A9CDF3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支持按照用户名、应用编号进行检索</w:t>
            </w:r>
          </w:p>
          <w:p w14:paraId="5F6B1BC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支持令牌码一键复制</w:t>
            </w:r>
          </w:p>
          <w:p w14:paraId="3F465BE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支持令牌码过期时间修改</w:t>
            </w:r>
          </w:p>
        </w:tc>
      </w:tr>
      <w:tr w14:paraId="36B4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1F4D79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D0E930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1603CD0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四、网关路由管理（新增）</w:t>
            </w:r>
          </w:p>
          <w:p w14:paraId="4EBC8AF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1.网关路由配置维护</w:t>
            </w:r>
          </w:p>
          <w:p w14:paraId="253C03E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支持网关路由的新增，编辑，删除功能，维护路由名称、ID、断言器、URL、网络模式、所属应用等信息</w:t>
            </w:r>
          </w:p>
          <w:p w14:paraId="5088ECA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支持路由名称或ID分页查询功能</w:t>
            </w:r>
          </w:p>
          <w:p w14:paraId="67CAD4D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2.网关路由脚本导出</w:t>
            </w:r>
          </w:p>
          <w:p w14:paraId="5E7FB44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支持网关路由脚本一键导出</w:t>
            </w:r>
          </w:p>
        </w:tc>
      </w:tr>
      <w:tr w14:paraId="20293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CFD196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335B8B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98CAAD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五、文件管理（新增）</w:t>
            </w:r>
          </w:p>
          <w:p w14:paraId="2D3467D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支持文件名称、ID分页查询功能</w:t>
            </w:r>
          </w:p>
          <w:p w14:paraId="645F2E5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支持文件的新增上传，下载，删除功能，对外提供文件封装</w:t>
            </w:r>
          </w:p>
          <w:p w14:paraId="04F5D33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支持文件的业务key批量获取文件</w:t>
            </w:r>
          </w:p>
        </w:tc>
      </w:tr>
      <w:tr w14:paraId="78BED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30359C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F1B631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23C531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六、应用管理（新增）</w:t>
            </w:r>
          </w:p>
          <w:p w14:paraId="051F0EB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1.应用管理配置维护</w:t>
            </w:r>
          </w:p>
          <w:p w14:paraId="400C26E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支持应用的新增，编辑，删除，维护应用的编号、名称、密钥等相关信息</w:t>
            </w:r>
          </w:p>
          <w:p w14:paraId="069D7DD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支持应用编码或名称分页查询功能</w:t>
            </w:r>
          </w:p>
          <w:p w14:paraId="2DDC0BB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2.应用管理脚本导出</w:t>
            </w:r>
          </w:p>
          <w:p w14:paraId="765C546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支持应用管理脚本一键导出</w:t>
            </w:r>
          </w:p>
          <w:p w14:paraId="3BEE7DB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3.应用脱敏管理</w:t>
            </w:r>
          </w:p>
          <w:p w14:paraId="0210E44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支持新增、编辑、删除、停启用应用脱敏规则</w:t>
            </w:r>
          </w:p>
          <w:p w14:paraId="3E44D1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支持按字段名称检索脱敏规则记录</w:t>
            </w:r>
          </w:p>
          <w:p w14:paraId="32CEB33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4.应用路由管理</w:t>
            </w:r>
          </w:p>
          <w:p w14:paraId="593111E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支持新增、编辑、删除路由信息，包括路由名称、ID、断言器、URL、网络模式等信息</w:t>
            </w:r>
          </w:p>
        </w:tc>
      </w:tr>
      <w:tr w14:paraId="1C4EA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F85D6A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CF19EA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7A6B7C0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七、医共体管理（新增）</w:t>
            </w:r>
          </w:p>
          <w:p w14:paraId="164A043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支持对医共体进行新增、编辑、启用/停用功能，维护医共体编码、名称、级别、牵头单位、成员单位、所属区划等信息</w:t>
            </w:r>
          </w:p>
          <w:p w14:paraId="30A2A81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支持医共体分页树形查询功能，对编码、名称、状态进行检索</w:t>
            </w:r>
          </w:p>
        </w:tc>
      </w:tr>
      <w:tr w14:paraId="2134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E71C4E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7EFC74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3545E36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八、图标管理（新增）</w:t>
            </w:r>
          </w:p>
          <w:p w14:paraId="4C93A3B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支持图标的新增上传、批量删除、下载功能</w:t>
            </w:r>
          </w:p>
          <w:p w14:paraId="12421B1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支持图标的业务key自定义功能</w:t>
            </w:r>
          </w:p>
          <w:p w14:paraId="2E43F46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支持按照文件名，图标类型进行检索</w:t>
            </w:r>
          </w:p>
          <w:p w14:paraId="6CA8496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支持图标初始化功能（接口形式）</w:t>
            </w:r>
          </w:p>
        </w:tc>
      </w:tr>
      <w:tr w14:paraId="75B4A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B593A9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572A89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6A1E192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九、第三方账号匹配（新增）</w:t>
            </w:r>
          </w:p>
          <w:p w14:paraId="3135614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1.账号匹配管理</w:t>
            </w:r>
          </w:p>
          <w:p w14:paraId="23E3FBC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支持编辑第三方账号的相关信息，包括第三方账号、第三名姓名</w:t>
            </w:r>
          </w:p>
          <w:p w14:paraId="6A334B6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支持按照模块，账号，姓名、仅未匹配等内容进行检索</w:t>
            </w:r>
          </w:p>
          <w:p w14:paraId="1550395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2.账号模板导入</w:t>
            </w:r>
          </w:p>
          <w:p w14:paraId="44355AC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支持模板下载、批量上传匹配三方账号</w:t>
            </w:r>
          </w:p>
        </w:tc>
      </w:tr>
      <w:tr w14:paraId="537F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E93CC1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7218C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7BCBD85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十、配置导出（新增）</w:t>
            </w:r>
          </w:p>
          <w:p w14:paraId="036AE63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支持树型展示平台、子系统、目录、菜单、操作选择后一键导出配置脚本</w:t>
            </w:r>
          </w:p>
          <w:p w14:paraId="52CC72D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支持关键词检索目录菜单</w:t>
            </w:r>
          </w:p>
        </w:tc>
      </w:tr>
      <w:tr w14:paraId="5B65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06B279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69B3EA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265402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十一、反馈意见处理（新增）</w:t>
            </w:r>
          </w:p>
          <w:p w14:paraId="616D6BE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1.反馈意见处理记录管理</w:t>
            </w:r>
          </w:p>
          <w:p w14:paraId="3C58C95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支持查看反馈意见记录明细，予以采纳/不采纳</w:t>
            </w:r>
          </w:p>
          <w:p w14:paraId="1FCDBF2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支持针对所属应用、菜单、反馈机构、时间、类型、人员、处理状态等信息进行检索</w:t>
            </w:r>
          </w:p>
          <w:p w14:paraId="23BEA37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支持批量整改</w:t>
            </w:r>
          </w:p>
          <w:p w14:paraId="1A9C4C7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2.反馈意见处理记录导出</w:t>
            </w:r>
          </w:p>
          <w:p w14:paraId="439C0C7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支持反馈意见处理记录一键导出</w:t>
            </w:r>
          </w:p>
        </w:tc>
      </w:tr>
      <w:tr w14:paraId="20BF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C6909D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EBDD5E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5DB51B8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十二、反馈意见审核（新增）</w:t>
            </w:r>
          </w:p>
          <w:p w14:paraId="328249A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支持查看采纳的反馈意见记录明细，予以受理整改</w:t>
            </w:r>
          </w:p>
          <w:p w14:paraId="0E9DF92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支持针对所属应用、菜单、反馈机构、时间、类型、人员、处理状态、紧急等级等信息进行检索</w:t>
            </w:r>
          </w:p>
          <w:p w14:paraId="132104B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支持批量审核、自动审核</w:t>
            </w:r>
          </w:p>
        </w:tc>
      </w:tr>
      <w:tr w14:paraId="16EB0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A38680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53723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0047F40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十三、人文设置管理（新增）</w:t>
            </w:r>
          </w:p>
          <w:p w14:paraId="0D6983B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支持新增、编辑、删除人文管理记录，信息包括文案、背景、类型等</w:t>
            </w:r>
          </w:p>
          <w:p w14:paraId="30EAD9D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支持针对类型、创建时间、更新时间等信息进行检索</w:t>
            </w:r>
          </w:p>
          <w:p w14:paraId="78B7326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支持批量不限时，调整人文记录展示时间</w:t>
            </w:r>
          </w:p>
        </w:tc>
      </w:tr>
      <w:tr w14:paraId="6A768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709A21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B90901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D6094F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十四、工作台指标配置（新增）</w:t>
            </w:r>
          </w:p>
          <w:p w14:paraId="11C3C97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支持新增、编辑、删除、查看工作台指标配置信息，包括所属应用、指标名称、编码、类型、权限、说明等</w:t>
            </w:r>
          </w:p>
          <w:p w14:paraId="04547A6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支持针对所属应用、名称、类型、权限进行检索</w:t>
            </w:r>
          </w:p>
        </w:tc>
      </w:tr>
      <w:tr w14:paraId="63D93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54101A5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4</w:t>
            </w:r>
          </w:p>
        </w:tc>
        <w:tc>
          <w:tcPr>
            <w:tcW w:w="754" w:type="dxa"/>
            <w:vMerge w:val="restart"/>
            <w:tcBorders>
              <w:tl2br w:val="nil"/>
              <w:tr2bl w:val="nil"/>
            </w:tcBorders>
            <w:noWrap w:val="0"/>
            <w:vAlign w:val="center"/>
          </w:tcPr>
          <w:p w14:paraId="7FC2738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权限管理</w:t>
            </w:r>
          </w:p>
        </w:tc>
        <w:tc>
          <w:tcPr>
            <w:tcW w:w="6960" w:type="dxa"/>
            <w:tcBorders>
              <w:tl2br w:val="nil"/>
              <w:tr2bl w:val="nil"/>
            </w:tcBorders>
            <w:noWrap w:val="0"/>
            <w:vAlign w:val="center"/>
          </w:tcPr>
          <w:p w14:paraId="348D929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一、角色管理（改造）</w:t>
            </w:r>
          </w:p>
          <w:p w14:paraId="2B78A135">
            <w:pPr>
              <w:keepNext w:val="0"/>
              <w:keepLines w:val="0"/>
              <w:pageBreakBefore w:val="0"/>
              <w:widowControl/>
              <w:numPr>
                <w:ilvl w:val="0"/>
                <w:numId w:val="2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角色基础信息管理</w:t>
            </w:r>
          </w:p>
          <w:p w14:paraId="673B999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支持角色的新增、删除、编辑，包括角色名称、编码、数据权限、启用状态、描述等信息</w:t>
            </w:r>
          </w:p>
          <w:p w14:paraId="42D8103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支持角色名称分页查询功能</w:t>
            </w:r>
          </w:p>
          <w:p w14:paraId="4E13F867">
            <w:pPr>
              <w:keepNext w:val="0"/>
              <w:keepLines w:val="0"/>
              <w:pageBreakBefore w:val="0"/>
              <w:widowControl/>
              <w:numPr>
                <w:ilvl w:val="0"/>
                <w:numId w:val="2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角色菜单配置</w:t>
            </w:r>
          </w:p>
          <w:p w14:paraId="0A3D3FF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支持角色菜单权限配置</w:t>
            </w:r>
          </w:p>
          <w:p w14:paraId="3D8779E2">
            <w:pPr>
              <w:keepNext w:val="0"/>
              <w:keepLines w:val="0"/>
              <w:pageBreakBefore w:val="0"/>
              <w:widowControl/>
              <w:numPr>
                <w:ilvl w:val="0"/>
                <w:numId w:val="2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角色账号管理</w:t>
            </w:r>
          </w:p>
          <w:p w14:paraId="4EC4AB5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支持角色账号信息查看、新增、删除账号</w:t>
            </w:r>
          </w:p>
          <w:p w14:paraId="29F64B8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支持账号、姓名分页查询</w:t>
            </w:r>
          </w:p>
        </w:tc>
      </w:tr>
      <w:tr w14:paraId="52C32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2CB8F0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6CE302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D1F547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二、平台用户管理</w:t>
            </w:r>
          </w:p>
          <w:p w14:paraId="6186A488">
            <w:pPr>
              <w:keepNext w:val="0"/>
              <w:keepLines w:val="0"/>
              <w:pageBreakBefore w:val="0"/>
              <w:widowControl/>
              <w:numPr>
                <w:ilvl w:val="0"/>
                <w:numId w:val="29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账号基本信息配置（改造）</w:t>
            </w:r>
          </w:p>
          <w:p w14:paraId="2ACDFF3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支持账号新增、编辑、查看账号信息，信息包括账号、姓名、身份证、手机号、所属机构、钉钉、浙政钉、启用状态等信息维护</w:t>
            </w:r>
          </w:p>
          <w:p w14:paraId="3B1FA7E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支持根据机构、账号、姓名、启用状态、标签进行分页查询</w:t>
            </w:r>
          </w:p>
          <w:p w14:paraId="7097F58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支持批量导入新增账号信息</w:t>
            </w:r>
          </w:p>
          <w:p w14:paraId="6AE94E8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支持复制新增账号</w:t>
            </w:r>
          </w:p>
          <w:p w14:paraId="022C69B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支持解绑钉钉、浙政钉等绑定内容</w:t>
            </w:r>
          </w:p>
          <w:p w14:paraId="792456D1">
            <w:pPr>
              <w:keepNext w:val="0"/>
              <w:keepLines w:val="0"/>
              <w:pageBreakBefore w:val="0"/>
              <w:widowControl/>
              <w:numPr>
                <w:ilvl w:val="0"/>
                <w:numId w:val="29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重置账号密码（改造）</w:t>
            </w:r>
          </w:p>
          <w:p w14:paraId="5F4081D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支持重置账号密码</w:t>
            </w:r>
          </w:p>
          <w:p w14:paraId="3B0AC3C9">
            <w:pPr>
              <w:keepNext w:val="0"/>
              <w:keepLines w:val="0"/>
              <w:pageBreakBefore w:val="0"/>
              <w:widowControl/>
              <w:numPr>
                <w:ilvl w:val="0"/>
                <w:numId w:val="29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账号标签管理（新增）</w:t>
            </w:r>
          </w:p>
          <w:p w14:paraId="6AD56AA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支持针对账号进行标签分类维护</w:t>
            </w:r>
          </w:p>
          <w:p w14:paraId="0D2BA9B8">
            <w:pPr>
              <w:keepNext w:val="0"/>
              <w:keepLines w:val="0"/>
              <w:pageBreakBefore w:val="0"/>
              <w:widowControl/>
              <w:numPr>
                <w:ilvl w:val="0"/>
                <w:numId w:val="29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账号角色配置（改造）</w:t>
            </w:r>
          </w:p>
          <w:p w14:paraId="530278E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支持账号角色配置维护，添加或移除账号角色</w:t>
            </w:r>
          </w:p>
        </w:tc>
      </w:tr>
      <w:tr w14:paraId="2A691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5F791D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28499C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0DDFF3D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三、账号审核（改造）</w:t>
            </w:r>
          </w:p>
          <w:p w14:paraId="704152F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支持针对注册的账号记录进行审核管理</w:t>
            </w:r>
          </w:p>
          <w:p w14:paraId="0B9B8F7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支持批量通过/拒绝申请</w:t>
            </w:r>
          </w:p>
          <w:p w14:paraId="27ABB90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支持按机构、账号、姓名、状态分页查询</w:t>
            </w:r>
          </w:p>
        </w:tc>
      </w:tr>
      <w:tr w14:paraId="3AB9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C6C8F2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0B4783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2D05D9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四、权限申请</w:t>
            </w:r>
          </w:p>
          <w:p w14:paraId="1AF63F94">
            <w:pPr>
              <w:keepNext w:val="0"/>
              <w:keepLines w:val="0"/>
              <w:pageBreakBefore w:val="0"/>
              <w:widowControl/>
              <w:numPr>
                <w:ilvl w:val="0"/>
                <w:numId w:val="2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菜单操作权限审批（改造）</w:t>
            </w:r>
          </w:p>
          <w:p w14:paraId="7146238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支持查看审核记录，对待审核的记录进行通过、驳回操作</w:t>
            </w:r>
          </w:p>
          <w:p w14:paraId="65CD207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支持按照状态，账号，权限申请进行检索</w:t>
            </w:r>
          </w:p>
          <w:p w14:paraId="526055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支持通过的申请批量作废</w:t>
            </w:r>
          </w:p>
          <w:p w14:paraId="79D19AC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支持修改到期时间</w:t>
            </w:r>
          </w:p>
          <w:p w14:paraId="2C61E22F">
            <w:pPr>
              <w:keepNext w:val="0"/>
              <w:keepLines w:val="0"/>
              <w:pageBreakBefore w:val="0"/>
              <w:widowControl/>
              <w:numPr>
                <w:ilvl w:val="0"/>
                <w:numId w:val="2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数据访问权限审批（改造）</w:t>
            </w:r>
          </w:p>
          <w:p w14:paraId="485B971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支持查看审核记录，对待审核的记录进行通过、驳回操作</w:t>
            </w:r>
          </w:p>
          <w:p w14:paraId="75D1E81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支持按照状态，账号，权限申请进行检索</w:t>
            </w:r>
          </w:p>
          <w:p w14:paraId="150661A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支持通过的申请批量作废</w:t>
            </w:r>
          </w:p>
          <w:p w14:paraId="74DC641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支持修改到期时间</w:t>
            </w:r>
          </w:p>
          <w:p w14:paraId="56ED1EB5">
            <w:pPr>
              <w:keepNext w:val="0"/>
              <w:keepLines w:val="0"/>
              <w:pageBreakBefore w:val="0"/>
              <w:widowControl/>
              <w:numPr>
                <w:ilvl w:val="0"/>
                <w:numId w:val="2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安全机授权审批（新增）</w:t>
            </w:r>
          </w:p>
          <w:p w14:paraId="53ADE7A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支持查看审核记录，对待审核的记录进行通过、驳回操作</w:t>
            </w:r>
          </w:p>
          <w:p w14:paraId="18973AF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支持对通过的申请进行强制关闭使用</w:t>
            </w:r>
          </w:p>
          <w:p w14:paraId="040F7E8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支持对状态、IP、申请时间进行检索</w:t>
            </w:r>
          </w:p>
          <w:p w14:paraId="73E0FE7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支持修改到期时间</w:t>
            </w:r>
          </w:p>
          <w:p w14:paraId="346115A7">
            <w:pPr>
              <w:keepNext w:val="0"/>
              <w:keepLines w:val="0"/>
              <w:pageBreakBefore w:val="0"/>
              <w:widowControl/>
              <w:numPr>
                <w:ilvl w:val="0"/>
                <w:numId w:val="2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灰度申请审批（新增）</w:t>
            </w:r>
          </w:p>
          <w:p w14:paraId="6E8F97A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支持查看审核记录，对待审核的记录进行通过、驳回操作</w:t>
            </w:r>
          </w:p>
          <w:p w14:paraId="2593B5D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支持对通过的申请进行强制关闭使用</w:t>
            </w:r>
          </w:p>
          <w:p w14:paraId="12F742D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支持对状态、IP、申请时间进行检索</w:t>
            </w:r>
          </w:p>
          <w:p w14:paraId="491ADAD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支持修改到期时间</w:t>
            </w:r>
          </w:p>
        </w:tc>
      </w:tr>
      <w:tr w14:paraId="1E9E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AFA6DE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5</w:t>
            </w:r>
          </w:p>
        </w:tc>
        <w:tc>
          <w:tcPr>
            <w:tcW w:w="754" w:type="dxa"/>
            <w:vMerge w:val="restart"/>
            <w:tcBorders>
              <w:tl2br w:val="nil"/>
              <w:tr2bl w:val="nil"/>
            </w:tcBorders>
            <w:noWrap w:val="0"/>
            <w:vAlign w:val="center"/>
          </w:tcPr>
          <w:p w14:paraId="47DDCD6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系统日志</w:t>
            </w:r>
          </w:p>
        </w:tc>
        <w:tc>
          <w:tcPr>
            <w:tcW w:w="6960" w:type="dxa"/>
            <w:tcBorders>
              <w:tl2br w:val="nil"/>
              <w:tr2bl w:val="nil"/>
            </w:tcBorders>
            <w:noWrap w:val="0"/>
            <w:vAlign w:val="center"/>
          </w:tcPr>
          <w:p w14:paraId="13229980">
            <w:pPr>
              <w:keepNext w:val="0"/>
              <w:keepLines w:val="0"/>
              <w:pageBreakBefore w:val="0"/>
              <w:widowControl/>
              <w:numPr>
                <w:ilvl w:val="0"/>
                <w:numId w:val="297"/>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菜单访问日志（新增）</w:t>
            </w:r>
          </w:p>
          <w:p w14:paraId="314DF23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支持查看菜单服务日志记录，包括账号、姓名、机构、IP、访问时间、模块、URL等信息</w:t>
            </w:r>
          </w:p>
          <w:p w14:paraId="28AF886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支持针对账号、姓名、手机号、URL、机构、应用、访问时间进行分页查询</w:t>
            </w:r>
          </w:p>
        </w:tc>
      </w:tr>
      <w:tr w14:paraId="3414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B6053A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8F6786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54F1E00">
            <w:pPr>
              <w:keepNext w:val="0"/>
              <w:keepLines w:val="0"/>
              <w:pageBreakBefore w:val="0"/>
              <w:widowControl/>
              <w:numPr>
                <w:ilvl w:val="0"/>
                <w:numId w:val="297"/>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操作日志（改造）</w:t>
            </w:r>
          </w:p>
          <w:p w14:paraId="1882D9C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支持查看操作日志记录，包括账号、姓名、日志标题、备注、IP、访问地址、请求方式等信息</w:t>
            </w:r>
          </w:p>
          <w:p w14:paraId="025E4A1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支持针对账号、姓名、手机号、日志标题、创建时间进行分页检索</w:t>
            </w:r>
          </w:p>
        </w:tc>
      </w:tr>
      <w:tr w14:paraId="2131F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9A5453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38089F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5ABF27D9">
            <w:pPr>
              <w:keepNext w:val="0"/>
              <w:keepLines w:val="0"/>
              <w:pageBreakBefore w:val="0"/>
              <w:widowControl/>
              <w:numPr>
                <w:ilvl w:val="0"/>
                <w:numId w:val="297"/>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登录日志（改造）</w:t>
            </w:r>
          </w:p>
          <w:p w14:paraId="3ECC93C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支持查看登录日志记录，包括账号、姓名、所属机构、IP、登录平台、方式、操作时间、结果等信息</w:t>
            </w:r>
          </w:p>
          <w:p w14:paraId="60D7FAA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支持针对账号、姓名、手机号、登录方式、机构、操作时间进行分页查询</w:t>
            </w:r>
          </w:p>
        </w:tc>
      </w:tr>
      <w:tr w14:paraId="28812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1B3817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98BB6D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1AA5ECF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四、用户统计</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新增</w:t>
            </w:r>
            <w:r>
              <w:rPr>
                <w:rFonts w:hint="eastAsia" w:ascii="宋体" w:hAnsi="宋体" w:eastAsia="宋体" w:cs="宋体"/>
                <w:b/>
                <w:bCs/>
                <w:color w:val="auto"/>
                <w:kern w:val="0"/>
                <w:sz w:val="21"/>
                <w:szCs w:val="21"/>
                <w:lang w:eastAsia="zh-CN" w:bidi="ar"/>
              </w:rPr>
              <w:t>）</w:t>
            </w:r>
          </w:p>
          <w:p w14:paraId="4303ADFF">
            <w:pPr>
              <w:keepNext w:val="0"/>
              <w:keepLines w:val="0"/>
              <w:pageBreakBefore w:val="0"/>
              <w:widowControl/>
              <w:numPr>
                <w:ilvl w:val="0"/>
                <w:numId w:val="2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实时用户统计</w:t>
            </w:r>
          </w:p>
          <w:p w14:paraId="2DA5970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支持查看用户总数、当前实时在线用户数、实时在线用户实况统计图</w:t>
            </w:r>
          </w:p>
          <w:p w14:paraId="0FD1CEDD">
            <w:pPr>
              <w:keepNext w:val="0"/>
              <w:keepLines w:val="0"/>
              <w:pageBreakBefore w:val="0"/>
              <w:widowControl/>
              <w:numPr>
                <w:ilvl w:val="0"/>
                <w:numId w:val="2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活跃用户统计</w:t>
            </w:r>
          </w:p>
          <w:p w14:paraId="6038F65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支持查看活跃用户数占比情况</w:t>
            </w:r>
          </w:p>
          <w:p w14:paraId="5BFD0C66">
            <w:pPr>
              <w:keepNext w:val="0"/>
              <w:keepLines w:val="0"/>
              <w:pageBreakBefore w:val="0"/>
              <w:widowControl/>
              <w:numPr>
                <w:ilvl w:val="0"/>
                <w:numId w:val="2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菜单访问统计</w:t>
            </w:r>
          </w:p>
          <w:p w14:paraId="1F8ABAD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支持查看当日菜单访问量、累计菜单访问量、时段菜单访问量、菜单访问量TOP10</w:t>
            </w:r>
          </w:p>
          <w:p w14:paraId="6704F642">
            <w:pPr>
              <w:keepNext w:val="0"/>
              <w:keepLines w:val="0"/>
              <w:pageBreakBefore w:val="0"/>
              <w:widowControl/>
              <w:numPr>
                <w:ilvl w:val="0"/>
                <w:numId w:val="2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用户登录统计</w:t>
            </w:r>
          </w:p>
          <w:p w14:paraId="1FFF377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支持查看用户平均每天登录次数、平台用户访问数、系统用户访问数</w:t>
            </w:r>
          </w:p>
        </w:tc>
      </w:tr>
      <w:tr w14:paraId="7CAB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8CD123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ACF22F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1D277C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bidi="ar"/>
              </w:rPr>
              <w:t>五、服务访问日志</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改造</w:t>
            </w:r>
            <w:r>
              <w:rPr>
                <w:rFonts w:hint="eastAsia" w:ascii="宋体" w:hAnsi="宋体" w:eastAsia="宋体" w:cs="宋体"/>
                <w:b/>
                <w:bCs/>
                <w:color w:val="auto"/>
                <w:kern w:val="0"/>
                <w:sz w:val="21"/>
                <w:szCs w:val="21"/>
                <w:lang w:eastAsia="zh-CN" w:bidi="ar"/>
              </w:rPr>
              <w:t>）</w:t>
            </w:r>
          </w:p>
          <w:p w14:paraId="790BCCD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支持查看服务访问日志记录，包括访问地址、请求方式、请求应用、请求IP、请求时间、应用名称、接口名称、链路跟踪等信息</w:t>
            </w:r>
          </w:p>
          <w:p w14:paraId="5C06F77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支持按照应用名称、请求时间、链路跟踪、访问地址、是否超时、状态进行分页检索</w:t>
            </w:r>
          </w:p>
          <w:p w14:paraId="6B281A6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支持一键导出访问日志，查看导出进度详情</w:t>
            </w:r>
          </w:p>
        </w:tc>
      </w:tr>
      <w:tr w14:paraId="3B79A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DF8306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5156E5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7324DFF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lang w:eastAsia="zh-CN" w:bidi="ar"/>
              </w:rPr>
            </w:pPr>
            <w:r>
              <w:rPr>
                <w:rFonts w:hint="eastAsia" w:ascii="宋体" w:hAnsi="宋体" w:eastAsia="宋体" w:cs="宋体"/>
                <w:b/>
                <w:bCs/>
                <w:color w:val="auto"/>
                <w:kern w:val="0"/>
                <w:sz w:val="21"/>
                <w:szCs w:val="21"/>
                <w:lang w:bidi="ar"/>
              </w:rPr>
              <w:t>六、工作台待办日志</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val="en-US" w:eastAsia="zh-CN" w:bidi="ar"/>
              </w:rPr>
              <w:t>改造</w:t>
            </w:r>
            <w:r>
              <w:rPr>
                <w:rFonts w:hint="eastAsia" w:ascii="宋体" w:hAnsi="宋体" w:eastAsia="宋体" w:cs="宋体"/>
                <w:b/>
                <w:bCs/>
                <w:color w:val="auto"/>
                <w:kern w:val="0"/>
                <w:sz w:val="21"/>
                <w:szCs w:val="21"/>
                <w:lang w:eastAsia="zh-CN" w:bidi="ar"/>
              </w:rPr>
              <w:t>）</w:t>
            </w:r>
          </w:p>
          <w:p w14:paraId="24B9385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支持查看按区划机构进行统计的总数、未处理、已查看、已完成、响应、耗时相关情况</w:t>
            </w:r>
          </w:p>
          <w:p w14:paraId="5539413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支持按区划、机构、发送时间、来源对待办统计信息进行检索</w:t>
            </w:r>
          </w:p>
          <w:p w14:paraId="3C1EAF4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支持查看待办记录详情，包括所属区划、机构、来源、标题、内、状态、发送时间、响应人员、响应时间、完成人员、完成时间等信息</w:t>
            </w:r>
          </w:p>
          <w:p w14:paraId="06476F7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支持按机构、区划、发送时间、状态、来源进行检索待办记录</w:t>
            </w:r>
          </w:p>
        </w:tc>
      </w:tr>
      <w:tr w14:paraId="38A4E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5125EB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6</w:t>
            </w:r>
          </w:p>
        </w:tc>
        <w:tc>
          <w:tcPr>
            <w:tcW w:w="754" w:type="dxa"/>
            <w:vMerge w:val="restart"/>
            <w:tcBorders>
              <w:tl2br w:val="nil"/>
              <w:tr2bl w:val="nil"/>
            </w:tcBorders>
            <w:noWrap w:val="0"/>
            <w:vAlign w:val="center"/>
          </w:tcPr>
          <w:p w14:paraId="51BD1C0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门户工作台（新增）</w:t>
            </w:r>
          </w:p>
        </w:tc>
        <w:tc>
          <w:tcPr>
            <w:tcW w:w="6960" w:type="dxa"/>
            <w:tcBorders>
              <w:tl2br w:val="nil"/>
              <w:tr2bl w:val="nil"/>
            </w:tcBorders>
            <w:noWrap w:val="0"/>
            <w:vAlign w:val="center"/>
          </w:tcPr>
          <w:p w14:paraId="3B65667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一</w:t>
            </w:r>
            <w:r>
              <w:rPr>
                <w:rFonts w:hint="eastAsia" w:ascii="宋体" w:hAnsi="宋体" w:eastAsia="宋体" w:cs="宋体"/>
                <w:b/>
                <w:bCs/>
                <w:color w:val="auto"/>
                <w:kern w:val="0"/>
                <w:sz w:val="21"/>
                <w:szCs w:val="21"/>
                <w:lang w:bidi="ar"/>
              </w:rPr>
              <w:t>、人文模块管理</w:t>
            </w:r>
          </w:p>
          <w:p w14:paraId="19116C0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建立智能工作台，实现平台全业务的一体化应用桌面，建设人文关怀模块，能结合党政，廉洁纪律，中国传统节假日，二十四节气等主题，定制化展示各类标语。</w:t>
            </w:r>
          </w:p>
        </w:tc>
      </w:tr>
      <w:tr w14:paraId="493B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8FACFA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B28929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BC4DC5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二</w:t>
            </w:r>
            <w:r>
              <w:rPr>
                <w:rFonts w:hint="eastAsia" w:ascii="宋体" w:hAnsi="宋体" w:eastAsia="宋体" w:cs="宋体"/>
                <w:b/>
                <w:bCs/>
                <w:color w:val="auto"/>
                <w:kern w:val="0"/>
                <w:sz w:val="21"/>
                <w:szCs w:val="21"/>
                <w:lang w:bidi="ar"/>
              </w:rPr>
              <w:t>、系统公告</w:t>
            </w:r>
          </w:p>
          <w:p w14:paraId="30B0FA10">
            <w:pPr>
              <w:keepNext w:val="0"/>
              <w:keepLines w:val="0"/>
              <w:pageBreakBefore w:val="0"/>
              <w:widowControl/>
              <w:numPr>
                <w:ilvl w:val="0"/>
                <w:numId w:val="29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公告信息文件预览</w:t>
            </w:r>
          </w:p>
          <w:p w14:paraId="650F21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支持公告内容查看，包括发布单位、类型、发布日期、截止日期、详情</w:t>
            </w:r>
          </w:p>
          <w:p w14:paraId="72EE5B0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支持公告附件文件预览</w:t>
            </w:r>
          </w:p>
          <w:p w14:paraId="5C7D7BFA">
            <w:pPr>
              <w:keepNext w:val="0"/>
              <w:keepLines w:val="0"/>
              <w:pageBreakBefore w:val="0"/>
              <w:widowControl/>
              <w:numPr>
                <w:ilvl w:val="0"/>
                <w:numId w:val="29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公告文件下载</w:t>
            </w:r>
          </w:p>
          <w:p w14:paraId="0271AB6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支持公告附件文件下载</w:t>
            </w:r>
          </w:p>
        </w:tc>
      </w:tr>
      <w:tr w14:paraId="04A5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C89D7C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C035D0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46C2883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三</w:t>
            </w:r>
            <w:r>
              <w:rPr>
                <w:rFonts w:hint="eastAsia" w:ascii="宋体" w:hAnsi="宋体" w:eastAsia="宋体" w:cs="宋体"/>
                <w:b/>
                <w:bCs/>
                <w:color w:val="auto"/>
                <w:kern w:val="0"/>
                <w:sz w:val="21"/>
                <w:szCs w:val="21"/>
                <w:lang w:bidi="ar"/>
              </w:rPr>
              <w:t>、通知中心</w:t>
            </w:r>
          </w:p>
          <w:p w14:paraId="0D6D7BA2">
            <w:pPr>
              <w:keepNext w:val="0"/>
              <w:keepLines w:val="0"/>
              <w:pageBreakBefore w:val="0"/>
              <w:widowControl/>
              <w:numPr>
                <w:ilvl w:val="0"/>
                <w:numId w:val="30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公告管理</w:t>
            </w:r>
          </w:p>
          <w:p w14:paraId="68E0109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支持统计公告总数、未读、已读、公告详情查看</w:t>
            </w:r>
          </w:p>
          <w:p w14:paraId="7F4800C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支持针对类型、日期进行检索</w:t>
            </w:r>
          </w:p>
          <w:p w14:paraId="4B2F9E0D">
            <w:pPr>
              <w:keepNext w:val="0"/>
              <w:keepLines w:val="0"/>
              <w:pageBreakBefore w:val="0"/>
              <w:widowControl/>
              <w:numPr>
                <w:ilvl w:val="0"/>
                <w:numId w:val="30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待办管理</w:t>
            </w:r>
          </w:p>
          <w:p w14:paraId="2B90ED0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支持统计剩余待办、已查看、已完成待办、待办详情查看</w:t>
            </w:r>
          </w:p>
          <w:p w14:paraId="5537BFD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支持针对机构、区县、类型、来源、日期进行检索</w:t>
            </w:r>
          </w:p>
          <w:p w14:paraId="41B6E8F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支持待办的完成、快捷跳转到相应系统</w:t>
            </w:r>
          </w:p>
          <w:p w14:paraId="0E4AD56C">
            <w:pPr>
              <w:keepNext w:val="0"/>
              <w:keepLines w:val="0"/>
              <w:pageBreakBefore w:val="0"/>
              <w:widowControl/>
              <w:numPr>
                <w:ilvl w:val="0"/>
                <w:numId w:val="30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待办执行详情</w:t>
            </w:r>
          </w:p>
          <w:p w14:paraId="2875B1A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支持待办转办，转移给其他人员</w:t>
            </w:r>
          </w:p>
          <w:p w14:paraId="60D6D5A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支持待办流程人员处理情况展示</w:t>
            </w:r>
          </w:p>
          <w:p w14:paraId="0F5BCE69">
            <w:pPr>
              <w:keepNext w:val="0"/>
              <w:keepLines w:val="0"/>
              <w:pageBreakBefore w:val="0"/>
              <w:widowControl/>
              <w:numPr>
                <w:ilvl w:val="0"/>
                <w:numId w:val="30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待办明细统计</w:t>
            </w:r>
          </w:p>
          <w:p w14:paraId="6AFCA7E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支持按区划机构统计待办处理、详情、完成情况，详情查看，与待办日志功能一致</w:t>
            </w:r>
          </w:p>
          <w:p w14:paraId="6C023F9A">
            <w:pPr>
              <w:keepNext w:val="0"/>
              <w:keepLines w:val="0"/>
              <w:pageBreakBefore w:val="0"/>
              <w:widowControl/>
              <w:numPr>
                <w:ilvl w:val="0"/>
                <w:numId w:val="30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消息管理</w:t>
            </w:r>
          </w:p>
          <w:p w14:paraId="3909E9F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支持消息已读、未读、全部展示及详情查看</w:t>
            </w:r>
          </w:p>
          <w:p w14:paraId="5BE876B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支持平台内各消息的聚合通知，在工作台能简单明了的查看对应的消息。消息内容支持区分通知公告，系统消息等。</w:t>
            </w:r>
          </w:p>
        </w:tc>
      </w:tr>
      <w:tr w14:paraId="55909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263519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F1A7B7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6A4C370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四</w:t>
            </w:r>
            <w:r>
              <w:rPr>
                <w:rFonts w:hint="eastAsia" w:ascii="宋体" w:hAnsi="宋体" w:eastAsia="宋体" w:cs="宋体"/>
                <w:b/>
                <w:bCs/>
                <w:color w:val="auto"/>
                <w:kern w:val="0"/>
                <w:sz w:val="21"/>
                <w:szCs w:val="21"/>
                <w:lang w:bidi="ar"/>
              </w:rPr>
              <w:t>、指标管理</w:t>
            </w:r>
          </w:p>
          <w:p w14:paraId="004F4B19">
            <w:pPr>
              <w:keepNext w:val="0"/>
              <w:keepLines w:val="0"/>
              <w:pageBreakBefore w:val="0"/>
              <w:widowControl/>
              <w:numPr>
                <w:ilvl w:val="0"/>
                <w:numId w:val="30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自定义指标管理</w:t>
            </w:r>
          </w:p>
          <w:p w14:paraId="03BFB4C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支持指标库自行</w:t>
            </w:r>
            <w:r>
              <w:rPr>
                <w:rFonts w:hint="eastAsia" w:ascii="宋体" w:hAnsi="宋体" w:eastAsia="宋体" w:cs="宋体"/>
                <w:b/>
                <w:bCs/>
                <w:color w:val="auto"/>
                <w:kern w:val="0"/>
                <w:sz w:val="21"/>
                <w:szCs w:val="21"/>
                <w:lang w:val="en-US" w:eastAsia="zh-CN" w:bidi="ar"/>
              </w:rPr>
              <w:t>勾选</w:t>
            </w:r>
            <w:r>
              <w:rPr>
                <w:rFonts w:hint="eastAsia" w:ascii="宋体" w:hAnsi="宋体" w:eastAsia="宋体" w:cs="宋体"/>
                <w:b/>
                <w:bCs/>
                <w:color w:val="auto"/>
                <w:kern w:val="0"/>
                <w:sz w:val="21"/>
                <w:szCs w:val="21"/>
                <w:lang w:bidi="ar"/>
              </w:rPr>
              <w:t>，配置所需指标，进行拖动变更位置排版，支持按照图标或指标方式展示，支持关注指标的快速切换和选取。（需提供系统截图）</w:t>
            </w:r>
          </w:p>
          <w:p w14:paraId="52E4C675">
            <w:pPr>
              <w:keepNext w:val="0"/>
              <w:keepLines w:val="0"/>
              <w:pageBreakBefore w:val="0"/>
              <w:widowControl/>
              <w:numPr>
                <w:ilvl w:val="0"/>
                <w:numId w:val="30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子系统内嵌指标管理</w:t>
            </w:r>
          </w:p>
          <w:p w14:paraId="15F8721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支持对接相关业务系统，提供业务系统指标展示</w:t>
            </w:r>
          </w:p>
        </w:tc>
      </w:tr>
      <w:tr w14:paraId="6385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5708563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7</w:t>
            </w:r>
          </w:p>
        </w:tc>
        <w:tc>
          <w:tcPr>
            <w:tcW w:w="754" w:type="dxa"/>
            <w:vMerge w:val="restart"/>
            <w:tcBorders>
              <w:tl2br w:val="nil"/>
              <w:tr2bl w:val="nil"/>
            </w:tcBorders>
            <w:noWrap w:val="0"/>
            <w:vAlign w:val="center"/>
          </w:tcPr>
          <w:p w14:paraId="35523C5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脱敏管理（新增）</w:t>
            </w:r>
          </w:p>
        </w:tc>
        <w:tc>
          <w:tcPr>
            <w:tcW w:w="6960" w:type="dxa"/>
            <w:tcBorders>
              <w:tl2br w:val="nil"/>
              <w:tr2bl w:val="nil"/>
            </w:tcBorders>
            <w:noWrap w:val="0"/>
            <w:vAlign w:val="center"/>
          </w:tcPr>
          <w:p w14:paraId="5FB2652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一、脱敏规则管理</w:t>
            </w:r>
          </w:p>
          <w:p w14:paraId="0F58826E">
            <w:pPr>
              <w:keepNext w:val="0"/>
              <w:keepLines w:val="0"/>
              <w:pageBreakBefore w:val="0"/>
              <w:widowControl/>
              <w:numPr>
                <w:ilvl w:val="0"/>
                <w:numId w:val="30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匿名脱敏规则维护</w:t>
            </w:r>
          </w:p>
          <w:p w14:paraId="7A92349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支持匿名脱敏规则新增、编辑、删除，信息包括脱敏信息、规则编码、匿名规则算法、是否启用</w:t>
            </w:r>
          </w:p>
          <w:p w14:paraId="46F267F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支持匿名信息分页查询</w:t>
            </w:r>
          </w:p>
          <w:p w14:paraId="147730E8">
            <w:pPr>
              <w:keepNext w:val="0"/>
              <w:keepLines w:val="0"/>
              <w:pageBreakBefore w:val="0"/>
              <w:widowControl/>
              <w:numPr>
                <w:ilvl w:val="0"/>
                <w:numId w:val="30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匿名脱敏算法</w:t>
            </w:r>
          </w:p>
          <w:p w14:paraId="79D917E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支持匿名脱敏算法选择设置，掩码、泛化、截断等</w:t>
            </w:r>
          </w:p>
          <w:p w14:paraId="727F1737">
            <w:pPr>
              <w:keepNext w:val="0"/>
              <w:keepLines w:val="0"/>
              <w:pageBreakBefore w:val="0"/>
              <w:widowControl/>
              <w:numPr>
                <w:ilvl w:val="0"/>
                <w:numId w:val="30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匿名脱敏应用查看</w:t>
            </w:r>
          </w:p>
          <w:p w14:paraId="1A5B720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支持使用某规则的应用数统计及名称查看</w:t>
            </w:r>
          </w:p>
        </w:tc>
      </w:tr>
      <w:tr w14:paraId="1A16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AE0B4C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359BA0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2AAA9DC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二、脱敏数据授权</w:t>
            </w:r>
          </w:p>
          <w:p w14:paraId="4AC7F0A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支持针对提交数据脱敏匿名的申请记录进行授权或拒绝</w:t>
            </w:r>
          </w:p>
          <w:p w14:paraId="10C0479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支持按应用名称、申请时间、授权情况进行检索</w:t>
            </w:r>
          </w:p>
        </w:tc>
      </w:tr>
      <w:tr w14:paraId="1E9BD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564784A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754" w:type="dxa"/>
            <w:vMerge w:val="restart"/>
            <w:tcBorders>
              <w:tl2br w:val="nil"/>
              <w:tr2bl w:val="nil"/>
            </w:tcBorders>
            <w:noWrap w:val="0"/>
            <w:vAlign w:val="center"/>
          </w:tcPr>
          <w:p w14:paraId="5F167BC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消息中心（新增）</w:t>
            </w:r>
          </w:p>
        </w:tc>
        <w:tc>
          <w:tcPr>
            <w:tcW w:w="6960" w:type="dxa"/>
            <w:tcBorders>
              <w:tl2br w:val="nil"/>
              <w:tr2bl w:val="nil"/>
            </w:tcBorders>
            <w:noWrap w:val="0"/>
            <w:vAlign w:val="center"/>
          </w:tcPr>
          <w:p w14:paraId="47CA61D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一、消息模板配置</w:t>
            </w:r>
          </w:p>
          <w:p w14:paraId="05C1D660">
            <w:pPr>
              <w:keepNext w:val="0"/>
              <w:keepLines w:val="0"/>
              <w:pageBreakBefore w:val="0"/>
              <w:widowControl/>
              <w:numPr>
                <w:ilvl w:val="0"/>
                <w:numId w:val="30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主题管理</w:t>
            </w:r>
          </w:p>
          <w:p w14:paraId="5916308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支持新增、编辑、删除主题，信息包括主题名称、编码、类型等</w:t>
            </w:r>
          </w:p>
          <w:p w14:paraId="3E026299">
            <w:pPr>
              <w:keepNext w:val="0"/>
              <w:keepLines w:val="0"/>
              <w:pageBreakBefore w:val="0"/>
              <w:widowControl/>
              <w:numPr>
                <w:ilvl w:val="0"/>
                <w:numId w:val="30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模板管理</w:t>
            </w:r>
          </w:p>
          <w:p w14:paraId="7198B6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支持新增、编辑、删除主题模板，信息包括模板名称、内容、启用状态、权重等</w:t>
            </w:r>
          </w:p>
        </w:tc>
      </w:tr>
      <w:tr w14:paraId="37F9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A413ED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BA6948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7DD4E4E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二、运行消息</w:t>
            </w:r>
          </w:p>
          <w:p w14:paraId="52CA801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支持查看运行消息记录，信息包括消息编号、主题类型、主题名称、编码、内容、权重等</w:t>
            </w:r>
          </w:p>
          <w:p w14:paraId="6D3268F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支持按主题类型、主题名称、流程、消息编号进行分页查询</w:t>
            </w:r>
          </w:p>
          <w:p w14:paraId="3343173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支持强制刷新</w:t>
            </w:r>
          </w:p>
        </w:tc>
      </w:tr>
      <w:tr w14:paraId="6342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A89D06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31F7E7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1DFE6C4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三、历史消息</w:t>
            </w:r>
          </w:p>
          <w:p w14:paraId="4C8BB4F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支持历史消息记录查看，信息包括消息编码、主题类型、主题名称、编码、内容、权重等</w:t>
            </w:r>
          </w:p>
          <w:p w14:paraId="7CD267B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支持重投历史消息</w:t>
            </w:r>
          </w:p>
          <w:p w14:paraId="6CEBD52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支持消息日志查看，包括日志编号、消息编号、流程、创建时间、信息描述等</w:t>
            </w:r>
          </w:p>
          <w:p w14:paraId="58DD542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支持按主题类型、主题名称、流程、消息编号进行检索</w:t>
            </w:r>
          </w:p>
        </w:tc>
      </w:tr>
      <w:tr w14:paraId="1EB4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BE3F0F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787C32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7530A54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四、通信组件</w:t>
            </w:r>
          </w:p>
          <w:p w14:paraId="11E00857">
            <w:pPr>
              <w:keepNext w:val="0"/>
              <w:keepLines w:val="0"/>
              <w:pageBreakBefore w:val="0"/>
              <w:widowControl/>
              <w:numPr>
                <w:ilvl w:val="0"/>
                <w:numId w:val="30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通信组管理</w:t>
            </w:r>
          </w:p>
          <w:p w14:paraId="03B752C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支持新增、编辑、删除通信组，信息包括编码、名称等</w:t>
            </w:r>
          </w:p>
          <w:p w14:paraId="783CDEC5">
            <w:pPr>
              <w:keepNext w:val="0"/>
              <w:keepLines w:val="0"/>
              <w:pageBreakBefore w:val="0"/>
              <w:widowControl/>
              <w:numPr>
                <w:ilvl w:val="0"/>
                <w:numId w:val="30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通信组成员管理</w:t>
            </w:r>
          </w:p>
          <w:p w14:paraId="0AD9332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支持维护配置通信组成员，查看成员情况</w:t>
            </w:r>
          </w:p>
        </w:tc>
      </w:tr>
      <w:tr w14:paraId="27F64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C7F48A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587CFC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60" w:type="dxa"/>
            <w:tcBorders>
              <w:tl2br w:val="nil"/>
              <w:tr2bl w:val="nil"/>
            </w:tcBorders>
            <w:noWrap w:val="0"/>
            <w:vAlign w:val="center"/>
          </w:tcPr>
          <w:p w14:paraId="7156238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五、公告配置</w:t>
            </w:r>
          </w:p>
          <w:p w14:paraId="5A4F2E8A">
            <w:pPr>
              <w:keepNext w:val="0"/>
              <w:keepLines w:val="0"/>
              <w:pageBreakBefore w:val="0"/>
              <w:widowControl/>
              <w:numPr>
                <w:ilvl w:val="0"/>
                <w:numId w:val="30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公告配置管理</w:t>
            </w:r>
          </w:p>
          <w:p w14:paraId="282CFF3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支持新增、编辑、删除公告记录，内容包括公告标题、类型、内容、发布单位、发布日期等</w:t>
            </w:r>
          </w:p>
          <w:p w14:paraId="1F51B41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支持快捷复制某公告信息进行新增</w:t>
            </w:r>
          </w:p>
          <w:p w14:paraId="4B97B65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支持撤回某发布公告</w:t>
            </w:r>
          </w:p>
          <w:p w14:paraId="1EDFC2F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支持按截止时间、公告类型、状态进行检索</w:t>
            </w:r>
          </w:p>
          <w:p w14:paraId="0C0F2695">
            <w:pPr>
              <w:keepNext w:val="0"/>
              <w:keepLines w:val="0"/>
              <w:pageBreakBefore w:val="0"/>
              <w:widowControl/>
              <w:numPr>
                <w:ilvl w:val="0"/>
                <w:numId w:val="30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公告下发维护</w:t>
            </w:r>
          </w:p>
          <w:p w14:paraId="277D741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支持对未发布的公告进行下发，选择下发人员进行发布</w:t>
            </w:r>
          </w:p>
          <w:p w14:paraId="7150C12D">
            <w:pPr>
              <w:keepNext w:val="0"/>
              <w:keepLines w:val="0"/>
              <w:pageBreakBefore w:val="0"/>
              <w:widowControl/>
              <w:numPr>
                <w:ilvl w:val="0"/>
                <w:numId w:val="30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公告接收情况</w:t>
            </w:r>
          </w:p>
          <w:p w14:paraId="064D76E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支持对已发布的公告接收人员接收情况详情查看</w:t>
            </w:r>
          </w:p>
        </w:tc>
      </w:tr>
    </w:tbl>
    <w:p w14:paraId="61E15727">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18D30106">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大模型组件(新建)</w:t>
      </w:r>
    </w:p>
    <w:tbl>
      <w:tblPr>
        <w:tblStyle w:val="13"/>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4"/>
        <w:gridCol w:w="754"/>
        <w:gridCol w:w="7564"/>
      </w:tblGrid>
      <w:tr w14:paraId="12D4F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1ED8536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0"/>
            <w:vAlign w:val="center"/>
          </w:tcPr>
          <w:p w14:paraId="3BA2DB5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模块</w:t>
            </w:r>
          </w:p>
        </w:tc>
        <w:tc>
          <w:tcPr>
            <w:tcW w:w="7564" w:type="dxa"/>
            <w:tcBorders>
              <w:tl2br w:val="nil"/>
              <w:tr2bl w:val="nil"/>
            </w:tcBorders>
            <w:noWrap w:val="0"/>
            <w:vAlign w:val="center"/>
          </w:tcPr>
          <w:p w14:paraId="04EBAB78">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功能及技术参数</w:t>
            </w:r>
          </w:p>
        </w:tc>
      </w:tr>
      <w:tr w14:paraId="316BF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52F25D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2D14710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restart"/>
            <w:tcBorders>
              <w:tl2br w:val="nil"/>
              <w:tr2bl w:val="nil"/>
            </w:tcBorders>
            <w:noWrap w:val="0"/>
            <w:vAlign w:val="center"/>
          </w:tcPr>
          <w:p w14:paraId="0E1E9FE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智能AI</w:t>
            </w:r>
          </w:p>
        </w:tc>
        <w:tc>
          <w:tcPr>
            <w:tcW w:w="7564" w:type="dxa"/>
            <w:tcBorders>
              <w:tl2br w:val="nil"/>
              <w:tr2bl w:val="nil"/>
            </w:tcBorders>
            <w:noWrap w:val="0"/>
            <w:vAlign w:val="center"/>
          </w:tcPr>
          <w:p w14:paraId="035916A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一、智能AI机器人</w:t>
            </w:r>
          </w:p>
          <w:p w14:paraId="7D23FE7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1.AI机器人对话框</w:t>
            </w:r>
          </w:p>
          <w:p w14:paraId="3EC44CE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支持独立AI机器人入口，可进行各系统功能集成，提供消息、系统、页面等集成接口。（需提供系统截图）</w:t>
            </w:r>
          </w:p>
          <w:p w14:paraId="06CA0B1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支持提供聊天对话模式，与智能AI机器人交互沟通，执行用户的需求任务。</w:t>
            </w:r>
          </w:p>
        </w:tc>
      </w:tr>
      <w:tr w14:paraId="77306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196A23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12DC5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64" w:type="dxa"/>
            <w:tcBorders>
              <w:tl2br w:val="nil"/>
              <w:tr2bl w:val="nil"/>
            </w:tcBorders>
            <w:noWrap w:val="0"/>
            <w:vAlign w:val="center"/>
          </w:tcPr>
          <w:p w14:paraId="39AFC34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二、智能导航</w:t>
            </w:r>
          </w:p>
          <w:p w14:paraId="61407378">
            <w:pPr>
              <w:keepNext w:val="0"/>
              <w:keepLines w:val="0"/>
              <w:pageBreakBefore w:val="0"/>
              <w:widowControl/>
              <w:numPr>
                <w:ilvl w:val="0"/>
                <w:numId w:val="30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历史记录</w:t>
            </w:r>
          </w:p>
          <w:p w14:paraId="05D1284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对当前账号的历史对话进行记录</w:t>
            </w:r>
          </w:p>
          <w:p w14:paraId="6331527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支持记录询问的问题与时间，可快速查询历史结果</w:t>
            </w:r>
          </w:p>
          <w:p w14:paraId="2B78F2A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支持历史记录的展开与收起</w:t>
            </w:r>
          </w:p>
          <w:p w14:paraId="5AB3A07D">
            <w:pPr>
              <w:keepNext w:val="0"/>
              <w:keepLines w:val="0"/>
              <w:pageBreakBefore w:val="0"/>
              <w:widowControl/>
              <w:numPr>
                <w:ilvl w:val="0"/>
                <w:numId w:val="30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新建对话</w:t>
            </w:r>
          </w:p>
          <w:p w14:paraId="7A0112F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支持在当前对话模式下，新建对话环境，重新与智能导航建立交互逻辑。</w:t>
            </w:r>
          </w:p>
          <w:p w14:paraId="6C3E552F">
            <w:pPr>
              <w:keepNext w:val="0"/>
              <w:keepLines w:val="0"/>
              <w:pageBreakBefore w:val="0"/>
              <w:widowControl/>
              <w:numPr>
                <w:ilvl w:val="0"/>
                <w:numId w:val="30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智能询问</w:t>
            </w:r>
          </w:p>
          <w:p w14:paraId="2C5BE37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支持相似度查询，用户询问关于全民健康信息平台中的系统、菜单、指标定位</w:t>
            </w:r>
          </w:p>
          <w:p w14:paraId="07D74E0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支持友好提示，如果没有对应的菜单、系统或当前账号没有该部分的菜单权限，AI机器人将返回友好提示</w:t>
            </w:r>
          </w:p>
          <w:p w14:paraId="32B1B1A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支持精准定位，能够将用户需要查询内容精准定为到当前对话询问中，提供最准确的服务。</w:t>
            </w:r>
          </w:p>
          <w:p w14:paraId="553A207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支持重新回答，如对当前机器人回答的内容不满意，可要求AI机器人重新对当前的问题进行解答。</w:t>
            </w:r>
          </w:p>
          <w:p w14:paraId="2378EBAB">
            <w:pPr>
              <w:keepNext w:val="0"/>
              <w:keepLines w:val="0"/>
              <w:pageBreakBefore w:val="0"/>
              <w:widowControl/>
              <w:numPr>
                <w:ilvl w:val="0"/>
                <w:numId w:val="30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导航路径</w:t>
            </w:r>
          </w:p>
          <w:p w14:paraId="688A78D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支持AI反馈相似度最高的导航路径</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支持在智能导航中输入需要查找的功能菜单关键词，自动答复相应的菜单路径，并支持点击路径直接跳转至对应功能模块。</w:t>
            </w:r>
          </w:p>
          <w:p w14:paraId="26B206CB">
            <w:pPr>
              <w:keepNext w:val="0"/>
              <w:keepLines w:val="0"/>
              <w:pageBreakBefore w:val="0"/>
              <w:widowControl/>
              <w:numPr>
                <w:ilvl w:val="0"/>
                <w:numId w:val="30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智能导航栏</w:t>
            </w:r>
          </w:p>
          <w:p w14:paraId="69D4472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支持在门户框架上拥有独立的智能导航入口，包括跳转至内部系统后，需要在门户导航中拥有入口。</w:t>
            </w:r>
          </w:p>
          <w:p w14:paraId="784D2B79">
            <w:pPr>
              <w:keepNext w:val="0"/>
              <w:keepLines w:val="0"/>
              <w:pageBreakBefore w:val="0"/>
              <w:widowControl/>
              <w:numPr>
                <w:ilvl w:val="0"/>
                <w:numId w:val="30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语音输入</w:t>
            </w:r>
          </w:p>
          <w:p w14:paraId="50E71D1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支持自动语音识别（ASR）技术将用户的语音转换为文本数据</w:t>
            </w:r>
          </w:p>
          <w:p w14:paraId="4D66505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支持自然语言处理（NLP）模块解析和理解其含义。</w:t>
            </w:r>
          </w:p>
          <w:p w14:paraId="612B28E0">
            <w:pPr>
              <w:keepNext w:val="0"/>
              <w:keepLines w:val="0"/>
              <w:pageBreakBefore w:val="0"/>
              <w:widowControl/>
              <w:numPr>
                <w:ilvl w:val="0"/>
                <w:numId w:val="30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智能推荐</w:t>
            </w:r>
          </w:p>
          <w:p w14:paraId="4A73E51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支持智能推荐常用的菜单、系统，可快速跳转至对应的菜单。</w:t>
            </w:r>
          </w:p>
        </w:tc>
      </w:tr>
      <w:tr w14:paraId="327D6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B4E8D1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CCA568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64" w:type="dxa"/>
            <w:tcBorders>
              <w:tl2br w:val="nil"/>
              <w:tr2bl w:val="nil"/>
            </w:tcBorders>
            <w:noWrap w:val="0"/>
            <w:vAlign w:val="center"/>
          </w:tcPr>
          <w:p w14:paraId="53C7EBB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三、智能SQL</w:t>
            </w:r>
          </w:p>
          <w:p w14:paraId="54AA3D30">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历史对话</w:t>
            </w:r>
          </w:p>
          <w:p w14:paraId="60EBDA3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支持对历史查询的对话进行保留</w:t>
            </w:r>
          </w:p>
          <w:p w14:paraId="14F080C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支持对每个会话进行编辑或者删除，自由管理会话功能。</w:t>
            </w:r>
          </w:p>
          <w:p w14:paraId="66C7CE05">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我的收藏</w:t>
            </w:r>
          </w:p>
          <w:p w14:paraId="0B19B8C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支持对需要的智能SQL语句进行收藏。</w:t>
            </w:r>
          </w:p>
          <w:p w14:paraId="1BFBE44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支持编辑SQL的标题名称。</w:t>
            </w:r>
          </w:p>
          <w:p w14:paraId="60B3804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支持对已收藏的SQL内容可取消收藏。</w:t>
            </w:r>
          </w:p>
          <w:p w14:paraId="4D6678D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支持对SQL进行修改或执行等操作。</w:t>
            </w:r>
          </w:p>
          <w:p w14:paraId="344F3BAF">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新建对话</w:t>
            </w:r>
          </w:p>
          <w:p w14:paraId="2FAFDDA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支持在当前对话模式下，新建对话环境，重新与智能SQL建立交互逻辑。</w:t>
            </w:r>
          </w:p>
          <w:p w14:paraId="764CA343">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智能询问</w:t>
            </w:r>
          </w:p>
          <w:p w14:paraId="3FBD905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支持在全库范围内，可跨库查询不同业务下的具体内容。</w:t>
            </w:r>
          </w:p>
          <w:p w14:paraId="14DDF16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支持智能SQL工具通过先进的语义解析技术，能够理解用户的自然语言查询请求，并将其转换为正确的SQL查询语句并执行。（需提供系统截图）</w:t>
            </w:r>
          </w:p>
          <w:p w14:paraId="1085A34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支持智能SQL将用户提问进行分析后，形成对应的分析内容，进行流式输出</w:t>
            </w:r>
          </w:p>
          <w:p w14:paraId="768A137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支持智能SQL会对执行后的数据进行分析，对应生成更加合适的结果展示，以文本形式或图表形式。</w:t>
            </w:r>
          </w:p>
          <w:p w14:paraId="4705DB5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支持上下文联想。</w:t>
            </w:r>
          </w:p>
          <w:p w14:paraId="0533323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支持重新回答，如对当前机器人回答的内容不满意，可要求AI机器人重新对当前的问题进行解答。</w:t>
            </w:r>
          </w:p>
          <w:p w14:paraId="3B22903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支持对回答的文本内容进行复制。</w:t>
            </w:r>
          </w:p>
          <w:p w14:paraId="4F87F99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支持对SQL编辑展示、图表展示或收起操作。</w:t>
            </w:r>
          </w:p>
          <w:p w14:paraId="26DD7343">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停止输出</w:t>
            </w:r>
          </w:p>
          <w:p w14:paraId="142660D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支持对当前智能SQL回答的内容不满意，自由暂停流式输出操作。</w:t>
            </w:r>
          </w:p>
          <w:p w14:paraId="2F506A34">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智能语音输入</w:t>
            </w:r>
          </w:p>
          <w:p w14:paraId="039641F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支持自动语音识别（ASR）技术将用户的语音转换为文本数据</w:t>
            </w:r>
          </w:p>
          <w:p w14:paraId="6267330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支持自然语言处理（NLP）模块解析和理解其含义。</w:t>
            </w:r>
          </w:p>
          <w:p w14:paraId="6D159BB8">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SQL书写</w:t>
            </w:r>
          </w:p>
          <w:p w14:paraId="45CDDE6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支持对生成的SQL进行编辑修改</w:t>
            </w:r>
          </w:p>
          <w:p w14:paraId="480B6C03">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SQL复制</w:t>
            </w:r>
          </w:p>
          <w:p w14:paraId="5650177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支持对当前的SQL内容进行复制操作</w:t>
            </w:r>
          </w:p>
          <w:p w14:paraId="3584BC3E">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SQL执行</w:t>
            </w:r>
          </w:p>
          <w:p w14:paraId="0952AC7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支持对编辑后的SQL进行执行操作</w:t>
            </w:r>
          </w:p>
          <w:p w14:paraId="499C5582">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SQL放大</w:t>
            </w:r>
          </w:p>
          <w:p w14:paraId="7665C84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支持放大SQL编辑页面</w:t>
            </w:r>
          </w:p>
          <w:p w14:paraId="32C1C035">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问题联想</w:t>
            </w:r>
          </w:p>
          <w:p w14:paraId="1489CA7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支持对当前对话结果进行问题联想</w:t>
            </w:r>
          </w:p>
          <w:p w14:paraId="37633F28">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纳入AI知识库</w:t>
            </w:r>
          </w:p>
          <w:p w14:paraId="3A8015A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支持用户调整最优的SQL内容，纳入智能SQL知识库。</w:t>
            </w:r>
          </w:p>
          <w:p w14:paraId="542D8448">
            <w:pPr>
              <w:keepNext w:val="0"/>
              <w:keepLines w:val="0"/>
              <w:pageBreakBefore w:val="0"/>
              <w:widowControl/>
              <w:numPr>
                <w:ilvl w:val="0"/>
                <w:numId w:val="30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数据脱敏</w:t>
            </w:r>
          </w:p>
          <w:p w14:paraId="10E425E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支持敏感信息进行脱敏，包括姓名、身份证、联系方式、地址等。</w:t>
            </w:r>
          </w:p>
        </w:tc>
      </w:tr>
      <w:tr w14:paraId="17F4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8CFD4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6DDDFE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64" w:type="dxa"/>
            <w:tcBorders>
              <w:tl2br w:val="nil"/>
              <w:tr2bl w:val="nil"/>
            </w:tcBorders>
            <w:noWrap w:val="0"/>
            <w:vAlign w:val="center"/>
          </w:tcPr>
          <w:p w14:paraId="6BCF358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四、智能BI</w:t>
            </w:r>
          </w:p>
          <w:p w14:paraId="6527C065">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历史对话</w:t>
            </w:r>
          </w:p>
          <w:p w14:paraId="170F54E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支持对历史查询的对话进行保留</w:t>
            </w:r>
          </w:p>
          <w:p w14:paraId="720F67E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支持对每个会话进行编辑或者删除，自由管理会话功能。</w:t>
            </w:r>
          </w:p>
          <w:p w14:paraId="7CA87373">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我的收藏</w:t>
            </w:r>
          </w:p>
          <w:p w14:paraId="0C01F18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支持对智能BI语句进行收藏。</w:t>
            </w:r>
          </w:p>
          <w:p w14:paraId="2331E97E">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支持编辑智能BI的标题名称。</w:t>
            </w:r>
          </w:p>
          <w:p w14:paraId="57ECE52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支持对已收藏的智能BI内容可取消收藏。</w:t>
            </w:r>
          </w:p>
          <w:p w14:paraId="0D4D7AF8">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新建对话</w:t>
            </w:r>
          </w:p>
          <w:p w14:paraId="372C039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支持在当前对话模式下，新建对话环境，重新与智能BI建立交互逻辑。</w:t>
            </w:r>
          </w:p>
          <w:p w14:paraId="2C1F6EEC">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智能询问</w:t>
            </w:r>
          </w:p>
          <w:p w14:paraId="2828A67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支持智能BI通过先进的语义解析技术，能够理解用户的自然语言查询请求，并将其转换为正确的指标查询语句并执行。</w:t>
            </w:r>
          </w:p>
          <w:p w14:paraId="79A2733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支持智能BI会对执行后的数据进行分析，对应生成更加合适的结果展示，以文本形式或图表形式。</w:t>
            </w:r>
          </w:p>
          <w:p w14:paraId="3490F7B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支持上下文联想。</w:t>
            </w:r>
          </w:p>
          <w:p w14:paraId="432908F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支持重新回答，如对当前机器人回答的内容不满意，可要求AI机器人重新对当前的问题进行解答。</w:t>
            </w:r>
          </w:p>
          <w:p w14:paraId="6F65906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支持对回答的文本内容进行复制。</w:t>
            </w:r>
          </w:p>
          <w:p w14:paraId="7967E724">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停止输出</w:t>
            </w:r>
          </w:p>
          <w:p w14:paraId="6A001D0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支持对当前智能BI回答的内容不满意，自由暂停流式输出操作。</w:t>
            </w:r>
          </w:p>
          <w:p w14:paraId="10CECFD7">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智能语音输入</w:t>
            </w:r>
          </w:p>
          <w:p w14:paraId="1A5F706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支持自动语音识别（ASR）技术将用户的语音转换为文本数据</w:t>
            </w:r>
          </w:p>
          <w:p w14:paraId="03E8A5A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支持自然语言处理（NLP）模块解析和理解其含义。</w:t>
            </w:r>
          </w:p>
          <w:p w14:paraId="5645798D">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图表展示</w:t>
            </w:r>
          </w:p>
          <w:p w14:paraId="3FDE628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支持针对生成的指标数据，自动生成多个样式的图表</w:t>
            </w:r>
          </w:p>
          <w:p w14:paraId="1C23586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支持自行选择最合适的图表进行下载或导出操作。</w:t>
            </w:r>
          </w:p>
          <w:p w14:paraId="5E87B27F">
            <w:pPr>
              <w:keepNext w:val="0"/>
              <w:keepLines w:val="0"/>
              <w:pageBreakBefore w:val="0"/>
              <w:widowControl/>
              <w:numPr>
                <w:ilvl w:val="0"/>
                <w:numId w:val="30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对接医院运行管理系统生成主题分析</w:t>
            </w:r>
          </w:p>
          <w:p w14:paraId="0547E45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支持与医院运行管理系统对接</w:t>
            </w:r>
          </w:p>
          <w:p w14:paraId="0530052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支持当前对话中的查询数据自动填充至主题分析功能，完善基础功能后进行主题发布。</w:t>
            </w:r>
          </w:p>
        </w:tc>
      </w:tr>
      <w:tr w14:paraId="2FE49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02B180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803B4C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64" w:type="dxa"/>
            <w:tcBorders>
              <w:tl2br w:val="nil"/>
              <w:tr2bl w:val="nil"/>
            </w:tcBorders>
            <w:noWrap w:val="0"/>
            <w:vAlign w:val="center"/>
          </w:tcPr>
          <w:p w14:paraId="4DCB097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五、智能客服</w:t>
            </w:r>
          </w:p>
          <w:p w14:paraId="3FED648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1、智能客服AI机器人</w:t>
            </w:r>
          </w:p>
          <w:p w14:paraId="7B985E7F">
            <w:pPr>
              <w:keepNext w:val="0"/>
              <w:keepLines w:val="0"/>
              <w:pageBreakBefore w:val="0"/>
              <w:widowControl/>
              <w:numPr>
                <w:ilvl w:val="0"/>
                <w:numId w:val="30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历史对话</w:t>
            </w:r>
          </w:p>
          <w:p w14:paraId="2FB8111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对当前账号的历史对话进行记录</w:t>
            </w:r>
          </w:p>
          <w:p w14:paraId="3A8BE75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支持记录询问的问题与时间，可快速查询历史结果</w:t>
            </w:r>
          </w:p>
          <w:p w14:paraId="652F901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支持历史记录的展开与收起</w:t>
            </w:r>
          </w:p>
          <w:p w14:paraId="7CD3CD25">
            <w:pPr>
              <w:keepNext w:val="0"/>
              <w:keepLines w:val="0"/>
              <w:pageBreakBefore w:val="0"/>
              <w:widowControl/>
              <w:numPr>
                <w:ilvl w:val="0"/>
                <w:numId w:val="30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新建对话</w:t>
            </w:r>
          </w:p>
          <w:p w14:paraId="2A35E4A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支持在当前对话模式下，新建对话环境，重新与智能客服建立交互逻辑。</w:t>
            </w:r>
          </w:p>
          <w:p w14:paraId="3129989A">
            <w:pPr>
              <w:keepNext w:val="0"/>
              <w:keepLines w:val="0"/>
              <w:pageBreakBefore w:val="0"/>
              <w:widowControl/>
              <w:numPr>
                <w:ilvl w:val="0"/>
                <w:numId w:val="30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智能询问</w:t>
            </w:r>
          </w:p>
          <w:p w14:paraId="7533B98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支持相似度查询，用户询问关于任何客服系统知识库范围内的问题时，智能客服可通过语义分析理解分析用户询问的问题，自动生成对应的答案进行反馈。</w:t>
            </w:r>
          </w:p>
          <w:p w14:paraId="3FCA3FF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支持重新回答，如对当前智能客服回答的内容不满意，可要求重新对当前的问题进行解答。</w:t>
            </w:r>
          </w:p>
          <w:p w14:paraId="3CC26557">
            <w:pPr>
              <w:keepNext w:val="0"/>
              <w:keepLines w:val="0"/>
              <w:pageBreakBefore w:val="0"/>
              <w:widowControl/>
              <w:numPr>
                <w:ilvl w:val="0"/>
                <w:numId w:val="30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智能语音输入</w:t>
            </w:r>
          </w:p>
          <w:p w14:paraId="135A334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支持自动语音识别（ASR）技术将用户的语音转换为文本数据</w:t>
            </w:r>
          </w:p>
          <w:p w14:paraId="3423954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支持自然语言处理（NLP）模块解析和理解其含义。</w:t>
            </w:r>
          </w:p>
          <w:p w14:paraId="271FE2FC">
            <w:pPr>
              <w:keepNext w:val="0"/>
              <w:keepLines w:val="0"/>
              <w:pageBreakBefore w:val="0"/>
              <w:widowControl/>
              <w:numPr>
                <w:ilvl w:val="0"/>
                <w:numId w:val="30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停止输出</w:t>
            </w:r>
          </w:p>
          <w:p w14:paraId="6305CC9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支持对当前智能客服回答的内容不满意，自由暂停流式输出操作。</w:t>
            </w:r>
          </w:p>
          <w:p w14:paraId="297BF45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2、智能客服后台管理</w:t>
            </w:r>
          </w:p>
          <w:p w14:paraId="6B6F3F32">
            <w:pPr>
              <w:keepNext w:val="0"/>
              <w:keepLines w:val="0"/>
              <w:pageBreakBefore w:val="0"/>
              <w:widowControl/>
              <w:numPr>
                <w:ilvl w:val="0"/>
                <w:numId w:val="31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知识库建设</w:t>
            </w:r>
          </w:p>
          <w:p w14:paraId="7847661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支持上传word、Excel、pdf等不同形式的文档后，通过智能AI对于文档智能分析</w:t>
            </w:r>
          </w:p>
          <w:p w14:paraId="652F6C6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支持智能AI对内容进行提取</w:t>
            </w:r>
          </w:p>
          <w:p w14:paraId="246660A1">
            <w:pPr>
              <w:keepNext w:val="0"/>
              <w:keepLines w:val="0"/>
              <w:pageBreakBefore w:val="0"/>
              <w:widowControl/>
              <w:numPr>
                <w:ilvl w:val="0"/>
                <w:numId w:val="31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分类查询管理</w:t>
            </w:r>
          </w:p>
          <w:p w14:paraId="7211C67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支持对上传的文档进行分类标签管理</w:t>
            </w:r>
          </w:p>
          <w:p w14:paraId="258487D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支持通过上传时间、文档分类、文件类型或者文档名称进行搜索</w:t>
            </w:r>
          </w:p>
          <w:p w14:paraId="4967C99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支持对不同的文件提供下载功能，便于用户进行二次维护，由用户调整完成后可再次上传。</w:t>
            </w:r>
          </w:p>
          <w:p w14:paraId="2C83A90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支持对文档进行类型调整、文档命名调整、删除等维护。</w:t>
            </w:r>
          </w:p>
          <w:p w14:paraId="2F0A662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支持批量对文档分类管理调整</w:t>
            </w:r>
          </w:p>
          <w:p w14:paraId="0B8B8A05">
            <w:pPr>
              <w:keepNext w:val="0"/>
              <w:keepLines w:val="0"/>
              <w:pageBreakBefore w:val="0"/>
              <w:widowControl/>
              <w:numPr>
                <w:ilvl w:val="0"/>
                <w:numId w:val="31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知识库预览</w:t>
            </w:r>
          </w:p>
          <w:p w14:paraId="51AD604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支持知识库预览查看</w:t>
            </w:r>
          </w:p>
        </w:tc>
      </w:tr>
      <w:tr w14:paraId="20FD3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397D2C4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2</w:t>
            </w:r>
          </w:p>
        </w:tc>
        <w:tc>
          <w:tcPr>
            <w:tcW w:w="754" w:type="dxa"/>
            <w:vMerge w:val="restart"/>
            <w:tcBorders>
              <w:tl2br w:val="nil"/>
              <w:tr2bl w:val="nil"/>
            </w:tcBorders>
            <w:noWrap w:val="0"/>
            <w:vAlign w:val="center"/>
          </w:tcPr>
          <w:p w14:paraId="2B6B25B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模型分析服务</w:t>
            </w:r>
          </w:p>
        </w:tc>
        <w:tc>
          <w:tcPr>
            <w:tcW w:w="7564" w:type="dxa"/>
            <w:tcBorders>
              <w:tl2br w:val="nil"/>
              <w:tr2bl w:val="nil"/>
            </w:tcBorders>
            <w:noWrap w:val="0"/>
            <w:vAlign w:val="center"/>
          </w:tcPr>
          <w:p w14:paraId="554503DD">
            <w:pPr>
              <w:keepNext w:val="0"/>
              <w:keepLines w:val="0"/>
              <w:pageBreakBefore w:val="0"/>
              <w:widowControl/>
              <w:numPr>
                <w:ilvl w:val="0"/>
                <w:numId w:val="31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主索引分析模型</w:t>
            </w:r>
          </w:p>
          <w:p w14:paraId="1E184AA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需具备利用大数据技术分析主数据各属性的饱和度及唯一率的技术，通过筛选出满足要求的饱和度，结合信息熵理论结合分层累加方式确定各属性所能代表数据维度的信息度量，进一步得到基于平台的权重因子。</w:t>
            </w:r>
          </w:p>
        </w:tc>
      </w:tr>
      <w:tr w14:paraId="44D1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FE449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0502E1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64" w:type="dxa"/>
            <w:tcBorders>
              <w:tl2br w:val="nil"/>
              <w:tr2bl w:val="nil"/>
            </w:tcBorders>
            <w:noWrap w:val="0"/>
            <w:vAlign w:val="center"/>
          </w:tcPr>
          <w:p w14:paraId="58947C24">
            <w:pPr>
              <w:keepNext w:val="0"/>
              <w:keepLines w:val="0"/>
              <w:pageBreakBefore w:val="0"/>
              <w:widowControl/>
              <w:numPr>
                <w:ilvl w:val="0"/>
                <w:numId w:val="31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数据智能映射模型</w:t>
            </w:r>
          </w:p>
          <w:p w14:paraId="2089BBA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科室数据智能映射模型的构建，基于平台科室数据及机构端历史科室匹配记录，利用NLP模型构建科室深度学习模型，针对机构端科室数据，利用快速获取召回模型，再利用深度学习模型实现与平台科室数据的精准匹配。</w:t>
            </w:r>
          </w:p>
          <w:p w14:paraId="372A4F9E">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药品数据智能映射模型的构建，基于搭建的药品知识库，利用转换系数分层，权重系数分类的规则与NLP模型，结合药品名称、厂家名称、规格、剂型、最小包装单位等关键属性，将机构端药品数据与平台端药品进行精准匹配，实现药品“一品一规”。</w:t>
            </w:r>
          </w:p>
          <w:p w14:paraId="7B09BA8E">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诊断数据智能映射模型的构建，基于ICD编码和名称，构建字典树和快速召回模型，通过算法获取相似召回集，再进一步基于NLP训练深度学习模型，预测出最相似的标准诊断文本。利用该模型与算法，实现机构端诊断与平台诊断快速建立对应关系。</w:t>
            </w:r>
          </w:p>
          <w:p w14:paraId="6A2A978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值域数据智能映射模型的构建，利用各类字典数据动态生成各类型字典的NLP模型，然后根据汇聚的机构值域内容，利用快速召回模型构建数据召回集，后利用莱文斯坦距离得到最相似的中心值域，建立机构值域与中心值域的对应关系。</w:t>
            </w:r>
          </w:p>
        </w:tc>
      </w:tr>
      <w:tr w14:paraId="4D4D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646A1B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2ECCDA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64" w:type="dxa"/>
            <w:tcBorders>
              <w:tl2br w:val="nil"/>
              <w:tr2bl w:val="nil"/>
            </w:tcBorders>
            <w:noWrap w:val="0"/>
            <w:vAlign w:val="center"/>
          </w:tcPr>
          <w:p w14:paraId="67B5E738">
            <w:pPr>
              <w:keepNext w:val="0"/>
              <w:keepLines w:val="0"/>
              <w:pageBreakBefore w:val="0"/>
              <w:widowControl/>
              <w:numPr>
                <w:ilvl w:val="0"/>
                <w:numId w:val="31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语音识别模型</w:t>
            </w:r>
          </w:p>
          <w:p w14:paraId="63C8CA2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自然语义、语音交互。通过分析并理解用户输入的自然语言文本，完成意图识别、实体识别、关系抽取等传统NLP任务，并结合大模型实现本地知识库的增强检索。支持微调ASR模型，支持热词动态填充，实现准确、高效的语音识别功能。</w:t>
            </w:r>
          </w:p>
        </w:tc>
      </w:tr>
      <w:tr w14:paraId="44AB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A3F989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6B52CA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64" w:type="dxa"/>
            <w:tcBorders>
              <w:tl2br w:val="nil"/>
              <w:tr2bl w:val="nil"/>
            </w:tcBorders>
            <w:noWrap w:val="0"/>
            <w:vAlign w:val="center"/>
          </w:tcPr>
          <w:p w14:paraId="13AC9325">
            <w:pPr>
              <w:keepNext w:val="0"/>
              <w:keepLines w:val="0"/>
              <w:pageBreakBefore w:val="0"/>
              <w:widowControl/>
              <w:numPr>
                <w:ilvl w:val="0"/>
                <w:numId w:val="31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大语言模型</w:t>
            </w:r>
          </w:p>
          <w:p w14:paraId="1685660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具有建立生成式人工智能应用（AIGC）的技术能力。通过算法、模型、规则生成文本、图片、声音、视频、代码等内容，学习大规模数据集生成原创性内容的新型人工智能。支持大模型本地私有化部署，并结合本地各类文档、数据构建多样化智能应用服务。</w:t>
            </w:r>
          </w:p>
        </w:tc>
      </w:tr>
    </w:tbl>
    <w:p w14:paraId="3EAAF491">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79877D2">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短信中转平台(改造</w:t>
      </w:r>
    </w:p>
    <w:tbl>
      <w:tblPr>
        <w:tblStyle w:val="13"/>
        <w:tblW w:w="4998" w:type="pct"/>
        <w:tblInd w:w="0" w:type="dxa"/>
        <w:tblLayout w:type="autofit"/>
        <w:tblCellMar>
          <w:top w:w="0" w:type="dxa"/>
          <w:left w:w="108" w:type="dxa"/>
          <w:bottom w:w="0" w:type="dxa"/>
          <w:right w:w="108" w:type="dxa"/>
        </w:tblCellMar>
      </w:tblPr>
      <w:tblGrid>
        <w:gridCol w:w="779"/>
        <w:gridCol w:w="780"/>
        <w:gridCol w:w="6960"/>
      </w:tblGrid>
      <w:tr w14:paraId="530E5D60">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0"/>
            <w:vAlign w:val="center"/>
          </w:tcPr>
          <w:p w14:paraId="7BE4CB6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9BFC95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模块</w:t>
            </w:r>
          </w:p>
        </w:tc>
        <w:tc>
          <w:tcPr>
            <w:tcW w:w="6730" w:type="dxa"/>
            <w:tcBorders>
              <w:top w:val="single" w:color="000000" w:sz="4" w:space="0"/>
              <w:left w:val="single" w:color="000000" w:sz="4" w:space="0"/>
              <w:right w:val="single" w:color="000000" w:sz="4" w:space="0"/>
            </w:tcBorders>
            <w:noWrap w:val="0"/>
            <w:vAlign w:val="center"/>
          </w:tcPr>
          <w:p w14:paraId="1E25EFC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功能及技术参数</w:t>
            </w:r>
          </w:p>
        </w:tc>
      </w:tr>
      <w:tr w14:paraId="4243508B">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right w:val="single" w:color="000000" w:sz="4" w:space="0"/>
            </w:tcBorders>
            <w:noWrap w:val="0"/>
            <w:vAlign w:val="center"/>
          </w:tcPr>
          <w:p w14:paraId="138C275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074F13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消息推送</w:t>
            </w:r>
          </w:p>
        </w:tc>
        <w:tc>
          <w:tcPr>
            <w:tcW w:w="6730" w:type="dxa"/>
            <w:tcBorders>
              <w:top w:val="single" w:color="000000" w:sz="4" w:space="0"/>
              <w:left w:val="single" w:color="000000" w:sz="4" w:space="0"/>
              <w:right w:val="single" w:color="000000" w:sz="4" w:space="0"/>
            </w:tcBorders>
            <w:noWrap w:val="0"/>
            <w:vAlign w:val="center"/>
          </w:tcPr>
          <w:p w14:paraId="242C64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一、短信任务推送</w:t>
            </w:r>
          </w:p>
          <w:p w14:paraId="084BE05F">
            <w:pPr>
              <w:keepNext w:val="0"/>
              <w:keepLines w:val="0"/>
              <w:pageBreakBefore w:val="0"/>
              <w:widowControl/>
              <w:numPr>
                <w:ilvl w:val="0"/>
                <w:numId w:val="31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自定义模板</w:t>
            </w:r>
          </w:p>
          <w:p w14:paraId="1C8472C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支持选择自定义的任务模板</w:t>
            </w:r>
          </w:p>
          <w:p w14:paraId="1CE67446">
            <w:pPr>
              <w:keepNext w:val="0"/>
              <w:keepLines w:val="0"/>
              <w:pageBreakBefore w:val="0"/>
              <w:widowControl/>
              <w:numPr>
                <w:ilvl w:val="0"/>
                <w:numId w:val="31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消息单发</w:t>
            </w:r>
          </w:p>
          <w:p w14:paraId="3243AC9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支持发送单独消息</w:t>
            </w:r>
          </w:p>
          <w:p w14:paraId="276A1791">
            <w:pPr>
              <w:keepNext w:val="0"/>
              <w:keepLines w:val="0"/>
              <w:pageBreakBefore w:val="0"/>
              <w:widowControl/>
              <w:numPr>
                <w:ilvl w:val="0"/>
                <w:numId w:val="31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消息群发</w:t>
            </w:r>
          </w:p>
          <w:p w14:paraId="6E8E1AC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支持发送群体消息</w:t>
            </w:r>
          </w:p>
          <w:p w14:paraId="5217E6F7">
            <w:pPr>
              <w:keepNext w:val="0"/>
              <w:keepLines w:val="0"/>
              <w:pageBreakBefore w:val="0"/>
              <w:widowControl/>
              <w:numPr>
                <w:ilvl w:val="0"/>
                <w:numId w:val="31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自定义发送策略</w:t>
            </w:r>
          </w:p>
          <w:p w14:paraId="0DD0377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支持为每次任务设置最多5个定时，发送定时消息</w:t>
            </w:r>
          </w:p>
        </w:tc>
      </w:tr>
      <w:tr w14:paraId="0F8880C0">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000000" w:sz="4" w:space="0"/>
              <w:right w:val="single" w:color="000000" w:sz="4" w:space="0"/>
            </w:tcBorders>
            <w:noWrap w:val="0"/>
            <w:vAlign w:val="center"/>
          </w:tcPr>
          <w:p w14:paraId="2BB8F26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8C9177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草稿箱</w:t>
            </w:r>
          </w:p>
        </w:tc>
        <w:tc>
          <w:tcPr>
            <w:tcW w:w="6730" w:type="dxa"/>
            <w:tcBorders>
              <w:top w:val="single" w:color="000000" w:sz="4" w:space="0"/>
              <w:left w:val="single" w:color="000000" w:sz="4" w:space="0"/>
              <w:bottom w:val="single" w:color="000000" w:sz="4" w:space="0"/>
              <w:right w:val="single" w:color="000000" w:sz="4" w:space="0"/>
            </w:tcBorders>
            <w:noWrap w:val="0"/>
            <w:vAlign w:val="center"/>
          </w:tcPr>
          <w:p w14:paraId="10F27E8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支持通过接收者、渠道和任务模板对草稿进行查询并编辑</w:t>
            </w:r>
          </w:p>
        </w:tc>
      </w:tr>
      <w:tr w14:paraId="4AC55683">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auto" w:sz="4" w:space="0"/>
              <w:right w:val="single" w:color="000000" w:sz="4" w:space="0"/>
            </w:tcBorders>
            <w:noWrap w:val="0"/>
            <w:vAlign w:val="center"/>
          </w:tcPr>
          <w:p w14:paraId="68969BF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6F1AC3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渠道管理</w:t>
            </w:r>
          </w:p>
        </w:tc>
        <w:tc>
          <w:tcPr>
            <w:tcW w:w="6730" w:type="dxa"/>
            <w:tcBorders>
              <w:top w:val="single" w:color="000000" w:sz="4" w:space="0"/>
              <w:left w:val="single" w:color="000000" w:sz="4" w:space="0"/>
              <w:right w:val="single" w:color="000000" w:sz="4" w:space="0"/>
            </w:tcBorders>
            <w:noWrap w:val="0"/>
            <w:vAlign w:val="center"/>
          </w:tcPr>
          <w:p w14:paraId="3DC6406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一、短信服务商管理</w:t>
            </w:r>
          </w:p>
          <w:p w14:paraId="7F50A04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1.短信服务商绑定</w:t>
            </w:r>
          </w:p>
          <w:p w14:paraId="588F0D05">
            <w:pPr>
              <w:keepNext w:val="0"/>
              <w:keepLines w:val="0"/>
              <w:pageBreakBefore w:val="0"/>
              <w:widowControl/>
              <w:numPr>
                <w:ilvl w:val="0"/>
                <w:numId w:val="31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阿里云短信</w:t>
            </w:r>
          </w:p>
          <w:p w14:paraId="387992E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支持对接绑定阿里云短信平台账号</w:t>
            </w:r>
          </w:p>
          <w:p w14:paraId="1348AEC5">
            <w:pPr>
              <w:keepNext w:val="0"/>
              <w:keepLines w:val="0"/>
              <w:pageBreakBefore w:val="0"/>
              <w:widowControl/>
              <w:numPr>
                <w:ilvl w:val="0"/>
                <w:numId w:val="31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移动云mas</w:t>
            </w:r>
          </w:p>
          <w:p w14:paraId="0D9B454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支持对接绑定移动云Mas短信平台账号</w:t>
            </w:r>
          </w:p>
          <w:p w14:paraId="07093795">
            <w:pPr>
              <w:keepNext w:val="0"/>
              <w:keepLines w:val="0"/>
              <w:pageBreakBefore w:val="0"/>
              <w:widowControl/>
              <w:numPr>
                <w:ilvl w:val="0"/>
                <w:numId w:val="31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自建短信平台</w:t>
            </w:r>
          </w:p>
          <w:p w14:paraId="7ADBF38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支持对接绑定短信平台账号</w:t>
            </w:r>
          </w:p>
          <w:p w14:paraId="3282D8B7">
            <w:pPr>
              <w:keepNext w:val="0"/>
              <w:keepLines w:val="0"/>
              <w:pageBreakBefore w:val="0"/>
              <w:widowControl/>
              <w:numPr>
                <w:ilvl w:val="0"/>
                <w:numId w:val="31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云企信短信平台</w:t>
            </w:r>
          </w:p>
          <w:p w14:paraId="6DC1869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支持对接绑定云企信账号</w:t>
            </w:r>
          </w:p>
          <w:p w14:paraId="33156795">
            <w:pPr>
              <w:keepNext w:val="0"/>
              <w:keepLines w:val="0"/>
              <w:pageBreakBefore w:val="0"/>
              <w:widowControl/>
              <w:numPr>
                <w:ilvl w:val="0"/>
                <w:numId w:val="31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闪信</w:t>
            </w:r>
          </w:p>
          <w:p w14:paraId="5A92271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支持对接绑定闪信账号</w:t>
            </w:r>
          </w:p>
          <w:p w14:paraId="785A05FD">
            <w:pPr>
              <w:keepNext w:val="0"/>
              <w:keepLines w:val="0"/>
              <w:pageBreakBefore w:val="0"/>
              <w:widowControl/>
              <w:numPr>
                <w:ilvl w:val="0"/>
                <w:numId w:val="31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其他</w:t>
            </w:r>
          </w:p>
          <w:p w14:paraId="501CC4B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支持对接绑定其他三方短信服务商</w:t>
            </w:r>
          </w:p>
          <w:p w14:paraId="0C5DC25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2.短信签名管理</w:t>
            </w:r>
          </w:p>
          <w:p w14:paraId="215E2E4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如果服务商支持，允许绑定多个短信签名</w:t>
            </w:r>
          </w:p>
          <w:p w14:paraId="6E4D926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3.发信测试</w:t>
            </w:r>
          </w:p>
          <w:p w14:paraId="6278A4A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支持对接绑定后输入手机号快速测试是否成功</w:t>
            </w:r>
          </w:p>
          <w:p w14:paraId="2EC4A25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4.使用权限共享</w:t>
            </w:r>
          </w:p>
          <w:p w14:paraId="751B483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支持上级机构分享自己绑定的短信渠道给下级机构使用</w:t>
            </w:r>
          </w:p>
        </w:tc>
      </w:tr>
      <w:tr w14:paraId="04B1B432">
        <w:tblPrEx>
          <w:tblCellMar>
            <w:top w:w="0" w:type="dxa"/>
            <w:left w:w="108" w:type="dxa"/>
            <w:bottom w:w="0" w:type="dxa"/>
            <w:right w:w="108" w:type="dxa"/>
          </w:tblCellMar>
        </w:tblPrEx>
        <w:trPr>
          <w:trHeight w:val="0" w:hRule="atLeast"/>
        </w:trPr>
        <w:tc>
          <w:tcPr>
            <w:tcW w:w="754" w:type="dxa"/>
            <w:vMerge w:val="restart"/>
            <w:tcBorders>
              <w:top w:val="single" w:color="auto" w:sz="4" w:space="0"/>
              <w:left w:val="single" w:color="auto" w:sz="4" w:space="0"/>
              <w:right w:val="single" w:color="auto" w:sz="4" w:space="0"/>
            </w:tcBorders>
            <w:noWrap w:val="0"/>
            <w:vAlign w:val="center"/>
          </w:tcPr>
          <w:p w14:paraId="659583D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p w14:paraId="49E9B0E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restart"/>
            <w:tcBorders>
              <w:top w:val="single" w:color="000000" w:sz="4" w:space="0"/>
              <w:left w:val="single" w:color="auto" w:sz="4" w:space="0"/>
              <w:bottom w:val="single" w:color="000000" w:sz="4" w:space="0"/>
              <w:right w:val="single" w:color="000000" w:sz="4" w:space="0"/>
            </w:tcBorders>
            <w:noWrap w:val="0"/>
            <w:vAlign w:val="center"/>
          </w:tcPr>
          <w:p w14:paraId="4581BF6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模板管理</w:t>
            </w:r>
          </w:p>
        </w:tc>
        <w:tc>
          <w:tcPr>
            <w:tcW w:w="6730" w:type="dxa"/>
            <w:tcBorders>
              <w:top w:val="single" w:color="000000" w:sz="4" w:space="0"/>
              <w:left w:val="single" w:color="000000" w:sz="4" w:space="0"/>
              <w:bottom w:val="single" w:color="000000" w:sz="4" w:space="0"/>
              <w:right w:val="single" w:color="000000" w:sz="4" w:space="0"/>
            </w:tcBorders>
            <w:noWrap w:val="0"/>
            <w:vAlign w:val="center"/>
          </w:tcPr>
          <w:p w14:paraId="39BE0B30">
            <w:pPr>
              <w:keepNext w:val="0"/>
              <w:keepLines w:val="0"/>
              <w:pageBreakBefore w:val="0"/>
              <w:widowControl/>
              <w:numPr>
                <w:ilvl w:val="0"/>
                <w:numId w:val="314"/>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任务模板管理</w:t>
            </w:r>
          </w:p>
          <w:p w14:paraId="148D6727">
            <w:pPr>
              <w:keepNext w:val="0"/>
              <w:keepLines w:val="0"/>
              <w:pageBreakBefore w:val="0"/>
              <w:widowControl/>
              <w:numPr>
                <w:ilvl w:val="0"/>
                <w:numId w:val="31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任务模板查询</w:t>
            </w:r>
          </w:p>
          <w:p w14:paraId="5B3B434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支持通过任务模板的状态、id、名称、业务类型等字段对任务模板进行查询</w:t>
            </w:r>
          </w:p>
          <w:p w14:paraId="11225413">
            <w:pPr>
              <w:keepNext w:val="0"/>
              <w:keepLines w:val="0"/>
              <w:pageBreakBefore w:val="0"/>
              <w:widowControl/>
              <w:numPr>
                <w:ilvl w:val="0"/>
                <w:numId w:val="31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任务模板维护</w:t>
            </w:r>
          </w:p>
          <w:p w14:paraId="3E45FEC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支持新增、编辑、删除任务模板，对其名称、id、业务类型等字段以及短信模板变量进行配置</w:t>
            </w:r>
          </w:p>
        </w:tc>
      </w:tr>
      <w:tr w14:paraId="14315D87">
        <w:tblPrEx>
          <w:tblCellMar>
            <w:top w:w="0" w:type="dxa"/>
            <w:left w:w="108" w:type="dxa"/>
            <w:bottom w:w="0" w:type="dxa"/>
            <w:right w:w="108" w:type="dxa"/>
          </w:tblCellMar>
        </w:tblPrEx>
        <w:trPr>
          <w:trHeight w:val="0" w:hRule="atLeast"/>
        </w:trPr>
        <w:tc>
          <w:tcPr>
            <w:tcW w:w="754" w:type="dxa"/>
            <w:vMerge w:val="continue"/>
            <w:tcBorders>
              <w:left w:val="single" w:color="auto" w:sz="4" w:space="0"/>
              <w:bottom w:val="single" w:color="auto" w:sz="4" w:space="0"/>
              <w:right w:val="single" w:color="auto" w:sz="4" w:space="0"/>
            </w:tcBorders>
            <w:noWrap w:val="0"/>
            <w:vAlign w:val="center"/>
          </w:tcPr>
          <w:p w14:paraId="2F9F872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op w:val="single" w:color="000000" w:sz="4" w:space="0"/>
              <w:left w:val="single" w:color="auto" w:sz="4" w:space="0"/>
              <w:bottom w:val="single" w:color="000000" w:sz="4" w:space="0"/>
              <w:right w:val="single" w:color="000000" w:sz="4" w:space="0"/>
            </w:tcBorders>
            <w:noWrap w:val="0"/>
            <w:vAlign w:val="center"/>
          </w:tcPr>
          <w:p w14:paraId="016215E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730" w:type="dxa"/>
            <w:tcBorders>
              <w:top w:val="single" w:color="000000" w:sz="4" w:space="0"/>
              <w:left w:val="single" w:color="000000" w:sz="4" w:space="0"/>
              <w:bottom w:val="nil"/>
              <w:right w:val="single" w:color="000000" w:sz="4" w:space="0"/>
            </w:tcBorders>
            <w:noWrap w:val="0"/>
            <w:vAlign w:val="center"/>
          </w:tcPr>
          <w:p w14:paraId="453E5511">
            <w:pPr>
              <w:keepNext w:val="0"/>
              <w:keepLines w:val="0"/>
              <w:pageBreakBefore w:val="0"/>
              <w:widowControl/>
              <w:numPr>
                <w:ilvl w:val="0"/>
                <w:numId w:val="314"/>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短信模板管理</w:t>
            </w:r>
          </w:p>
          <w:p w14:paraId="5A5EDE77">
            <w:pPr>
              <w:keepNext w:val="0"/>
              <w:keepLines w:val="0"/>
              <w:pageBreakBefore w:val="0"/>
              <w:widowControl/>
              <w:numPr>
                <w:ilvl w:val="0"/>
                <w:numId w:val="31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短信模板查询</w:t>
            </w:r>
          </w:p>
          <w:p w14:paraId="2116A82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支持通过短信模板的状态、id、名称等字段对短信模板进行查询</w:t>
            </w:r>
          </w:p>
          <w:p w14:paraId="01F485A0">
            <w:pPr>
              <w:keepNext w:val="0"/>
              <w:keepLines w:val="0"/>
              <w:pageBreakBefore w:val="0"/>
              <w:widowControl/>
              <w:numPr>
                <w:ilvl w:val="0"/>
                <w:numId w:val="31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短信模板自定义</w:t>
            </w:r>
          </w:p>
          <w:p w14:paraId="22A9474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对于部分服务商，支持新增、编辑、删除自定义的短信模板</w:t>
            </w:r>
          </w:p>
          <w:p w14:paraId="51093B53">
            <w:pPr>
              <w:keepNext w:val="0"/>
              <w:keepLines w:val="0"/>
              <w:pageBreakBefore w:val="0"/>
              <w:widowControl/>
              <w:numPr>
                <w:ilvl w:val="0"/>
                <w:numId w:val="31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渠道短信模板获取</w:t>
            </w:r>
          </w:p>
          <w:p w14:paraId="69BE3E6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对于部分服务商，支持获取渠道后台目前申请的模板</w:t>
            </w:r>
          </w:p>
        </w:tc>
      </w:tr>
      <w:tr w14:paraId="16DA6A76">
        <w:tblPrEx>
          <w:tblCellMar>
            <w:top w:w="0" w:type="dxa"/>
            <w:left w:w="108" w:type="dxa"/>
            <w:bottom w:w="0" w:type="dxa"/>
            <w:right w:w="108" w:type="dxa"/>
          </w:tblCellMar>
        </w:tblPrEx>
        <w:trPr>
          <w:trHeight w:val="0" w:hRule="atLeast"/>
        </w:trPr>
        <w:tc>
          <w:tcPr>
            <w:tcW w:w="754" w:type="dxa"/>
            <w:tcBorders>
              <w:top w:val="single" w:color="auto" w:sz="4" w:space="0"/>
              <w:left w:val="single" w:color="000000" w:sz="4" w:space="0"/>
              <w:right w:val="single" w:color="000000" w:sz="4" w:space="0"/>
            </w:tcBorders>
            <w:noWrap w:val="0"/>
            <w:vAlign w:val="center"/>
          </w:tcPr>
          <w:p w14:paraId="505EC6D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228BB3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任务池</w:t>
            </w:r>
          </w:p>
        </w:tc>
        <w:tc>
          <w:tcPr>
            <w:tcW w:w="6730" w:type="dxa"/>
            <w:tcBorders>
              <w:top w:val="single" w:color="000000" w:sz="4" w:space="0"/>
              <w:left w:val="single" w:color="000000" w:sz="4" w:space="0"/>
              <w:right w:val="single" w:color="000000" w:sz="4" w:space="0"/>
            </w:tcBorders>
            <w:noWrap w:val="0"/>
            <w:vAlign w:val="center"/>
          </w:tcPr>
          <w:p w14:paraId="164E3E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一、推送任务管理</w:t>
            </w:r>
          </w:p>
          <w:p w14:paraId="25A2993E">
            <w:pPr>
              <w:keepNext w:val="0"/>
              <w:keepLines w:val="0"/>
              <w:pageBreakBefore w:val="0"/>
              <w:widowControl/>
              <w:numPr>
                <w:ilvl w:val="0"/>
                <w:numId w:val="31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推送任务查询</w:t>
            </w:r>
          </w:p>
          <w:p w14:paraId="50F18DE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支持通过任务状态、接收者、渠道、模板、时间等字段对任务进行查询</w:t>
            </w:r>
          </w:p>
          <w:p w14:paraId="4A841843">
            <w:pPr>
              <w:keepNext w:val="0"/>
              <w:keepLines w:val="0"/>
              <w:pageBreakBefore w:val="0"/>
              <w:widowControl/>
              <w:numPr>
                <w:ilvl w:val="0"/>
                <w:numId w:val="31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当前任务统计</w:t>
            </w:r>
          </w:p>
          <w:p w14:paraId="59D0F7B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支持统计正在发送的任务数量</w:t>
            </w:r>
          </w:p>
          <w:p w14:paraId="0C6BE3BD">
            <w:pPr>
              <w:keepNext w:val="0"/>
              <w:keepLines w:val="0"/>
              <w:pageBreakBefore w:val="0"/>
              <w:widowControl/>
              <w:numPr>
                <w:ilvl w:val="0"/>
                <w:numId w:val="31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定时任务管理</w:t>
            </w:r>
          </w:p>
          <w:p w14:paraId="57F00BC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支持查看、调整、取消定时任务</w:t>
            </w:r>
          </w:p>
        </w:tc>
      </w:tr>
      <w:tr w14:paraId="667F9AB5">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right w:val="single" w:color="000000" w:sz="4" w:space="0"/>
            </w:tcBorders>
            <w:noWrap w:val="0"/>
            <w:vAlign w:val="center"/>
          </w:tcPr>
          <w:p w14:paraId="64141D7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w:t>
            </w:r>
          </w:p>
        </w:tc>
        <w:tc>
          <w:tcPr>
            <w:tcW w:w="754" w:type="dxa"/>
            <w:vMerge w:val="restart"/>
            <w:tcBorders>
              <w:top w:val="single" w:color="000000" w:sz="4" w:space="0"/>
              <w:left w:val="single" w:color="000000" w:sz="4" w:space="0"/>
              <w:right w:val="single" w:color="000000" w:sz="4" w:space="0"/>
            </w:tcBorders>
            <w:noWrap w:val="0"/>
            <w:vAlign w:val="center"/>
          </w:tcPr>
          <w:p w14:paraId="377655D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消息记录</w:t>
            </w:r>
          </w:p>
        </w:tc>
        <w:tc>
          <w:tcPr>
            <w:tcW w:w="6730" w:type="dxa"/>
            <w:vMerge w:val="restart"/>
            <w:tcBorders>
              <w:top w:val="single" w:color="000000" w:sz="4" w:space="0"/>
              <w:left w:val="single" w:color="000000" w:sz="4" w:space="0"/>
              <w:right w:val="single" w:color="000000" w:sz="4" w:space="0"/>
            </w:tcBorders>
            <w:noWrap w:val="0"/>
            <w:vAlign w:val="center"/>
          </w:tcPr>
          <w:p w14:paraId="293A426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一、下行短信管理</w:t>
            </w:r>
          </w:p>
          <w:p w14:paraId="2AF84A59">
            <w:pPr>
              <w:keepNext w:val="0"/>
              <w:keepLines w:val="0"/>
              <w:pageBreakBefore w:val="0"/>
              <w:widowControl/>
              <w:numPr>
                <w:ilvl w:val="0"/>
                <w:numId w:val="31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下行消息查询</w:t>
            </w:r>
          </w:p>
          <w:p w14:paraId="3A23AB6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支持通过任务状态、接收者、渠道、模板、时间等字段对消息进行查询</w:t>
            </w:r>
          </w:p>
          <w:p w14:paraId="55A6E998">
            <w:pPr>
              <w:keepNext w:val="0"/>
              <w:keepLines w:val="0"/>
              <w:pageBreakBefore w:val="0"/>
              <w:widowControl/>
              <w:numPr>
                <w:ilvl w:val="0"/>
                <w:numId w:val="31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失败消息重发</w:t>
            </w:r>
          </w:p>
          <w:p w14:paraId="265A734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支持对发送失败的消息进行手动重发</w:t>
            </w:r>
          </w:p>
          <w:p w14:paraId="6D754815">
            <w:pPr>
              <w:keepNext w:val="0"/>
              <w:keepLines w:val="0"/>
              <w:pageBreakBefore w:val="0"/>
              <w:widowControl/>
              <w:numPr>
                <w:ilvl w:val="0"/>
                <w:numId w:val="31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历史消息复制</w:t>
            </w:r>
          </w:p>
          <w:p w14:paraId="262B418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支持以某条消息作为蓝本快速复制新建推送任务</w:t>
            </w:r>
          </w:p>
          <w:p w14:paraId="5E50B78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二、上行短信管理</w:t>
            </w:r>
          </w:p>
          <w:p w14:paraId="349A906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1.上行消息查询</w:t>
            </w:r>
          </w:p>
          <w:p w14:paraId="0839641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支持通过任务状态、发送号码、时间等字段对上行消息进行查询</w:t>
            </w:r>
          </w:p>
        </w:tc>
      </w:tr>
      <w:tr w14:paraId="14E81C35">
        <w:tblPrEx>
          <w:tblCellMar>
            <w:top w:w="0" w:type="dxa"/>
            <w:left w:w="108" w:type="dxa"/>
            <w:bottom w:w="0" w:type="dxa"/>
            <w:right w:w="108" w:type="dxa"/>
          </w:tblCellMar>
        </w:tblPrEx>
        <w:trPr>
          <w:trHeight w:val="0" w:hRule="atLeast"/>
        </w:trPr>
        <w:tc>
          <w:tcPr>
            <w:tcW w:w="754" w:type="dxa"/>
            <w:tcBorders>
              <w:top w:val="single" w:color="000000" w:sz="4" w:space="0"/>
              <w:left w:val="single" w:color="000000" w:sz="4" w:space="0"/>
              <w:bottom w:val="single" w:color="auto" w:sz="4" w:space="0"/>
              <w:right w:val="single" w:color="000000" w:sz="4" w:space="0"/>
            </w:tcBorders>
            <w:noWrap w:val="0"/>
            <w:vAlign w:val="center"/>
          </w:tcPr>
          <w:p w14:paraId="111E15E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54" w:type="dxa"/>
            <w:vMerge w:val="restart"/>
            <w:tcBorders>
              <w:top w:val="single" w:color="000000" w:sz="4" w:space="0"/>
              <w:left w:val="single" w:color="000000" w:sz="4" w:space="0"/>
              <w:right w:val="single" w:color="000000" w:sz="4" w:space="0"/>
            </w:tcBorders>
            <w:noWrap w:val="0"/>
            <w:vAlign w:val="center"/>
          </w:tcPr>
          <w:p w14:paraId="4AC1E6B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用户管理</w:t>
            </w:r>
          </w:p>
        </w:tc>
        <w:tc>
          <w:tcPr>
            <w:tcW w:w="6730" w:type="dxa"/>
            <w:vMerge w:val="restart"/>
            <w:tcBorders>
              <w:top w:val="single" w:color="000000" w:sz="4" w:space="0"/>
              <w:left w:val="single" w:color="000000" w:sz="4" w:space="0"/>
              <w:right w:val="single" w:color="000000" w:sz="4" w:space="0"/>
            </w:tcBorders>
            <w:noWrap w:val="0"/>
            <w:vAlign w:val="center"/>
          </w:tcPr>
          <w:p w14:paraId="7A29B3F7">
            <w:pPr>
              <w:keepNext w:val="0"/>
              <w:keepLines w:val="0"/>
              <w:pageBreakBefore w:val="0"/>
              <w:widowControl/>
              <w:numPr>
                <w:ilvl w:val="0"/>
                <w:numId w:val="31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用户信息查询</w:t>
            </w:r>
          </w:p>
          <w:p w14:paraId="4CF34D4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支持通过用户信息、渠道、组别等字段对用户进行查询</w:t>
            </w:r>
          </w:p>
          <w:p w14:paraId="64776F7D">
            <w:pPr>
              <w:keepNext w:val="0"/>
              <w:keepLines w:val="0"/>
              <w:pageBreakBefore w:val="0"/>
              <w:widowControl/>
              <w:numPr>
                <w:ilvl w:val="0"/>
                <w:numId w:val="31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用户信息维护</w:t>
            </w:r>
          </w:p>
          <w:p w14:paraId="2348819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支持手动新增、编辑、删除用户</w:t>
            </w:r>
          </w:p>
          <w:p w14:paraId="626CC8B6">
            <w:pPr>
              <w:keepNext w:val="0"/>
              <w:keepLines w:val="0"/>
              <w:pageBreakBefore w:val="0"/>
              <w:widowControl/>
              <w:numPr>
                <w:ilvl w:val="0"/>
                <w:numId w:val="31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用户信息自动更新</w:t>
            </w:r>
          </w:p>
          <w:p w14:paraId="09F0D93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通过接口发信时，支持自动保存新用户,自动更新老用户信息</w:t>
            </w:r>
          </w:p>
          <w:p w14:paraId="0E68FCAD">
            <w:pPr>
              <w:keepNext w:val="0"/>
              <w:keepLines w:val="0"/>
              <w:pageBreakBefore w:val="0"/>
              <w:widowControl/>
              <w:numPr>
                <w:ilvl w:val="0"/>
                <w:numId w:val="31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用户历史消息查看</w:t>
            </w:r>
          </w:p>
          <w:p w14:paraId="2646328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支持查看用户的详细信息，以及快速浏览近30天的消息记录</w:t>
            </w:r>
          </w:p>
        </w:tc>
      </w:tr>
      <w:tr w14:paraId="74EF99EC">
        <w:tblPrEx>
          <w:tblCellMar>
            <w:top w:w="0" w:type="dxa"/>
            <w:left w:w="108" w:type="dxa"/>
            <w:bottom w:w="0" w:type="dxa"/>
            <w:right w:w="108" w:type="dxa"/>
          </w:tblCellMar>
        </w:tblPrEx>
        <w:trPr>
          <w:trHeight w:val="0" w:hRule="atLeast"/>
        </w:trPr>
        <w:tc>
          <w:tcPr>
            <w:tcW w:w="754" w:type="dxa"/>
            <w:tcBorders>
              <w:top w:val="single" w:color="auto" w:sz="4" w:space="0"/>
              <w:left w:val="single" w:color="auto" w:sz="4" w:space="0"/>
              <w:bottom w:val="single" w:color="000000" w:sz="4" w:space="0"/>
              <w:right w:val="single" w:color="auto" w:sz="4" w:space="0"/>
            </w:tcBorders>
            <w:noWrap w:val="0"/>
            <w:vAlign w:val="center"/>
          </w:tcPr>
          <w:p w14:paraId="4A25A3D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8</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33304E9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机构管理</w:t>
            </w:r>
          </w:p>
        </w:tc>
        <w:tc>
          <w:tcPr>
            <w:tcW w:w="6730" w:type="dxa"/>
            <w:tcBorders>
              <w:top w:val="single" w:color="auto" w:sz="4" w:space="0"/>
              <w:left w:val="single" w:color="auto" w:sz="4" w:space="0"/>
              <w:bottom w:val="single" w:color="auto" w:sz="4" w:space="0"/>
              <w:right w:val="single" w:color="auto" w:sz="4" w:space="0"/>
            </w:tcBorders>
            <w:noWrap w:val="0"/>
            <w:vAlign w:val="center"/>
          </w:tcPr>
          <w:p w14:paraId="64F1D90A">
            <w:pPr>
              <w:keepNext w:val="0"/>
              <w:keepLines w:val="0"/>
              <w:pageBreakBefore w:val="0"/>
              <w:widowControl/>
              <w:numPr>
                <w:ilvl w:val="0"/>
                <w:numId w:val="32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基本信息设置</w:t>
            </w:r>
          </w:p>
          <w:p w14:paraId="6676C5F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1.机构信息维护</w:t>
            </w:r>
          </w:p>
          <w:p w14:paraId="2DC5E30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支持维护当前机构账号的机构名称、编码、账号密码等字段</w:t>
            </w:r>
          </w:p>
          <w:p w14:paraId="7000D172">
            <w:pPr>
              <w:keepNext w:val="0"/>
              <w:keepLines w:val="0"/>
              <w:pageBreakBefore w:val="0"/>
              <w:widowControl/>
              <w:numPr>
                <w:ilvl w:val="0"/>
                <w:numId w:val="32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业务类型设置</w:t>
            </w:r>
          </w:p>
          <w:p w14:paraId="787E0F2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1.业务信息维护</w:t>
            </w:r>
          </w:p>
          <w:p w14:paraId="6C58E3F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支持新增、编辑、删除用于给消息分类的业务类型</w:t>
            </w:r>
          </w:p>
          <w:p w14:paraId="70CE1817">
            <w:pPr>
              <w:keepNext w:val="0"/>
              <w:keepLines w:val="0"/>
              <w:pageBreakBefore w:val="0"/>
              <w:widowControl/>
              <w:numPr>
                <w:ilvl w:val="0"/>
                <w:numId w:val="32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机构权限设置</w:t>
            </w:r>
          </w:p>
          <w:p w14:paraId="79EEBA7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1.下级机构维护</w:t>
            </w:r>
          </w:p>
          <w:p w14:paraId="3154769D">
            <w:pPr>
              <w:keepNext w:val="0"/>
              <w:keepLines w:val="0"/>
              <w:pageBreakBefore w:val="0"/>
              <w:widowControl/>
              <w:numPr>
                <w:ilvl w:val="0"/>
                <w:numId w:val="32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基础信息维护</w:t>
            </w:r>
          </w:p>
          <w:p w14:paraId="52DF11F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支持新增、编辑、删除下级机构的账号及其基础信息</w:t>
            </w:r>
          </w:p>
          <w:p w14:paraId="30A3A481">
            <w:pPr>
              <w:keepNext w:val="0"/>
              <w:keepLines w:val="0"/>
              <w:pageBreakBefore w:val="0"/>
              <w:widowControl/>
              <w:numPr>
                <w:ilvl w:val="0"/>
                <w:numId w:val="32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管理员账号维护</w:t>
            </w:r>
          </w:p>
          <w:p w14:paraId="3F5857F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支持编辑、重置下级机构账号的密码</w:t>
            </w:r>
          </w:p>
        </w:tc>
      </w:tr>
    </w:tbl>
    <w:p w14:paraId="7A4B90E7">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E98DCDA">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交换中心</w:t>
      </w:r>
    </w:p>
    <w:p w14:paraId="52C03B8F">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413" w:lineRule="auto"/>
        <w:ind w:left="1008" w:hanging="1008"/>
        <w:jc w:val="both"/>
        <w:textAlignment w:val="auto"/>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数据资源管理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57"/>
        <w:gridCol w:w="7153"/>
      </w:tblGrid>
      <w:tr w14:paraId="19C4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110EF8A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序号</w:t>
            </w:r>
          </w:p>
        </w:tc>
        <w:tc>
          <w:tcPr>
            <w:tcW w:w="754" w:type="dxa"/>
            <w:tcBorders>
              <w:tl2br w:val="nil"/>
              <w:tr2bl w:val="nil"/>
            </w:tcBorders>
            <w:noWrap w:val="0"/>
            <w:vAlign w:val="center"/>
          </w:tcPr>
          <w:p w14:paraId="2E29B4B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7159" w:type="dxa"/>
            <w:tcBorders>
              <w:tl2br w:val="nil"/>
              <w:tr2bl w:val="nil"/>
            </w:tcBorders>
            <w:noWrap w:val="0"/>
            <w:vAlign w:val="center"/>
          </w:tcPr>
          <w:p w14:paraId="4E41B35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6534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5623D6F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754" w:type="dxa"/>
            <w:vMerge w:val="restart"/>
            <w:tcBorders>
              <w:tl2br w:val="nil"/>
              <w:tr2bl w:val="nil"/>
            </w:tcBorders>
            <w:noWrap w:val="0"/>
            <w:vAlign w:val="center"/>
          </w:tcPr>
          <w:p w14:paraId="58A76C3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资源信息</w:t>
            </w:r>
          </w:p>
        </w:tc>
        <w:tc>
          <w:tcPr>
            <w:tcW w:w="7159" w:type="dxa"/>
            <w:tcBorders>
              <w:tl2br w:val="nil"/>
              <w:tr2bl w:val="nil"/>
            </w:tcBorders>
            <w:noWrap w:val="0"/>
            <w:vAlign w:val="center"/>
          </w:tcPr>
          <w:p w14:paraId="00D5212D">
            <w:pPr>
              <w:keepNext w:val="0"/>
              <w:keepLines w:val="0"/>
              <w:pageBreakBefore w:val="0"/>
              <w:widowControl w:val="0"/>
              <w:numPr>
                <w:ilvl w:val="0"/>
                <w:numId w:val="322"/>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数据资源总览（改造）</w:t>
            </w:r>
          </w:p>
          <w:p w14:paraId="0DD7202A">
            <w:pPr>
              <w:keepNext w:val="0"/>
              <w:keepLines w:val="0"/>
              <w:pageBreakBefore w:val="0"/>
              <w:widowControl w:val="0"/>
              <w:numPr>
                <w:ilvl w:val="0"/>
                <w:numId w:val="32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数据资源总览</w:t>
            </w:r>
          </w:p>
          <w:p w14:paraId="3BAF4F2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支持数据资产总体情况可视化分析，包括资产结构、资产存量、变更情况、资产分类分析等。</w:t>
            </w:r>
          </w:p>
        </w:tc>
      </w:tr>
      <w:tr w14:paraId="037E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5990AE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EF1988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0"/>
            <w:vAlign w:val="center"/>
          </w:tcPr>
          <w:p w14:paraId="31864A66">
            <w:pPr>
              <w:keepNext w:val="0"/>
              <w:keepLines w:val="0"/>
              <w:pageBreakBefore w:val="0"/>
              <w:widowControl w:val="0"/>
              <w:numPr>
                <w:ilvl w:val="0"/>
                <w:numId w:val="322"/>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资源目录（新增）</w:t>
            </w:r>
          </w:p>
          <w:p w14:paraId="3F22031D">
            <w:pPr>
              <w:keepNext w:val="0"/>
              <w:keepLines w:val="0"/>
              <w:pageBreakBefore w:val="0"/>
              <w:widowControl w:val="0"/>
              <w:numPr>
                <w:ilvl w:val="0"/>
                <w:numId w:val="32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资源目录检索</w:t>
            </w:r>
          </w:p>
          <w:p w14:paraId="1A7AD60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支持多种方式检索资源，包括根据资源名称或数据表检索资源，通过交互式查询自定义检索资源，通过AI智能问答检索数据。（需提供系统截图）</w:t>
            </w:r>
          </w:p>
          <w:p w14:paraId="643C6EBA">
            <w:pPr>
              <w:keepNext w:val="0"/>
              <w:keepLines w:val="0"/>
              <w:pageBreakBefore w:val="0"/>
              <w:widowControl w:val="0"/>
              <w:numPr>
                <w:ilvl w:val="0"/>
                <w:numId w:val="32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创建资源</w:t>
            </w:r>
          </w:p>
          <w:p w14:paraId="5C19E39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支持管理人员通过交互式查询结果创建新的资源，实现资源的快速创建。</w:t>
            </w:r>
          </w:p>
          <w:p w14:paraId="7A0316E7">
            <w:pPr>
              <w:keepNext w:val="0"/>
              <w:keepLines w:val="0"/>
              <w:pageBreakBefore w:val="0"/>
              <w:widowControl w:val="0"/>
              <w:numPr>
                <w:ilvl w:val="0"/>
                <w:numId w:val="32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下载资源</w:t>
            </w:r>
          </w:p>
          <w:p w14:paraId="7C5AABE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支持管理人员通过交互式查询下载资源，实现资源的快速下载。</w:t>
            </w:r>
          </w:p>
        </w:tc>
      </w:tr>
      <w:tr w14:paraId="7FB1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AA9322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169D02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0"/>
            <w:vAlign w:val="center"/>
          </w:tcPr>
          <w:p w14:paraId="0C3ECEE3">
            <w:pPr>
              <w:keepNext w:val="0"/>
              <w:keepLines w:val="0"/>
              <w:pageBreakBefore w:val="0"/>
              <w:widowControl w:val="0"/>
              <w:numPr>
                <w:ilvl w:val="0"/>
                <w:numId w:val="322"/>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基础管理</w:t>
            </w:r>
          </w:p>
          <w:p w14:paraId="71D71025">
            <w:pPr>
              <w:keepNext w:val="0"/>
              <w:keepLines w:val="0"/>
              <w:pageBreakBefore w:val="0"/>
              <w:widowControl w:val="0"/>
              <w:numPr>
                <w:ilvl w:val="0"/>
                <w:numId w:val="32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资源分组管理（改造）</w:t>
            </w:r>
          </w:p>
          <w:p w14:paraId="4558DF4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支持资源根据国家卫生信息资源目录进行分组管理，实现对资源的分组管理。</w:t>
            </w:r>
          </w:p>
          <w:p w14:paraId="3DE9B404">
            <w:pPr>
              <w:keepNext w:val="0"/>
              <w:keepLines w:val="0"/>
              <w:pageBreakBefore w:val="0"/>
              <w:widowControl w:val="0"/>
              <w:numPr>
                <w:ilvl w:val="0"/>
                <w:numId w:val="32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资源库表分类维护（改造）</w:t>
            </w:r>
          </w:p>
          <w:p w14:paraId="2CC5F02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支持对不同数据源类型，数据源地址</w:t>
            </w:r>
          </w:p>
          <w:p w14:paraId="231E0D58">
            <w:pPr>
              <w:keepNext w:val="0"/>
              <w:keepLines w:val="0"/>
              <w:pageBreakBefore w:val="0"/>
              <w:widowControl w:val="0"/>
              <w:numPr>
                <w:ilvl w:val="0"/>
                <w:numId w:val="32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关联视图管理（新增）</w:t>
            </w:r>
          </w:p>
          <w:p w14:paraId="0A07CFC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支持对不同数据表之间的关联关系进行维护、更新和展示，支持预览表的字段信息，从而清晰地了解数据资产的血缘关系。</w:t>
            </w:r>
          </w:p>
          <w:p w14:paraId="631CCE95">
            <w:pPr>
              <w:keepNext w:val="0"/>
              <w:keepLines w:val="0"/>
              <w:pageBreakBefore w:val="0"/>
              <w:widowControl w:val="0"/>
              <w:numPr>
                <w:ilvl w:val="0"/>
                <w:numId w:val="32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数据访问权限管理（改造）</w:t>
            </w:r>
          </w:p>
          <w:p w14:paraId="23F80A6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支持对数据资源的访问权限控制，控制资源面向指定角色开放。</w:t>
            </w:r>
          </w:p>
          <w:p w14:paraId="2CB4412A">
            <w:pPr>
              <w:keepNext w:val="0"/>
              <w:keepLines w:val="0"/>
              <w:pageBreakBefore w:val="0"/>
              <w:widowControl w:val="0"/>
              <w:numPr>
                <w:ilvl w:val="0"/>
                <w:numId w:val="32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数据库连接管理（改造）</w:t>
            </w:r>
          </w:p>
          <w:p w14:paraId="5F5876D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支持对不同数据库类型、地址、端口、连接状态等配置管理及连接测试，实现对所有数据库连接的统一管理。</w:t>
            </w:r>
          </w:p>
        </w:tc>
      </w:tr>
      <w:tr w14:paraId="5610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ign w:val="center"/>
          </w:tcPr>
          <w:p w14:paraId="7CEF54A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754" w:type="dxa"/>
            <w:vMerge w:val="restart"/>
            <w:tcBorders>
              <w:tl2br w:val="nil"/>
              <w:tr2bl w:val="nil"/>
            </w:tcBorders>
            <w:noWrap/>
            <w:vAlign w:val="center"/>
          </w:tcPr>
          <w:p w14:paraId="6ECB0D7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数据开放共享</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tc>
        <w:tc>
          <w:tcPr>
            <w:tcW w:w="7159" w:type="dxa"/>
            <w:tcBorders>
              <w:tl2br w:val="nil"/>
              <w:tr2bl w:val="nil"/>
            </w:tcBorders>
            <w:noWrap/>
            <w:vAlign w:val="center"/>
          </w:tcPr>
          <w:p w14:paraId="3D7C4866">
            <w:pPr>
              <w:keepNext w:val="0"/>
              <w:keepLines w:val="0"/>
              <w:pageBreakBefore w:val="0"/>
              <w:widowControl w:val="0"/>
              <w:numPr>
                <w:ilvl w:val="0"/>
                <w:numId w:val="326"/>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资源集市</w:t>
            </w:r>
          </w:p>
          <w:p w14:paraId="50938F33">
            <w:pPr>
              <w:keepNext w:val="0"/>
              <w:keepLines w:val="0"/>
              <w:pageBreakBefore w:val="0"/>
              <w:widowControl w:val="0"/>
              <w:numPr>
                <w:ilvl w:val="0"/>
                <w:numId w:val="32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资源集市</w:t>
            </w:r>
          </w:p>
          <w:p w14:paraId="0163586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支持将开放的数据资源按照不同的领域来划分，包括热门领域，特色专区等，不同的专区归集了不同属性的数据资源。</w:t>
            </w:r>
          </w:p>
          <w:p w14:paraId="2AF30B8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支持将开放的数据资源按照最新更新、使用最多、优评分类展示。</w:t>
            </w:r>
          </w:p>
          <w:p w14:paraId="73ADD4C5">
            <w:pPr>
              <w:keepNext w:val="0"/>
              <w:keepLines w:val="0"/>
              <w:pageBreakBefore w:val="0"/>
              <w:widowControl w:val="0"/>
              <w:numPr>
                <w:ilvl w:val="0"/>
                <w:numId w:val="32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资源评价</w:t>
            </w:r>
          </w:p>
          <w:p w14:paraId="3CE7170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支持对资源进行评分及内容评价，支持展示各资源历史评价内容等。</w:t>
            </w:r>
          </w:p>
          <w:p w14:paraId="739CC7A5">
            <w:pPr>
              <w:keepNext w:val="0"/>
              <w:keepLines w:val="0"/>
              <w:pageBreakBefore w:val="0"/>
              <w:widowControl w:val="0"/>
              <w:numPr>
                <w:ilvl w:val="0"/>
                <w:numId w:val="32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资源申请</w:t>
            </w:r>
          </w:p>
          <w:p w14:paraId="3A0F505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支持用户根据资源支持的共享方式发起对应的资源申请，填写申请内容后提交资源申请。</w:t>
            </w:r>
          </w:p>
          <w:p w14:paraId="28D1666F">
            <w:pPr>
              <w:keepNext w:val="0"/>
              <w:keepLines w:val="0"/>
              <w:pageBreakBefore w:val="0"/>
              <w:widowControl w:val="0"/>
              <w:numPr>
                <w:ilvl w:val="0"/>
                <w:numId w:val="32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资源纠错</w:t>
            </w:r>
          </w:p>
          <w:p w14:paraId="6D929F8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支持用户将可能存在的资源问题反馈至管理人员。</w:t>
            </w:r>
          </w:p>
          <w:p w14:paraId="3AFFDAC6">
            <w:pPr>
              <w:keepNext w:val="0"/>
              <w:keepLines w:val="0"/>
              <w:pageBreakBefore w:val="0"/>
              <w:widowControl w:val="0"/>
              <w:numPr>
                <w:ilvl w:val="0"/>
                <w:numId w:val="32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交互式查询</w:t>
            </w:r>
          </w:p>
          <w:p w14:paraId="38480BE5">
            <w:pPr>
              <w:keepNext w:val="0"/>
              <w:keepLines w:val="0"/>
              <w:pageBreakBefore w:val="0"/>
              <w:widowControl w:val="0"/>
              <w:numPr>
                <w:ilvl w:val="0"/>
                <w:numId w:val="32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sql查询</w:t>
            </w:r>
          </w:p>
          <w:p w14:paraId="06D336D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支持通过sql语句查询资源。</w:t>
            </w:r>
          </w:p>
          <w:p w14:paraId="4C4B3DB5">
            <w:pPr>
              <w:keepNext w:val="0"/>
              <w:keepLines w:val="0"/>
              <w:pageBreakBefore w:val="0"/>
              <w:widowControl w:val="0"/>
              <w:numPr>
                <w:ilvl w:val="0"/>
                <w:numId w:val="32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历史查询记录查询</w:t>
            </w:r>
          </w:p>
          <w:p w14:paraId="4960B4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支持记录历史查询操作，支持通过选择历史查询记录实现快速查询。</w:t>
            </w:r>
          </w:p>
          <w:p w14:paraId="6D913D55">
            <w:pPr>
              <w:keepNext w:val="0"/>
              <w:keepLines w:val="0"/>
              <w:pageBreakBefore w:val="0"/>
              <w:widowControl w:val="0"/>
              <w:numPr>
                <w:ilvl w:val="0"/>
                <w:numId w:val="32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查询条件收藏管理</w:t>
            </w:r>
          </w:p>
          <w:p w14:paraId="25087D4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支持收藏查询条件，支持通过选择收藏条件实现快速查询。</w:t>
            </w:r>
          </w:p>
          <w:p w14:paraId="1D8FE7DD">
            <w:pPr>
              <w:keepNext w:val="0"/>
              <w:keepLines w:val="0"/>
              <w:pageBreakBefore w:val="0"/>
              <w:widowControl w:val="0"/>
              <w:numPr>
                <w:ilvl w:val="0"/>
                <w:numId w:val="32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查询结果申请</w:t>
            </w:r>
          </w:p>
          <w:p w14:paraId="29778F7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支持通过交互式查询结果申请该结果资源，满足个性化申请需求。</w:t>
            </w:r>
          </w:p>
          <w:p w14:paraId="50E9365C">
            <w:pPr>
              <w:keepNext w:val="0"/>
              <w:keepLines w:val="0"/>
              <w:pageBreakBefore w:val="0"/>
              <w:widowControl w:val="0"/>
              <w:numPr>
                <w:ilvl w:val="0"/>
                <w:numId w:val="32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AI智能问答</w:t>
            </w:r>
          </w:p>
          <w:p w14:paraId="795B0C87">
            <w:pPr>
              <w:keepNext w:val="0"/>
              <w:keepLines w:val="0"/>
              <w:pageBreakBefore w:val="0"/>
              <w:widowControl w:val="0"/>
              <w:numPr>
                <w:ilvl w:val="0"/>
                <w:numId w:val="32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AI智能问答结果申请</w:t>
            </w:r>
          </w:p>
          <w:p w14:paraId="64D8770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支持通过AI智能问答结果申请该结果资源，满足个性化申请需求。</w:t>
            </w:r>
          </w:p>
          <w:p w14:paraId="4DAD53BF">
            <w:pPr>
              <w:keepNext w:val="0"/>
              <w:keepLines w:val="0"/>
              <w:pageBreakBefore w:val="0"/>
              <w:widowControl w:val="0"/>
              <w:numPr>
                <w:ilvl w:val="0"/>
                <w:numId w:val="327"/>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资源购物车</w:t>
            </w:r>
          </w:p>
          <w:p w14:paraId="571EDB7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支持将需要申请的资源放入资源购物车，统一提交申请。</w:t>
            </w:r>
          </w:p>
        </w:tc>
      </w:tr>
      <w:tr w14:paraId="1343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468C8CD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3D4B3C3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ign w:val="center"/>
          </w:tcPr>
          <w:p w14:paraId="098D5EB4">
            <w:pPr>
              <w:keepNext w:val="0"/>
              <w:keepLines w:val="0"/>
              <w:pageBreakBefore w:val="0"/>
              <w:widowControl w:val="0"/>
              <w:numPr>
                <w:ilvl w:val="0"/>
                <w:numId w:val="326"/>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我的资源</w:t>
            </w:r>
          </w:p>
          <w:p w14:paraId="48758333">
            <w:pPr>
              <w:keepNext w:val="0"/>
              <w:keepLines w:val="0"/>
              <w:pageBreakBefore w:val="0"/>
              <w:widowControl w:val="0"/>
              <w:numPr>
                <w:ilvl w:val="0"/>
                <w:numId w:val="330"/>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我的资源</w:t>
            </w:r>
          </w:p>
          <w:p w14:paraId="41AEAD0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支持个人资源的汇总展示，包括累计申请的资源数，审核通过的资源数，我收藏的资源数，我的应用数，我的服务数等。</w:t>
            </w:r>
          </w:p>
          <w:p w14:paraId="4D3075C5">
            <w:pPr>
              <w:keepNext w:val="0"/>
              <w:keepLines w:val="0"/>
              <w:pageBreakBefore w:val="0"/>
              <w:widowControl w:val="0"/>
              <w:numPr>
                <w:ilvl w:val="0"/>
                <w:numId w:val="330"/>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我的申请</w:t>
            </w:r>
          </w:p>
          <w:p w14:paraId="48B36F65">
            <w:pPr>
              <w:keepNext w:val="0"/>
              <w:keepLines w:val="0"/>
              <w:pageBreakBefore w:val="0"/>
              <w:widowControl w:val="0"/>
              <w:numPr>
                <w:ilvl w:val="0"/>
                <w:numId w:val="33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申请资源信息查看</w:t>
            </w:r>
          </w:p>
          <w:p w14:paraId="3DB4CC2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支持查看个人发起的申请记录信息及申请的详细信息等。</w:t>
            </w:r>
          </w:p>
          <w:p w14:paraId="4DBB83C2">
            <w:pPr>
              <w:keepNext w:val="0"/>
              <w:keepLines w:val="0"/>
              <w:pageBreakBefore w:val="0"/>
              <w:widowControl w:val="0"/>
              <w:numPr>
                <w:ilvl w:val="0"/>
                <w:numId w:val="33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文档下载</w:t>
            </w:r>
          </w:p>
          <w:p w14:paraId="38FE842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支持下载资源对应的接口文档信息。</w:t>
            </w:r>
          </w:p>
          <w:p w14:paraId="4CA75E99">
            <w:pPr>
              <w:keepNext w:val="0"/>
              <w:keepLines w:val="0"/>
              <w:pageBreakBefore w:val="0"/>
              <w:widowControl w:val="0"/>
              <w:numPr>
                <w:ilvl w:val="0"/>
                <w:numId w:val="33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API接口测试</w:t>
            </w:r>
          </w:p>
          <w:p w14:paraId="3B50D6F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支持对API接口发起测试。</w:t>
            </w:r>
          </w:p>
          <w:p w14:paraId="59CC47CF">
            <w:pPr>
              <w:keepNext w:val="0"/>
              <w:keepLines w:val="0"/>
              <w:pageBreakBefore w:val="0"/>
              <w:widowControl w:val="0"/>
              <w:numPr>
                <w:ilvl w:val="0"/>
                <w:numId w:val="330"/>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我的收藏</w:t>
            </w:r>
          </w:p>
          <w:p w14:paraId="10342BE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支持查看个人收藏的资源及资源详细信息，同时支持发起资源申请。</w:t>
            </w:r>
          </w:p>
        </w:tc>
      </w:tr>
      <w:tr w14:paraId="5A8D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7A7C439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4791736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ign w:val="center"/>
          </w:tcPr>
          <w:p w14:paraId="09286442">
            <w:pPr>
              <w:keepNext w:val="0"/>
              <w:keepLines w:val="0"/>
              <w:pageBreakBefore w:val="0"/>
              <w:widowControl w:val="0"/>
              <w:numPr>
                <w:ilvl w:val="0"/>
                <w:numId w:val="326"/>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资源监管</w:t>
            </w:r>
          </w:p>
          <w:p w14:paraId="63DDE102">
            <w:pPr>
              <w:keepNext w:val="0"/>
              <w:keepLines w:val="0"/>
              <w:pageBreakBefore w:val="0"/>
              <w:widowControl w:val="0"/>
              <w:numPr>
                <w:ilvl w:val="0"/>
                <w:numId w:val="33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数据API监管</w:t>
            </w:r>
          </w:p>
          <w:p w14:paraId="4D4BA05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支持对API接口的运行、访问和使用进行监督和管理，包括超时接口数、异常接口数、失败接口数、请求超时次数、请求异常次数、请求失败次数等。</w:t>
            </w:r>
          </w:p>
          <w:p w14:paraId="16B674E1">
            <w:pPr>
              <w:keepNext w:val="0"/>
              <w:keepLines w:val="0"/>
              <w:pageBreakBefore w:val="0"/>
              <w:widowControl w:val="0"/>
              <w:numPr>
                <w:ilvl w:val="0"/>
                <w:numId w:val="33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数据高铁监管</w:t>
            </w:r>
          </w:p>
          <w:p w14:paraId="411808D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支持对数据高铁中间表式的运行和使用进行监督和管理，包括数据高铁资源数、推送机构数、推送应用数、推送总条数、资源对账通过率等。</w:t>
            </w:r>
          </w:p>
          <w:p w14:paraId="10053335">
            <w:pPr>
              <w:keepNext w:val="0"/>
              <w:keepLines w:val="0"/>
              <w:pageBreakBefore w:val="0"/>
              <w:widowControl w:val="0"/>
              <w:numPr>
                <w:ilvl w:val="0"/>
                <w:numId w:val="33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消息消费/推送监管</w:t>
            </w:r>
          </w:p>
          <w:p w14:paraId="648BBA9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支持指对消息消费式以及消息推送式的运行和使用进行监督和管理，包括消息主题数、消费应用数、生产事件总数、消费事件总数、消息消费资源数、平均消费率等。</w:t>
            </w:r>
          </w:p>
          <w:p w14:paraId="795B7851">
            <w:pPr>
              <w:keepNext w:val="0"/>
              <w:keepLines w:val="0"/>
              <w:pageBreakBefore w:val="0"/>
              <w:widowControl w:val="0"/>
              <w:numPr>
                <w:ilvl w:val="0"/>
                <w:numId w:val="33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资源调用记录</w:t>
            </w:r>
          </w:p>
          <w:p w14:paraId="2094EE1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支持对系统内的操作进行记录和监控，以实现操作留痕和对用户行为的监管。</w:t>
            </w:r>
          </w:p>
          <w:p w14:paraId="098EF60A">
            <w:pPr>
              <w:keepNext w:val="0"/>
              <w:keepLines w:val="0"/>
              <w:pageBreakBefore w:val="0"/>
              <w:widowControl w:val="0"/>
              <w:numPr>
                <w:ilvl w:val="0"/>
                <w:numId w:val="33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开放指数</w:t>
            </w:r>
          </w:p>
          <w:p w14:paraId="1724830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支持以饼图、柱状图等图表可视化的形式进行展示，包括开放资源数、累计访问数量、累计申请数量、开放数据提供方、资源领域分布情况、资源增量情况、热门资源、资源访问情况等。</w:t>
            </w:r>
          </w:p>
        </w:tc>
      </w:tr>
      <w:tr w14:paraId="2AFF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5E795AA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0BB3E0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ign w:val="center"/>
          </w:tcPr>
          <w:p w14:paraId="771F4168">
            <w:pPr>
              <w:keepNext w:val="0"/>
              <w:keepLines w:val="0"/>
              <w:pageBreakBefore w:val="0"/>
              <w:widowControl w:val="0"/>
              <w:numPr>
                <w:ilvl w:val="0"/>
                <w:numId w:val="326"/>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资源审核</w:t>
            </w:r>
          </w:p>
          <w:p w14:paraId="700301DA">
            <w:pPr>
              <w:keepNext w:val="0"/>
              <w:keepLines w:val="0"/>
              <w:pageBreakBefore w:val="0"/>
              <w:widowControl w:val="0"/>
              <w:numPr>
                <w:ilvl w:val="0"/>
                <w:numId w:val="33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资源申请审核</w:t>
            </w:r>
          </w:p>
          <w:p w14:paraId="711B14C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支持管理员审核其他方数据申请需求，支持管理员审核时查看申请信息、填写结果等。</w:t>
            </w:r>
          </w:p>
        </w:tc>
      </w:tr>
      <w:tr w14:paraId="7D9E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70219FF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51C202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ign w:val="center"/>
          </w:tcPr>
          <w:p w14:paraId="1E3EDD6B">
            <w:pPr>
              <w:keepNext w:val="0"/>
              <w:keepLines w:val="0"/>
              <w:pageBreakBefore w:val="0"/>
              <w:widowControl w:val="0"/>
              <w:numPr>
                <w:ilvl w:val="0"/>
                <w:numId w:val="326"/>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数据资源配置</w:t>
            </w:r>
          </w:p>
          <w:p w14:paraId="5718986C">
            <w:pPr>
              <w:keepNext w:val="0"/>
              <w:keepLines w:val="0"/>
              <w:pageBreakBefore w:val="0"/>
              <w:widowControl w:val="0"/>
              <w:numPr>
                <w:ilvl w:val="0"/>
                <w:numId w:val="33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资源基础信息配置</w:t>
            </w:r>
          </w:p>
          <w:p w14:paraId="485186B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支持资源基础信息配置，包括资源名称、资源领域、资源描述、数据源等资源基础信息配置。</w:t>
            </w:r>
          </w:p>
          <w:p w14:paraId="32A599DE">
            <w:pPr>
              <w:keepNext w:val="0"/>
              <w:keepLines w:val="0"/>
              <w:pageBreakBefore w:val="0"/>
              <w:widowControl w:val="0"/>
              <w:numPr>
                <w:ilvl w:val="0"/>
                <w:numId w:val="33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资源数据选取</w:t>
            </w:r>
          </w:p>
          <w:p w14:paraId="25F9092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支持根据sql语句获取资源结构信息，包括字段英文名称、中文描述、数据类型、长度、是否必填等。支持数据预览及敏感数据脱敏展示。</w:t>
            </w:r>
          </w:p>
          <w:p w14:paraId="5A1C6C12">
            <w:pPr>
              <w:keepNext w:val="0"/>
              <w:keepLines w:val="0"/>
              <w:pageBreakBefore w:val="0"/>
              <w:widowControl w:val="0"/>
              <w:numPr>
                <w:ilvl w:val="0"/>
                <w:numId w:val="33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资源开放共享方式配置</w:t>
            </w:r>
          </w:p>
          <w:p w14:paraId="0488E70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多种开放共享方式，包括数据高铁中间表式、数据API式、消息消费式、消息推送式、数据下载式，满足不同场景下的数据共享需求。其中数据API模式至少包含接口地址、请求方式、类型、限制调用频次、入参等内容配置</w:t>
            </w:r>
          </w:p>
          <w:p w14:paraId="347C23D1">
            <w:pPr>
              <w:keepNext w:val="0"/>
              <w:keepLines w:val="0"/>
              <w:pageBreakBefore w:val="0"/>
              <w:widowControl w:val="0"/>
              <w:numPr>
                <w:ilvl w:val="0"/>
                <w:numId w:val="33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资源更新日志</w:t>
            </w:r>
          </w:p>
          <w:p w14:paraId="4C6F259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支持对资源变更进行记录管理，记录每一次的变更日期、变更原因、变更内容等</w:t>
            </w:r>
          </w:p>
          <w:p w14:paraId="79099C72">
            <w:pPr>
              <w:keepNext w:val="0"/>
              <w:keepLines w:val="0"/>
              <w:pageBreakBefore w:val="0"/>
              <w:widowControl w:val="0"/>
              <w:numPr>
                <w:ilvl w:val="0"/>
                <w:numId w:val="33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资源授权信息</w:t>
            </w:r>
          </w:p>
          <w:p w14:paraId="461A4B5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支持资源授权情况的统一展示，包括授权时间、授权对象、授权应用、授权共享方式、授权有效期等。</w:t>
            </w:r>
          </w:p>
          <w:p w14:paraId="523F5971">
            <w:pPr>
              <w:keepNext w:val="0"/>
              <w:keepLines w:val="0"/>
              <w:pageBreakBefore w:val="0"/>
              <w:widowControl w:val="0"/>
              <w:numPr>
                <w:ilvl w:val="0"/>
                <w:numId w:val="33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资源上下线及开放管理</w:t>
            </w:r>
          </w:p>
          <w:p w14:paraId="44A0744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支持对资源进行上线、下线、开放、不开放的状态变更管理，以实现控制资源的使用及资源的开放。</w:t>
            </w:r>
          </w:p>
        </w:tc>
      </w:tr>
      <w:tr w14:paraId="1EBF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33C2D90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6D6454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ign w:val="center"/>
          </w:tcPr>
          <w:p w14:paraId="1276A1EF">
            <w:pPr>
              <w:keepNext w:val="0"/>
              <w:keepLines w:val="0"/>
              <w:pageBreakBefore w:val="0"/>
              <w:widowControl w:val="0"/>
              <w:numPr>
                <w:ilvl w:val="0"/>
                <w:numId w:val="326"/>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资源领域配置</w:t>
            </w:r>
          </w:p>
          <w:p w14:paraId="443E424A">
            <w:pPr>
              <w:keepNext w:val="0"/>
              <w:keepLines w:val="0"/>
              <w:pageBreakBefore w:val="0"/>
              <w:widowControl w:val="0"/>
              <w:numPr>
                <w:ilvl w:val="0"/>
                <w:numId w:val="33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资源领域配置</w:t>
            </w:r>
          </w:p>
          <w:p w14:paraId="7F89265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支持对资源根据领域进行分类管理的功能，同时支持领域排序展示。</w:t>
            </w:r>
          </w:p>
        </w:tc>
      </w:tr>
      <w:tr w14:paraId="1EBF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2AD6AA6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011ADD4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ign w:val="center"/>
          </w:tcPr>
          <w:p w14:paraId="30B27C65">
            <w:pPr>
              <w:keepNext w:val="0"/>
              <w:keepLines w:val="0"/>
              <w:pageBreakBefore w:val="0"/>
              <w:widowControl w:val="0"/>
              <w:numPr>
                <w:ilvl w:val="0"/>
                <w:numId w:val="326"/>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数据安全</w:t>
            </w:r>
          </w:p>
          <w:p w14:paraId="0940AE4E">
            <w:pPr>
              <w:keepNext w:val="0"/>
              <w:keepLines w:val="0"/>
              <w:pageBreakBefore w:val="0"/>
              <w:widowControl w:val="0"/>
              <w:numPr>
                <w:ilvl w:val="0"/>
                <w:numId w:val="33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数据脱敏</w:t>
            </w:r>
          </w:p>
          <w:p w14:paraId="49BBBB6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支持在数据开放共享时对健康医疗敏感数据进行脱敏，在数据预览等场景下仅展示经过处理的匿名化信息。</w:t>
            </w:r>
          </w:p>
          <w:p w14:paraId="5F3DE97E">
            <w:pPr>
              <w:keepNext w:val="0"/>
              <w:keepLines w:val="0"/>
              <w:pageBreakBefore w:val="0"/>
              <w:widowControl w:val="0"/>
              <w:numPr>
                <w:ilvl w:val="0"/>
                <w:numId w:val="33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数据水印</w:t>
            </w:r>
          </w:p>
          <w:p w14:paraId="3EB815B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资源申请审核通过后，支持对导出下载的数据添加数据水印。</w:t>
            </w:r>
          </w:p>
          <w:p w14:paraId="472669AF">
            <w:pPr>
              <w:keepNext w:val="0"/>
              <w:keepLines w:val="0"/>
              <w:pageBreakBefore w:val="0"/>
              <w:widowControl w:val="0"/>
              <w:numPr>
                <w:ilvl w:val="0"/>
                <w:numId w:val="33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数据伪行伪列</w:t>
            </w:r>
          </w:p>
          <w:p w14:paraId="68D197D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资源申请审核通过后，支持对导出下载的数据添加伪行伪列。</w:t>
            </w:r>
          </w:p>
        </w:tc>
      </w:tr>
      <w:tr w14:paraId="3EC0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88124F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754" w:type="dxa"/>
            <w:vMerge w:val="restart"/>
            <w:tcBorders>
              <w:tl2br w:val="nil"/>
              <w:tr2bl w:val="nil"/>
            </w:tcBorders>
            <w:noWrap w:val="0"/>
            <w:vAlign w:val="center"/>
          </w:tcPr>
          <w:p w14:paraId="39D3A4E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事件驱动引擎（</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bidi="ar"/>
              </w:rPr>
              <w:t>）</w:t>
            </w:r>
          </w:p>
        </w:tc>
        <w:tc>
          <w:tcPr>
            <w:tcW w:w="7159" w:type="dxa"/>
            <w:tcBorders>
              <w:tl2br w:val="nil"/>
              <w:tr2bl w:val="nil"/>
            </w:tcBorders>
            <w:noWrap w:val="0"/>
            <w:vAlign w:val="center"/>
          </w:tcPr>
          <w:p w14:paraId="06342A02">
            <w:pPr>
              <w:keepNext w:val="0"/>
              <w:keepLines w:val="0"/>
              <w:pageBreakBefore w:val="0"/>
              <w:widowControl w:val="0"/>
              <w:numPr>
                <w:ilvl w:val="0"/>
                <w:numId w:val="337"/>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应用管理</w:t>
            </w:r>
          </w:p>
          <w:p w14:paraId="1FC10F2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支持对需要发送或消费的应用进行管理</w:t>
            </w:r>
          </w:p>
        </w:tc>
      </w:tr>
      <w:tr w14:paraId="36B2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E899C8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7D5D1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0"/>
            <w:vAlign w:val="center"/>
          </w:tcPr>
          <w:p w14:paraId="564ED1DD">
            <w:pPr>
              <w:keepNext w:val="0"/>
              <w:keepLines w:val="0"/>
              <w:pageBreakBefore w:val="0"/>
              <w:widowControl w:val="0"/>
              <w:numPr>
                <w:ilvl w:val="0"/>
                <w:numId w:val="337"/>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主题管理</w:t>
            </w:r>
          </w:p>
          <w:p w14:paraId="772229C0">
            <w:pPr>
              <w:keepNext w:val="0"/>
              <w:keepLines w:val="0"/>
              <w:pageBreakBefore w:val="0"/>
              <w:widowControl w:val="0"/>
              <w:numPr>
                <w:ilvl w:val="0"/>
                <w:numId w:val="33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主题配置</w:t>
            </w:r>
          </w:p>
          <w:p w14:paraId="540F23F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支持维护主题内容，支持维护主题的编码，权重等信息</w:t>
            </w:r>
          </w:p>
          <w:p w14:paraId="6387EF37">
            <w:pPr>
              <w:keepNext w:val="0"/>
              <w:keepLines w:val="0"/>
              <w:pageBreakBefore w:val="0"/>
              <w:widowControl w:val="0"/>
              <w:numPr>
                <w:ilvl w:val="0"/>
                <w:numId w:val="33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生产消费应用配置</w:t>
            </w:r>
          </w:p>
          <w:p w14:paraId="5B2463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支持维护主题的生产和消费方，支持维护多个消费方，生产方</w:t>
            </w:r>
          </w:p>
        </w:tc>
      </w:tr>
      <w:tr w14:paraId="3B8F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D58984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1E8886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0"/>
            <w:vAlign w:val="center"/>
          </w:tcPr>
          <w:p w14:paraId="2E421B42">
            <w:pPr>
              <w:keepNext w:val="0"/>
              <w:keepLines w:val="0"/>
              <w:pageBreakBefore w:val="0"/>
              <w:widowControl w:val="0"/>
              <w:numPr>
                <w:ilvl w:val="0"/>
                <w:numId w:val="337"/>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事件日志</w:t>
            </w:r>
          </w:p>
          <w:p w14:paraId="25482E5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支持统计事件引擎发送的各类消息情况，支持按主题，事件内容等进行检索，对于发送失败/超时的，支持重投</w:t>
            </w:r>
          </w:p>
        </w:tc>
      </w:tr>
      <w:tr w14:paraId="6D6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D65F55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4FA21C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159" w:type="dxa"/>
            <w:tcBorders>
              <w:tl2br w:val="nil"/>
              <w:tr2bl w:val="nil"/>
            </w:tcBorders>
            <w:noWrap w:val="0"/>
            <w:vAlign w:val="center"/>
          </w:tcPr>
          <w:p w14:paraId="61A6A41E">
            <w:pPr>
              <w:keepNext w:val="0"/>
              <w:keepLines w:val="0"/>
              <w:pageBreakBefore w:val="0"/>
              <w:widowControl w:val="0"/>
              <w:numPr>
                <w:ilvl w:val="0"/>
                <w:numId w:val="337"/>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监管分析</w:t>
            </w:r>
          </w:p>
          <w:p w14:paraId="69CD5424">
            <w:pPr>
              <w:keepNext w:val="0"/>
              <w:keepLines w:val="0"/>
              <w:pageBreakBefore w:val="0"/>
              <w:widowControl w:val="0"/>
              <w:numPr>
                <w:ilvl w:val="0"/>
                <w:numId w:val="33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基础信息统计</w:t>
            </w:r>
          </w:p>
          <w:p w14:paraId="4093867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支持事件引擎基础信息的统计，如主题数据量，应用总数，生产/消费总数等</w:t>
            </w:r>
          </w:p>
          <w:p w14:paraId="34DC56E1">
            <w:pPr>
              <w:keepNext w:val="0"/>
              <w:keepLines w:val="0"/>
              <w:pageBreakBefore w:val="0"/>
              <w:widowControl w:val="0"/>
              <w:numPr>
                <w:ilvl w:val="0"/>
                <w:numId w:val="33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生产消费事件统计</w:t>
            </w:r>
          </w:p>
          <w:p w14:paraId="35B6E8E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支持统计生产消费事件的情况，如生产条数，消费调整，不同消费模式的数量</w:t>
            </w:r>
          </w:p>
          <w:p w14:paraId="3A8BCC57">
            <w:pPr>
              <w:keepNext w:val="0"/>
              <w:keepLines w:val="0"/>
              <w:pageBreakBefore w:val="0"/>
              <w:widowControl w:val="0"/>
              <w:numPr>
                <w:ilvl w:val="0"/>
                <w:numId w:val="339"/>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消费异常事件统计</w:t>
            </w:r>
          </w:p>
          <w:p w14:paraId="6EE1484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支持消费异常事件的统计，如消费异常事件总数，失败数，拒绝数等</w:t>
            </w:r>
          </w:p>
        </w:tc>
      </w:tr>
    </w:tbl>
    <w:p w14:paraId="40214986">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4341A8D3">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API服务资源管理(新建)</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760"/>
        <w:gridCol w:w="7280"/>
      </w:tblGrid>
      <w:tr w14:paraId="4841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ign w:val="center"/>
          </w:tcPr>
          <w:p w14:paraId="0D644AD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ign w:val="center"/>
          </w:tcPr>
          <w:p w14:paraId="378042B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模块</w:t>
            </w:r>
          </w:p>
        </w:tc>
        <w:tc>
          <w:tcPr>
            <w:tcW w:w="7291" w:type="dxa"/>
            <w:tcBorders>
              <w:tl2br w:val="nil"/>
              <w:tr2bl w:val="nil"/>
            </w:tcBorders>
            <w:noWrap/>
            <w:vAlign w:val="center"/>
          </w:tcPr>
          <w:p w14:paraId="5465008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功能及技术参数</w:t>
            </w:r>
          </w:p>
        </w:tc>
      </w:tr>
      <w:tr w14:paraId="3C5E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ign w:val="center"/>
          </w:tcPr>
          <w:p w14:paraId="1881D0A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754" w:type="dxa"/>
            <w:vMerge w:val="restart"/>
            <w:tcBorders>
              <w:tl2br w:val="nil"/>
              <w:tr2bl w:val="nil"/>
            </w:tcBorders>
            <w:noWrap/>
            <w:vAlign w:val="center"/>
          </w:tcPr>
          <w:p w14:paraId="44B166B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服务总览</w:t>
            </w:r>
          </w:p>
        </w:tc>
        <w:tc>
          <w:tcPr>
            <w:tcW w:w="7291" w:type="dxa"/>
            <w:tcBorders>
              <w:tl2br w:val="nil"/>
              <w:tr2bl w:val="nil"/>
            </w:tcBorders>
            <w:noWrap/>
            <w:vAlign w:val="center"/>
          </w:tcPr>
          <w:p w14:paraId="0ADE3F6F">
            <w:pPr>
              <w:keepNext w:val="0"/>
              <w:keepLines w:val="0"/>
              <w:pageBreakBefore w:val="0"/>
              <w:widowControl/>
              <w:numPr>
                <w:ilvl w:val="0"/>
                <w:numId w:val="34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服务资源生态分析</w:t>
            </w:r>
          </w:p>
          <w:p w14:paraId="4C0E1EC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支持以图表可视化的形式进行展示，包括服务的总数、应用总数和服务方总数。</w:t>
            </w:r>
          </w:p>
        </w:tc>
      </w:tr>
      <w:tr w14:paraId="3649C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64F4280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5278869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13FD0E46">
            <w:pPr>
              <w:keepNext w:val="0"/>
              <w:keepLines w:val="0"/>
              <w:pageBreakBefore w:val="0"/>
              <w:widowControl/>
              <w:numPr>
                <w:ilvl w:val="0"/>
                <w:numId w:val="34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服务资源结构分析</w:t>
            </w:r>
          </w:p>
          <w:p w14:paraId="6111A8F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支持以图表可视化的形式进行展示，包括系统整体的启用服务、异常服务和失败服务情况。</w:t>
            </w:r>
          </w:p>
        </w:tc>
      </w:tr>
      <w:tr w14:paraId="1A4FE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48D3F44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077D74F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2679752A">
            <w:pPr>
              <w:keepNext w:val="0"/>
              <w:keepLines w:val="0"/>
              <w:pageBreakBefore w:val="0"/>
              <w:widowControl/>
              <w:numPr>
                <w:ilvl w:val="0"/>
                <w:numId w:val="34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服务调用次数分析</w:t>
            </w:r>
          </w:p>
          <w:p w14:paraId="03A7D34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支持以图表可视化的形式进行展示，包括调用次数较高的接口的排名情况，各接口的调用次数和对比情况。</w:t>
            </w:r>
          </w:p>
        </w:tc>
      </w:tr>
      <w:tr w14:paraId="4A7F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5B48F2C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541EFF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12417777">
            <w:pPr>
              <w:keepNext w:val="0"/>
              <w:keepLines w:val="0"/>
              <w:pageBreakBefore w:val="0"/>
              <w:widowControl/>
              <w:numPr>
                <w:ilvl w:val="0"/>
                <w:numId w:val="34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服务访问失败分析</w:t>
            </w:r>
          </w:p>
          <w:p w14:paraId="0F18868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支持以图表可视化的形式进行展示，包括访问次数、失败次数和失败等。</w:t>
            </w:r>
          </w:p>
        </w:tc>
      </w:tr>
      <w:tr w14:paraId="3E9C0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13C3EE0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5FEC24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51E2AE30">
            <w:pPr>
              <w:keepNext w:val="0"/>
              <w:keepLines w:val="0"/>
              <w:pageBreakBefore w:val="0"/>
              <w:widowControl/>
              <w:numPr>
                <w:ilvl w:val="0"/>
                <w:numId w:val="34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服务耗时分析</w:t>
            </w:r>
          </w:p>
          <w:p w14:paraId="53B3093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支持以图表可视化的形式进行展示，包括接口名称、平均耗时和是否超时状态</w:t>
            </w:r>
          </w:p>
        </w:tc>
      </w:tr>
      <w:tr w14:paraId="7DD33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220D660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080C2D0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1A070060">
            <w:pPr>
              <w:keepNext w:val="0"/>
              <w:keepLines w:val="0"/>
              <w:pageBreakBefore w:val="0"/>
              <w:widowControl/>
              <w:numPr>
                <w:ilvl w:val="0"/>
                <w:numId w:val="34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服务更新趋势分析</w:t>
            </w:r>
          </w:p>
          <w:p w14:paraId="6F1D1ED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支持以图表可视化的形式进行展示，包括服务迭代和服务上下线情况</w:t>
            </w:r>
          </w:p>
        </w:tc>
      </w:tr>
      <w:tr w14:paraId="73170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082E184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8C0F34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05C61204">
            <w:pPr>
              <w:keepNext w:val="0"/>
              <w:keepLines w:val="0"/>
              <w:pageBreakBefore w:val="0"/>
              <w:widowControl/>
              <w:numPr>
                <w:ilvl w:val="0"/>
                <w:numId w:val="340"/>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服务调用异常失败日志</w:t>
            </w:r>
          </w:p>
          <w:p w14:paraId="0884243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支持查看服务调用异常和调用失败的日志情况，支持查看服务调用记录的节点情况</w:t>
            </w:r>
          </w:p>
        </w:tc>
      </w:tr>
      <w:tr w14:paraId="5DFCA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ign w:val="center"/>
          </w:tcPr>
          <w:p w14:paraId="2CE9003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754" w:type="dxa"/>
            <w:vMerge w:val="restart"/>
            <w:tcBorders>
              <w:tl2br w:val="nil"/>
              <w:tr2bl w:val="nil"/>
            </w:tcBorders>
            <w:noWrap/>
            <w:vAlign w:val="center"/>
          </w:tcPr>
          <w:p w14:paraId="1A4A8C1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服务集市</w:t>
            </w:r>
          </w:p>
        </w:tc>
        <w:tc>
          <w:tcPr>
            <w:tcW w:w="7291" w:type="dxa"/>
            <w:tcBorders>
              <w:tl2br w:val="nil"/>
              <w:tr2bl w:val="nil"/>
            </w:tcBorders>
            <w:noWrap/>
            <w:vAlign w:val="center"/>
          </w:tcPr>
          <w:p w14:paraId="5A5F1348">
            <w:pPr>
              <w:keepNext w:val="0"/>
              <w:keepLines w:val="0"/>
              <w:pageBreakBefore w:val="0"/>
              <w:widowControl/>
              <w:numPr>
                <w:ilvl w:val="0"/>
                <w:numId w:val="34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服务资源查询</w:t>
            </w:r>
          </w:p>
          <w:p w14:paraId="1F91537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支持根据资源名称查询服务资源</w:t>
            </w:r>
          </w:p>
        </w:tc>
      </w:tr>
      <w:tr w14:paraId="640F6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7E5F6DE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81D837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077E7E25">
            <w:pPr>
              <w:keepNext w:val="0"/>
              <w:keepLines w:val="0"/>
              <w:pageBreakBefore w:val="0"/>
              <w:widowControl/>
              <w:numPr>
                <w:ilvl w:val="0"/>
                <w:numId w:val="34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服务资源收藏</w:t>
            </w:r>
          </w:p>
          <w:p w14:paraId="2F0D1E5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支持收藏服务集市中的资源</w:t>
            </w:r>
          </w:p>
        </w:tc>
      </w:tr>
      <w:tr w14:paraId="7AE2B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3BC8FC9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476E9DA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restart"/>
            <w:tcBorders>
              <w:tl2br w:val="nil"/>
              <w:tr2bl w:val="nil"/>
            </w:tcBorders>
            <w:noWrap/>
            <w:vAlign w:val="center"/>
          </w:tcPr>
          <w:p w14:paraId="0B428E90">
            <w:pPr>
              <w:keepNext w:val="0"/>
              <w:keepLines w:val="0"/>
              <w:pageBreakBefore w:val="0"/>
              <w:widowControl/>
              <w:numPr>
                <w:ilvl w:val="0"/>
                <w:numId w:val="34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服务申请</w:t>
            </w:r>
          </w:p>
          <w:p w14:paraId="2B5F1730">
            <w:pPr>
              <w:keepNext w:val="0"/>
              <w:keepLines w:val="0"/>
              <w:pageBreakBefore w:val="0"/>
              <w:widowControl/>
              <w:numPr>
                <w:ilvl w:val="0"/>
                <w:numId w:val="342"/>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服务资源详情查看</w:t>
            </w:r>
          </w:p>
          <w:p w14:paraId="3915AA0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支持查看服务资源详细信息，包括资源名称、请求参数、返回参数等信息</w:t>
            </w:r>
          </w:p>
          <w:p w14:paraId="5E0C55A5">
            <w:pPr>
              <w:keepNext w:val="0"/>
              <w:keepLines w:val="0"/>
              <w:pageBreakBefore w:val="0"/>
              <w:widowControl/>
              <w:numPr>
                <w:ilvl w:val="0"/>
                <w:numId w:val="342"/>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应用绑定</w:t>
            </w:r>
          </w:p>
          <w:p w14:paraId="756C58F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支持申请的服务与申请的应用绑定，表示接口由该应用进行调用</w:t>
            </w:r>
          </w:p>
          <w:p w14:paraId="78967CAE">
            <w:pPr>
              <w:keepNext w:val="0"/>
              <w:keepLines w:val="0"/>
              <w:pageBreakBefore w:val="0"/>
              <w:widowControl/>
              <w:numPr>
                <w:ilvl w:val="0"/>
                <w:numId w:val="342"/>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加入申请清单</w:t>
            </w:r>
          </w:p>
          <w:p w14:paraId="40640FD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支持将需要申请的资源加入申请清单，便于后续统一提交申请</w:t>
            </w:r>
          </w:p>
        </w:tc>
      </w:tr>
      <w:tr w14:paraId="083D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2F4DFEC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3AFDDDB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297C4DB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750D8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3975AC1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3023EEF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674319B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33553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C0F594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64CC0E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restart"/>
            <w:tcBorders>
              <w:tl2br w:val="nil"/>
              <w:tr2bl w:val="nil"/>
            </w:tcBorders>
            <w:noWrap/>
            <w:vAlign w:val="center"/>
          </w:tcPr>
          <w:p w14:paraId="4BA7361C">
            <w:pPr>
              <w:keepNext w:val="0"/>
              <w:keepLines w:val="0"/>
              <w:pageBreakBefore w:val="0"/>
              <w:widowControl/>
              <w:numPr>
                <w:ilvl w:val="0"/>
                <w:numId w:val="34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服务申请清单</w:t>
            </w:r>
          </w:p>
          <w:p w14:paraId="0915F5A7">
            <w:pPr>
              <w:keepNext w:val="0"/>
              <w:keepLines w:val="0"/>
              <w:pageBreakBefore w:val="0"/>
              <w:widowControl/>
              <w:numPr>
                <w:ilvl w:val="0"/>
                <w:numId w:val="343"/>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服务申请记录管理</w:t>
            </w:r>
          </w:p>
          <w:p w14:paraId="04600FC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支持查看具体资源的详情和填写的调用信息，对于无需进行申请资源，支持删除操作</w:t>
            </w:r>
          </w:p>
          <w:p w14:paraId="230261F5">
            <w:pPr>
              <w:keepNext w:val="0"/>
              <w:keepLines w:val="0"/>
              <w:pageBreakBefore w:val="0"/>
              <w:widowControl/>
              <w:numPr>
                <w:ilvl w:val="0"/>
                <w:numId w:val="343"/>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服务批量申请</w:t>
            </w:r>
          </w:p>
          <w:p w14:paraId="473DD8A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支持批量进行申请服务资源，只需填写一次申请信息，包括申请原因和可能需要的附件</w:t>
            </w:r>
          </w:p>
        </w:tc>
      </w:tr>
      <w:tr w14:paraId="3A1EA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486BA4E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358F8CF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42CC3E2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29FD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restart"/>
            <w:tcBorders>
              <w:tl2br w:val="nil"/>
              <w:tr2bl w:val="nil"/>
            </w:tcBorders>
            <w:noWrap/>
            <w:vAlign w:val="center"/>
          </w:tcPr>
          <w:p w14:paraId="6C1D3DB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754" w:type="dxa"/>
            <w:vMerge w:val="restart"/>
            <w:tcBorders>
              <w:tl2br w:val="nil"/>
              <w:tr2bl w:val="nil"/>
            </w:tcBorders>
            <w:noWrap/>
            <w:vAlign w:val="center"/>
          </w:tcPr>
          <w:p w14:paraId="2A7CE0C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服务管理</w:t>
            </w:r>
          </w:p>
        </w:tc>
        <w:tc>
          <w:tcPr>
            <w:tcW w:w="7291" w:type="dxa"/>
            <w:vMerge w:val="restart"/>
            <w:tcBorders>
              <w:tl2br w:val="nil"/>
              <w:tr2bl w:val="nil"/>
            </w:tcBorders>
            <w:noWrap/>
            <w:vAlign w:val="center"/>
          </w:tcPr>
          <w:p w14:paraId="3F56FA45">
            <w:pPr>
              <w:keepNext w:val="0"/>
              <w:keepLines w:val="0"/>
              <w:pageBreakBefore w:val="0"/>
              <w:widowControl/>
              <w:numPr>
                <w:ilvl w:val="0"/>
                <w:numId w:val="344"/>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服务资产管理</w:t>
            </w:r>
          </w:p>
          <w:p w14:paraId="28B90D2E">
            <w:pPr>
              <w:keepNext w:val="0"/>
              <w:keepLines w:val="0"/>
              <w:pageBreakBefore w:val="0"/>
              <w:widowControl/>
              <w:numPr>
                <w:ilvl w:val="0"/>
                <w:numId w:val="345"/>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服务管理</w:t>
            </w:r>
          </w:p>
          <w:p w14:paraId="1BC8A0B8">
            <w:pPr>
              <w:keepNext w:val="0"/>
              <w:keepLines w:val="0"/>
              <w:pageBreakBefore w:val="0"/>
              <w:widowControl/>
              <w:numPr>
                <w:ilvl w:val="0"/>
                <w:numId w:val="346"/>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服务分组管理</w:t>
            </w:r>
          </w:p>
          <w:p w14:paraId="589BEF8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支持服务分组管理，通过分组和服务的查询可以快速查找平台提供的特定服务或服务类别。</w:t>
            </w:r>
          </w:p>
          <w:p w14:paraId="6D82CE9B">
            <w:pPr>
              <w:keepNext w:val="0"/>
              <w:keepLines w:val="0"/>
              <w:pageBreakBefore w:val="0"/>
              <w:widowControl/>
              <w:numPr>
                <w:ilvl w:val="0"/>
                <w:numId w:val="346"/>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服务上下线配置</w:t>
            </w:r>
          </w:p>
          <w:p w14:paraId="3444242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支持对服务接口的上线和下线的变更管理，实现控制服务的使用。</w:t>
            </w:r>
          </w:p>
          <w:p w14:paraId="38598335">
            <w:pPr>
              <w:keepNext w:val="0"/>
              <w:keepLines w:val="0"/>
              <w:pageBreakBefore w:val="0"/>
              <w:widowControl/>
              <w:numPr>
                <w:ilvl w:val="0"/>
                <w:numId w:val="346"/>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服务开放配置</w:t>
            </w:r>
          </w:p>
          <w:p w14:paraId="1C3315B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支持对服务接口的开放状态的变更管理，实现控制服务是否开放到服务集市。</w:t>
            </w:r>
          </w:p>
          <w:p w14:paraId="7EDDB050">
            <w:pPr>
              <w:keepNext w:val="0"/>
              <w:keepLines w:val="0"/>
              <w:pageBreakBefore w:val="0"/>
              <w:widowControl/>
              <w:numPr>
                <w:ilvl w:val="0"/>
                <w:numId w:val="346"/>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接口文档下载</w:t>
            </w:r>
          </w:p>
          <w:p w14:paraId="31C0C7C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支持下载服务对应的接口文档。</w:t>
            </w:r>
          </w:p>
          <w:p w14:paraId="3D9960AB">
            <w:pPr>
              <w:keepNext w:val="0"/>
              <w:keepLines w:val="0"/>
              <w:pageBreakBefore w:val="0"/>
              <w:widowControl/>
              <w:numPr>
                <w:ilvl w:val="0"/>
                <w:numId w:val="346"/>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服务信息管理</w:t>
            </w:r>
          </w:p>
          <w:p w14:paraId="347243A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支持对服务进行进行查看和基本信息维护。</w:t>
            </w:r>
          </w:p>
          <w:p w14:paraId="37E1ABBE">
            <w:pPr>
              <w:keepNext w:val="0"/>
              <w:keepLines w:val="0"/>
              <w:pageBreakBefore w:val="0"/>
              <w:widowControl/>
              <w:numPr>
                <w:ilvl w:val="0"/>
                <w:numId w:val="346"/>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服务迭代</w:t>
            </w:r>
          </w:p>
          <w:p w14:paraId="1B99E7A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支持克隆选中接口，重新编辑并审核申请上线后生成新的一个接口，避免影响其他授权用户对接口的调用。</w:t>
            </w:r>
          </w:p>
          <w:p w14:paraId="76EE874C">
            <w:pPr>
              <w:keepNext w:val="0"/>
              <w:keepLines w:val="0"/>
              <w:pageBreakBefore w:val="0"/>
              <w:widowControl/>
              <w:numPr>
                <w:ilvl w:val="0"/>
                <w:numId w:val="345"/>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API测试</w:t>
            </w:r>
          </w:p>
          <w:p w14:paraId="5770525A">
            <w:pPr>
              <w:keepNext w:val="0"/>
              <w:keepLines w:val="0"/>
              <w:pageBreakBefore w:val="0"/>
              <w:widowControl/>
              <w:numPr>
                <w:ilvl w:val="0"/>
                <w:numId w:val="347"/>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沙盒环境测试</w:t>
            </w:r>
          </w:p>
          <w:p w14:paraId="15918E4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支持服务在沙箱环境进行测试，在不影响正式环境的情况下开展服务的测试和调整。</w:t>
            </w:r>
          </w:p>
          <w:p w14:paraId="7B1659BE">
            <w:pPr>
              <w:keepNext w:val="0"/>
              <w:keepLines w:val="0"/>
              <w:pageBreakBefore w:val="0"/>
              <w:widowControl/>
              <w:numPr>
                <w:ilvl w:val="0"/>
                <w:numId w:val="347"/>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正式环境测试</w:t>
            </w:r>
          </w:p>
          <w:p w14:paraId="51756B3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支持服务申请方在获得服务授权后在正式环境进行调用测试，获取真实的数据或返回结果。</w:t>
            </w:r>
          </w:p>
          <w:p w14:paraId="2797293B">
            <w:pPr>
              <w:keepNext w:val="0"/>
              <w:keepLines w:val="0"/>
              <w:pageBreakBefore w:val="0"/>
              <w:widowControl/>
              <w:numPr>
                <w:ilvl w:val="0"/>
                <w:numId w:val="345"/>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更新日志</w:t>
            </w:r>
          </w:p>
          <w:p w14:paraId="2D8F9638">
            <w:pPr>
              <w:keepNext w:val="0"/>
              <w:keepLines w:val="0"/>
              <w:pageBreakBefore w:val="0"/>
              <w:widowControl/>
              <w:numPr>
                <w:ilvl w:val="0"/>
                <w:numId w:val="348"/>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更新日志列表</w:t>
            </w:r>
          </w:p>
          <w:p w14:paraId="493E874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支持服务更新日志记录，包括具体的更新日期、变更原因和变更内容概述等。</w:t>
            </w:r>
          </w:p>
          <w:p w14:paraId="444C66E1">
            <w:pPr>
              <w:keepNext w:val="0"/>
              <w:keepLines w:val="0"/>
              <w:pageBreakBefore w:val="0"/>
              <w:widowControl/>
              <w:numPr>
                <w:ilvl w:val="0"/>
                <w:numId w:val="348"/>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接口基本信息</w:t>
            </w:r>
          </w:p>
          <w:p w14:paraId="3B7592C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服务更新后，支持选择对应的更新记录查看其明细接口信息。</w:t>
            </w:r>
          </w:p>
          <w:p w14:paraId="200B6A54">
            <w:pPr>
              <w:keepNext w:val="0"/>
              <w:keepLines w:val="0"/>
              <w:pageBreakBefore w:val="0"/>
              <w:widowControl/>
              <w:numPr>
                <w:ilvl w:val="0"/>
                <w:numId w:val="348"/>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版本对比明细</w:t>
            </w:r>
          </w:p>
          <w:p w14:paraId="4FF2D87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支持选中两条更新记录比对更新情况。</w:t>
            </w:r>
          </w:p>
          <w:p w14:paraId="27FC4AE6">
            <w:pPr>
              <w:keepNext w:val="0"/>
              <w:keepLines w:val="0"/>
              <w:pageBreakBefore w:val="0"/>
              <w:widowControl/>
              <w:numPr>
                <w:ilvl w:val="0"/>
                <w:numId w:val="345"/>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授权信息</w:t>
            </w:r>
          </w:p>
          <w:p w14:paraId="358399A2">
            <w:pPr>
              <w:keepNext w:val="0"/>
              <w:keepLines w:val="0"/>
              <w:pageBreakBefore w:val="0"/>
              <w:widowControl/>
              <w:numPr>
                <w:ilvl w:val="0"/>
                <w:numId w:val="349"/>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授权信息列表</w:t>
            </w:r>
          </w:p>
          <w:p w14:paraId="663432C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支持当前服务授权情况的统一展示，包括授权时间、授权对象、授权应用、授权有效期等。</w:t>
            </w:r>
          </w:p>
          <w:p w14:paraId="369E3642">
            <w:pPr>
              <w:keepNext w:val="0"/>
              <w:keepLines w:val="0"/>
              <w:pageBreakBefore w:val="0"/>
              <w:widowControl/>
              <w:numPr>
                <w:ilvl w:val="0"/>
                <w:numId w:val="349"/>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延长有效期申请</w:t>
            </w:r>
          </w:p>
          <w:p w14:paraId="6ACBD63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支持对审核通过但失效的服务接口进行授权有效期的延长申请，避免重复申请同一接口。</w:t>
            </w:r>
          </w:p>
          <w:p w14:paraId="471DA465">
            <w:pPr>
              <w:keepNext w:val="0"/>
              <w:keepLines w:val="0"/>
              <w:pageBreakBefore w:val="0"/>
              <w:widowControl/>
              <w:numPr>
                <w:ilvl w:val="0"/>
                <w:numId w:val="349"/>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频率扩充申请</w:t>
            </w:r>
          </w:p>
          <w:p w14:paraId="1064EE2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支持对服务接口进行频率扩充申请，避免重复申请同一接口。</w:t>
            </w:r>
          </w:p>
          <w:p w14:paraId="0D4513B5">
            <w:pPr>
              <w:keepNext w:val="0"/>
              <w:keepLines w:val="0"/>
              <w:pageBreakBefore w:val="0"/>
              <w:widowControl/>
              <w:numPr>
                <w:ilvl w:val="0"/>
                <w:numId w:val="349"/>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获取接口信息</w:t>
            </w:r>
          </w:p>
          <w:p w14:paraId="33B27DA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支持对已通过申请的服务进行复制获取详细信息，用于接口对接和调试</w:t>
            </w:r>
          </w:p>
          <w:p w14:paraId="00306EBE">
            <w:pPr>
              <w:keepNext w:val="0"/>
              <w:keepLines w:val="0"/>
              <w:pageBreakBefore w:val="0"/>
              <w:widowControl/>
              <w:numPr>
                <w:ilvl w:val="0"/>
                <w:numId w:val="345"/>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访问日志</w:t>
            </w:r>
          </w:p>
          <w:p w14:paraId="778E072C">
            <w:pPr>
              <w:keepNext w:val="0"/>
              <w:keepLines w:val="0"/>
              <w:pageBreakBefore w:val="0"/>
              <w:widowControl/>
              <w:numPr>
                <w:ilvl w:val="0"/>
                <w:numId w:val="350"/>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访问日志列表</w:t>
            </w:r>
          </w:p>
          <w:p w14:paraId="70F49D9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支持记录详细的接口访问记录，包括访问地址、请求的应用、请求客户端的IP地址、请求时间等。</w:t>
            </w:r>
          </w:p>
          <w:p w14:paraId="19E038F4">
            <w:pPr>
              <w:keepNext w:val="0"/>
              <w:keepLines w:val="0"/>
              <w:pageBreakBefore w:val="0"/>
              <w:widowControl/>
              <w:numPr>
                <w:ilvl w:val="0"/>
                <w:numId w:val="350"/>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链路跟踪详情</w:t>
            </w:r>
          </w:p>
          <w:p w14:paraId="44590BD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支持查看每一条访问记录的链路跟踪详情，以链路的形式直观展示接口调用的完整路径。</w:t>
            </w:r>
          </w:p>
          <w:p w14:paraId="64CFABAF">
            <w:pPr>
              <w:keepNext w:val="0"/>
              <w:keepLines w:val="0"/>
              <w:pageBreakBefore w:val="0"/>
              <w:widowControl/>
              <w:numPr>
                <w:ilvl w:val="0"/>
                <w:numId w:val="350"/>
              </w:numPr>
              <w:kinsoku/>
              <w:wordWrap/>
              <w:overflowPunct/>
              <w:topLinePunct w:val="0"/>
              <w:autoSpaceDE/>
              <w:autoSpaceDN/>
              <w:bidi w:val="0"/>
              <w:adjustRightInd w:val="0"/>
              <w:snapToGrid w:val="0"/>
              <w:spacing w:before="0" w:after="0" w:line="240" w:lineRule="auto"/>
              <w:ind w:left="454" w:hanging="454"/>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访问节点详情</w:t>
            </w:r>
          </w:p>
          <w:p w14:paraId="21FED9D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支持查看每一个访问节点的详细信息，包括请求内容、响应内容、响应状态等。</w:t>
            </w:r>
          </w:p>
        </w:tc>
      </w:tr>
      <w:tr w14:paraId="62334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7C738B9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61B787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4A04F84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3C997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8CB316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03FA358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462BCB5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69B20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4F7FE4A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0A5258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2812FC8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4146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50C8D08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1B1CC7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7833D52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40495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2280531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3B39ED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0877D7C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1699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0EF734E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1219C5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554F94A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335A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61FB53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02DA20E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0268193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2085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DE2DEC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5756F90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5C6E93F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2DCEC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0A8CB55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50AF5D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1D3504A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452FF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45A81B5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FBD6B0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4B6DAD3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3B51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106426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E048F0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175F540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05D6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4BEB7FA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3A3B287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5A85F6F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02BE1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0054B26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5CB4B9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3559580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0F977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5E77727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B02114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7A98E0B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42B84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395237C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8540B8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6DE1CBD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0F021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3A651B5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4F528C0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06265F7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1D3A2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005CD38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04A2961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395895E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0017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14F1F6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2F8D50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restart"/>
            <w:tcBorders>
              <w:tl2br w:val="nil"/>
              <w:tr2bl w:val="nil"/>
            </w:tcBorders>
            <w:noWrap/>
            <w:vAlign w:val="center"/>
          </w:tcPr>
          <w:p w14:paraId="128422D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二、服务审核</w:t>
            </w:r>
          </w:p>
          <w:p w14:paraId="23996277">
            <w:pPr>
              <w:keepNext w:val="0"/>
              <w:keepLines w:val="0"/>
              <w:pageBreakBefore w:val="0"/>
              <w:widowControl/>
              <w:numPr>
                <w:ilvl w:val="0"/>
                <w:numId w:val="35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服务授权审核</w:t>
            </w:r>
          </w:p>
          <w:p w14:paraId="42CB5B5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支持对服务授权申请进行审核，支持修改接口的失效时间、调度频率、调用时间段等信息</w:t>
            </w:r>
          </w:p>
          <w:p w14:paraId="332DDA1B">
            <w:pPr>
              <w:keepNext w:val="0"/>
              <w:keepLines w:val="0"/>
              <w:pageBreakBefore w:val="0"/>
              <w:widowControl/>
              <w:numPr>
                <w:ilvl w:val="0"/>
                <w:numId w:val="35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服务上线审核</w:t>
            </w:r>
          </w:p>
          <w:p w14:paraId="1218094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支持对服务上线申请进行审核，审核通过后的服务能够上线并被其他用户申请调用</w:t>
            </w:r>
          </w:p>
          <w:p w14:paraId="5E29793C">
            <w:pPr>
              <w:keepNext w:val="0"/>
              <w:keepLines w:val="0"/>
              <w:pageBreakBefore w:val="0"/>
              <w:widowControl/>
              <w:numPr>
                <w:ilvl w:val="0"/>
                <w:numId w:val="35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服务下线审核</w:t>
            </w:r>
          </w:p>
          <w:p w14:paraId="509EAB9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支持对服务下线申请进行审核，支持修改服务预计下线的日期</w:t>
            </w:r>
          </w:p>
          <w:p w14:paraId="55CB9C7B">
            <w:pPr>
              <w:keepNext w:val="0"/>
              <w:keepLines w:val="0"/>
              <w:pageBreakBefore w:val="0"/>
              <w:widowControl/>
              <w:numPr>
                <w:ilvl w:val="0"/>
                <w:numId w:val="35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服务迭代审核</w:t>
            </w:r>
          </w:p>
          <w:p w14:paraId="620281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支持对服务迭代申请进行审核，审核通过后的服务将会克隆并上线</w:t>
            </w:r>
          </w:p>
          <w:p w14:paraId="55CB2305">
            <w:pPr>
              <w:keepNext w:val="0"/>
              <w:keepLines w:val="0"/>
              <w:pageBreakBefore w:val="0"/>
              <w:widowControl/>
              <w:numPr>
                <w:ilvl w:val="0"/>
                <w:numId w:val="35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服务授权延期审核</w:t>
            </w:r>
          </w:p>
          <w:p w14:paraId="1170FEE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支持对服务授权延期申请进行审核，审核通过后将会延长接口的有效期</w:t>
            </w:r>
          </w:p>
          <w:p w14:paraId="018D2A14">
            <w:pPr>
              <w:keepNext w:val="0"/>
              <w:keepLines w:val="0"/>
              <w:pageBreakBefore w:val="0"/>
              <w:widowControl/>
              <w:numPr>
                <w:ilvl w:val="0"/>
                <w:numId w:val="351"/>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接口频率扩充审核</w:t>
            </w:r>
          </w:p>
          <w:p w14:paraId="5951600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支持对接口频率扩充申请进行审核，审核通过后将会扩充接口单日可调用的频次</w:t>
            </w:r>
          </w:p>
        </w:tc>
      </w:tr>
      <w:tr w14:paraId="7229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08FE018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F5B441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4E8B2AB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1718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7BC8EC9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0F1D76C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61643A8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47EC9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751A08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4D668B5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16ABFBC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67DA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1BFCDA0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21C34B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2B9D841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2CFD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A41240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5F085C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068F9BB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5F2C1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2FF26F9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5874072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restart"/>
            <w:tcBorders>
              <w:tl2br w:val="nil"/>
              <w:tr2bl w:val="nil"/>
            </w:tcBorders>
            <w:noWrap/>
            <w:vAlign w:val="center"/>
          </w:tcPr>
          <w:p w14:paraId="6937497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三、授权信息</w:t>
            </w:r>
          </w:p>
          <w:p w14:paraId="066A7B41">
            <w:pPr>
              <w:keepNext w:val="0"/>
              <w:keepLines w:val="0"/>
              <w:pageBreakBefore w:val="0"/>
              <w:widowControl/>
              <w:numPr>
                <w:ilvl w:val="0"/>
                <w:numId w:val="35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授权信息列表</w:t>
            </w:r>
          </w:p>
          <w:p w14:paraId="52F6102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支持所有服务授权情况的统一展示，包括授权时间、授权对象、授权应用、授权有效期等。</w:t>
            </w:r>
          </w:p>
          <w:p w14:paraId="7DEBE64B">
            <w:pPr>
              <w:keepNext w:val="0"/>
              <w:keepLines w:val="0"/>
              <w:pageBreakBefore w:val="0"/>
              <w:widowControl/>
              <w:numPr>
                <w:ilvl w:val="0"/>
                <w:numId w:val="352"/>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删除服务授权</w:t>
            </w:r>
          </w:p>
          <w:p w14:paraId="7A29907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当发现某个应用存在异常行为或不再符合授权条件时，支持删除其授权，防止其对API接口造成威胁。</w:t>
            </w:r>
          </w:p>
        </w:tc>
      </w:tr>
      <w:tr w14:paraId="5A9C0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1550DCE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3E0CB6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26BCCB7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6A8AD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2733F2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54D4F68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restart"/>
            <w:tcBorders>
              <w:tl2br w:val="nil"/>
              <w:tr2bl w:val="nil"/>
            </w:tcBorders>
            <w:noWrap/>
            <w:vAlign w:val="center"/>
          </w:tcPr>
          <w:p w14:paraId="13960EB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四、服务方管理</w:t>
            </w:r>
          </w:p>
          <w:p w14:paraId="4895A131">
            <w:pPr>
              <w:keepNext w:val="0"/>
              <w:keepLines w:val="0"/>
              <w:pageBreakBefore w:val="0"/>
              <w:widowControl/>
              <w:numPr>
                <w:ilvl w:val="0"/>
                <w:numId w:val="35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服务方分组管理</w:t>
            </w:r>
          </w:p>
          <w:p w14:paraId="7AAB546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支持对服务方进行统一管理维护，包括服务方姓名、类型、联系电话、服务方用户等基本信息</w:t>
            </w:r>
          </w:p>
          <w:p w14:paraId="3B8025DC">
            <w:pPr>
              <w:keepNext w:val="0"/>
              <w:keepLines w:val="0"/>
              <w:pageBreakBefore w:val="0"/>
              <w:widowControl/>
              <w:numPr>
                <w:ilvl w:val="0"/>
                <w:numId w:val="35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服务方信息管理</w:t>
            </w:r>
          </w:p>
          <w:p w14:paraId="04CA02B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支持服务方管理员对其所在服务方信息进行统一管理，支持编辑和更新服务方的基本信息，如名称、联系方式、描述等。</w:t>
            </w:r>
          </w:p>
          <w:p w14:paraId="7EA12F8E">
            <w:pPr>
              <w:keepNext w:val="0"/>
              <w:keepLines w:val="0"/>
              <w:pageBreakBefore w:val="0"/>
              <w:widowControl/>
              <w:numPr>
                <w:ilvl w:val="0"/>
                <w:numId w:val="353"/>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服务方成员管理</w:t>
            </w:r>
          </w:p>
          <w:p w14:paraId="48DF221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支持服务方管理员管理服务方中的其他成员信息，管理成员基本信息。</w:t>
            </w:r>
          </w:p>
        </w:tc>
      </w:tr>
      <w:tr w14:paraId="793A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2C17BEA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2A799EE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257CA38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5EB46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4329326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5990B7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045D26B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50189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restart"/>
            <w:tcBorders>
              <w:tl2br w:val="nil"/>
              <w:tr2bl w:val="nil"/>
            </w:tcBorders>
            <w:noWrap/>
            <w:vAlign w:val="center"/>
          </w:tcPr>
          <w:p w14:paraId="02E343E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4</w:t>
            </w:r>
          </w:p>
        </w:tc>
        <w:tc>
          <w:tcPr>
            <w:tcW w:w="754" w:type="dxa"/>
            <w:vMerge w:val="restart"/>
            <w:tcBorders>
              <w:tl2br w:val="nil"/>
              <w:tr2bl w:val="nil"/>
            </w:tcBorders>
            <w:noWrap/>
            <w:vAlign w:val="center"/>
          </w:tcPr>
          <w:p w14:paraId="6B775D1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应用管理</w:t>
            </w:r>
          </w:p>
        </w:tc>
        <w:tc>
          <w:tcPr>
            <w:tcW w:w="7291" w:type="dxa"/>
            <w:vMerge w:val="restart"/>
            <w:tcBorders>
              <w:tl2br w:val="nil"/>
              <w:tr2bl w:val="nil"/>
            </w:tcBorders>
            <w:noWrap/>
            <w:vAlign w:val="center"/>
          </w:tcPr>
          <w:p w14:paraId="3CE4C2B7">
            <w:pPr>
              <w:keepNext w:val="0"/>
              <w:keepLines w:val="0"/>
              <w:pageBreakBefore w:val="0"/>
              <w:widowControl/>
              <w:numPr>
                <w:ilvl w:val="0"/>
                <w:numId w:val="354"/>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提供接口</w:t>
            </w:r>
          </w:p>
          <w:p w14:paraId="13A4C66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支持为应用新增接口服务，支持服务提供方从头开始创建新的API接口，包括定义接口的路径、请求方法、请求参数、响应参数等信息</w:t>
            </w:r>
          </w:p>
          <w:p w14:paraId="3A46AAC5">
            <w:pPr>
              <w:keepNext w:val="0"/>
              <w:keepLines w:val="0"/>
              <w:pageBreakBefore w:val="0"/>
              <w:widowControl/>
              <w:numPr>
                <w:ilvl w:val="0"/>
                <w:numId w:val="354"/>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调用记录</w:t>
            </w:r>
          </w:p>
          <w:p w14:paraId="0383EB1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支持查看被授权的接口请求日志，包括访问地址、请求的应用、请求客户端IP、请求时间，支持查看每次请求的耗时和对应的成功状态、业务状态，支持查看链路跟踪情况和访问节点情况。</w:t>
            </w:r>
          </w:p>
          <w:p w14:paraId="79A2A8E1">
            <w:pPr>
              <w:keepNext w:val="0"/>
              <w:keepLines w:val="0"/>
              <w:pageBreakBefore w:val="0"/>
              <w:widowControl/>
              <w:numPr>
                <w:ilvl w:val="0"/>
                <w:numId w:val="354"/>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路由管理</w:t>
            </w:r>
          </w:p>
          <w:p w14:paraId="3DE3D64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支持管理路由规则，包括定义路由路径ID、断言器、过滤器以及网络段等信息</w:t>
            </w:r>
          </w:p>
        </w:tc>
      </w:tr>
      <w:tr w14:paraId="3C67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50243BC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691310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1711DEB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5712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054623C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CF8BCD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vMerge w:val="continue"/>
            <w:tcBorders>
              <w:tl2br w:val="nil"/>
              <w:tr2bl w:val="nil"/>
            </w:tcBorders>
            <w:noWrap/>
            <w:vAlign w:val="center"/>
          </w:tcPr>
          <w:p w14:paraId="5F89A34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r>
      <w:tr w14:paraId="081DA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restart"/>
            <w:tcBorders>
              <w:tl2br w:val="nil"/>
              <w:tr2bl w:val="nil"/>
            </w:tcBorders>
            <w:noWrap/>
            <w:vAlign w:val="center"/>
          </w:tcPr>
          <w:p w14:paraId="2ADD8F0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5</w:t>
            </w:r>
          </w:p>
        </w:tc>
        <w:tc>
          <w:tcPr>
            <w:tcW w:w="754" w:type="dxa"/>
            <w:vMerge w:val="restart"/>
            <w:tcBorders>
              <w:tl2br w:val="nil"/>
              <w:tr2bl w:val="nil"/>
            </w:tcBorders>
            <w:noWrap/>
            <w:vAlign w:val="center"/>
          </w:tcPr>
          <w:p w14:paraId="0908AAC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服务监控</w:t>
            </w:r>
          </w:p>
        </w:tc>
        <w:tc>
          <w:tcPr>
            <w:tcW w:w="7291" w:type="dxa"/>
            <w:vMerge w:val="restart"/>
            <w:tcBorders>
              <w:tl2br w:val="nil"/>
              <w:tr2bl w:val="nil"/>
            </w:tcBorders>
            <w:noWrap/>
            <w:vAlign w:val="center"/>
          </w:tcPr>
          <w:p w14:paraId="6479F3E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一、访问日志</w:t>
            </w:r>
          </w:p>
          <w:p w14:paraId="330D1571">
            <w:pPr>
              <w:keepNext w:val="0"/>
              <w:keepLines w:val="0"/>
              <w:pageBreakBefore w:val="0"/>
              <w:widowControl/>
              <w:numPr>
                <w:ilvl w:val="0"/>
                <w:numId w:val="35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访问日志列表</w:t>
            </w:r>
          </w:p>
          <w:p w14:paraId="4E23095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支持查看访问地址、请求的应用、请求客户端的IP地址、请求时间等</w:t>
            </w:r>
          </w:p>
          <w:p w14:paraId="506DD2A8">
            <w:pPr>
              <w:keepNext w:val="0"/>
              <w:keepLines w:val="0"/>
              <w:pageBreakBefore w:val="0"/>
              <w:widowControl/>
              <w:numPr>
                <w:ilvl w:val="0"/>
                <w:numId w:val="35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链路跟踪详情</w:t>
            </w:r>
          </w:p>
          <w:p w14:paraId="1F6BBFF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支持以链路的形式直观地了解接口调用的完整路径，支持查看各个节点的成功状态和每个节点的处理耗时</w:t>
            </w:r>
          </w:p>
          <w:p w14:paraId="4B330815">
            <w:pPr>
              <w:keepNext w:val="0"/>
              <w:keepLines w:val="0"/>
              <w:pageBreakBefore w:val="0"/>
              <w:widowControl/>
              <w:numPr>
                <w:ilvl w:val="0"/>
                <w:numId w:val="35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访问节点详情</w:t>
            </w:r>
          </w:p>
          <w:p w14:paraId="51F58CD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支持查看各个节点的详细信息，包括请求内容、响应内容以及执行日志</w:t>
            </w:r>
          </w:p>
        </w:tc>
      </w:tr>
      <w:tr w14:paraId="0B60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4C01D1B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6D3333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291" w:type="dxa"/>
            <w:tcBorders>
              <w:tl2br w:val="nil"/>
              <w:tr2bl w:val="nil"/>
            </w:tcBorders>
            <w:noWrap/>
            <w:vAlign w:val="center"/>
          </w:tcPr>
          <w:p w14:paraId="21D45DA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二、服务监控</w:t>
            </w:r>
          </w:p>
          <w:p w14:paraId="4C55C532">
            <w:pPr>
              <w:keepNext w:val="0"/>
              <w:keepLines w:val="0"/>
              <w:pageBreakBefore w:val="0"/>
              <w:widowControl/>
              <w:numPr>
                <w:ilvl w:val="0"/>
                <w:numId w:val="35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服务接口分析</w:t>
            </w:r>
          </w:p>
          <w:p w14:paraId="7C99A7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支持服务接口分析，包括超时接口、异常接口、 失败接口的总数和对应的超时次数等</w:t>
            </w:r>
          </w:p>
          <w:p w14:paraId="3A27AEF9">
            <w:pPr>
              <w:keepNext w:val="0"/>
              <w:keepLines w:val="0"/>
              <w:pageBreakBefore w:val="0"/>
              <w:widowControl/>
              <w:numPr>
                <w:ilvl w:val="0"/>
                <w:numId w:val="35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非正常状态分布分析</w:t>
            </w:r>
          </w:p>
          <w:p w14:paraId="423C12D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支持非正常状态分布分析，包括各异常状态的占比和次数</w:t>
            </w:r>
          </w:p>
          <w:p w14:paraId="20AD6247">
            <w:pPr>
              <w:keepNext w:val="0"/>
              <w:keepLines w:val="0"/>
              <w:pageBreakBefore w:val="0"/>
              <w:widowControl/>
              <w:numPr>
                <w:ilvl w:val="0"/>
                <w:numId w:val="35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非正常状态发生时段分布分析</w:t>
            </w:r>
          </w:p>
          <w:p w14:paraId="54C2811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支持非正常状态发生时段分布分析，统计各个时间段内发生的接口失败和异常次数</w:t>
            </w:r>
          </w:p>
          <w:p w14:paraId="43728951">
            <w:pPr>
              <w:keepNext w:val="0"/>
              <w:keepLines w:val="0"/>
              <w:pageBreakBefore w:val="0"/>
              <w:widowControl/>
              <w:numPr>
                <w:ilvl w:val="0"/>
                <w:numId w:val="35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服务平均响应时间分析</w:t>
            </w:r>
          </w:p>
          <w:p w14:paraId="6C2DEEE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支持分析各接口的平均详情时间</w:t>
            </w:r>
          </w:p>
          <w:p w14:paraId="41B6C2D2">
            <w:pPr>
              <w:keepNext w:val="0"/>
              <w:keepLines w:val="0"/>
              <w:pageBreakBefore w:val="0"/>
              <w:widowControl/>
              <w:numPr>
                <w:ilvl w:val="0"/>
                <w:numId w:val="35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非正常率分析</w:t>
            </w:r>
          </w:p>
          <w:p w14:paraId="25266E1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支持分析近一周或近半年的接口异常和失败率</w:t>
            </w:r>
          </w:p>
          <w:p w14:paraId="7D647EAB">
            <w:pPr>
              <w:keepNext w:val="0"/>
              <w:keepLines w:val="0"/>
              <w:pageBreakBefore w:val="0"/>
              <w:widowControl/>
              <w:numPr>
                <w:ilvl w:val="0"/>
                <w:numId w:val="35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QPS</w:t>
            </w:r>
          </w:p>
          <w:p w14:paraId="2E9492A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支持分析全部接口的调用情况趋势，识别接口调用的高峰期和低谷期</w:t>
            </w:r>
          </w:p>
          <w:p w14:paraId="74448292">
            <w:pPr>
              <w:keepNext w:val="0"/>
              <w:keepLines w:val="0"/>
              <w:pageBreakBefore w:val="0"/>
              <w:widowControl/>
              <w:numPr>
                <w:ilvl w:val="0"/>
                <w:numId w:val="35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服务接口调用详情</w:t>
            </w:r>
          </w:p>
          <w:p w14:paraId="54FF4D8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支持查看各个接口对应的服务提供方和服务调用方信息，支持查看调用次数、调用失败次数、调用超时次数等信息</w:t>
            </w:r>
          </w:p>
        </w:tc>
      </w:tr>
    </w:tbl>
    <w:p w14:paraId="70FE1CA9">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60DD540A">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互联互通交互服务(改造)</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823"/>
        <w:gridCol w:w="6877"/>
      </w:tblGrid>
      <w:tr w14:paraId="5903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2127844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0"/>
            <w:vAlign w:val="center"/>
          </w:tcPr>
          <w:p w14:paraId="3C40376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6304" w:type="dxa"/>
            <w:tcBorders>
              <w:tl2br w:val="nil"/>
              <w:tr2bl w:val="nil"/>
            </w:tcBorders>
            <w:noWrap w:val="0"/>
            <w:vAlign w:val="center"/>
          </w:tcPr>
          <w:p w14:paraId="2694EB7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1784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72923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072542E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restart"/>
            <w:tcBorders>
              <w:tl2br w:val="nil"/>
              <w:tr2bl w:val="nil"/>
            </w:tcBorders>
            <w:noWrap w:val="0"/>
            <w:vAlign w:val="center"/>
          </w:tcPr>
          <w:p w14:paraId="79486BB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居民注册服务</w:t>
            </w:r>
          </w:p>
        </w:tc>
        <w:tc>
          <w:tcPr>
            <w:tcW w:w="6304" w:type="dxa"/>
            <w:tcBorders>
              <w:tl2br w:val="nil"/>
              <w:tr2bl w:val="nil"/>
            </w:tcBorders>
            <w:noWrap w:val="0"/>
            <w:vAlign w:val="center"/>
          </w:tcPr>
          <w:p w14:paraId="09DD97B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一、居民信息提交</w:t>
            </w:r>
          </w:p>
          <w:p w14:paraId="6CE6039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第6部分：居民注册服务中的居民信息提交服务进行设计</w:t>
            </w:r>
          </w:p>
        </w:tc>
      </w:tr>
      <w:tr w14:paraId="38FBD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BB4BA8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5E287D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3E0A62F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二、居民信息查询</w:t>
            </w:r>
          </w:p>
          <w:p w14:paraId="0147ECA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第6部分：居民注册服务中的居民信息查询服务进行设计</w:t>
            </w:r>
          </w:p>
        </w:tc>
      </w:tr>
      <w:tr w14:paraId="0778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CD7FF0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8AD28A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CE88F5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三、居民信息变更通知</w:t>
            </w:r>
          </w:p>
          <w:p w14:paraId="76715CE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第6部分：居民注册服务中的居民信息变更通知服务进行设计</w:t>
            </w:r>
          </w:p>
        </w:tc>
      </w:tr>
      <w:tr w14:paraId="24C5F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450E32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3D3CFD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12344D6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四、居民交叉索引查询</w:t>
            </w:r>
          </w:p>
          <w:p w14:paraId="787C870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第6部分：居民注册服务中的居民交叉索引查询服务进行设计</w:t>
            </w:r>
          </w:p>
        </w:tc>
      </w:tr>
      <w:tr w14:paraId="4225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260304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24A7FC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5FFD9E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五、居民信息订阅</w:t>
            </w:r>
          </w:p>
          <w:p w14:paraId="049F040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第6部分：居民注册服务中的居民信息订阅服务进行设计</w:t>
            </w:r>
          </w:p>
        </w:tc>
      </w:tr>
      <w:tr w14:paraId="6CFB0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E760D9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C3DD91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C86159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六、居民信息变更通知</w:t>
            </w:r>
          </w:p>
          <w:p w14:paraId="4BA43EE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第6部分：居民注册服务中的居民信息变更通知服务进行设计</w:t>
            </w:r>
          </w:p>
        </w:tc>
      </w:tr>
      <w:tr w14:paraId="49386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C27CB6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548CF7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7F8351F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七、居民索引变更通知</w:t>
            </w:r>
          </w:p>
          <w:p w14:paraId="61BE8D6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第6部分：居民注册服务中的居民索引变更通知服务进行设计</w:t>
            </w:r>
          </w:p>
        </w:tc>
      </w:tr>
      <w:tr w14:paraId="12727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048D0C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698639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16FEA5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八、居民索引合并通知</w:t>
            </w:r>
          </w:p>
          <w:p w14:paraId="67E5FB9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790.6区域卫生信息平台交互标准 第6部分：居民注册服务中的居民索引合并通知服务进行设计</w:t>
            </w:r>
          </w:p>
        </w:tc>
      </w:tr>
      <w:tr w14:paraId="0F2BC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101CA54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2</w:t>
            </w:r>
          </w:p>
        </w:tc>
        <w:tc>
          <w:tcPr>
            <w:tcW w:w="754" w:type="dxa"/>
            <w:vMerge w:val="restart"/>
            <w:tcBorders>
              <w:tl2br w:val="nil"/>
              <w:tr2bl w:val="nil"/>
            </w:tcBorders>
            <w:noWrap w:val="0"/>
            <w:vAlign w:val="center"/>
          </w:tcPr>
          <w:p w14:paraId="03AD0FF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医疗卫生机构注册服务</w:t>
            </w:r>
          </w:p>
        </w:tc>
        <w:tc>
          <w:tcPr>
            <w:tcW w:w="6304" w:type="dxa"/>
            <w:tcBorders>
              <w:tl2br w:val="nil"/>
              <w:tr2bl w:val="nil"/>
            </w:tcBorders>
            <w:noWrap w:val="0"/>
            <w:vAlign w:val="center"/>
          </w:tcPr>
          <w:p w14:paraId="6E8161F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一、医疗卫生机构信息提交</w:t>
            </w:r>
          </w:p>
          <w:p w14:paraId="1AAB639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790.7区域卫生信息平台交互标准 第7部分：医疗卫生机构注册服务中的医疗卫生机构信息提交服务进行设计</w:t>
            </w:r>
          </w:p>
        </w:tc>
      </w:tr>
      <w:tr w14:paraId="201FF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A48C31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4FED48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803EC7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二、医疗卫生机构信息查询</w:t>
            </w:r>
          </w:p>
          <w:p w14:paraId="17A5FF2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790.7区域卫生信息平台交互标准 第7部分：医疗卫生机构注册服务中的医疗卫生机构信息查询服务进行设计</w:t>
            </w:r>
          </w:p>
        </w:tc>
      </w:tr>
      <w:tr w14:paraId="75206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72D042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A85459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BDFF6C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三、医疗卫生机构信息订阅</w:t>
            </w:r>
          </w:p>
          <w:p w14:paraId="2EFF18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790.7区域卫生信息平台交互标准 第7部分：医疗卫生机构注册服务中的医疗卫生机构信息订阅服务进行设计</w:t>
            </w:r>
          </w:p>
        </w:tc>
      </w:tr>
      <w:tr w14:paraId="434D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187CCD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933428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1AD8B8D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四、医疗卫生机构信息变更通知</w:t>
            </w:r>
          </w:p>
          <w:p w14:paraId="6544E77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790.7区域卫生信息平台交互标准 第7部分：医疗卫生机构注册服务中的医疗卫生机构信息变更通知服务进行设计</w:t>
            </w:r>
          </w:p>
        </w:tc>
      </w:tr>
      <w:tr w14:paraId="3A8B8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17DCDC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3</w:t>
            </w:r>
          </w:p>
        </w:tc>
        <w:tc>
          <w:tcPr>
            <w:tcW w:w="754" w:type="dxa"/>
            <w:vMerge w:val="restart"/>
            <w:tcBorders>
              <w:tl2br w:val="nil"/>
              <w:tr2bl w:val="nil"/>
            </w:tcBorders>
            <w:noWrap w:val="0"/>
            <w:vAlign w:val="center"/>
          </w:tcPr>
          <w:p w14:paraId="77EDC8A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医疗卫生人员注册服务</w:t>
            </w:r>
          </w:p>
        </w:tc>
        <w:tc>
          <w:tcPr>
            <w:tcW w:w="6304" w:type="dxa"/>
            <w:tcBorders>
              <w:tl2br w:val="nil"/>
              <w:tr2bl w:val="nil"/>
            </w:tcBorders>
            <w:noWrap w:val="0"/>
            <w:vAlign w:val="center"/>
          </w:tcPr>
          <w:p w14:paraId="4409782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一、医疗卫生人员信息提交</w:t>
            </w:r>
          </w:p>
          <w:p w14:paraId="0ADF5EF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790.8区域卫生信息平台交互标准 第8部分：医疗卫生人员注册服务中的医疗卫生人员信息提交服务进行设计</w:t>
            </w:r>
          </w:p>
        </w:tc>
      </w:tr>
      <w:tr w14:paraId="4388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909D2C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F4FD0F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A92A51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二、医疗卫生人员信息查询</w:t>
            </w:r>
          </w:p>
          <w:p w14:paraId="20E979C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790.8区域卫生信息平台交互标准 第8部分：医疗卫生人员注册服务中的医疗卫生人员信息查询服务进行设计</w:t>
            </w:r>
          </w:p>
        </w:tc>
      </w:tr>
      <w:tr w14:paraId="7DF55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DFF078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4124E6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16D3C36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三、医疗卫生人员信息订阅</w:t>
            </w:r>
          </w:p>
          <w:p w14:paraId="5A4B6B9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790.8区域卫生信息平台交互标准 第8部分：医疗卫生人员注册服务中的医疗卫生人员信息订阅服务进行设计</w:t>
            </w:r>
          </w:p>
        </w:tc>
      </w:tr>
      <w:tr w14:paraId="6EA0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9FC8C1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ED7C6D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69C31B6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四、医疗卫生人员信息变更通知</w:t>
            </w:r>
          </w:p>
          <w:p w14:paraId="5D6B9EC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790.8区域卫生信息平台交互标准 第8部分：医疗卫生人员注册服务中的医疗卫生人员信息变更通知服务进行设计</w:t>
            </w:r>
          </w:p>
        </w:tc>
      </w:tr>
      <w:tr w14:paraId="268E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0CE8668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4</w:t>
            </w:r>
          </w:p>
        </w:tc>
        <w:tc>
          <w:tcPr>
            <w:tcW w:w="754" w:type="dxa"/>
            <w:vMerge w:val="restart"/>
            <w:tcBorders>
              <w:tl2br w:val="nil"/>
              <w:tr2bl w:val="nil"/>
            </w:tcBorders>
            <w:noWrap w:val="0"/>
            <w:vAlign w:val="center"/>
          </w:tcPr>
          <w:p w14:paraId="2411EC0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健康档案存储服务</w:t>
            </w:r>
          </w:p>
        </w:tc>
        <w:tc>
          <w:tcPr>
            <w:tcW w:w="6304" w:type="dxa"/>
            <w:tcBorders>
              <w:tl2br w:val="nil"/>
              <w:tr2bl w:val="nil"/>
            </w:tcBorders>
            <w:noWrap w:val="0"/>
            <w:vAlign w:val="center"/>
          </w:tcPr>
          <w:p w14:paraId="23CB5A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一、提交健康档案</w:t>
            </w:r>
          </w:p>
          <w:p w14:paraId="3BE7206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790.10区域卫生信息平台交互标准 第10部分：健康档案存储服务中的提交健康档案服务进行设计</w:t>
            </w:r>
          </w:p>
        </w:tc>
      </w:tr>
      <w:tr w14:paraId="5F5F8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EFAF5B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863DAF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D72BF6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二、获取健康档案</w:t>
            </w:r>
          </w:p>
          <w:p w14:paraId="4D7BAA9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790.10区域卫生信息平台交互标准 第10部分：健康档案存储服务中的获取健康档案服务进行设计</w:t>
            </w:r>
          </w:p>
        </w:tc>
      </w:tr>
      <w:tr w14:paraId="6714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349C66A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5</w:t>
            </w:r>
          </w:p>
        </w:tc>
        <w:tc>
          <w:tcPr>
            <w:tcW w:w="754" w:type="dxa"/>
            <w:vMerge w:val="restart"/>
            <w:tcBorders>
              <w:tl2br w:val="nil"/>
              <w:tr2bl w:val="nil"/>
            </w:tcBorders>
            <w:noWrap w:val="0"/>
            <w:vAlign w:val="center"/>
          </w:tcPr>
          <w:p w14:paraId="56EF5EF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健康档案管理服务</w:t>
            </w:r>
          </w:p>
        </w:tc>
        <w:tc>
          <w:tcPr>
            <w:tcW w:w="6304" w:type="dxa"/>
            <w:tcBorders>
              <w:tl2br w:val="nil"/>
              <w:tr2bl w:val="nil"/>
            </w:tcBorders>
            <w:noWrap w:val="0"/>
            <w:vAlign w:val="center"/>
          </w:tcPr>
          <w:p w14:paraId="36F5EF7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一、注册健康档案</w:t>
            </w:r>
          </w:p>
          <w:p w14:paraId="7BF4D3D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790.11区域卫生信息平台交互标准 第11部分：健康档案管理服务中的注册健康档案服务进行设计</w:t>
            </w:r>
          </w:p>
        </w:tc>
      </w:tr>
      <w:tr w14:paraId="64196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4C6202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199239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83A51E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二、更新健康档案文档元数据</w:t>
            </w:r>
          </w:p>
          <w:p w14:paraId="4A5EABB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790.11区域卫生信息平台交互标准 第11部分：健康档案管理服务中的更新健康档案文档元数据服务进行设计</w:t>
            </w:r>
          </w:p>
        </w:tc>
      </w:tr>
      <w:tr w14:paraId="747F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76813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B54784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045F7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三、查询健康档案索引</w:t>
            </w:r>
          </w:p>
          <w:p w14:paraId="72D9F9D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790.11区域卫生信息平台交互标准 第11部分：健康档案管理服务中的查询健康档案索引服务进行设计</w:t>
            </w:r>
          </w:p>
        </w:tc>
      </w:tr>
      <w:tr w14:paraId="4806C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7CF96E8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54" w:type="dxa"/>
            <w:tcBorders>
              <w:tl2br w:val="nil"/>
              <w:tr2bl w:val="nil"/>
            </w:tcBorders>
            <w:noWrap w:val="0"/>
            <w:vAlign w:val="center"/>
          </w:tcPr>
          <w:p w14:paraId="19483C7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健康档案采集服务</w:t>
            </w:r>
          </w:p>
        </w:tc>
        <w:tc>
          <w:tcPr>
            <w:tcW w:w="6304" w:type="dxa"/>
            <w:tcBorders>
              <w:tl2br w:val="nil"/>
              <w:tr2bl w:val="nil"/>
            </w:tcBorders>
            <w:noWrap w:val="0"/>
            <w:vAlign w:val="center"/>
          </w:tcPr>
          <w:p w14:paraId="36E3967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一、提交并注册健康档案</w:t>
            </w:r>
          </w:p>
          <w:p w14:paraId="1B3F7BA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790.12区域卫生信息平台交互标准 第12部分：健康档案采集服务中的提交并注册健康档案服务进行设计</w:t>
            </w:r>
          </w:p>
        </w:tc>
      </w:tr>
      <w:tr w14:paraId="4DF4F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6E631E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7</w:t>
            </w:r>
          </w:p>
        </w:tc>
        <w:tc>
          <w:tcPr>
            <w:tcW w:w="754" w:type="dxa"/>
            <w:vMerge w:val="restart"/>
            <w:tcBorders>
              <w:tl2br w:val="nil"/>
              <w:tr2bl w:val="nil"/>
            </w:tcBorders>
            <w:noWrap w:val="0"/>
            <w:vAlign w:val="center"/>
          </w:tcPr>
          <w:p w14:paraId="0EB7758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健康档案调阅服务</w:t>
            </w:r>
          </w:p>
        </w:tc>
        <w:tc>
          <w:tcPr>
            <w:tcW w:w="6304" w:type="dxa"/>
            <w:tcBorders>
              <w:tl2br w:val="nil"/>
              <w:tr2bl w:val="nil"/>
            </w:tcBorders>
            <w:noWrap w:val="0"/>
            <w:vAlign w:val="center"/>
          </w:tcPr>
          <w:p w14:paraId="7FE1686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一、检索健康档案</w:t>
            </w:r>
          </w:p>
          <w:p w14:paraId="207777F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790.13区域卫生信息平台交互标准 第13部分：健康档案调阅服务中的检索健康档案服务进行设计</w:t>
            </w:r>
          </w:p>
        </w:tc>
      </w:tr>
      <w:tr w14:paraId="11B18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2761F8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B17429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9225DC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二、获取健康档案</w:t>
            </w:r>
          </w:p>
          <w:p w14:paraId="529A8BF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790.13区域卫生信息平台交互标准 第13部分：健康档案调阅服务中的获取健康档案服务进行设计</w:t>
            </w:r>
          </w:p>
        </w:tc>
      </w:tr>
      <w:tr w14:paraId="3F511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0F91036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8</w:t>
            </w:r>
          </w:p>
        </w:tc>
        <w:tc>
          <w:tcPr>
            <w:tcW w:w="754" w:type="dxa"/>
            <w:vMerge w:val="restart"/>
            <w:tcBorders>
              <w:tl2br w:val="nil"/>
              <w:tr2bl w:val="nil"/>
            </w:tcBorders>
            <w:noWrap w:val="0"/>
            <w:vAlign w:val="center"/>
          </w:tcPr>
          <w:p w14:paraId="031ECD2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文档订阅发布服务</w:t>
            </w:r>
          </w:p>
        </w:tc>
        <w:tc>
          <w:tcPr>
            <w:tcW w:w="6304" w:type="dxa"/>
            <w:tcBorders>
              <w:tl2br w:val="nil"/>
              <w:tr2bl w:val="nil"/>
            </w:tcBorders>
            <w:noWrap w:val="0"/>
            <w:vAlign w:val="center"/>
          </w:tcPr>
          <w:p w14:paraId="7E686B3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一、文档订阅</w:t>
            </w:r>
          </w:p>
          <w:p w14:paraId="77CBEA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第14部分：文档订阅发布服务中的文档订阅服务进行设计</w:t>
            </w:r>
          </w:p>
        </w:tc>
      </w:tr>
      <w:tr w14:paraId="77031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1A45E1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840CF7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227F1B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二、暂停文档订阅（可选）</w:t>
            </w:r>
          </w:p>
          <w:p w14:paraId="6DA21E3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第14部分：文档订阅发布服务中的暂停文档订阅服务进行设计</w:t>
            </w:r>
          </w:p>
        </w:tc>
      </w:tr>
      <w:tr w14:paraId="65F7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C80552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777283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642A0C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三、恢复文档订阅（可选）</w:t>
            </w:r>
          </w:p>
          <w:p w14:paraId="4D24E76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第14部分：文档订阅发布服务中的恢复文档订阅服务进行设计</w:t>
            </w:r>
          </w:p>
        </w:tc>
      </w:tr>
      <w:tr w14:paraId="36C18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37F5F7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D877BF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6FC908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四、文档发布与通知</w:t>
            </w:r>
          </w:p>
          <w:p w14:paraId="47A561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第14部分：文档订阅发布服务中的文档发布与通知服务进行设计</w:t>
            </w:r>
          </w:p>
        </w:tc>
      </w:tr>
      <w:tr w14:paraId="206BE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1DB9A4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CBB409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947586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五、通知订阅</w:t>
            </w:r>
          </w:p>
          <w:p w14:paraId="5BCD8B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第14部分：文档订阅发布服务中的通知订阅服务进行设计</w:t>
            </w:r>
          </w:p>
        </w:tc>
      </w:tr>
      <w:tr w14:paraId="3C63A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06B105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389A0C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5502DA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六、取消订阅</w:t>
            </w:r>
          </w:p>
          <w:p w14:paraId="5F471A1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第14部分：文档订阅发布服务中的文档订阅服务进行设计</w:t>
            </w:r>
          </w:p>
        </w:tc>
      </w:tr>
      <w:tr w14:paraId="5431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CBCE4F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0D7527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C08E27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七、暂停订阅</w:t>
            </w:r>
          </w:p>
          <w:p w14:paraId="447DEBD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第14部分：文档订阅发布服务中的暂停订阅服务进行设计</w:t>
            </w:r>
          </w:p>
        </w:tc>
      </w:tr>
      <w:tr w14:paraId="11129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65860C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B698FD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E66015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八、恢复订阅</w:t>
            </w:r>
          </w:p>
          <w:p w14:paraId="3633FE7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第14部分：文档订阅发布服务中的恢复订阅服务进行设计</w:t>
            </w:r>
          </w:p>
        </w:tc>
      </w:tr>
      <w:tr w14:paraId="39A3B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3D380B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0A4B59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640B2CA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九、通知消息</w:t>
            </w:r>
          </w:p>
          <w:p w14:paraId="3B803F3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第14部分：文档订阅发布服务中的通知消息服务进行设计</w:t>
            </w:r>
          </w:p>
        </w:tc>
      </w:tr>
      <w:tr w14:paraId="39D1E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11381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9E172F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5DBA22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十、创建通知拉取点</w:t>
            </w:r>
          </w:p>
          <w:p w14:paraId="6B96ACD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第14部分：文档订阅发布服务中的创建通知拉取点服务进行设计</w:t>
            </w:r>
          </w:p>
        </w:tc>
      </w:tr>
      <w:tr w14:paraId="715A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91B694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8F8AAC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1B283E7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十一、移除通知拉取点</w:t>
            </w:r>
          </w:p>
          <w:p w14:paraId="4F7164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第14部分：文档订阅发布服务中的移除通知拉取点服务进行设计</w:t>
            </w:r>
          </w:p>
        </w:tc>
      </w:tr>
      <w:tr w14:paraId="536B0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945776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746F0D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B76234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十二、拉取通知</w:t>
            </w:r>
          </w:p>
          <w:p w14:paraId="63D36E3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790.14区域卫生信息平台交互标准 第14部分：文档订阅发布服务中的拉取通知服务进行设计</w:t>
            </w:r>
          </w:p>
        </w:tc>
      </w:tr>
      <w:tr w14:paraId="38368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25CFB79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9</w:t>
            </w:r>
          </w:p>
        </w:tc>
        <w:tc>
          <w:tcPr>
            <w:tcW w:w="754" w:type="dxa"/>
            <w:tcBorders>
              <w:tl2br w:val="nil"/>
              <w:tr2bl w:val="nil"/>
            </w:tcBorders>
            <w:noWrap w:val="0"/>
            <w:vAlign w:val="center"/>
          </w:tcPr>
          <w:p w14:paraId="2990837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时间一致性服务</w:t>
            </w:r>
          </w:p>
        </w:tc>
        <w:tc>
          <w:tcPr>
            <w:tcW w:w="6304" w:type="dxa"/>
            <w:tcBorders>
              <w:tl2br w:val="nil"/>
              <w:tr2bl w:val="nil"/>
            </w:tcBorders>
            <w:noWrap w:val="0"/>
            <w:vAlign w:val="center"/>
          </w:tcPr>
          <w:p w14:paraId="08CA317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一、维护时间同步</w:t>
            </w:r>
          </w:p>
          <w:p w14:paraId="7BC40D8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790.2区域卫生信息平台交互标准 第2部分：时间一致性服务中的维护时间同步服务进行设计</w:t>
            </w:r>
          </w:p>
        </w:tc>
      </w:tr>
      <w:tr w14:paraId="74C9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13E7ACA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10</w:t>
            </w:r>
          </w:p>
        </w:tc>
        <w:tc>
          <w:tcPr>
            <w:tcW w:w="754" w:type="dxa"/>
            <w:vMerge w:val="restart"/>
            <w:tcBorders>
              <w:tl2br w:val="nil"/>
              <w:tr2bl w:val="nil"/>
            </w:tcBorders>
            <w:noWrap w:val="0"/>
            <w:vAlign w:val="center"/>
          </w:tcPr>
          <w:p w14:paraId="6BACD07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节点验证服务</w:t>
            </w:r>
          </w:p>
        </w:tc>
        <w:tc>
          <w:tcPr>
            <w:tcW w:w="6304" w:type="dxa"/>
            <w:tcBorders>
              <w:tl2br w:val="nil"/>
              <w:tr2bl w:val="nil"/>
            </w:tcBorders>
            <w:noWrap w:val="0"/>
            <w:vAlign w:val="center"/>
          </w:tcPr>
          <w:p w14:paraId="368DCFF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一、节点验证</w:t>
            </w:r>
          </w:p>
          <w:p w14:paraId="3B19008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790.3区域卫生信息平台交互标准 第3部分：节点验证服务中的节点验证服务进行设计</w:t>
            </w:r>
          </w:p>
        </w:tc>
      </w:tr>
      <w:tr w14:paraId="4463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9E2640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FCA373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5DCB7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二、访问权限验证</w:t>
            </w:r>
          </w:p>
          <w:p w14:paraId="09D1A57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790.3区域卫生信息平台交互标准 第3部分：节点验证服务中的访问权限验证服务进行设计</w:t>
            </w:r>
          </w:p>
        </w:tc>
      </w:tr>
      <w:tr w14:paraId="4E444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6B04A87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54" w:type="dxa"/>
            <w:tcBorders>
              <w:tl2br w:val="nil"/>
              <w:tr2bl w:val="nil"/>
            </w:tcBorders>
            <w:noWrap w:val="0"/>
            <w:vAlign w:val="center"/>
          </w:tcPr>
          <w:p w14:paraId="1393EA5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安全审计服务</w:t>
            </w:r>
          </w:p>
        </w:tc>
        <w:tc>
          <w:tcPr>
            <w:tcW w:w="6304" w:type="dxa"/>
            <w:tcBorders>
              <w:tl2br w:val="nil"/>
              <w:tr2bl w:val="nil"/>
            </w:tcBorders>
            <w:noWrap w:val="0"/>
            <w:vAlign w:val="center"/>
          </w:tcPr>
          <w:p w14:paraId="3C120A2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一、记录审计事件</w:t>
            </w:r>
          </w:p>
          <w:p w14:paraId="0F23600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790.4区域卫生信息平台交互标准 第4部分：安全审计服务中的记录审计事件服务进行设计</w:t>
            </w:r>
          </w:p>
        </w:tc>
      </w:tr>
      <w:tr w14:paraId="51533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AC5043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12</w:t>
            </w:r>
          </w:p>
        </w:tc>
        <w:tc>
          <w:tcPr>
            <w:tcW w:w="754" w:type="dxa"/>
            <w:vMerge w:val="restart"/>
            <w:tcBorders>
              <w:tl2br w:val="nil"/>
              <w:tr2bl w:val="nil"/>
            </w:tcBorders>
            <w:noWrap w:val="0"/>
            <w:vAlign w:val="center"/>
          </w:tcPr>
          <w:p w14:paraId="7C45EFC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术语注册服务</w:t>
            </w:r>
          </w:p>
        </w:tc>
        <w:tc>
          <w:tcPr>
            <w:tcW w:w="6304" w:type="dxa"/>
            <w:tcBorders>
              <w:tl2br w:val="nil"/>
              <w:tr2bl w:val="nil"/>
            </w:tcBorders>
            <w:noWrap w:val="0"/>
            <w:vAlign w:val="center"/>
          </w:tcPr>
          <w:p w14:paraId="41B2978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一、获取值集</w:t>
            </w:r>
          </w:p>
          <w:p w14:paraId="2D0528C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790.9区域卫生信息平台交互标准 第9部分：术语注册服务中的获取值集服务进行设计</w:t>
            </w:r>
          </w:p>
        </w:tc>
      </w:tr>
      <w:tr w14:paraId="3F72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537E94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426E37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80FA2E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二、查询值集(可选）</w:t>
            </w:r>
          </w:p>
          <w:p w14:paraId="480183D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790.9区域卫生信息平台交互标准 第9部分：术语注册服务中的查询值集服务进行设计</w:t>
            </w:r>
          </w:p>
        </w:tc>
      </w:tr>
      <w:tr w14:paraId="76258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5570EA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528346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6AEA720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三、获取值集映射</w:t>
            </w:r>
          </w:p>
          <w:p w14:paraId="3CC6BC3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790.9区域卫生信息平台交互标准 第9部分：术语注册服务中的获取值集映射服务进行设计</w:t>
            </w:r>
          </w:p>
        </w:tc>
      </w:tr>
      <w:tr w14:paraId="354B3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224B0F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E82964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C05A67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四、查询值集映射（可选）</w:t>
            </w:r>
          </w:p>
          <w:p w14:paraId="0430291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790.9区域卫生信息平台交互标准 第9部分：术语注册服务中的查询值集映射服务进行设计</w:t>
            </w:r>
          </w:p>
        </w:tc>
      </w:tr>
      <w:tr w14:paraId="7D1E8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7293D5B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13</w:t>
            </w:r>
          </w:p>
        </w:tc>
        <w:tc>
          <w:tcPr>
            <w:tcW w:w="754" w:type="dxa"/>
            <w:vMerge w:val="restart"/>
            <w:tcBorders>
              <w:tl2br w:val="nil"/>
              <w:tr2bl w:val="nil"/>
            </w:tcBorders>
            <w:noWrap w:val="0"/>
            <w:vAlign w:val="center"/>
          </w:tcPr>
          <w:p w14:paraId="063DC3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预约挂号服务</w:t>
            </w:r>
          </w:p>
        </w:tc>
        <w:tc>
          <w:tcPr>
            <w:tcW w:w="6304" w:type="dxa"/>
            <w:tcBorders>
              <w:tl2br w:val="nil"/>
              <w:tr2bl w:val="nil"/>
            </w:tcBorders>
            <w:noWrap w:val="0"/>
            <w:vAlign w:val="center"/>
          </w:tcPr>
          <w:p w14:paraId="29E4DFB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一、预约排班信息提交</w:t>
            </w:r>
          </w:p>
          <w:p w14:paraId="214F29C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第15部分：预约挂号服务中的预约排班信息提交服务进行设计</w:t>
            </w:r>
          </w:p>
        </w:tc>
      </w:tr>
      <w:tr w14:paraId="1ECDC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A225F0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7F9A51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3774667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二、预约排班信息更新</w:t>
            </w:r>
          </w:p>
          <w:p w14:paraId="593D62D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第15部分：预约挂号服务中的预约排班信息更新服务进行设计</w:t>
            </w:r>
          </w:p>
        </w:tc>
      </w:tr>
      <w:tr w14:paraId="1A504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A08050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A8153F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11341D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三、预约排班信息更新通知</w:t>
            </w:r>
          </w:p>
          <w:p w14:paraId="249E0B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第15部分：预约挂号服务中的预约排班信息更新通知服务进行设计</w:t>
            </w:r>
          </w:p>
        </w:tc>
      </w:tr>
      <w:tr w14:paraId="6D0B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4243CD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98F407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5D85C7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四、预约排班信息删除</w:t>
            </w:r>
          </w:p>
          <w:p w14:paraId="17DFE09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第15部分：预约挂号服务中的预约排班信息删除服务进行设计</w:t>
            </w:r>
          </w:p>
        </w:tc>
      </w:tr>
      <w:tr w14:paraId="291C2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14BB5B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68F07A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99D5E5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五、预约排班信息删除通知</w:t>
            </w:r>
          </w:p>
          <w:p w14:paraId="72C6391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第15部分：预约挂号服务中的预约排班信息删除通知服务进行设计</w:t>
            </w:r>
          </w:p>
        </w:tc>
      </w:tr>
      <w:tr w14:paraId="50364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9B65DC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03EA9B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00530B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六、预约排班信息查询</w:t>
            </w:r>
          </w:p>
          <w:p w14:paraId="141EC27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第15部分：预约挂号服务中的预约排班信息查询服务进行设计</w:t>
            </w:r>
          </w:p>
        </w:tc>
      </w:tr>
      <w:tr w14:paraId="25F7C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B0CCC1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9B7E21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727A726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七、预约申请</w:t>
            </w:r>
          </w:p>
          <w:p w14:paraId="3F2C536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第15部分：预约挂号服务中的预约申请服务进行设计</w:t>
            </w:r>
          </w:p>
        </w:tc>
      </w:tr>
      <w:tr w14:paraId="7BC3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0952B1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B69431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D2E869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八、预约申请通知</w:t>
            </w:r>
          </w:p>
          <w:p w14:paraId="6ABD309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第15部分：预约挂号服务中的预约申请通知服务进行设计</w:t>
            </w:r>
          </w:p>
        </w:tc>
      </w:tr>
      <w:tr w14:paraId="55A57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B48F49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230301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9BDB3C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九、预约取消</w:t>
            </w:r>
          </w:p>
          <w:p w14:paraId="41707E3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第15部分：预约挂号服务中的预约取消服务进行设计</w:t>
            </w:r>
          </w:p>
        </w:tc>
      </w:tr>
      <w:tr w14:paraId="2F488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114604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E8EF90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804836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十、预约取消通知</w:t>
            </w:r>
          </w:p>
          <w:p w14:paraId="3C1F66A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第15部分：预约挂号服务中的预约取消通知服务进行设计</w:t>
            </w:r>
          </w:p>
        </w:tc>
      </w:tr>
      <w:tr w14:paraId="74025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6C9110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FB1CA9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9A6176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十一、预约查询</w:t>
            </w:r>
          </w:p>
          <w:p w14:paraId="79753A9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790.15区域卫生信息平台交互标准 第15部分：预约挂号服务中的预约查询服务进行设计</w:t>
            </w:r>
          </w:p>
        </w:tc>
      </w:tr>
      <w:tr w14:paraId="507B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78559C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14</w:t>
            </w:r>
          </w:p>
        </w:tc>
        <w:tc>
          <w:tcPr>
            <w:tcW w:w="754" w:type="dxa"/>
            <w:vMerge w:val="restart"/>
            <w:tcBorders>
              <w:tl2br w:val="nil"/>
              <w:tr2bl w:val="nil"/>
            </w:tcBorders>
            <w:noWrap w:val="0"/>
            <w:vAlign w:val="center"/>
          </w:tcPr>
          <w:p w14:paraId="20F833C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双向转诊服务</w:t>
            </w:r>
          </w:p>
        </w:tc>
        <w:tc>
          <w:tcPr>
            <w:tcW w:w="6304" w:type="dxa"/>
            <w:tcBorders>
              <w:tl2br w:val="nil"/>
              <w:tr2bl w:val="nil"/>
            </w:tcBorders>
            <w:noWrap w:val="0"/>
            <w:vAlign w:val="center"/>
          </w:tcPr>
          <w:p w14:paraId="267475A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一、双向转诊申请</w:t>
            </w:r>
          </w:p>
          <w:p w14:paraId="0F1438B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790.16区域卫生信息平台交互标准 第16部分：双向转诊服务中的双向转诊申请服务进行设计</w:t>
            </w:r>
          </w:p>
        </w:tc>
      </w:tr>
      <w:tr w14:paraId="0CEF3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488EA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2B3672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2B70BB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二、双向转诊申请通知</w:t>
            </w:r>
          </w:p>
          <w:p w14:paraId="2056F0B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790.16区域卫生信息平台交互标准 第16部分：双向转诊服务中的双向转诊申请通知服务进行设计</w:t>
            </w:r>
          </w:p>
        </w:tc>
      </w:tr>
      <w:tr w14:paraId="11A5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FCE5B4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D4A62F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66A3D38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三、取消双向转诊申请</w:t>
            </w:r>
          </w:p>
          <w:p w14:paraId="71DC1C6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790.16区域卫生信息平台交互标准 第16部分：双向转诊服务中的取消双向转诊申请服务进行设计</w:t>
            </w:r>
          </w:p>
        </w:tc>
      </w:tr>
      <w:tr w14:paraId="445AB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875BE8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0D19D6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1285423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四、取消双向转诊申请通知</w:t>
            </w:r>
          </w:p>
          <w:p w14:paraId="534E554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790.16区域卫生信息平台交互标准 第16部分：双向转诊服务中的取消双向转诊申请通知服务进行设计</w:t>
            </w:r>
          </w:p>
        </w:tc>
      </w:tr>
      <w:tr w14:paraId="77FBB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0D096E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A238C4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554DE1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五、双向转诊查询</w:t>
            </w:r>
          </w:p>
          <w:p w14:paraId="0E23EC9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790.16区域卫生信息平台交互标准 第16部分：双向转诊服务中的双向转诊查询服务进行设计</w:t>
            </w:r>
          </w:p>
        </w:tc>
      </w:tr>
      <w:tr w14:paraId="1A1B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201002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9072EC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1EE9CE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六、双向转诊回执</w:t>
            </w:r>
          </w:p>
          <w:p w14:paraId="0722234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790.16区域卫生信息平台交互标准 第16部分：双向转诊服务中的双向转诊回执服务进行设计</w:t>
            </w:r>
          </w:p>
        </w:tc>
      </w:tr>
      <w:tr w14:paraId="25AD5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5E23F0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C944D5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6D7482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七、双向转诊回执通知</w:t>
            </w:r>
          </w:p>
          <w:p w14:paraId="6F0124E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790.16区域卫生信息平台交互标准 第16部分：双向转诊服务中的双向转诊回执通知服务进行设计</w:t>
            </w:r>
          </w:p>
        </w:tc>
      </w:tr>
      <w:tr w14:paraId="54E7A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3C769C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15</w:t>
            </w:r>
          </w:p>
        </w:tc>
        <w:tc>
          <w:tcPr>
            <w:tcW w:w="754" w:type="dxa"/>
            <w:vMerge w:val="restart"/>
            <w:tcBorders>
              <w:tl2br w:val="nil"/>
              <w:tr2bl w:val="nil"/>
            </w:tcBorders>
            <w:noWrap w:val="0"/>
            <w:vAlign w:val="center"/>
          </w:tcPr>
          <w:p w14:paraId="1B3657F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签约服务</w:t>
            </w:r>
          </w:p>
        </w:tc>
        <w:tc>
          <w:tcPr>
            <w:tcW w:w="6304" w:type="dxa"/>
            <w:tcBorders>
              <w:tl2br w:val="nil"/>
              <w:tr2bl w:val="nil"/>
            </w:tcBorders>
            <w:noWrap w:val="0"/>
            <w:vAlign w:val="center"/>
          </w:tcPr>
          <w:p w14:paraId="7EC43B4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一、注册签约团队</w:t>
            </w:r>
          </w:p>
          <w:p w14:paraId="70B6D6B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第17部分：签约服务中的注册签约团队服务进行设计</w:t>
            </w:r>
          </w:p>
        </w:tc>
      </w:tr>
      <w:tr w14:paraId="2E37C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F319C9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C31853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1E158F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二、查询签约团队信息</w:t>
            </w:r>
          </w:p>
          <w:p w14:paraId="2671D7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第17部分：签约服务中的查询签约团队信息服务进行设计</w:t>
            </w:r>
          </w:p>
        </w:tc>
      </w:tr>
      <w:tr w14:paraId="06961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53AEB3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B58647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28D15C5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三、注册签约医生</w:t>
            </w:r>
          </w:p>
          <w:p w14:paraId="3BC49B0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第17部分：签约服务中的注册签约医生服务进行设计</w:t>
            </w:r>
          </w:p>
        </w:tc>
      </w:tr>
      <w:tr w14:paraId="21A13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9E6501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C98BB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653DE44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四、查询签约医生信息</w:t>
            </w:r>
          </w:p>
          <w:p w14:paraId="75DA664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第17部分：签约服务中的查询签约医生信息服务进行设计</w:t>
            </w:r>
          </w:p>
        </w:tc>
      </w:tr>
      <w:tr w14:paraId="7D63A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349B216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6C7A92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774FCD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五、注册签约项目</w:t>
            </w:r>
          </w:p>
          <w:p w14:paraId="203315E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第17部分：签约服务中的注册签约项目服务进行设计</w:t>
            </w:r>
          </w:p>
        </w:tc>
      </w:tr>
      <w:tr w14:paraId="300AF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146A30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1D0A20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3994A2F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六、查询签约项目信息</w:t>
            </w:r>
          </w:p>
          <w:p w14:paraId="55D9ADC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第17部分：签约服务中的查询签约项目信息服务进行设计</w:t>
            </w:r>
          </w:p>
        </w:tc>
      </w:tr>
      <w:tr w14:paraId="6AB42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5AAACD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F9E19B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4670622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七、提交签约记录</w:t>
            </w:r>
          </w:p>
          <w:p w14:paraId="579CE8F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第17部分：签约服务中的提交签约记录服务进行设计</w:t>
            </w:r>
          </w:p>
        </w:tc>
      </w:tr>
      <w:tr w14:paraId="7506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B91AD9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03D4EFD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7C4BCD0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八、查询签约记录</w:t>
            </w:r>
          </w:p>
          <w:p w14:paraId="7CF7A38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第17部分：签约服务中的查询签约记录服务进行设计</w:t>
            </w:r>
          </w:p>
        </w:tc>
      </w:tr>
      <w:tr w14:paraId="5B619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33CF39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010077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6DE3E6F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九、更新签约关系</w:t>
            </w:r>
          </w:p>
          <w:p w14:paraId="21253F3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第17部分：签约服务中的更新签约关系服务进行设计</w:t>
            </w:r>
          </w:p>
        </w:tc>
      </w:tr>
      <w:tr w14:paraId="46BF0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5A875E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08C7A2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561E09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十、查询签约关系</w:t>
            </w:r>
          </w:p>
          <w:p w14:paraId="2FA311F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790.17区域卫生信息平台交互标准 第17部分：签约服务中的查询签约关系服务进行设计</w:t>
            </w:r>
          </w:p>
        </w:tc>
      </w:tr>
      <w:tr w14:paraId="6D8B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4C296A5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16</w:t>
            </w:r>
          </w:p>
        </w:tc>
        <w:tc>
          <w:tcPr>
            <w:tcW w:w="754" w:type="dxa"/>
            <w:vMerge w:val="restart"/>
            <w:tcBorders>
              <w:tl2br w:val="nil"/>
              <w:tr2bl w:val="nil"/>
            </w:tcBorders>
            <w:noWrap w:val="0"/>
            <w:vAlign w:val="center"/>
          </w:tcPr>
          <w:p w14:paraId="659C505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提醒服务</w:t>
            </w:r>
          </w:p>
        </w:tc>
        <w:tc>
          <w:tcPr>
            <w:tcW w:w="6304" w:type="dxa"/>
            <w:tcBorders>
              <w:tl2br w:val="nil"/>
              <w:tr2bl w:val="nil"/>
            </w:tcBorders>
            <w:noWrap w:val="0"/>
            <w:vAlign w:val="center"/>
          </w:tcPr>
          <w:p w14:paraId="1E3958B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一、获取提醒消息</w:t>
            </w:r>
          </w:p>
          <w:p w14:paraId="0F40FAF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790.18区域卫生信息平台交互标准 第18部分：提醒服务中的获取提醒消息服务进行设计</w:t>
            </w:r>
          </w:p>
        </w:tc>
      </w:tr>
      <w:tr w14:paraId="0166C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A81C1A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213D13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5B0140A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二、提醒消息订阅</w:t>
            </w:r>
          </w:p>
          <w:p w14:paraId="5F7921F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790.18区域卫生信息平台交互标准 第18部分：提醒服务中的提醒消息订阅服务进行设计</w:t>
            </w:r>
          </w:p>
        </w:tc>
      </w:tr>
      <w:tr w14:paraId="5EDCE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169B65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14EEA9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4" w:type="dxa"/>
            <w:tcBorders>
              <w:tl2br w:val="nil"/>
              <w:tr2bl w:val="nil"/>
            </w:tcBorders>
            <w:noWrap w:val="0"/>
            <w:vAlign w:val="center"/>
          </w:tcPr>
          <w:p w14:paraId="0C9BB85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三、提醒通知</w:t>
            </w:r>
          </w:p>
          <w:p w14:paraId="678B05C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支持按照WST 790.18区域卫生信息平台交互标准 第18部分：提醒服务中的提醒通知服务进行设计</w:t>
            </w:r>
          </w:p>
        </w:tc>
      </w:tr>
    </w:tbl>
    <w:p w14:paraId="5D1DC52F">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701956BD">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集成引擎(改造)</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822"/>
        <w:gridCol w:w="6875"/>
      </w:tblGrid>
      <w:tr w14:paraId="73C66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32FE68A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0"/>
            <w:vAlign w:val="center"/>
          </w:tcPr>
          <w:p w14:paraId="1AA6BCA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模块</w:t>
            </w:r>
          </w:p>
        </w:tc>
        <w:tc>
          <w:tcPr>
            <w:tcW w:w="6307" w:type="dxa"/>
            <w:tcBorders>
              <w:tl2br w:val="nil"/>
              <w:tr2bl w:val="nil"/>
            </w:tcBorders>
            <w:noWrap w:val="0"/>
            <w:vAlign w:val="center"/>
          </w:tcPr>
          <w:p w14:paraId="0304DD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功能及技术参数</w:t>
            </w:r>
          </w:p>
        </w:tc>
      </w:tr>
      <w:tr w14:paraId="172A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62B33B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2484E2D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restart"/>
            <w:tcBorders>
              <w:tl2br w:val="nil"/>
              <w:tr2bl w:val="nil"/>
            </w:tcBorders>
            <w:noWrap w:val="0"/>
            <w:vAlign w:val="center"/>
          </w:tcPr>
          <w:p w14:paraId="2B941D8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总体配置架构</w:t>
            </w:r>
          </w:p>
        </w:tc>
        <w:tc>
          <w:tcPr>
            <w:tcW w:w="6307" w:type="dxa"/>
            <w:tcBorders>
              <w:tl2br w:val="nil"/>
              <w:tr2bl w:val="nil"/>
            </w:tcBorders>
            <w:noWrap w:val="0"/>
            <w:vAlign w:val="center"/>
          </w:tcPr>
          <w:p w14:paraId="003DD49A">
            <w:pPr>
              <w:keepNext w:val="0"/>
              <w:keepLines w:val="0"/>
              <w:pageBreakBefore w:val="0"/>
              <w:widowControl w:val="0"/>
              <w:numPr>
                <w:ilvl w:val="0"/>
                <w:numId w:val="35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项目管理</w:t>
            </w:r>
          </w:p>
          <w:p w14:paraId="3594CAA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支持项目的管理维护，支持新增修改，记录消息内容及处理流程</w:t>
            </w:r>
          </w:p>
        </w:tc>
      </w:tr>
      <w:tr w14:paraId="5467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2B4E0AE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E61C9A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38917FEF">
            <w:pPr>
              <w:keepNext w:val="0"/>
              <w:keepLines w:val="0"/>
              <w:pageBreakBefore w:val="0"/>
              <w:widowControl w:val="0"/>
              <w:numPr>
                <w:ilvl w:val="0"/>
                <w:numId w:val="35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终端管理</w:t>
            </w:r>
          </w:p>
          <w:p w14:paraId="675B9A7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支持终端管理，用来与外部系统相连或发布服务的组件</w:t>
            </w:r>
          </w:p>
        </w:tc>
      </w:tr>
      <w:tr w14:paraId="15B1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FD6A77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3886F4F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2F4293C7">
            <w:pPr>
              <w:keepNext w:val="0"/>
              <w:keepLines w:val="0"/>
              <w:pageBreakBefore w:val="0"/>
              <w:widowControl w:val="0"/>
              <w:numPr>
                <w:ilvl w:val="0"/>
                <w:numId w:val="35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路由管理</w:t>
            </w:r>
          </w:p>
          <w:p w14:paraId="74E455A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支持路由是用来衔接不同终端或路由之间消息流转、分发，并可在其内部通过添加多个不同处理器实现计算逻辑</w:t>
            </w:r>
          </w:p>
        </w:tc>
      </w:tr>
      <w:tr w14:paraId="2574C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48AEA85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8E8DC8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5616B3D7">
            <w:pPr>
              <w:keepNext w:val="0"/>
              <w:keepLines w:val="0"/>
              <w:pageBreakBefore w:val="0"/>
              <w:widowControl w:val="0"/>
              <w:numPr>
                <w:ilvl w:val="0"/>
                <w:numId w:val="35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处理器管理</w:t>
            </w:r>
          </w:p>
          <w:p w14:paraId="2F81510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支持在路由内对消息进行具体操作处理</w:t>
            </w:r>
          </w:p>
        </w:tc>
      </w:tr>
      <w:tr w14:paraId="3DE5F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23BEEFF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2</w:t>
            </w:r>
          </w:p>
        </w:tc>
        <w:tc>
          <w:tcPr>
            <w:tcW w:w="754" w:type="dxa"/>
            <w:vMerge w:val="restart"/>
            <w:tcBorders>
              <w:tl2br w:val="nil"/>
              <w:tr2bl w:val="nil"/>
            </w:tcBorders>
            <w:noWrap w:val="0"/>
            <w:vAlign w:val="center"/>
          </w:tcPr>
          <w:p w14:paraId="009E55C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辅助配置管理</w:t>
            </w:r>
          </w:p>
        </w:tc>
        <w:tc>
          <w:tcPr>
            <w:tcW w:w="6307" w:type="dxa"/>
            <w:tcBorders>
              <w:tl2br w:val="nil"/>
              <w:tr2bl w:val="nil"/>
            </w:tcBorders>
            <w:noWrap w:val="0"/>
            <w:vAlign w:val="center"/>
          </w:tcPr>
          <w:p w14:paraId="2F78B885">
            <w:pPr>
              <w:keepNext w:val="0"/>
              <w:keepLines w:val="0"/>
              <w:pageBreakBefore w:val="0"/>
              <w:widowControl w:val="0"/>
              <w:numPr>
                <w:ilvl w:val="0"/>
                <w:numId w:val="35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资源管理</w:t>
            </w:r>
          </w:p>
          <w:p w14:paraId="7D1CC86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支持WSDL，XSD，JSON_SCHEMA，SSL密钥，安全证书，对称加密密钥，DLL及JDBC驱动等文件的管理。</w:t>
            </w:r>
          </w:p>
        </w:tc>
      </w:tr>
      <w:tr w14:paraId="573B2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6E742E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411B537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3E63E8E4">
            <w:pPr>
              <w:keepNext w:val="0"/>
              <w:keepLines w:val="0"/>
              <w:pageBreakBefore w:val="0"/>
              <w:widowControl w:val="0"/>
              <w:numPr>
                <w:ilvl w:val="0"/>
                <w:numId w:val="35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连接管理</w:t>
            </w:r>
          </w:p>
          <w:p w14:paraId="661D3F9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支持JMS连接工厂和数据源。</w:t>
            </w:r>
          </w:p>
        </w:tc>
      </w:tr>
      <w:tr w14:paraId="21F7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2B3FB9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3EF931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6368ECA9">
            <w:pPr>
              <w:keepNext w:val="0"/>
              <w:keepLines w:val="0"/>
              <w:pageBreakBefore w:val="0"/>
              <w:widowControl w:val="0"/>
              <w:numPr>
                <w:ilvl w:val="0"/>
                <w:numId w:val="35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数据转换</w:t>
            </w:r>
          </w:p>
          <w:p w14:paraId="35A3BD7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支持不同格式消息之间的转换，将一种类型的数据转换为另一种类型，比如将HL7消息转换为XML消息。</w:t>
            </w:r>
          </w:p>
        </w:tc>
      </w:tr>
      <w:tr w14:paraId="4A90B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0B3E7C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4E2C47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4F8916B4">
            <w:pPr>
              <w:keepNext w:val="0"/>
              <w:keepLines w:val="0"/>
              <w:pageBreakBefore w:val="0"/>
              <w:widowControl w:val="0"/>
              <w:numPr>
                <w:ilvl w:val="0"/>
                <w:numId w:val="35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HL7库管理</w:t>
            </w:r>
          </w:p>
          <w:p w14:paraId="7F7C576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支持对HL7进行直观解析，读取，编辑。在HL7消息处理器或数据转换配置时支持引用。</w:t>
            </w:r>
          </w:p>
        </w:tc>
      </w:tr>
      <w:tr w14:paraId="30AE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73313D1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775366E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79005D7E">
            <w:pPr>
              <w:keepNext w:val="0"/>
              <w:keepLines w:val="0"/>
              <w:pageBreakBefore w:val="0"/>
              <w:widowControl w:val="0"/>
              <w:numPr>
                <w:ilvl w:val="0"/>
                <w:numId w:val="35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消息追踪管理</w:t>
            </w:r>
          </w:p>
          <w:p w14:paraId="4B0AEA7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支持配置管理的业务层的追踪、重试、报错</w:t>
            </w:r>
          </w:p>
        </w:tc>
      </w:tr>
      <w:tr w14:paraId="1163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1B4F5A4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A692BD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63C9DAAB">
            <w:pPr>
              <w:keepNext w:val="0"/>
              <w:keepLines w:val="0"/>
              <w:pageBreakBefore w:val="0"/>
              <w:widowControl w:val="0"/>
              <w:numPr>
                <w:ilvl w:val="0"/>
                <w:numId w:val="35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全局变量管理</w:t>
            </w:r>
          </w:p>
          <w:p w14:paraId="2E62F83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支持更改全局变量可动态更新引用变量</w:t>
            </w:r>
          </w:p>
        </w:tc>
      </w:tr>
      <w:tr w14:paraId="1E7C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6EB459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262E1F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3ABD1C27">
            <w:pPr>
              <w:keepNext w:val="0"/>
              <w:keepLines w:val="0"/>
              <w:pageBreakBefore w:val="0"/>
              <w:widowControl w:val="0"/>
              <w:numPr>
                <w:ilvl w:val="0"/>
                <w:numId w:val="35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代码映射管理</w:t>
            </w:r>
          </w:p>
          <w:p w14:paraId="43C1E20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支持手动输入，并可与数据库映射表同步，在不需要重启引擎的情况下支持映射数据的动态更新。</w:t>
            </w:r>
          </w:p>
        </w:tc>
      </w:tr>
      <w:tr w14:paraId="2796B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0"/>
            <w:vAlign w:val="center"/>
          </w:tcPr>
          <w:p w14:paraId="01738D4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3</w:t>
            </w:r>
          </w:p>
        </w:tc>
        <w:tc>
          <w:tcPr>
            <w:tcW w:w="754" w:type="dxa"/>
            <w:vMerge w:val="restart"/>
            <w:tcBorders>
              <w:tl2br w:val="nil"/>
              <w:tr2bl w:val="nil"/>
            </w:tcBorders>
            <w:noWrap w:val="0"/>
            <w:vAlign w:val="center"/>
          </w:tcPr>
          <w:p w14:paraId="7183E9B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配置监控中心</w:t>
            </w:r>
          </w:p>
        </w:tc>
        <w:tc>
          <w:tcPr>
            <w:tcW w:w="6307" w:type="dxa"/>
            <w:tcBorders>
              <w:tl2br w:val="nil"/>
              <w:tr2bl w:val="nil"/>
            </w:tcBorders>
            <w:noWrap w:val="0"/>
            <w:vAlign w:val="center"/>
          </w:tcPr>
          <w:p w14:paraId="4601FEE9">
            <w:pPr>
              <w:keepNext w:val="0"/>
              <w:keepLines w:val="0"/>
              <w:pageBreakBefore w:val="0"/>
              <w:widowControl w:val="0"/>
              <w:numPr>
                <w:ilvl w:val="0"/>
                <w:numId w:val="35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配置功能</w:t>
            </w:r>
          </w:p>
          <w:p w14:paraId="1610678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支持全局图形化显示整个项目流程，支持项目设计图缩放</w:t>
            </w:r>
          </w:p>
        </w:tc>
      </w:tr>
      <w:tr w14:paraId="69E4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0430B6F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5B9DF54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0B39C74F">
            <w:pPr>
              <w:keepNext w:val="0"/>
              <w:keepLines w:val="0"/>
              <w:pageBreakBefore w:val="0"/>
              <w:widowControl w:val="0"/>
              <w:numPr>
                <w:ilvl w:val="0"/>
                <w:numId w:val="35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管理功能</w:t>
            </w:r>
          </w:p>
          <w:p w14:paraId="70EB2E0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支持配置导出导入，支持数据转换映射管理</w:t>
            </w:r>
          </w:p>
        </w:tc>
      </w:tr>
      <w:tr w14:paraId="664A4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0"/>
            <w:vAlign w:val="center"/>
          </w:tcPr>
          <w:p w14:paraId="55C7B20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0"/>
            <w:vAlign w:val="center"/>
          </w:tcPr>
          <w:p w14:paraId="13A6214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307" w:type="dxa"/>
            <w:tcBorders>
              <w:tl2br w:val="nil"/>
              <w:tr2bl w:val="nil"/>
            </w:tcBorders>
            <w:noWrap w:val="0"/>
            <w:vAlign w:val="center"/>
          </w:tcPr>
          <w:p w14:paraId="3B7A24F4">
            <w:pPr>
              <w:keepNext w:val="0"/>
              <w:keepLines w:val="0"/>
              <w:pageBreakBefore w:val="0"/>
              <w:widowControl w:val="0"/>
              <w:numPr>
                <w:ilvl w:val="0"/>
                <w:numId w:val="35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监控功能</w:t>
            </w:r>
          </w:p>
          <w:p w14:paraId="0689CA9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支持仪表盘展示引擎小结及系统运作概况，支持查看节点消息及错误队列消息</w:t>
            </w:r>
          </w:p>
        </w:tc>
      </w:tr>
      <w:tr w14:paraId="17874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038DD77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4</w:t>
            </w:r>
          </w:p>
        </w:tc>
        <w:tc>
          <w:tcPr>
            <w:tcW w:w="754" w:type="dxa"/>
            <w:tcBorders>
              <w:tl2br w:val="nil"/>
              <w:tr2bl w:val="nil"/>
            </w:tcBorders>
            <w:noWrap w:val="0"/>
            <w:vAlign w:val="center"/>
          </w:tcPr>
          <w:p w14:paraId="775ADCD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服务新增注册发布管理</w:t>
            </w:r>
          </w:p>
        </w:tc>
        <w:tc>
          <w:tcPr>
            <w:tcW w:w="6307" w:type="dxa"/>
            <w:tcBorders>
              <w:tl2br w:val="nil"/>
              <w:tr2bl w:val="nil"/>
            </w:tcBorders>
            <w:noWrap w:val="0"/>
            <w:vAlign w:val="center"/>
          </w:tcPr>
          <w:p w14:paraId="2393370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支持服务注册、发布，版本及状态管理、支持对服务的多级分类管理，支持服务联通性测试。</w:t>
            </w:r>
          </w:p>
        </w:tc>
      </w:tr>
      <w:tr w14:paraId="40D7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05BCDE2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5</w:t>
            </w:r>
          </w:p>
        </w:tc>
        <w:tc>
          <w:tcPr>
            <w:tcW w:w="754" w:type="dxa"/>
            <w:tcBorders>
              <w:tl2br w:val="nil"/>
              <w:tr2bl w:val="nil"/>
            </w:tcBorders>
            <w:noWrap w:val="0"/>
            <w:vAlign w:val="center"/>
          </w:tcPr>
          <w:p w14:paraId="479A836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服务权限管理</w:t>
            </w:r>
          </w:p>
        </w:tc>
        <w:tc>
          <w:tcPr>
            <w:tcW w:w="6307" w:type="dxa"/>
            <w:tcBorders>
              <w:tl2br w:val="nil"/>
              <w:tr2bl w:val="nil"/>
            </w:tcBorders>
            <w:noWrap w:val="0"/>
            <w:vAlign w:val="center"/>
          </w:tcPr>
          <w:p w14:paraId="3485E9D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支持对一个服务对多个申请者开放，可单独对每个申请者开放或者关闭。</w:t>
            </w:r>
          </w:p>
        </w:tc>
      </w:tr>
      <w:tr w14:paraId="06E5B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0472EA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6</w:t>
            </w:r>
          </w:p>
        </w:tc>
        <w:tc>
          <w:tcPr>
            <w:tcW w:w="754" w:type="dxa"/>
            <w:tcBorders>
              <w:tl2br w:val="nil"/>
              <w:tr2bl w:val="nil"/>
            </w:tcBorders>
            <w:noWrap w:val="0"/>
            <w:vAlign w:val="center"/>
          </w:tcPr>
          <w:p w14:paraId="4EAEF6C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消息订阅和通知</w:t>
            </w:r>
          </w:p>
        </w:tc>
        <w:tc>
          <w:tcPr>
            <w:tcW w:w="6307" w:type="dxa"/>
            <w:tcBorders>
              <w:tl2br w:val="nil"/>
              <w:tr2bl w:val="nil"/>
            </w:tcBorders>
            <w:noWrap w:val="0"/>
            <w:vAlign w:val="center"/>
          </w:tcPr>
          <w:p w14:paraId="6FE815A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支持发布的服务可通过访问控制实现服务订阅，发布的消息也可进行订阅</w:t>
            </w:r>
          </w:p>
        </w:tc>
      </w:tr>
    </w:tbl>
    <w:p w14:paraId="3B566C8D">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63039C1A">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共享文档管理</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004"/>
      </w:tblGrid>
      <w:tr w14:paraId="09BF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noWrap w:val="0"/>
            <w:vAlign w:val="center"/>
          </w:tcPr>
          <w:p w14:paraId="0F5B531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noWrap w:val="0"/>
            <w:vAlign w:val="center"/>
          </w:tcPr>
          <w:p w14:paraId="4C3835C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模块</w:t>
            </w:r>
          </w:p>
        </w:tc>
        <w:tc>
          <w:tcPr>
            <w:tcW w:w="6959" w:type="dxa"/>
            <w:noWrap w:val="0"/>
            <w:vAlign w:val="center"/>
          </w:tcPr>
          <w:p w14:paraId="0F456F4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功能及技术参数</w:t>
            </w:r>
          </w:p>
        </w:tc>
      </w:tr>
      <w:tr w14:paraId="69CF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restart"/>
            <w:noWrap w:val="0"/>
            <w:vAlign w:val="center"/>
          </w:tcPr>
          <w:p w14:paraId="7B220C3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66C628A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p>
        </w:tc>
        <w:tc>
          <w:tcPr>
            <w:tcW w:w="754" w:type="dxa"/>
            <w:vMerge w:val="restart"/>
            <w:noWrap w:val="0"/>
            <w:vAlign w:val="center"/>
          </w:tcPr>
          <w:p w14:paraId="754D4B8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共享文档管理</w:t>
            </w:r>
          </w:p>
        </w:tc>
        <w:tc>
          <w:tcPr>
            <w:tcW w:w="6959" w:type="dxa"/>
            <w:noWrap w:val="0"/>
            <w:vAlign w:val="center"/>
          </w:tcPr>
          <w:p w14:paraId="7AA8B43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一、共享文档总览（新增）</w:t>
            </w:r>
          </w:p>
          <w:p w14:paraId="1A84BCD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支持以饼图、柱状图等图表可视化的形式进行展示，包括共享文档生成、下载、查询、校验等多种使用情况的分析。</w:t>
            </w:r>
          </w:p>
        </w:tc>
      </w:tr>
      <w:tr w14:paraId="5C5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6C0BB76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noWrap w:val="0"/>
            <w:vAlign w:val="center"/>
          </w:tcPr>
          <w:p w14:paraId="2014FF2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0"/>
            <w:vAlign w:val="center"/>
          </w:tcPr>
          <w:p w14:paraId="4AED5F1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二、共享文档分类查询（改造）</w:t>
            </w:r>
          </w:p>
          <w:p w14:paraId="6B2C1D98">
            <w:pPr>
              <w:keepNext w:val="0"/>
              <w:keepLines w:val="0"/>
              <w:pageBreakBefore w:val="0"/>
              <w:widowControl/>
              <w:numPr>
                <w:ilvl w:val="0"/>
                <w:numId w:val="36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数据集管理</w:t>
            </w:r>
          </w:p>
          <w:p w14:paraId="100F187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支持数据集文件的统一管理，支持查看数据集详细信息。</w:t>
            </w:r>
          </w:p>
          <w:p w14:paraId="6170228D">
            <w:pPr>
              <w:keepNext w:val="0"/>
              <w:keepLines w:val="0"/>
              <w:pageBreakBefore w:val="0"/>
              <w:widowControl/>
              <w:numPr>
                <w:ilvl w:val="0"/>
                <w:numId w:val="36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数据集生成</w:t>
            </w:r>
          </w:p>
          <w:p w14:paraId="00AFA3D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支持标准数据生成数据集内容。</w:t>
            </w:r>
          </w:p>
          <w:p w14:paraId="49809CAF">
            <w:pPr>
              <w:keepNext w:val="0"/>
              <w:keepLines w:val="0"/>
              <w:pageBreakBefore w:val="0"/>
              <w:widowControl/>
              <w:numPr>
                <w:ilvl w:val="0"/>
                <w:numId w:val="36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共享文档管理</w:t>
            </w:r>
          </w:p>
          <w:p w14:paraId="1321BC0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支持共享文档的统一管理，支持查看共享文档详细信息。</w:t>
            </w:r>
          </w:p>
          <w:p w14:paraId="4549FA2D">
            <w:pPr>
              <w:keepNext w:val="0"/>
              <w:keepLines w:val="0"/>
              <w:pageBreakBefore w:val="0"/>
              <w:widowControl/>
              <w:numPr>
                <w:ilvl w:val="0"/>
                <w:numId w:val="36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共享文档生成</w:t>
            </w:r>
          </w:p>
          <w:p w14:paraId="2E1DAEE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支持生成标准共享文档。</w:t>
            </w:r>
          </w:p>
          <w:p w14:paraId="047316FC">
            <w:pPr>
              <w:keepNext w:val="0"/>
              <w:keepLines w:val="0"/>
              <w:pageBreakBefore w:val="0"/>
              <w:widowControl/>
              <w:numPr>
                <w:ilvl w:val="0"/>
                <w:numId w:val="36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共享文档下载</w:t>
            </w:r>
          </w:p>
          <w:p w14:paraId="7FCF43A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支持下载已经生成的共享文档。</w:t>
            </w:r>
          </w:p>
        </w:tc>
      </w:tr>
      <w:tr w14:paraId="4482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5AF7DB8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54" w:type="dxa"/>
            <w:vMerge w:val="continue"/>
            <w:noWrap w:val="0"/>
            <w:vAlign w:val="center"/>
          </w:tcPr>
          <w:p w14:paraId="7FA4C60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0"/>
            <w:vAlign w:val="center"/>
          </w:tcPr>
          <w:p w14:paraId="3C84CE4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三、共享文档检索（改造）</w:t>
            </w:r>
          </w:p>
          <w:p w14:paraId="185F6BA5">
            <w:pPr>
              <w:keepNext w:val="0"/>
              <w:keepLines w:val="0"/>
              <w:pageBreakBefore w:val="0"/>
              <w:widowControl/>
              <w:numPr>
                <w:ilvl w:val="0"/>
                <w:numId w:val="36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共享文档检索</w:t>
            </w:r>
          </w:p>
          <w:p w14:paraId="1C95AA7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支持通过患者姓名、索引号等检索共享文档信息。</w:t>
            </w:r>
          </w:p>
          <w:p w14:paraId="790055B1">
            <w:pPr>
              <w:keepNext w:val="0"/>
              <w:keepLines w:val="0"/>
              <w:pageBreakBefore w:val="0"/>
              <w:widowControl/>
              <w:numPr>
                <w:ilvl w:val="0"/>
                <w:numId w:val="36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文档覆盖率统计导出</w:t>
            </w:r>
          </w:p>
          <w:p w14:paraId="2B39891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支持统计文档覆盖率并导出该文档。</w:t>
            </w:r>
          </w:p>
        </w:tc>
      </w:tr>
      <w:tr w14:paraId="045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6EDC45F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p>
        </w:tc>
        <w:tc>
          <w:tcPr>
            <w:tcW w:w="754" w:type="dxa"/>
            <w:vMerge w:val="continue"/>
            <w:noWrap w:val="0"/>
            <w:vAlign w:val="center"/>
          </w:tcPr>
          <w:p w14:paraId="1AC345F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0"/>
            <w:vAlign w:val="center"/>
          </w:tcPr>
          <w:p w14:paraId="05AC78B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四、临床文档库（新增）</w:t>
            </w:r>
          </w:p>
          <w:p w14:paraId="7275FC3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支持统计各业务域子集共享文档的总数量，支持查看各业务域自己下具体共享文档记录。</w:t>
            </w:r>
          </w:p>
        </w:tc>
      </w:tr>
      <w:tr w14:paraId="1644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2E06167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p>
        </w:tc>
        <w:tc>
          <w:tcPr>
            <w:tcW w:w="754" w:type="dxa"/>
            <w:vMerge w:val="continue"/>
            <w:noWrap w:val="0"/>
            <w:vAlign w:val="center"/>
          </w:tcPr>
          <w:p w14:paraId="059CB57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0"/>
            <w:vAlign w:val="center"/>
          </w:tcPr>
          <w:p w14:paraId="52AFECF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五、共享文档校验（新增）</w:t>
            </w:r>
          </w:p>
          <w:p w14:paraId="5DE5F49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基于配置的共享文档校验规则，支持对共享文档信息进行校验功能，校验内容包括必填项校验、文档节点校验、数据合理性等。</w:t>
            </w:r>
          </w:p>
        </w:tc>
      </w:tr>
      <w:tr w14:paraId="53AC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restart"/>
            <w:noWrap w:val="0"/>
            <w:vAlign w:val="center"/>
          </w:tcPr>
          <w:p w14:paraId="7EA1264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2</w:t>
            </w:r>
          </w:p>
        </w:tc>
        <w:tc>
          <w:tcPr>
            <w:tcW w:w="754" w:type="dxa"/>
            <w:vMerge w:val="restart"/>
            <w:noWrap w:val="0"/>
            <w:vAlign w:val="center"/>
          </w:tcPr>
          <w:p w14:paraId="7DF6E5E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基础管理（新增）</w:t>
            </w:r>
          </w:p>
        </w:tc>
        <w:tc>
          <w:tcPr>
            <w:tcW w:w="6959" w:type="dxa"/>
            <w:noWrap/>
            <w:vAlign w:val="center"/>
          </w:tcPr>
          <w:p w14:paraId="0431A2BC">
            <w:pPr>
              <w:keepNext w:val="0"/>
              <w:keepLines w:val="0"/>
              <w:pageBreakBefore w:val="0"/>
              <w:widowControl/>
              <w:numPr>
                <w:ilvl w:val="0"/>
                <w:numId w:val="362"/>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数据脱敏设置</w:t>
            </w:r>
          </w:p>
          <w:p w14:paraId="2AAE0B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支持根据不同节点属性配置匿名规则，通过启用匿名规则，实现节点路径中敏感信息的脱敏。</w:t>
            </w:r>
          </w:p>
        </w:tc>
      </w:tr>
      <w:tr w14:paraId="3BC1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40DE819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p>
        </w:tc>
        <w:tc>
          <w:tcPr>
            <w:tcW w:w="754" w:type="dxa"/>
            <w:vMerge w:val="continue"/>
            <w:noWrap w:val="0"/>
            <w:vAlign w:val="center"/>
          </w:tcPr>
          <w:p w14:paraId="097264D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ign w:val="center"/>
          </w:tcPr>
          <w:p w14:paraId="3DB948D3">
            <w:pPr>
              <w:keepNext w:val="0"/>
              <w:keepLines w:val="0"/>
              <w:pageBreakBefore w:val="0"/>
              <w:widowControl/>
              <w:numPr>
                <w:ilvl w:val="0"/>
                <w:numId w:val="362"/>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校验规则设置</w:t>
            </w:r>
          </w:p>
          <w:p w14:paraId="26765F6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支持配置共享文档校验规则，包括规则名称、校验规则、节点路径、节点属性、启用状态等。</w:t>
            </w:r>
          </w:p>
        </w:tc>
      </w:tr>
      <w:tr w14:paraId="05AB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35361CD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p>
        </w:tc>
        <w:tc>
          <w:tcPr>
            <w:tcW w:w="754" w:type="dxa"/>
            <w:vMerge w:val="continue"/>
            <w:noWrap w:val="0"/>
            <w:vAlign w:val="center"/>
          </w:tcPr>
          <w:p w14:paraId="774B200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ign w:val="center"/>
          </w:tcPr>
          <w:p w14:paraId="19D68C7A">
            <w:pPr>
              <w:keepNext w:val="0"/>
              <w:keepLines w:val="0"/>
              <w:pageBreakBefore w:val="0"/>
              <w:widowControl/>
              <w:numPr>
                <w:ilvl w:val="0"/>
                <w:numId w:val="362"/>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文档模板名称配置</w:t>
            </w:r>
          </w:p>
          <w:p w14:paraId="1AB223E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支持对生成的共享文档名称按设置模板统一命名，包括标准文档名称、启用状态等。</w:t>
            </w:r>
          </w:p>
        </w:tc>
      </w:tr>
      <w:tr w14:paraId="7026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56D95B8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p>
        </w:tc>
        <w:tc>
          <w:tcPr>
            <w:tcW w:w="754" w:type="dxa"/>
            <w:vMerge w:val="continue"/>
            <w:noWrap w:val="0"/>
            <w:vAlign w:val="center"/>
          </w:tcPr>
          <w:p w14:paraId="4D57CC9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ign w:val="center"/>
          </w:tcPr>
          <w:p w14:paraId="04EF81FA">
            <w:pPr>
              <w:keepNext w:val="0"/>
              <w:keepLines w:val="0"/>
              <w:pageBreakBefore w:val="0"/>
              <w:widowControl/>
              <w:numPr>
                <w:ilvl w:val="0"/>
                <w:numId w:val="362"/>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模板管理</w:t>
            </w:r>
          </w:p>
          <w:p w14:paraId="7B01EBD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支持按照子父级关系新增分类，支持维护每个模板基础信息，支持维护具体共享文档结构信息。</w:t>
            </w:r>
          </w:p>
        </w:tc>
      </w:tr>
      <w:tr w14:paraId="061D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3732527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p>
        </w:tc>
        <w:tc>
          <w:tcPr>
            <w:tcW w:w="754" w:type="dxa"/>
            <w:vMerge w:val="continue"/>
            <w:noWrap w:val="0"/>
            <w:vAlign w:val="center"/>
          </w:tcPr>
          <w:p w14:paraId="2664844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ign w:val="center"/>
          </w:tcPr>
          <w:p w14:paraId="7ABF03C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五、文档生成器</w:t>
            </w:r>
          </w:p>
          <w:p w14:paraId="2A6B4F10">
            <w:pPr>
              <w:keepNext w:val="0"/>
              <w:keepLines w:val="0"/>
              <w:pageBreakBefore w:val="0"/>
              <w:widowControl/>
              <w:numPr>
                <w:ilvl w:val="0"/>
                <w:numId w:val="36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文档生成服务</w:t>
            </w:r>
          </w:p>
          <w:p w14:paraId="0BF331D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支持通过共享文档生成服务，生成共享文档信息。</w:t>
            </w:r>
          </w:p>
          <w:p w14:paraId="371862CD">
            <w:pPr>
              <w:keepNext w:val="0"/>
              <w:keepLines w:val="0"/>
              <w:pageBreakBefore w:val="0"/>
              <w:widowControl/>
              <w:numPr>
                <w:ilvl w:val="0"/>
                <w:numId w:val="36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传输加密配置</w:t>
            </w:r>
          </w:p>
          <w:p w14:paraId="577B0DC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支持信息加密传输配置，包括请求方式、请求地址、签名认证、RSA2加密或国密SM2加密、信息项脱敏等配置。</w:t>
            </w:r>
          </w:p>
          <w:p w14:paraId="37204753">
            <w:pPr>
              <w:keepNext w:val="0"/>
              <w:keepLines w:val="0"/>
              <w:pageBreakBefore w:val="0"/>
              <w:widowControl/>
              <w:numPr>
                <w:ilvl w:val="0"/>
                <w:numId w:val="36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定时任务配置</w:t>
            </w:r>
          </w:p>
          <w:p w14:paraId="3F89C0B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支持通过定时任务配置实现共享文档数据定时批量生成，配置内容包括相应的任务名称、执行策略、执行周期、业务域选择等</w:t>
            </w:r>
          </w:p>
        </w:tc>
      </w:tr>
      <w:tr w14:paraId="51BE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367B79F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54" w:type="dxa"/>
            <w:vMerge w:val="continue"/>
            <w:noWrap w:val="0"/>
            <w:vAlign w:val="center"/>
          </w:tcPr>
          <w:p w14:paraId="66ADA346">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ign w:val="center"/>
          </w:tcPr>
          <w:p w14:paraId="2023192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六、文档传输记录</w:t>
            </w:r>
          </w:p>
          <w:p w14:paraId="08E4C9E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支持对所有共享文档传输记录进行统一管理，支持查看明细请求记录信息，包括上传时间、业务域名称、共享文档编号、患者姓名、身份证号、状态等。</w:t>
            </w:r>
          </w:p>
        </w:tc>
      </w:tr>
      <w:tr w14:paraId="60A9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4" w:type="dxa"/>
            <w:vMerge w:val="continue"/>
            <w:noWrap w:val="0"/>
            <w:vAlign w:val="center"/>
          </w:tcPr>
          <w:p w14:paraId="285926B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54" w:type="dxa"/>
            <w:vMerge w:val="continue"/>
            <w:noWrap w:val="0"/>
            <w:vAlign w:val="center"/>
          </w:tcPr>
          <w:p w14:paraId="19201ED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959" w:type="dxa"/>
            <w:noWrap/>
            <w:vAlign w:val="center"/>
          </w:tcPr>
          <w:p w14:paraId="5C6D42C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七、任务日志</w:t>
            </w:r>
          </w:p>
          <w:p w14:paraId="3E54A68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支持记录用户在共享文档管理系统中的各类关键操作，如共享文档的批量生成、文档校验以及脱敏或校验规则的新增、删除、修改等各类操作记录。</w:t>
            </w:r>
          </w:p>
        </w:tc>
      </w:tr>
    </w:tbl>
    <w:p w14:paraId="5D37C61D">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539EDF5">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运维监控</w:t>
      </w:r>
    </w:p>
    <w:p w14:paraId="5C22D876">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运行监控</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799"/>
        <w:gridCol w:w="6924"/>
      </w:tblGrid>
      <w:tr w14:paraId="16C1A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58A583E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0"/>
            <w:vAlign w:val="center"/>
          </w:tcPr>
          <w:p w14:paraId="51C9341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6533" w:type="dxa"/>
            <w:tcBorders>
              <w:tl2br w:val="nil"/>
              <w:tr2bl w:val="nil"/>
            </w:tcBorders>
            <w:noWrap w:val="0"/>
            <w:vAlign w:val="center"/>
          </w:tcPr>
          <w:p w14:paraId="055F6BC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4D5D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8" w:hRule="atLeast"/>
        </w:trPr>
        <w:tc>
          <w:tcPr>
            <w:tcW w:w="754" w:type="dxa"/>
            <w:vMerge w:val="restart"/>
            <w:tcBorders>
              <w:tl2br w:val="nil"/>
              <w:tr2bl w:val="nil"/>
            </w:tcBorders>
            <w:noWrap/>
            <w:vAlign w:val="center"/>
          </w:tcPr>
          <w:p w14:paraId="4848DA4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1</w:t>
            </w:r>
          </w:p>
        </w:tc>
        <w:tc>
          <w:tcPr>
            <w:tcW w:w="754" w:type="dxa"/>
            <w:vMerge w:val="restart"/>
            <w:tcBorders>
              <w:tl2br w:val="nil"/>
              <w:tr2bl w:val="nil"/>
            </w:tcBorders>
            <w:noWrap/>
            <w:vAlign w:val="center"/>
          </w:tcPr>
          <w:p w14:paraId="01EA8ED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运行监控</w:t>
            </w:r>
          </w:p>
        </w:tc>
        <w:tc>
          <w:tcPr>
            <w:tcW w:w="6533" w:type="dxa"/>
            <w:vMerge w:val="restart"/>
            <w:tcBorders>
              <w:tl2br w:val="nil"/>
              <w:tr2bl w:val="nil"/>
            </w:tcBorders>
            <w:noWrap/>
            <w:vAlign w:val="center"/>
          </w:tcPr>
          <w:p w14:paraId="511081D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一、监控总览</w:t>
            </w:r>
          </w:p>
          <w:p w14:paraId="7E5F55E4">
            <w:pPr>
              <w:keepNext w:val="0"/>
              <w:keepLines w:val="0"/>
              <w:pageBreakBefore w:val="0"/>
              <w:widowControl/>
              <w:numPr>
                <w:ilvl w:val="0"/>
                <w:numId w:val="36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采集链路监控</w:t>
            </w:r>
          </w:p>
          <w:p w14:paraId="74626F1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数据采集失效情况，支持统计任意时间范围内的数据采集失效情况，支持统计从业务发生或者数据采集到前置库入库的整体时效统计，并可以统计单条数据的最长、最短、平均耗时情况，支持查看异常明细数据；支持统计数据累计上传情况；支持实时日增量情况，包含数据的新增和更新操作监控；支持磁盘使用情况监控，包含磁盘使用量和磁盘使用占比分析；支持统计入库采集速率/采集量分析，支持入库采集耗时分析；支持采集数据占比分析；支持采集机构/采集数据集概览展示</w:t>
            </w:r>
          </w:p>
          <w:p w14:paraId="0BC286CA">
            <w:pPr>
              <w:keepNext w:val="0"/>
              <w:keepLines w:val="0"/>
              <w:pageBreakBefore w:val="0"/>
              <w:widowControl/>
              <w:numPr>
                <w:ilvl w:val="0"/>
                <w:numId w:val="36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共享链路监控</w:t>
            </w:r>
          </w:p>
          <w:p w14:paraId="5EE482D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监控平台资源各类共享方式的情况，数据API方式下包括超时、异常、失败接口和请求数，接口的非正常状态分布和发生时段分布数据高铁方式下包括推送应用、数据高铁流量趋势分析和对账分析统计。消息方式下包括生产消费事件总量排名，消息异常事件数排名，时段消费事件情况</w:t>
            </w:r>
          </w:p>
          <w:p w14:paraId="21556C42">
            <w:pPr>
              <w:keepNext w:val="0"/>
              <w:keepLines w:val="0"/>
              <w:pageBreakBefore w:val="0"/>
              <w:widowControl/>
              <w:numPr>
                <w:ilvl w:val="0"/>
                <w:numId w:val="364"/>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硬件运维监控</w:t>
            </w:r>
          </w:p>
          <w:p w14:paraId="2242FC3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r>
              <w:rPr>
                <w:rFonts w:hint="eastAsia" w:ascii="宋体" w:hAnsi="宋体" w:eastAsia="宋体" w:cs="宋体"/>
                <w:b/>
                <w:bCs/>
                <w:color w:val="auto"/>
                <w:kern w:val="0"/>
                <w:sz w:val="21"/>
                <w:szCs w:val="21"/>
                <w:lang w:bidi="ar"/>
              </w:rPr>
              <w:t>支持监控服务器、应用、中间件、数据库多维度的统计情况，支持查看服务器的主机地址、CPU、内存、磁盘容量、磁盘读取、磁盘写入信息。支持查看应用的监控状况、在线实例数。支持查看已对接中间件类型。支持查看数据库的主机地址、CPU、内存信息。支持查看告警消息的等级、告警信息、发生时间。</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bidi="ar"/>
              </w:rPr>
              <w:t>需提供</w:t>
            </w:r>
            <w:r>
              <w:rPr>
                <w:rFonts w:hint="eastAsia" w:ascii="宋体" w:hAnsi="宋体" w:eastAsia="宋体" w:cs="宋体"/>
                <w:b/>
                <w:bCs/>
                <w:color w:val="auto"/>
                <w:kern w:val="0"/>
                <w:sz w:val="21"/>
                <w:szCs w:val="21"/>
                <w:lang w:val="en-US" w:eastAsia="zh-CN" w:bidi="ar"/>
              </w:rPr>
              <w:t>系统</w:t>
            </w:r>
            <w:r>
              <w:rPr>
                <w:rFonts w:hint="eastAsia" w:ascii="宋体" w:hAnsi="宋体" w:eastAsia="宋体" w:cs="宋体"/>
                <w:b/>
                <w:bCs/>
                <w:color w:val="auto"/>
                <w:kern w:val="0"/>
                <w:sz w:val="21"/>
                <w:szCs w:val="21"/>
                <w:lang w:bidi="ar"/>
              </w:rPr>
              <w:t>截图</w:t>
            </w:r>
            <w:r>
              <w:rPr>
                <w:rFonts w:hint="eastAsia" w:ascii="宋体" w:hAnsi="宋体" w:eastAsia="宋体" w:cs="宋体"/>
                <w:b/>
                <w:bCs/>
                <w:color w:val="auto"/>
                <w:kern w:val="0"/>
                <w:sz w:val="21"/>
                <w:szCs w:val="21"/>
                <w:lang w:eastAsia="zh-CN" w:bidi="ar"/>
              </w:rPr>
              <w:t>）</w:t>
            </w:r>
          </w:p>
        </w:tc>
      </w:tr>
      <w:tr w14:paraId="05729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5550A6C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8A4B89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533" w:type="dxa"/>
            <w:vMerge w:val="restart"/>
            <w:tcBorders>
              <w:tl2br w:val="nil"/>
              <w:tr2bl w:val="nil"/>
            </w:tcBorders>
            <w:noWrap/>
            <w:vAlign w:val="center"/>
          </w:tcPr>
          <w:p w14:paraId="7F861E5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二、用户监控</w:t>
            </w:r>
          </w:p>
          <w:p w14:paraId="121762F2">
            <w:pPr>
              <w:keepNext w:val="0"/>
              <w:keepLines w:val="0"/>
              <w:pageBreakBefore w:val="0"/>
              <w:widowControl/>
              <w:numPr>
                <w:ilvl w:val="0"/>
                <w:numId w:val="36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实时用户统计</w:t>
            </w:r>
          </w:p>
          <w:p w14:paraId="63CF2FE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支持查看当前实时在线用户的指标统计与图表实时统计，支持查看具体实时在线的用户账号信息</w:t>
            </w:r>
          </w:p>
          <w:p w14:paraId="104C9F85">
            <w:pPr>
              <w:keepNext w:val="0"/>
              <w:keepLines w:val="0"/>
              <w:pageBreakBefore w:val="0"/>
              <w:widowControl/>
              <w:numPr>
                <w:ilvl w:val="0"/>
                <w:numId w:val="36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活跃用户统计</w:t>
            </w:r>
          </w:p>
          <w:p w14:paraId="42859AA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支持查看本周活跃用户的展示情况，支持对周/月的切换</w:t>
            </w:r>
          </w:p>
          <w:p w14:paraId="2F161B33">
            <w:pPr>
              <w:keepNext w:val="0"/>
              <w:keepLines w:val="0"/>
              <w:pageBreakBefore w:val="0"/>
              <w:widowControl/>
              <w:numPr>
                <w:ilvl w:val="0"/>
                <w:numId w:val="36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菜单访问统计</w:t>
            </w:r>
          </w:p>
          <w:p w14:paraId="68F0092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支持查看当日菜单访问量及累计菜单访问量信息，以时段菜单访问量及菜单访问TOP10情况进行图表展示，支持查看具体访问的菜单明细及对应的用户账号信息、访问菜单模块信息等内容。</w:t>
            </w:r>
          </w:p>
          <w:p w14:paraId="34543264">
            <w:pPr>
              <w:keepNext w:val="0"/>
              <w:keepLines w:val="0"/>
              <w:pageBreakBefore w:val="0"/>
              <w:widowControl/>
              <w:numPr>
                <w:ilvl w:val="0"/>
                <w:numId w:val="36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用户登录统计</w:t>
            </w:r>
          </w:p>
          <w:p w14:paraId="662F3CF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支持查看累计登录次数及用户平均每天登录次数，支持查看具体账号的登录信息、登录方式、结果信息等内容</w:t>
            </w:r>
          </w:p>
        </w:tc>
      </w:tr>
      <w:tr w14:paraId="528B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594ACFBE">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7D6F401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533" w:type="dxa"/>
            <w:vMerge w:val="restart"/>
            <w:tcBorders>
              <w:tl2br w:val="nil"/>
              <w:tr2bl w:val="nil"/>
            </w:tcBorders>
            <w:noWrap/>
            <w:vAlign w:val="center"/>
          </w:tcPr>
          <w:p w14:paraId="20AE6B1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三、数据库监控</w:t>
            </w:r>
          </w:p>
          <w:p w14:paraId="421F4940">
            <w:pPr>
              <w:keepNext w:val="0"/>
              <w:keepLines w:val="0"/>
              <w:pageBreakBefore w:val="0"/>
              <w:widowControl/>
              <w:numPr>
                <w:ilvl w:val="0"/>
                <w:numId w:val="36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实例概览</w:t>
            </w:r>
          </w:p>
          <w:p w14:paraId="1AD1DCCC">
            <w:pPr>
              <w:keepNext w:val="0"/>
              <w:keepLines w:val="0"/>
              <w:pageBreakBefore w:val="0"/>
              <w:widowControl/>
              <w:numPr>
                <w:ilvl w:val="0"/>
                <w:numId w:val="36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实例视图</w:t>
            </w:r>
          </w:p>
          <w:p w14:paraId="6B899D0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支持以列表的形式查看数据库实例的信息，支持查看实例的地址、状态、启动时间和版本</w:t>
            </w:r>
          </w:p>
          <w:p w14:paraId="251D3475">
            <w:pPr>
              <w:keepNext w:val="0"/>
              <w:keepLines w:val="0"/>
              <w:pageBreakBefore w:val="0"/>
              <w:widowControl/>
              <w:numPr>
                <w:ilvl w:val="0"/>
                <w:numId w:val="36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拓扑视图</w:t>
            </w:r>
          </w:p>
          <w:p w14:paraId="7472B24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支持以拓扑的形式查看数据库实例的信息，支持缩放查看具体的实例节点和路径情况</w:t>
            </w:r>
          </w:p>
          <w:p w14:paraId="088FDFA9">
            <w:pPr>
              <w:keepNext w:val="0"/>
              <w:keepLines w:val="0"/>
              <w:pageBreakBefore w:val="0"/>
              <w:widowControl/>
              <w:numPr>
                <w:ilvl w:val="0"/>
                <w:numId w:val="36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基础信息</w:t>
            </w:r>
          </w:p>
          <w:p w14:paraId="5977DECA">
            <w:pPr>
              <w:keepNext w:val="0"/>
              <w:keepLines w:val="0"/>
              <w:pageBreakBefore w:val="0"/>
              <w:widowControl/>
              <w:numPr>
                <w:ilvl w:val="0"/>
                <w:numId w:val="36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集群信息</w:t>
            </w:r>
          </w:p>
          <w:p w14:paraId="48AE33B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支持查看每台主机的地址、CPU核数、CPU架构、CPU使用率、物理内存等核心信息</w:t>
            </w:r>
          </w:p>
          <w:p w14:paraId="027631B8">
            <w:pPr>
              <w:keepNext w:val="0"/>
              <w:keepLines w:val="0"/>
              <w:pageBreakBefore w:val="0"/>
              <w:widowControl/>
              <w:numPr>
                <w:ilvl w:val="0"/>
                <w:numId w:val="36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连接数分析</w:t>
            </w:r>
          </w:p>
          <w:p w14:paraId="0A85DB8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支持查看各台服务器的连接数情况，按照时间节点提供全部和连接成功数的趋势情况。支持提供各台服务器的连接失败数情况，按照时间节点提供各个端口的趋势情况</w:t>
            </w:r>
          </w:p>
          <w:p w14:paraId="00F36D62">
            <w:pPr>
              <w:keepNext w:val="0"/>
              <w:keepLines w:val="0"/>
              <w:pageBreakBefore w:val="0"/>
              <w:widowControl/>
              <w:numPr>
                <w:ilvl w:val="0"/>
                <w:numId w:val="36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内存使用量分析</w:t>
            </w:r>
          </w:p>
          <w:p w14:paraId="4820D21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支持查看数据库服务器的内存使用量情况，按照时间节点提供各端口的内存使用量趋势。支持提供未来一段时间的预测使用量情况，</w:t>
            </w:r>
          </w:p>
          <w:p w14:paraId="2438D723">
            <w:pPr>
              <w:keepNext w:val="0"/>
              <w:keepLines w:val="0"/>
              <w:pageBreakBefore w:val="0"/>
              <w:widowControl/>
              <w:numPr>
                <w:ilvl w:val="0"/>
                <w:numId w:val="36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CPU使用率分析</w:t>
            </w:r>
          </w:p>
          <w:p w14:paraId="6F43022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支持查看数据库服务器的CPU使用率情况，按照时间节点提供各端口的CPU使用率趋势</w:t>
            </w:r>
          </w:p>
          <w:p w14:paraId="6F65005D">
            <w:pPr>
              <w:keepNext w:val="0"/>
              <w:keepLines w:val="0"/>
              <w:pageBreakBefore w:val="0"/>
              <w:widowControl/>
              <w:numPr>
                <w:ilvl w:val="0"/>
                <w:numId w:val="36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IO使用分析</w:t>
            </w:r>
          </w:p>
          <w:p w14:paraId="6680A4C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支持查看各台数据库服务器的流入流出的流量分析，按照时间节点提供各端口的流量趋势</w:t>
            </w:r>
          </w:p>
          <w:p w14:paraId="1D3BED8C">
            <w:pPr>
              <w:keepNext w:val="0"/>
              <w:keepLines w:val="0"/>
              <w:pageBreakBefore w:val="0"/>
              <w:widowControl/>
              <w:numPr>
                <w:ilvl w:val="0"/>
                <w:numId w:val="368"/>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QPS分析</w:t>
            </w:r>
          </w:p>
          <w:p w14:paraId="0EBD7B0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支持查看各台服务器的QPS情况，支持提供全部和各类型的QPS情况</w:t>
            </w:r>
          </w:p>
          <w:p w14:paraId="140DA37C">
            <w:pPr>
              <w:keepNext w:val="0"/>
              <w:keepLines w:val="0"/>
              <w:pageBreakBefore w:val="0"/>
              <w:widowControl/>
              <w:numPr>
                <w:ilvl w:val="0"/>
                <w:numId w:val="36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慢SQL</w:t>
            </w:r>
          </w:p>
          <w:p w14:paraId="76C760F4">
            <w:pPr>
              <w:keepNext w:val="0"/>
              <w:keepLines w:val="0"/>
              <w:pageBreakBefore w:val="0"/>
              <w:widowControl/>
              <w:numPr>
                <w:ilvl w:val="0"/>
                <w:numId w:val="36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慢SQL列表</w:t>
            </w:r>
          </w:p>
          <w:p w14:paraId="26CB688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支持查看各条SQL语句的结束运行时间、总执行时间和最大内存使用情况，支持关键词查询和选择数据库。</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bidi="ar"/>
              </w:rPr>
              <w:t>需提供</w:t>
            </w:r>
            <w:r>
              <w:rPr>
                <w:rFonts w:hint="eastAsia" w:ascii="宋体" w:hAnsi="宋体" w:eastAsia="宋体" w:cs="宋体"/>
                <w:b/>
                <w:bCs/>
                <w:color w:val="auto"/>
                <w:kern w:val="0"/>
                <w:sz w:val="21"/>
                <w:szCs w:val="21"/>
                <w:lang w:val="en-US" w:eastAsia="zh-CN" w:bidi="ar"/>
              </w:rPr>
              <w:t>系统</w:t>
            </w:r>
            <w:r>
              <w:rPr>
                <w:rFonts w:hint="eastAsia" w:ascii="宋体" w:hAnsi="宋体" w:eastAsia="宋体" w:cs="宋体"/>
                <w:b/>
                <w:bCs/>
                <w:color w:val="auto"/>
                <w:kern w:val="0"/>
                <w:sz w:val="21"/>
                <w:szCs w:val="21"/>
                <w:lang w:bidi="ar"/>
              </w:rPr>
              <w:t>截图</w:t>
            </w:r>
            <w:r>
              <w:rPr>
                <w:rFonts w:hint="eastAsia" w:ascii="宋体" w:hAnsi="宋体" w:eastAsia="宋体" w:cs="宋体"/>
                <w:b/>
                <w:bCs/>
                <w:color w:val="auto"/>
                <w:kern w:val="0"/>
                <w:sz w:val="21"/>
                <w:szCs w:val="21"/>
                <w:lang w:eastAsia="zh-CN" w:bidi="ar"/>
              </w:rPr>
              <w:t>）</w:t>
            </w:r>
          </w:p>
          <w:p w14:paraId="01B1622B">
            <w:pPr>
              <w:keepNext w:val="0"/>
              <w:keepLines w:val="0"/>
              <w:pageBreakBefore w:val="0"/>
              <w:widowControl/>
              <w:numPr>
                <w:ilvl w:val="0"/>
                <w:numId w:val="36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慢SQL查询详情</w:t>
            </w:r>
          </w:p>
          <w:p w14:paraId="78820C3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支持复制格式化SQL语句、复制原始SQL语句，支持查看SQL的执行计划、执行时间和事务信息。支持查看事务、写入数据量等信息</w:t>
            </w:r>
          </w:p>
          <w:p w14:paraId="3D20BB31">
            <w:pPr>
              <w:keepNext w:val="0"/>
              <w:keepLines w:val="0"/>
              <w:pageBreakBefore w:val="0"/>
              <w:widowControl/>
              <w:numPr>
                <w:ilvl w:val="0"/>
                <w:numId w:val="366"/>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高频SQL</w:t>
            </w:r>
          </w:p>
          <w:p w14:paraId="70B62C41">
            <w:pPr>
              <w:keepNext w:val="0"/>
              <w:keepLines w:val="0"/>
              <w:pageBreakBefore w:val="0"/>
              <w:widowControl/>
              <w:numPr>
                <w:ilvl w:val="0"/>
                <w:numId w:val="37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高频SQL列表</w:t>
            </w:r>
          </w:p>
          <w:p w14:paraId="312C30F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支持查看各SQL模板的执行次数、累计耗时和平均耗时等信息</w:t>
            </w:r>
          </w:p>
          <w:p w14:paraId="50B104D7">
            <w:pPr>
              <w:keepNext w:val="0"/>
              <w:keepLines w:val="0"/>
              <w:pageBreakBefore w:val="0"/>
              <w:widowControl/>
              <w:numPr>
                <w:ilvl w:val="0"/>
                <w:numId w:val="37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高频SQL查询详情</w:t>
            </w:r>
          </w:p>
          <w:p w14:paraId="6FBA841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支持复制格式化SQL语句、复制原始SQL语句，支持复制SQL模板ID、查看时间范围、计划数和执行的数据库</w:t>
            </w:r>
          </w:p>
        </w:tc>
      </w:tr>
      <w:tr w14:paraId="718FD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21480E6C">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45FD8FA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533" w:type="dxa"/>
            <w:vMerge w:val="restart"/>
            <w:tcBorders>
              <w:tl2br w:val="nil"/>
              <w:tr2bl w:val="nil"/>
            </w:tcBorders>
            <w:noWrap/>
            <w:vAlign w:val="center"/>
          </w:tcPr>
          <w:p w14:paraId="1A40435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四、服务器监控</w:t>
            </w:r>
          </w:p>
          <w:p w14:paraId="31704448">
            <w:pPr>
              <w:keepNext w:val="0"/>
              <w:keepLines w:val="0"/>
              <w:pageBreakBefore w:val="0"/>
              <w:widowControl/>
              <w:numPr>
                <w:ilvl w:val="0"/>
                <w:numId w:val="37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服务器资源总览</w:t>
            </w:r>
          </w:p>
          <w:p w14:paraId="5F2C618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服务器资源总览表</w:t>
            </w:r>
          </w:p>
          <w:p w14:paraId="6A1BA4F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每台服务器的IP地址、虚拟机和物理机的类型划分、服务器名称、在线应用数、内存总量等。支持通过色彩表示CPU使用率、内存使用率、交换分区使用率、磁盘读取速率、磁盘写入速率、下载带宽、上传带宽的健康状态</w:t>
            </w:r>
          </w:p>
          <w:p w14:paraId="430A5443">
            <w:pPr>
              <w:keepNext w:val="0"/>
              <w:keepLines w:val="0"/>
              <w:pageBreakBefore w:val="0"/>
              <w:widowControl/>
              <w:numPr>
                <w:ilvl w:val="0"/>
                <w:numId w:val="37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服务器资源明细</w:t>
            </w:r>
          </w:p>
          <w:p w14:paraId="3F616EFA">
            <w:pPr>
              <w:keepNext w:val="0"/>
              <w:keepLines w:val="0"/>
              <w:pageBreakBefore w:val="0"/>
              <w:widowControl/>
              <w:numPr>
                <w:ilvl w:val="0"/>
                <w:numId w:val="37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服务器负载分析</w:t>
            </w:r>
          </w:p>
          <w:p w14:paraId="0B0846F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支持查看各台服务器的当前总5分钟负载和整体平均CPU使用率情况</w:t>
            </w:r>
          </w:p>
          <w:p w14:paraId="6AA32586">
            <w:pPr>
              <w:keepNext w:val="0"/>
              <w:keepLines w:val="0"/>
              <w:pageBreakBefore w:val="0"/>
              <w:widowControl/>
              <w:numPr>
                <w:ilvl w:val="0"/>
                <w:numId w:val="37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服务器内存分析</w:t>
            </w:r>
          </w:p>
          <w:p w14:paraId="11CB993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支持查看各台服务器的整体总内存和整体平均使用率情况</w:t>
            </w:r>
          </w:p>
          <w:p w14:paraId="2B641E06">
            <w:pPr>
              <w:keepNext w:val="0"/>
              <w:keepLines w:val="0"/>
              <w:pageBreakBefore w:val="0"/>
              <w:widowControl/>
              <w:numPr>
                <w:ilvl w:val="0"/>
                <w:numId w:val="37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服务器磁盘分析</w:t>
            </w:r>
          </w:p>
          <w:p w14:paraId="0652455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支持查看各台服务器的整体总磁盘和整体平均磁盘使用率情况</w:t>
            </w:r>
          </w:p>
          <w:p w14:paraId="574A87CC">
            <w:pPr>
              <w:keepNext w:val="0"/>
              <w:keepLines w:val="0"/>
              <w:pageBreakBefore w:val="0"/>
              <w:widowControl/>
              <w:numPr>
                <w:ilvl w:val="0"/>
                <w:numId w:val="37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服务器运行情况分析</w:t>
            </w:r>
          </w:p>
          <w:p w14:paraId="1548A3B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支持查看各台服务器的运行时间、CPU核数、总内存情况，并且提供了总CPU使用率、最大分区使用率、内存使用率和交换分区使用率情况。</w:t>
            </w:r>
          </w:p>
          <w:p w14:paraId="627FC48B">
            <w:pPr>
              <w:keepNext w:val="0"/>
              <w:keepLines w:val="0"/>
              <w:pageBreakBefore w:val="0"/>
              <w:widowControl/>
              <w:numPr>
                <w:ilvl w:val="0"/>
                <w:numId w:val="37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各分区使用情况分析</w:t>
            </w:r>
          </w:p>
          <w:p w14:paraId="0121994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支持查看各台服务器的设备名、文件系统、分区、总空间、可用空间和使用率信息</w:t>
            </w:r>
          </w:p>
          <w:p w14:paraId="25CD7CAC">
            <w:pPr>
              <w:keepNext w:val="0"/>
              <w:keepLines w:val="0"/>
              <w:pageBreakBefore w:val="0"/>
              <w:widowControl/>
              <w:numPr>
                <w:ilvl w:val="0"/>
                <w:numId w:val="37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流量分析</w:t>
            </w:r>
          </w:p>
          <w:p w14:paraId="5B57600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支持查看各台服务器每小时流入流出流量</w:t>
            </w:r>
          </w:p>
          <w:p w14:paraId="4C0AB61A">
            <w:pPr>
              <w:keepNext w:val="0"/>
              <w:keepLines w:val="0"/>
              <w:pageBreakBefore w:val="0"/>
              <w:widowControl/>
              <w:numPr>
                <w:ilvl w:val="0"/>
                <w:numId w:val="37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网络分析</w:t>
            </w:r>
          </w:p>
          <w:p w14:paraId="74B567B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支持查看各台服务器每秒带宽，支持各用例上传、下载的最小带宽、最大带宽和平均带宽</w:t>
            </w:r>
          </w:p>
        </w:tc>
      </w:tr>
      <w:tr w14:paraId="7A8F7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5F8C5DD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41FB30C1">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533" w:type="dxa"/>
            <w:vMerge w:val="restart"/>
            <w:tcBorders>
              <w:tl2br w:val="nil"/>
              <w:tr2bl w:val="nil"/>
            </w:tcBorders>
            <w:noWrap w:val="0"/>
            <w:vAlign w:val="center"/>
          </w:tcPr>
          <w:p w14:paraId="525DD4D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五、服务监控</w:t>
            </w:r>
          </w:p>
          <w:p w14:paraId="0BAED534">
            <w:pPr>
              <w:keepNext w:val="0"/>
              <w:keepLines w:val="0"/>
              <w:pageBreakBefore w:val="0"/>
              <w:widowControl/>
              <w:numPr>
                <w:ilvl w:val="0"/>
                <w:numId w:val="37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服务接口分析</w:t>
            </w:r>
          </w:p>
          <w:p w14:paraId="6C86ECC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支持查看了超时接口、异常接口、 失败接口的总数和对应的超时次数</w:t>
            </w:r>
          </w:p>
          <w:p w14:paraId="661A3AA4">
            <w:pPr>
              <w:keepNext w:val="0"/>
              <w:keepLines w:val="0"/>
              <w:pageBreakBefore w:val="0"/>
              <w:widowControl/>
              <w:numPr>
                <w:ilvl w:val="0"/>
                <w:numId w:val="37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非正常状态分布分析</w:t>
            </w:r>
          </w:p>
          <w:p w14:paraId="712FC4D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支持查看各异常状态的占比和次数</w:t>
            </w:r>
          </w:p>
          <w:p w14:paraId="24C48377">
            <w:pPr>
              <w:keepNext w:val="0"/>
              <w:keepLines w:val="0"/>
              <w:pageBreakBefore w:val="0"/>
              <w:widowControl/>
              <w:numPr>
                <w:ilvl w:val="0"/>
                <w:numId w:val="37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非正常状态发生时段分布分析</w:t>
            </w:r>
          </w:p>
          <w:p w14:paraId="38A8974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支持查看各个时间段内发生的接口失败和异常次数</w:t>
            </w:r>
          </w:p>
          <w:p w14:paraId="7A358826">
            <w:pPr>
              <w:keepNext w:val="0"/>
              <w:keepLines w:val="0"/>
              <w:pageBreakBefore w:val="0"/>
              <w:widowControl/>
              <w:numPr>
                <w:ilvl w:val="0"/>
                <w:numId w:val="37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服务平均响应时间分析</w:t>
            </w:r>
          </w:p>
          <w:p w14:paraId="7D168DF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支持查看各接口的平均响应时间，支持通过响应时间大小进行排序比较</w:t>
            </w:r>
          </w:p>
          <w:p w14:paraId="370B5C7C">
            <w:pPr>
              <w:keepNext w:val="0"/>
              <w:keepLines w:val="0"/>
              <w:pageBreakBefore w:val="0"/>
              <w:widowControl/>
              <w:numPr>
                <w:ilvl w:val="0"/>
                <w:numId w:val="37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非正常率分析</w:t>
            </w:r>
          </w:p>
          <w:p w14:paraId="78AF53C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支持查看近一周或近半年的接口异常和失败率</w:t>
            </w:r>
          </w:p>
          <w:p w14:paraId="46999EE8">
            <w:pPr>
              <w:keepNext w:val="0"/>
              <w:keepLines w:val="0"/>
              <w:pageBreakBefore w:val="0"/>
              <w:widowControl/>
              <w:numPr>
                <w:ilvl w:val="0"/>
                <w:numId w:val="37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QPS</w:t>
            </w:r>
          </w:p>
          <w:p w14:paraId="7094D9D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支持查看全部接口的调用情况趋势QPS</w:t>
            </w:r>
          </w:p>
          <w:p w14:paraId="2ED263A0">
            <w:pPr>
              <w:keepNext w:val="0"/>
              <w:keepLines w:val="0"/>
              <w:pageBreakBefore w:val="0"/>
              <w:widowControl/>
              <w:numPr>
                <w:ilvl w:val="0"/>
                <w:numId w:val="37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服务接口调用详情</w:t>
            </w:r>
          </w:p>
          <w:p w14:paraId="55D92FC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支持查看各个接口对应的服务提供方和服务调用方信息，支持展示调用次数、调用失败次数、调用超时次数</w:t>
            </w:r>
          </w:p>
        </w:tc>
      </w:tr>
      <w:tr w14:paraId="156CA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54" w:type="dxa"/>
            <w:vMerge w:val="continue"/>
            <w:tcBorders>
              <w:tl2br w:val="nil"/>
              <w:tr2bl w:val="nil"/>
            </w:tcBorders>
            <w:noWrap/>
            <w:vAlign w:val="center"/>
          </w:tcPr>
          <w:p w14:paraId="6C1148F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6420E2E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533" w:type="dxa"/>
            <w:vMerge w:val="restart"/>
            <w:tcBorders>
              <w:tl2br w:val="nil"/>
              <w:tr2bl w:val="nil"/>
            </w:tcBorders>
            <w:noWrap/>
            <w:vAlign w:val="center"/>
          </w:tcPr>
          <w:p w14:paraId="509D272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六、应用监控</w:t>
            </w:r>
          </w:p>
          <w:p w14:paraId="3D0B8EEA">
            <w:pPr>
              <w:keepNext w:val="0"/>
              <w:keepLines w:val="0"/>
              <w:pageBreakBefore w:val="0"/>
              <w:widowControl/>
              <w:numPr>
                <w:ilvl w:val="0"/>
                <w:numId w:val="37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应用监控列表</w:t>
            </w:r>
          </w:p>
          <w:p w14:paraId="3E8A874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当前在线和下线应用的数量，在线和下线实例的数量。支持查看每个应用的名称、所属子系统、所属平台等基础信息，支持查看应用的各个实例的状态和基本信息。支持查看版本号、服务器IP、CPU使用率、内存占用量等</w:t>
            </w:r>
          </w:p>
          <w:p w14:paraId="797EAC2F">
            <w:pPr>
              <w:keepNext w:val="0"/>
              <w:keepLines w:val="0"/>
              <w:pageBreakBefore w:val="0"/>
              <w:widowControl/>
              <w:numPr>
                <w:ilvl w:val="0"/>
                <w:numId w:val="37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实例详情</w:t>
            </w:r>
          </w:p>
          <w:p w14:paraId="7A787843">
            <w:pPr>
              <w:keepNext w:val="0"/>
              <w:keepLines w:val="0"/>
              <w:pageBreakBefore w:val="0"/>
              <w:widowControl/>
              <w:numPr>
                <w:ilvl w:val="0"/>
                <w:numId w:val="37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实例总览列表</w:t>
            </w:r>
          </w:p>
          <w:p w14:paraId="73BAFDE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支持查看各个应用实例的主机、端口、上线时间、版本号等信息。支持查看CPU使用率、内存占用、磁盘总空间等信息</w:t>
            </w:r>
          </w:p>
          <w:p w14:paraId="28A82B8D">
            <w:pPr>
              <w:keepNext w:val="0"/>
              <w:keepLines w:val="0"/>
              <w:pageBreakBefore w:val="0"/>
              <w:widowControl/>
              <w:numPr>
                <w:ilvl w:val="0"/>
                <w:numId w:val="37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注册中心消息</w:t>
            </w:r>
          </w:p>
          <w:p w14:paraId="3244EDA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支持查看注册中心的消息内容，支持查看实例ID、权重、负载均衡规则、健康状态情况</w:t>
            </w:r>
          </w:p>
          <w:p w14:paraId="4CAC47EE">
            <w:pPr>
              <w:keepNext w:val="0"/>
              <w:keepLines w:val="0"/>
              <w:pageBreakBefore w:val="0"/>
              <w:widowControl/>
              <w:numPr>
                <w:ilvl w:val="0"/>
                <w:numId w:val="37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JVM内存分析</w:t>
            </w:r>
          </w:p>
          <w:p w14:paraId="1208990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支持查看各时间节点当前实例已用、当前可用和最大的内存情况</w:t>
            </w:r>
          </w:p>
          <w:p w14:paraId="6C41DA2B">
            <w:pPr>
              <w:keepNext w:val="0"/>
              <w:keepLines w:val="0"/>
              <w:pageBreakBefore w:val="0"/>
              <w:widowControl/>
              <w:numPr>
                <w:ilvl w:val="0"/>
                <w:numId w:val="37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健康情况分析</w:t>
            </w:r>
          </w:p>
          <w:p w14:paraId="2C85A5F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支持查看各实例的数据库类型、服务信息、统一配置管理等信息，支持查看各信息的在线状态</w:t>
            </w:r>
          </w:p>
          <w:p w14:paraId="7A77CDE3">
            <w:pPr>
              <w:keepNext w:val="0"/>
              <w:keepLines w:val="0"/>
              <w:pageBreakBefore w:val="0"/>
              <w:widowControl/>
              <w:numPr>
                <w:ilvl w:val="0"/>
                <w:numId w:val="37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JVM线程下载</w:t>
            </w:r>
          </w:p>
          <w:p w14:paraId="5A48E15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支持查看各个线程按照时间节点的运行情况，支持JVM线程的下载</w:t>
            </w:r>
          </w:p>
        </w:tc>
      </w:tr>
      <w:tr w14:paraId="7711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1E84416A">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43FAD5F5">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533" w:type="dxa"/>
            <w:tcBorders>
              <w:tl2br w:val="nil"/>
              <w:tr2bl w:val="nil"/>
            </w:tcBorders>
            <w:noWrap/>
            <w:vAlign w:val="center"/>
          </w:tcPr>
          <w:p w14:paraId="74241AE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七、中间件监控</w:t>
            </w:r>
          </w:p>
          <w:p w14:paraId="18D363C1">
            <w:pPr>
              <w:keepNext w:val="0"/>
              <w:keepLines w:val="0"/>
              <w:pageBreakBefore w:val="0"/>
              <w:widowControl/>
              <w:numPr>
                <w:ilvl w:val="0"/>
                <w:numId w:val="37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消息中间件监控</w:t>
            </w:r>
          </w:p>
          <w:p w14:paraId="36A07FA9">
            <w:pPr>
              <w:keepNext w:val="0"/>
              <w:keepLines w:val="0"/>
              <w:pageBreakBefore w:val="0"/>
              <w:widowControl/>
              <w:numPr>
                <w:ilvl w:val="0"/>
                <w:numId w:val="37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消息生产和消费分析</w:t>
            </w:r>
          </w:p>
          <w:p w14:paraId="6A23D35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支持监测各集群、各主题的消息生产和消费概况，支持展示每分钟消息生产和消费的对比情况</w:t>
            </w:r>
          </w:p>
          <w:p w14:paraId="3EC775F4">
            <w:pPr>
              <w:keepNext w:val="0"/>
              <w:keepLines w:val="0"/>
              <w:pageBreakBefore w:val="0"/>
              <w:widowControl/>
              <w:numPr>
                <w:ilvl w:val="0"/>
                <w:numId w:val="37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消费者组分析</w:t>
            </w:r>
          </w:p>
          <w:p w14:paraId="2E2C042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支持监测滞后的消费组情况，支持各集群、各主题下的消费者组运行趋势</w:t>
            </w:r>
          </w:p>
          <w:p w14:paraId="52923796">
            <w:pPr>
              <w:keepNext w:val="0"/>
              <w:keepLines w:val="0"/>
              <w:pageBreakBefore w:val="0"/>
              <w:widowControl/>
              <w:numPr>
                <w:ilvl w:val="0"/>
                <w:numId w:val="37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主题分区数分析</w:t>
            </w:r>
          </w:p>
          <w:p w14:paraId="6BBDC1E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支持监测各主题的分区数情况</w:t>
            </w:r>
          </w:p>
          <w:p w14:paraId="6D6D2DA6">
            <w:pPr>
              <w:keepNext w:val="0"/>
              <w:keepLines w:val="0"/>
              <w:pageBreakBefore w:val="0"/>
              <w:widowControl/>
              <w:numPr>
                <w:ilvl w:val="0"/>
                <w:numId w:val="37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内存数据库中间件监控</w:t>
            </w:r>
          </w:p>
          <w:p w14:paraId="2EB79239">
            <w:pPr>
              <w:keepNext w:val="0"/>
              <w:keepLines w:val="0"/>
              <w:pageBreakBefore w:val="0"/>
              <w:widowControl/>
              <w:numPr>
                <w:ilvl w:val="0"/>
                <w:numId w:val="37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资源总览表</w:t>
            </w:r>
          </w:p>
          <w:p w14:paraId="403657F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支持查看各个实例的命中率、内存使用率情况，Redis内存总量、连接数、操作数、流入流出情况</w:t>
            </w:r>
          </w:p>
          <w:p w14:paraId="6E5B3381">
            <w:pPr>
              <w:keepNext w:val="0"/>
              <w:keepLines w:val="0"/>
              <w:pageBreakBefore w:val="0"/>
              <w:widowControl/>
              <w:numPr>
                <w:ilvl w:val="0"/>
                <w:numId w:val="37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运行明细</w:t>
            </w:r>
          </w:p>
          <w:p w14:paraId="01DE61D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支持查看运行时间、客户端连接数、每秒操作数。支持CPU使用率、内存使用率、内存使用量等关键信息的趋势情况</w:t>
            </w:r>
          </w:p>
          <w:p w14:paraId="39026981">
            <w:pPr>
              <w:keepNext w:val="0"/>
              <w:keepLines w:val="0"/>
              <w:pageBreakBefore w:val="0"/>
              <w:widowControl/>
              <w:numPr>
                <w:ilvl w:val="0"/>
                <w:numId w:val="37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数据分析引擎中间件监控</w:t>
            </w:r>
          </w:p>
          <w:p w14:paraId="18B0E0CA">
            <w:pPr>
              <w:keepNext w:val="0"/>
              <w:keepLines w:val="0"/>
              <w:pageBreakBefore w:val="0"/>
              <w:widowControl/>
              <w:numPr>
                <w:ilvl w:val="0"/>
                <w:numId w:val="37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集群分析</w:t>
            </w:r>
          </w:p>
          <w:p w14:paraId="36A11F4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支持查看集群的健康情况、运行中的节点、活跃数据节点和等待中的任务数</w:t>
            </w:r>
          </w:p>
          <w:p w14:paraId="02A0EF43">
            <w:pPr>
              <w:keepNext w:val="0"/>
              <w:keepLines w:val="0"/>
              <w:pageBreakBefore w:val="0"/>
              <w:widowControl/>
              <w:numPr>
                <w:ilvl w:val="0"/>
                <w:numId w:val="37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分片分析</w:t>
            </w:r>
          </w:p>
          <w:p w14:paraId="1FDE8C1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支持查看活跃分片、活跃主分片、初始化中的分片、重定位中的分片、未分配的分片和延迟的未分配的分片</w:t>
            </w:r>
          </w:p>
          <w:p w14:paraId="20F25B92">
            <w:pPr>
              <w:keepNext w:val="0"/>
              <w:keepLines w:val="0"/>
              <w:pageBreakBefore w:val="0"/>
              <w:widowControl/>
              <w:numPr>
                <w:ilvl w:val="0"/>
                <w:numId w:val="37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文档分析</w:t>
            </w:r>
          </w:p>
          <w:p w14:paraId="17B7D06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支持查看建立索引的文档、索引大小、文档索引率、查询率和队列计数情况</w:t>
            </w:r>
          </w:p>
          <w:p w14:paraId="04CBC525">
            <w:pPr>
              <w:keepNext w:val="0"/>
              <w:keepLines w:val="0"/>
              <w:pageBreakBefore w:val="0"/>
              <w:widowControl/>
              <w:numPr>
                <w:ilvl w:val="0"/>
                <w:numId w:val="37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分布式存储数据库中间件</w:t>
            </w:r>
          </w:p>
          <w:p w14:paraId="60D84E49">
            <w:pPr>
              <w:keepNext w:val="0"/>
              <w:keepLines w:val="0"/>
              <w:pageBreakBefore w:val="0"/>
              <w:widowControl/>
              <w:numPr>
                <w:ilvl w:val="0"/>
                <w:numId w:val="38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连接数分析</w:t>
            </w:r>
          </w:p>
          <w:p w14:paraId="6511B53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支持查看各实例的连接数和可用连接数</w:t>
            </w:r>
          </w:p>
          <w:p w14:paraId="3EF65B7C">
            <w:pPr>
              <w:keepNext w:val="0"/>
              <w:keepLines w:val="0"/>
              <w:pageBreakBefore w:val="0"/>
              <w:widowControl/>
              <w:numPr>
                <w:ilvl w:val="0"/>
                <w:numId w:val="38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文档操作分析</w:t>
            </w:r>
          </w:p>
          <w:p w14:paraId="198421E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支持查看各类型的文档操作</w:t>
            </w:r>
          </w:p>
          <w:p w14:paraId="40ED116D">
            <w:pPr>
              <w:keepNext w:val="0"/>
              <w:keepLines w:val="0"/>
              <w:pageBreakBefore w:val="0"/>
              <w:widowControl/>
              <w:numPr>
                <w:ilvl w:val="0"/>
                <w:numId w:val="38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数据库操作分析</w:t>
            </w:r>
          </w:p>
          <w:p w14:paraId="51CAA97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支持查看各类型的数据库操作情况，支持查看各操作的最大数、平均数</w:t>
            </w:r>
          </w:p>
          <w:p w14:paraId="0F13B633">
            <w:pPr>
              <w:keepNext w:val="0"/>
              <w:keepLines w:val="0"/>
              <w:pageBreakBefore w:val="0"/>
              <w:widowControl/>
              <w:numPr>
                <w:ilvl w:val="0"/>
                <w:numId w:val="38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网络流量分析</w:t>
            </w:r>
          </w:p>
          <w:p w14:paraId="7AAD5A5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支持查看流入和流出流量的趋势情况，支持查看流量的最小数和最大数</w:t>
            </w:r>
          </w:p>
          <w:p w14:paraId="12BD7132">
            <w:pPr>
              <w:keepNext w:val="0"/>
              <w:keepLines w:val="0"/>
              <w:pageBreakBefore w:val="0"/>
              <w:widowControl/>
              <w:numPr>
                <w:ilvl w:val="0"/>
                <w:numId w:val="38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缓存区数据大小分析</w:t>
            </w:r>
          </w:p>
          <w:p w14:paraId="039EFB9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支持查看各用例的缓存区数据量情况，按照时间节点展示了数据量趋势</w:t>
            </w:r>
          </w:p>
        </w:tc>
      </w:tr>
      <w:tr w14:paraId="53AA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ign w:val="center"/>
          </w:tcPr>
          <w:p w14:paraId="229CD40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754" w:type="dxa"/>
            <w:vMerge w:val="restart"/>
            <w:tcBorders>
              <w:tl2br w:val="nil"/>
              <w:tr2bl w:val="nil"/>
            </w:tcBorders>
            <w:noWrap/>
            <w:vAlign w:val="center"/>
          </w:tcPr>
          <w:p w14:paraId="55A9F58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智能告警</w:t>
            </w:r>
          </w:p>
        </w:tc>
        <w:tc>
          <w:tcPr>
            <w:tcW w:w="6533" w:type="dxa"/>
            <w:tcBorders>
              <w:tl2br w:val="nil"/>
              <w:tr2bl w:val="nil"/>
            </w:tcBorders>
            <w:noWrap/>
            <w:vAlign w:val="center"/>
          </w:tcPr>
          <w:p w14:paraId="29346EF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一、告警规则配置</w:t>
            </w:r>
          </w:p>
          <w:p w14:paraId="4A9186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支持选择监控指标并设定告警阈值，支持设置触发条件设定，包括大于、小于、等于等条件，以及连续触发规则。支持多种告警通知方式，包括代办、短信、邮件、钉钉、浙政钉等。支管理规则状态</w:t>
            </w:r>
          </w:p>
        </w:tc>
      </w:tr>
      <w:tr w14:paraId="5A1A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19036BE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54" w:type="dxa"/>
            <w:vMerge w:val="continue"/>
            <w:tcBorders>
              <w:tl2br w:val="nil"/>
              <w:tr2bl w:val="nil"/>
            </w:tcBorders>
            <w:noWrap/>
            <w:vAlign w:val="center"/>
          </w:tcPr>
          <w:p w14:paraId="144FC84F">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6533" w:type="dxa"/>
            <w:tcBorders>
              <w:tl2br w:val="nil"/>
              <w:tr2bl w:val="nil"/>
            </w:tcBorders>
            <w:noWrap/>
            <w:vAlign w:val="center"/>
          </w:tcPr>
          <w:p w14:paraId="710951B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二、告警记录</w:t>
            </w:r>
          </w:p>
          <w:p w14:paraId="47A44C2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支持查看告警规则名称、告警内容、告警级别。支持显示涉及告警的资源名称和IP地址、告警接收人、告警发生的具体时间。支持按照特定条件查看相关的告警历史记录</w:t>
            </w:r>
          </w:p>
        </w:tc>
      </w:tr>
      <w:tr w14:paraId="7BBDB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ign w:val="center"/>
          </w:tcPr>
          <w:p w14:paraId="7F811EB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754" w:type="dxa"/>
            <w:tcBorders>
              <w:tl2br w:val="nil"/>
              <w:tr2bl w:val="nil"/>
            </w:tcBorders>
            <w:noWrap/>
            <w:vAlign w:val="center"/>
          </w:tcPr>
          <w:p w14:paraId="49FBF8E8">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基础配置</w:t>
            </w:r>
          </w:p>
        </w:tc>
        <w:tc>
          <w:tcPr>
            <w:tcW w:w="6533" w:type="dxa"/>
            <w:tcBorders>
              <w:tl2br w:val="nil"/>
              <w:tr2bl w:val="nil"/>
            </w:tcBorders>
            <w:noWrap/>
            <w:vAlign w:val="center"/>
          </w:tcPr>
          <w:p w14:paraId="4FB0E05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一、服务器管理</w:t>
            </w:r>
          </w:p>
          <w:p w14:paraId="3774F0C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支持配置服务器名称、IP地址、服务器类型等信息，支持标识服务器是否为虚拟机，支持添加备注信息和标签。支持多条件查询，包括服务器名称、IP、类型、虚拟机标识、标签等</w:t>
            </w:r>
          </w:p>
        </w:tc>
      </w:tr>
    </w:tbl>
    <w:p w14:paraId="2DD6F308">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38F8C5F3">
      <w:pPr>
        <w:keepNext/>
        <w:keepLines/>
        <w:pageBreakBefore w:val="0"/>
        <w:widowControl w:val="0"/>
        <w:numPr>
          <w:ilvl w:val="4"/>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1008" w:hanging="1008"/>
        <w:jc w:val="both"/>
        <w:outlineLvl w:val="4"/>
        <w:rPr>
          <w:rFonts w:hint="eastAsia" w:ascii="Calibri" w:hAnsi="Calibri" w:eastAsia="宋体" w:cs="Times New Roman"/>
          <w:b/>
          <w:color w:val="auto"/>
          <w:kern w:val="2"/>
          <w:sz w:val="21"/>
          <w:szCs w:val="21"/>
          <w:lang w:val="en-US" w:eastAsia="zh-CN" w:bidi="ar-SA"/>
        </w:rPr>
      </w:pPr>
      <w:r>
        <w:rPr>
          <w:rFonts w:hint="eastAsia" w:ascii="Calibri" w:hAnsi="Calibri" w:eastAsia="宋体" w:cs="Times New Roman"/>
          <w:b/>
          <w:color w:val="auto"/>
          <w:kern w:val="2"/>
          <w:sz w:val="21"/>
          <w:szCs w:val="21"/>
          <w:lang w:val="en-US" w:eastAsia="zh-CN" w:bidi="ar-SA"/>
        </w:rPr>
        <w:t>一体化发布</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778"/>
        <w:gridCol w:w="6967"/>
      </w:tblGrid>
      <w:tr w14:paraId="36929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ign w:val="center"/>
          </w:tcPr>
          <w:p w14:paraId="2F467D6B">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序号</w:t>
            </w:r>
          </w:p>
        </w:tc>
        <w:tc>
          <w:tcPr>
            <w:tcW w:w="754" w:type="dxa"/>
            <w:tcBorders>
              <w:tl2br w:val="nil"/>
              <w:tr2bl w:val="nil"/>
            </w:tcBorders>
            <w:noWrap/>
            <w:vAlign w:val="center"/>
          </w:tcPr>
          <w:p w14:paraId="566F6D5D">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模块</w:t>
            </w:r>
          </w:p>
        </w:tc>
        <w:tc>
          <w:tcPr>
            <w:tcW w:w="6755" w:type="dxa"/>
            <w:tcBorders>
              <w:tl2br w:val="nil"/>
              <w:tr2bl w:val="nil"/>
            </w:tcBorders>
            <w:noWrap/>
            <w:vAlign w:val="center"/>
          </w:tcPr>
          <w:p w14:paraId="5248ADEF">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功能及技术参数</w:t>
            </w:r>
          </w:p>
        </w:tc>
      </w:tr>
      <w:tr w14:paraId="05DC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ign w:val="center"/>
          </w:tcPr>
          <w:p w14:paraId="057905A2">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1</w:t>
            </w:r>
          </w:p>
          <w:p w14:paraId="5D18834F">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restart"/>
            <w:tcBorders>
              <w:tl2br w:val="nil"/>
              <w:tr2bl w:val="nil"/>
            </w:tcBorders>
            <w:noWrap/>
            <w:vAlign w:val="center"/>
          </w:tcPr>
          <w:p w14:paraId="6A1CF9FF">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一体化发布用户管理</w:t>
            </w:r>
          </w:p>
        </w:tc>
        <w:tc>
          <w:tcPr>
            <w:tcW w:w="6755" w:type="dxa"/>
            <w:tcBorders>
              <w:tl2br w:val="nil"/>
              <w:tr2bl w:val="nil"/>
            </w:tcBorders>
            <w:noWrap/>
            <w:vAlign w:val="center"/>
          </w:tcPr>
          <w:p w14:paraId="4A6EEA1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一、账号管理</w:t>
            </w:r>
          </w:p>
          <w:p w14:paraId="7B495AA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支持配置账号、密码，保证只有授权用户才能访问特定的功能</w:t>
            </w:r>
          </w:p>
        </w:tc>
      </w:tr>
      <w:tr w14:paraId="5C6F2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42C14369">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5EE3285A">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5757F3F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二、权限管理</w:t>
            </w:r>
          </w:p>
          <w:p w14:paraId="657B5A9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支持权限角色管理，分为运维人员和管理员，支持限制运维人员操作权限</w:t>
            </w:r>
          </w:p>
        </w:tc>
      </w:tr>
      <w:tr w14:paraId="3832A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ign w:val="center"/>
          </w:tcPr>
          <w:p w14:paraId="47A7B8BC">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kern w:val="0"/>
                <w:sz w:val="21"/>
                <w:szCs w:val="21"/>
                <w:lang w:val="en-US" w:eastAsia="zh-CN" w:bidi="ar"/>
              </w:rPr>
              <w:t>2</w:t>
            </w:r>
          </w:p>
        </w:tc>
        <w:tc>
          <w:tcPr>
            <w:tcW w:w="754" w:type="dxa"/>
            <w:vMerge w:val="restart"/>
            <w:tcBorders>
              <w:tl2br w:val="nil"/>
              <w:tr2bl w:val="nil"/>
            </w:tcBorders>
            <w:noWrap/>
            <w:vAlign w:val="center"/>
          </w:tcPr>
          <w:p w14:paraId="222886BD">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发布升级</w:t>
            </w:r>
          </w:p>
        </w:tc>
        <w:tc>
          <w:tcPr>
            <w:tcW w:w="6755" w:type="dxa"/>
            <w:tcBorders>
              <w:tl2br w:val="nil"/>
              <w:tr2bl w:val="nil"/>
            </w:tcBorders>
            <w:noWrap/>
            <w:vAlign w:val="center"/>
          </w:tcPr>
          <w:p w14:paraId="7DBCE6FD">
            <w:pPr>
              <w:pageBreakBefore w:val="0"/>
              <w:numPr>
                <w:ilvl w:val="0"/>
                <w:numId w:val="38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产品发布</w:t>
            </w:r>
          </w:p>
          <w:p w14:paraId="569197B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bCs/>
                <w:color w:val="auto"/>
                <w:kern w:val="0"/>
                <w:sz w:val="21"/>
                <w:szCs w:val="21"/>
                <w:lang w:bidi="ar"/>
              </w:rPr>
              <w:t>支持导入产品发布包并进行解析，创建产品条目，支持更改产品名称、产品描述、图标和版本号。支持对产品的单个版本统一发布。发布中支持查看执行日志。发布成功后，支持对后端发布实例进行停用、启用、重启操作。</w:t>
            </w:r>
            <w:r>
              <w:rPr>
                <w:rFonts w:hint="eastAsia" w:ascii="宋体" w:hAnsi="宋体" w:eastAsia="宋体" w:cs="宋体"/>
                <w:b/>
                <w:bCs/>
                <w:color w:val="auto"/>
                <w:kern w:val="0"/>
                <w:sz w:val="21"/>
                <w:szCs w:val="21"/>
                <w:lang w:eastAsia="zh-CN" w:bidi="ar"/>
              </w:rPr>
              <w:t>（</w:t>
            </w:r>
            <w:r>
              <w:rPr>
                <w:rFonts w:hint="eastAsia" w:ascii="宋体" w:hAnsi="宋体" w:eastAsia="宋体" w:cs="宋体"/>
                <w:b/>
                <w:bCs/>
                <w:color w:val="auto"/>
                <w:kern w:val="0"/>
                <w:sz w:val="21"/>
                <w:szCs w:val="21"/>
                <w:lang w:bidi="ar"/>
              </w:rPr>
              <w:t>需提供</w:t>
            </w:r>
            <w:r>
              <w:rPr>
                <w:rFonts w:hint="eastAsia" w:ascii="宋体" w:hAnsi="宋体" w:eastAsia="宋体" w:cs="宋体"/>
                <w:b/>
                <w:bCs/>
                <w:color w:val="auto"/>
                <w:kern w:val="0"/>
                <w:sz w:val="21"/>
                <w:szCs w:val="21"/>
                <w:lang w:val="en-US" w:eastAsia="zh-CN" w:bidi="ar"/>
              </w:rPr>
              <w:t>系统</w:t>
            </w:r>
            <w:r>
              <w:rPr>
                <w:rFonts w:hint="eastAsia" w:ascii="宋体" w:hAnsi="宋体" w:eastAsia="宋体" w:cs="宋体"/>
                <w:b/>
                <w:bCs/>
                <w:color w:val="auto"/>
                <w:kern w:val="0"/>
                <w:sz w:val="21"/>
                <w:szCs w:val="21"/>
                <w:lang w:bidi="ar"/>
              </w:rPr>
              <w:t>截图</w:t>
            </w:r>
            <w:r>
              <w:rPr>
                <w:rFonts w:hint="eastAsia" w:ascii="宋体" w:hAnsi="宋体" w:eastAsia="宋体" w:cs="宋体"/>
                <w:b/>
                <w:bCs/>
                <w:color w:val="auto"/>
                <w:kern w:val="0"/>
                <w:sz w:val="21"/>
                <w:szCs w:val="21"/>
                <w:lang w:eastAsia="zh-CN" w:bidi="ar"/>
              </w:rPr>
              <w:t>）</w:t>
            </w:r>
          </w:p>
        </w:tc>
      </w:tr>
      <w:tr w14:paraId="706F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400FF355">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08F0E28F">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2A52D28C">
            <w:pPr>
              <w:pageBreakBefore w:val="0"/>
              <w:numPr>
                <w:ilvl w:val="0"/>
                <w:numId w:val="38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发布实例管理</w:t>
            </w:r>
          </w:p>
          <w:p w14:paraId="69FE7DD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支持普通新增和快速新增发布实例，通过选择发布组件、服务器IP和集群来迅速创建发布实例。发布实例支持后端jar包和前端包文件，支持对不同类型的文件提供相应的配置项</w:t>
            </w:r>
          </w:p>
        </w:tc>
      </w:tr>
      <w:tr w14:paraId="460A2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4AAA0F44">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6C8C26AF">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4C6F85C1">
            <w:pPr>
              <w:pageBreakBefore w:val="0"/>
              <w:numPr>
                <w:ilvl w:val="0"/>
                <w:numId w:val="38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产品详细信息管理</w:t>
            </w:r>
          </w:p>
          <w:p w14:paraId="01CE81A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持管理产品编号、产品名称、产品描述、图标、标签和数据库。同时可以查看和编辑发布组件，支持初始化路由操作</w:t>
            </w:r>
          </w:p>
        </w:tc>
      </w:tr>
      <w:tr w14:paraId="613E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560140A4">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0B3D5D98">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6B9C2D2B">
            <w:pPr>
              <w:pageBreakBefore w:val="0"/>
              <w:numPr>
                <w:ilvl w:val="0"/>
                <w:numId w:val="38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DB升级执行列表</w:t>
            </w:r>
          </w:p>
          <w:p w14:paraId="27CEC40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支持查看数据库执行脚本名称、数据库类型和具体的执行SQL脚本，支持查看和一键复制执行脚本。对于各个脚本信息，支持查看执行的异常信息和执行耗时，支持查看具体的执行人、执行时间和执行结果</w:t>
            </w:r>
          </w:p>
        </w:tc>
      </w:tr>
      <w:tr w14:paraId="57A62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0E574764">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43A8B7C9">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449BD960">
            <w:pPr>
              <w:pageBreakBefore w:val="0"/>
              <w:numPr>
                <w:ilvl w:val="0"/>
                <w:numId w:val="38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系统参数记录</w:t>
            </w:r>
          </w:p>
          <w:p w14:paraId="0374651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支持查看系统参数的信息，包括参数名称、参数值、参数中文名和修改建议</w:t>
            </w:r>
          </w:p>
        </w:tc>
      </w:tr>
      <w:tr w14:paraId="3F1A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3B7619EA">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554EE87E">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5DC5C39A">
            <w:pPr>
              <w:pageBreakBefore w:val="0"/>
              <w:numPr>
                <w:ilvl w:val="0"/>
                <w:numId w:val="38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发布记录</w:t>
            </w:r>
          </w:p>
          <w:p w14:paraId="703DDBA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支持查看详细的发布日志，记录发布过程中的所有信息，包括报错信息</w:t>
            </w:r>
          </w:p>
        </w:tc>
      </w:tr>
      <w:tr w14:paraId="6270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42A5ACCA">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207175E8">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5132C4B6">
            <w:pPr>
              <w:pageBreakBefore w:val="0"/>
              <w:numPr>
                <w:ilvl w:val="0"/>
                <w:numId w:val="381"/>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版本回滚</w:t>
            </w:r>
          </w:p>
          <w:p w14:paraId="6EFE75A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支持对已经使用发布平台更新过并正常上传日志的历史版本进行回滚</w:t>
            </w:r>
          </w:p>
        </w:tc>
      </w:tr>
      <w:tr w14:paraId="311D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1484FADE">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754" w:type="dxa"/>
            <w:vMerge w:val="continue"/>
            <w:tcBorders>
              <w:tl2br w:val="nil"/>
              <w:tr2bl w:val="nil"/>
            </w:tcBorders>
            <w:noWrap/>
            <w:vAlign w:val="center"/>
          </w:tcPr>
          <w:p w14:paraId="3A69032A">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5A7ACA4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八、升级助手</w:t>
            </w:r>
          </w:p>
          <w:p w14:paraId="021D7222">
            <w:pPr>
              <w:pageBreakBefore w:val="0"/>
              <w:numPr>
                <w:ilvl w:val="0"/>
                <w:numId w:val="38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DB升级</w:t>
            </w:r>
          </w:p>
          <w:p w14:paraId="773750E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支持运行一系列预定义的初始化脚本，负责设置产品运行所需的基础环境，包括数据库结构的创建等</w:t>
            </w:r>
          </w:p>
          <w:p w14:paraId="3F3E7EF2">
            <w:pPr>
              <w:pageBreakBefore w:val="0"/>
              <w:numPr>
                <w:ilvl w:val="0"/>
                <w:numId w:val="38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配置中心升级</w:t>
            </w:r>
          </w:p>
          <w:p w14:paraId="5031DDA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支持展示标准配置文件，支持修改生产环境中的配置文件。支持选择配置文件列表查看，对多个配置文件选择进行修改</w:t>
            </w:r>
          </w:p>
          <w:p w14:paraId="31119964">
            <w:pPr>
              <w:pageBreakBefore w:val="0"/>
              <w:numPr>
                <w:ilvl w:val="0"/>
                <w:numId w:val="38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系统参数升级</w:t>
            </w:r>
          </w:p>
          <w:p w14:paraId="1982140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支持运行产品必须的系统参数，支持在执行前对参数值进行修改</w:t>
            </w:r>
          </w:p>
        </w:tc>
      </w:tr>
      <w:tr w14:paraId="056B3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ign w:val="center"/>
          </w:tcPr>
          <w:p w14:paraId="0464CFBC">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b w:val="0"/>
                <w:color w:val="auto"/>
                <w:kern w:val="0"/>
                <w:sz w:val="21"/>
                <w:szCs w:val="21"/>
                <w:lang w:val="en-US" w:eastAsia="zh-CN" w:bidi="ar"/>
              </w:rPr>
            </w:pPr>
            <w:r>
              <w:rPr>
                <w:rFonts w:hint="eastAsia" w:ascii="宋体" w:hAnsi="宋体" w:eastAsia="宋体" w:cs="宋体"/>
                <w:b w:val="0"/>
                <w:color w:val="auto"/>
                <w:kern w:val="0"/>
                <w:sz w:val="21"/>
                <w:szCs w:val="21"/>
                <w:lang w:val="en-US" w:eastAsia="zh-CN" w:bidi="ar"/>
              </w:rPr>
              <w:t>3</w:t>
            </w:r>
          </w:p>
        </w:tc>
        <w:tc>
          <w:tcPr>
            <w:tcW w:w="754" w:type="dxa"/>
            <w:tcBorders>
              <w:tl2br w:val="nil"/>
              <w:tr2bl w:val="nil"/>
            </w:tcBorders>
            <w:noWrap/>
            <w:vAlign w:val="center"/>
          </w:tcPr>
          <w:p w14:paraId="78B3CB77">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代理配置</w:t>
            </w:r>
          </w:p>
        </w:tc>
        <w:tc>
          <w:tcPr>
            <w:tcW w:w="6755" w:type="dxa"/>
            <w:tcBorders>
              <w:tl2br w:val="nil"/>
              <w:tr2bl w:val="nil"/>
            </w:tcBorders>
            <w:noWrap/>
            <w:vAlign w:val="center"/>
          </w:tcPr>
          <w:p w14:paraId="24D9B4D7">
            <w:pPr>
              <w:pageBreakBefore w:val="0"/>
              <w:numPr>
                <w:ilvl w:val="0"/>
                <w:numId w:val="383"/>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代理服务配置</w:t>
            </w:r>
          </w:p>
          <w:p w14:paraId="744B207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支持配置代理名称、服务器IP、监听端口，支持检测配置文件与标准文件的一致性</w:t>
            </w:r>
          </w:p>
        </w:tc>
      </w:tr>
      <w:tr w14:paraId="67DC6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restart"/>
            <w:tcBorders>
              <w:tl2br w:val="nil"/>
              <w:tr2bl w:val="nil"/>
            </w:tcBorders>
            <w:noWrap/>
            <w:vAlign w:val="center"/>
          </w:tcPr>
          <w:p w14:paraId="751204BD">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kern w:val="0"/>
                <w:sz w:val="21"/>
                <w:szCs w:val="21"/>
                <w:lang w:val="en-US" w:eastAsia="zh-CN" w:bidi="ar"/>
              </w:rPr>
              <w:t>4</w:t>
            </w:r>
          </w:p>
        </w:tc>
        <w:tc>
          <w:tcPr>
            <w:tcW w:w="754" w:type="dxa"/>
            <w:vMerge w:val="restart"/>
            <w:tcBorders>
              <w:tl2br w:val="nil"/>
              <w:tr2bl w:val="nil"/>
            </w:tcBorders>
            <w:noWrap/>
            <w:vAlign w:val="center"/>
          </w:tcPr>
          <w:p w14:paraId="6E173EFC">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基础管理维护</w:t>
            </w:r>
          </w:p>
        </w:tc>
        <w:tc>
          <w:tcPr>
            <w:tcW w:w="6755" w:type="dxa"/>
            <w:tcBorders>
              <w:tl2br w:val="nil"/>
              <w:tr2bl w:val="nil"/>
            </w:tcBorders>
            <w:noWrap/>
            <w:vAlign w:val="center"/>
          </w:tcPr>
          <w:p w14:paraId="40EF90FE">
            <w:pPr>
              <w:pageBreakBefore w:val="0"/>
              <w:numPr>
                <w:ilvl w:val="0"/>
                <w:numId w:val="383"/>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数据库管理</w:t>
            </w:r>
          </w:p>
          <w:p w14:paraId="2B680113">
            <w:pPr>
              <w:pageBreakBefore w:val="0"/>
              <w:numPr>
                <w:ilvl w:val="0"/>
                <w:numId w:val="38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数据库信息导入导出</w:t>
            </w:r>
          </w:p>
          <w:p w14:paraId="2869EAF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支持批量导入和手动新增数据库信息，支持设置数据库名称、JDBC地址、数据库用户名，数据库密码和备注</w:t>
            </w:r>
          </w:p>
          <w:p w14:paraId="291C53BB">
            <w:pPr>
              <w:pageBreakBefore w:val="0"/>
              <w:numPr>
                <w:ilvl w:val="0"/>
                <w:numId w:val="38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数据库连接测试</w:t>
            </w:r>
          </w:p>
          <w:p w14:paraId="2FE6225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支持测试数据库连接是否成功</w:t>
            </w:r>
          </w:p>
        </w:tc>
      </w:tr>
      <w:tr w14:paraId="3AD5A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02A94B05">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val="en-US" w:eastAsia="zh-CN"/>
              </w:rPr>
            </w:pPr>
          </w:p>
        </w:tc>
        <w:tc>
          <w:tcPr>
            <w:tcW w:w="754" w:type="dxa"/>
            <w:vMerge w:val="continue"/>
            <w:tcBorders>
              <w:tl2br w:val="nil"/>
              <w:tr2bl w:val="nil"/>
            </w:tcBorders>
            <w:noWrap/>
            <w:vAlign w:val="center"/>
          </w:tcPr>
          <w:p w14:paraId="4B01FD71">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58F9BCE9">
            <w:pPr>
              <w:pageBreakBefore w:val="0"/>
              <w:numPr>
                <w:ilvl w:val="0"/>
                <w:numId w:val="383"/>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多环境配置</w:t>
            </w:r>
          </w:p>
          <w:p w14:paraId="3336DFE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支持配置产品或应用不同的部署环境</w:t>
            </w:r>
          </w:p>
        </w:tc>
      </w:tr>
      <w:tr w14:paraId="315D7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3C5699AC">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val="en-US" w:eastAsia="zh-CN"/>
              </w:rPr>
            </w:pPr>
          </w:p>
        </w:tc>
        <w:tc>
          <w:tcPr>
            <w:tcW w:w="754" w:type="dxa"/>
            <w:vMerge w:val="continue"/>
            <w:tcBorders>
              <w:tl2br w:val="nil"/>
              <w:tr2bl w:val="nil"/>
            </w:tcBorders>
            <w:noWrap/>
            <w:vAlign w:val="center"/>
          </w:tcPr>
          <w:p w14:paraId="451C8D2E">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19C9722C">
            <w:pPr>
              <w:pageBreakBefore w:val="0"/>
              <w:numPr>
                <w:ilvl w:val="0"/>
                <w:numId w:val="383"/>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公共参数维护</w:t>
            </w:r>
          </w:p>
          <w:p w14:paraId="5B30ADB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支持管理公共系统参数，支持设置参数名称、参数中文名称、参数值等信息</w:t>
            </w:r>
          </w:p>
        </w:tc>
      </w:tr>
      <w:tr w14:paraId="02801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vMerge w:val="continue"/>
            <w:tcBorders>
              <w:tl2br w:val="nil"/>
              <w:tr2bl w:val="nil"/>
            </w:tcBorders>
            <w:noWrap/>
            <w:vAlign w:val="center"/>
          </w:tcPr>
          <w:p w14:paraId="046ABDF4">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lang w:val="en-US" w:eastAsia="zh-CN"/>
              </w:rPr>
            </w:pPr>
          </w:p>
        </w:tc>
        <w:tc>
          <w:tcPr>
            <w:tcW w:w="754" w:type="dxa"/>
            <w:vMerge w:val="continue"/>
            <w:tcBorders>
              <w:tl2br w:val="nil"/>
              <w:tr2bl w:val="nil"/>
            </w:tcBorders>
            <w:noWrap/>
            <w:vAlign w:val="center"/>
          </w:tcPr>
          <w:p w14:paraId="7521509D">
            <w:pPr>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b w:val="0"/>
                <w:color w:val="auto"/>
                <w:sz w:val="21"/>
                <w:szCs w:val="21"/>
              </w:rPr>
            </w:pPr>
          </w:p>
        </w:tc>
        <w:tc>
          <w:tcPr>
            <w:tcW w:w="6755" w:type="dxa"/>
            <w:tcBorders>
              <w:tl2br w:val="nil"/>
              <w:tr2bl w:val="nil"/>
            </w:tcBorders>
            <w:noWrap/>
            <w:vAlign w:val="center"/>
          </w:tcPr>
          <w:p w14:paraId="4D6D7B41">
            <w:pPr>
              <w:pageBreakBefore w:val="0"/>
              <w:numPr>
                <w:ilvl w:val="0"/>
                <w:numId w:val="383"/>
              </w:numPr>
              <w:kinsoku/>
              <w:wordWrap/>
              <w:overflowPunct/>
              <w:topLinePunct w:val="0"/>
              <w:autoSpaceDE/>
              <w:autoSpaceDN/>
              <w:bidi w:val="0"/>
              <w:adjustRightInd w:val="0"/>
              <w:snapToGrid w:val="0"/>
              <w:spacing w:before="0" w:after="0" w:line="240" w:lineRule="auto"/>
              <w:ind w:left="0" w:firstLine="42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服务器管理</w:t>
            </w:r>
          </w:p>
          <w:p w14:paraId="2976E8F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支持配置服务器信息，支持实时查询服务器的连接状态，支持查看各服务器的CPU使用率、内存使用率，以绿、黄、红三色表明服务器的CPU、内存压力情况，支持显示各服务器下的发布实例数</w:t>
            </w:r>
          </w:p>
        </w:tc>
      </w:tr>
    </w:tbl>
    <w:p w14:paraId="759F09F9">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D09EB8E">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平台对接</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778"/>
        <w:gridCol w:w="6966"/>
      </w:tblGrid>
      <w:tr w14:paraId="6FF84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tl2br w:val="nil"/>
              <w:tr2bl w:val="nil"/>
            </w:tcBorders>
            <w:noWrap w:val="0"/>
            <w:vAlign w:val="center"/>
          </w:tcPr>
          <w:p w14:paraId="79CBA6AA">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序号</w:t>
            </w:r>
          </w:p>
        </w:tc>
        <w:tc>
          <w:tcPr>
            <w:tcW w:w="778" w:type="dxa"/>
            <w:tcBorders>
              <w:tl2br w:val="nil"/>
              <w:tr2bl w:val="nil"/>
            </w:tcBorders>
            <w:noWrap w:val="0"/>
            <w:vAlign w:val="center"/>
          </w:tcPr>
          <w:p w14:paraId="42252BD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模块</w:t>
            </w:r>
          </w:p>
        </w:tc>
        <w:tc>
          <w:tcPr>
            <w:tcW w:w="6966" w:type="dxa"/>
            <w:tcBorders>
              <w:tl2br w:val="nil"/>
              <w:tr2bl w:val="nil"/>
            </w:tcBorders>
            <w:noWrap w:val="0"/>
            <w:vAlign w:val="center"/>
          </w:tcPr>
          <w:p w14:paraId="6D1C299A">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技术参数</w:t>
            </w:r>
          </w:p>
        </w:tc>
      </w:tr>
      <w:tr w14:paraId="7D85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78" w:type="dxa"/>
            <w:tcBorders>
              <w:tl2br w:val="nil"/>
              <w:tr2bl w:val="nil"/>
            </w:tcBorders>
            <w:noWrap w:val="0"/>
            <w:vAlign w:val="center"/>
          </w:tcPr>
          <w:p w14:paraId="033C4046">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val="0"/>
                <w:color w:val="auto"/>
                <w:kern w:val="0"/>
                <w:sz w:val="21"/>
                <w:szCs w:val="21"/>
                <w:lang w:val="en-US" w:eastAsia="zh-CN" w:bidi="ar"/>
              </w:rPr>
            </w:pPr>
            <w:r>
              <w:rPr>
                <w:rFonts w:hint="eastAsia" w:ascii="宋体" w:hAnsi="宋体" w:eastAsia="宋体" w:cs="宋体"/>
                <w:b w:val="0"/>
                <w:color w:val="auto"/>
                <w:kern w:val="0"/>
                <w:sz w:val="21"/>
                <w:szCs w:val="21"/>
                <w:lang w:val="en-US" w:eastAsia="zh-CN" w:bidi="ar"/>
              </w:rPr>
              <w:t>1</w:t>
            </w:r>
          </w:p>
        </w:tc>
        <w:tc>
          <w:tcPr>
            <w:tcW w:w="778" w:type="dxa"/>
            <w:tcBorders>
              <w:tl2br w:val="nil"/>
              <w:tr2bl w:val="nil"/>
            </w:tcBorders>
            <w:noWrap w:val="0"/>
            <w:vAlign w:val="center"/>
          </w:tcPr>
          <w:p w14:paraId="2970EAC9">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平台对接</w:t>
            </w:r>
          </w:p>
        </w:tc>
        <w:tc>
          <w:tcPr>
            <w:tcW w:w="6966" w:type="dxa"/>
            <w:tcBorders>
              <w:tl2br w:val="nil"/>
              <w:tr2bl w:val="nil"/>
            </w:tcBorders>
            <w:noWrap w:val="0"/>
            <w:vAlign w:val="center"/>
          </w:tcPr>
          <w:p w14:paraId="67A9B57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本次项目建设需要包含但不限于以下接口的建设：</w:t>
            </w:r>
          </w:p>
          <w:p w14:paraId="7B2827DD">
            <w:pPr>
              <w:keepNext w:val="0"/>
              <w:keepLines w:val="0"/>
              <w:pageBreakBefore w:val="0"/>
              <w:widowControl w:val="0"/>
              <w:numPr>
                <w:ilvl w:val="0"/>
                <w:numId w:val="3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kern w:val="0"/>
                <w:sz w:val="21"/>
                <w:szCs w:val="21"/>
                <w:lang w:bidi="ar"/>
              </w:rPr>
            </w:pPr>
            <w:r>
              <w:rPr>
                <w:rFonts w:hint="eastAsia" w:ascii="宋体" w:hAnsi="宋体" w:eastAsia="宋体" w:cs="宋体"/>
                <w:b w:val="0"/>
                <w:color w:val="auto"/>
                <w:kern w:val="0"/>
                <w:sz w:val="21"/>
                <w:szCs w:val="21"/>
                <w:lang w:bidi="ar"/>
              </w:rPr>
              <w:t>健康医疗大数据平台数据同步</w:t>
            </w:r>
          </w:p>
          <w:p w14:paraId="3197171E">
            <w:pPr>
              <w:keepNext w:val="0"/>
              <w:keepLines w:val="0"/>
              <w:pageBreakBefore w:val="0"/>
              <w:widowControl w:val="0"/>
              <w:numPr>
                <w:ilvl w:val="0"/>
                <w:numId w:val="3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eastAsia="zh-CN" w:bidi="ar"/>
              </w:rPr>
              <w:t>鄞州区数据局</w:t>
            </w:r>
            <w:r>
              <w:rPr>
                <w:rFonts w:hint="eastAsia" w:ascii="宋体" w:hAnsi="宋体" w:eastAsia="宋体" w:cs="宋体"/>
                <w:b w:val="0"/>
                <w:color w:val="auto"/>
                <w:kern w:val="0"/>
                <w:sz w:val="21"/>
                <w:szCs w:val="21"/>
                <w:lang w:bidi="ar"/>
              </w:rPr>
              <w:t>数仓接口</w:t>
            </w:r>
          </w:p>
          <w:p w14:paraId="4EA50C50">
            <w:pPr>
              <w:keepNext w:val="0"/>
              <w:keepLines w:val="0"/>
              <w:pageBreakBefore w:val="0"/>
              <w:widowControl w:val="0"/>
              <w:numPr>
                <w:ilvl w:val="0"/>
                <w:numId w:val="3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宁波市全民健康信息平台对接</w:t>
            </w:r>
          </w:p>
          <w:p w14:paraId="37FE29D6">
            <w:pPr>
              <w:keepNext w:val="0"/>
              <w:keepLines w:val="0"/>
              <w:pageBreakBefore w:val="0"/>
              <w:widowControl w:val="0"/>
              <w:numPr>
                <w:ilvl w:val="0"/>
                <w:numId w:val="3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宁波市妇幼保健电子监测系统接口</w:t>
            </w:r>
          </w:p>
          <w:p w14:paraId="5EFCFE30">
            <w:pPr>
              <w:keepNext w:val="0"/>
              <w:keepLines w:val="0"/>
              <w:pageBreakBefore w:val="0"/>
              <w:widowControl w:val="0"/>
              <w:numPr>
                <w:ilvl w:val="0"/>
                <w:numId w:val="3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kern w:val="0"/>
                <w:sz w:val="21"/>
                <w:szCs w:val="21"/>
                <w:lang w:bidi="ar"/>
              </w:rPr>
              <w:t>医疗风险预警监测系统对接</w:t>
            </w:r>
          </w:p>
          <w:p w14:paraId="65A7FD21">
            <w:pPr>
              <w:keepNext w:val="0"/>
              <w:keepLines w:val="0"/>
              <w:pageBreakBefore w:val="0"/>
              <w:widowControl w:val="0"/>
              <w:numPr>
                <w:ilvl w:val="0"/>
                <w:numId w:val="3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与国家伤害监测系统对接</w:t>
            </w:r>
          </w:p>
          <w:p w14:paraId="46D156D7">
            <w:pPr>
              <w:keepNext w:val="0"/>
              <w:keepLines w:val="0"/>
              <w:pageBreakBefore w:val="0"/>
              <w:widowControl w:val="0"/>
              <w:numPr>
                <w:ilvl w:val="0"/>
                <w:numId w:val="385"/>
              </w:numPr>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医疗风险预警监测对接</w:t>
            </w:r>
          </w:p>
        </w:tc>
      </w:tr>
    </w:tbl>
    <w:p w14:paraId="5EFD87D1">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509E4A4B">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医疗卫生机构升级改造对接及配合</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52"/>
        <w:gridCol w:w="752"/>
        <w:gridCol w:w="7018"/>
      </w:tblGrid>
      <w:tr w14:paraId="21F1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752" w:type="dxa"/>
            <w:shd w:val="clear" w:color="auto" w:fill="auto"/>
            <w:noWrap w:val="0"/>
            <w:vAlign w:val="center"/>
          </w:tcPr>
          <w:p w14:paraId="202CA74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752" w:type="dxa"/>
            <w:shd w:val="clear" w:color="auto" w:fill="auto"/>
            <w:noWrap w:val="0"/>
            <w:vAlign w:val="center"/>
          </w:tcPr>
          <w:p w14:paraId="758ADD4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7018" w:type="dxa"/>
            <w:shd w:val="clear" w:color="auto" w:fill="auto"/>
            <w:noWrap w:val="0"/>
            <w:vAlign w:val="center"/>
          </w:tcPr>
          <w:p w14:paraId="55BA551D">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6550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752" w:type="dxa"/>
            <w:vMerge w:val="restart"/>
            <w:shd w:val="clear" w:color="auto" w:fill="auto"/>
            <w:noWrap w:val="0"/>
            <w:vAlign w:val="center"/>
          </w:tcPr>
          <w:p w14:paraId="6E897AB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3A2CDC9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2" w:type="dxa"/>
            <w:vMerge w:val="restart"/>
            <w:shd w:val="clear" w:color="auto" w:fill="auto"/>
            <w:noWrap w:val="0"/>
            <w:vAlign w:val="center"/>
          </w:tcPr>
          <w:p w14:paraId="4BF29A9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基层医疗卫生机构升级改造</w:t>
            </w:r>
          </w:p>
        </w:tc>
        <w:tc>
          <w:tcPr>
            <w:tcW w:w="7018" w:type="dxa"/>
            <w:shd w:val="clear" w:color="auto" w:fill="auto"/>
            <w:noWrap w:val="0"/>
            <w:vAlign w:val="center"/>
          </w:tcPr>
          <w:p w14:paraId="77F38A5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一、一体化门诊升级（新建）</w:t>
            </w:r>
          </w:p>
          <w:p w14:paraId="1B535AA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1.健康画像</w:t>
            </w:r>
            <w:r>
              <w:rPr>
                <w:rFonts w:hint="eastAsia" w:ascii="宋体" w:hAnsi="宋体" w:eastAsia="宋体" w:cs="宋体"/>
                <w:color w:val="auto"/>
                <w:sz w:val="21"/>
                <w:szCs w:val="21"/>
                <w:lang w:val="en-US" w:eastAsia="zh-CN"/>
              </w:rPr>
              <w:t>调用展示</w:t>
            </w:r>
          </w:p>
          <w:p w14:paraId="351A555D">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患者信息</w:t>
            </w:r>
          </w:p>
          <w:p w14:paraId="4EEC959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支持查看患者姓名、医保类型、住址、过敏信息、家庭医生签约状态、管理机构、责任医生以及慢病标签等内容；</w:t>
            </w:r>
          </w:p>
          <w:p w14:paraId="4B1FB6D3">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体征信息</w:t>
            </w:r>
          </w:p>
          <w:p w14:paraId="6C9501B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支持查看患者在全区域的体征数据，包括体重、BMI、收缩压、舒张压、空腹血糖和GFR，并支持查看各指标数据的数据折现图；支持根据区域内各机构上传的数据及时更新；</w:t>
            </w:r>
          </w:p>
          <w:p w14:paraId="75FE2459">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健康指数</w:t>
            </w:r>
          </w:p>
          <w:p w14:paraId="69FA3BD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根据患者最新的数据计算患者的健康情况，计算统计范围包括生理健康（体质、血压、血糖等），心理健康（环境适应、情绪控制、情绪情感），行为习惯（吸烟、饮酒、运动、睡眠等），疾病情况（罕见病、传染病、肿瘤情况、循环系统疾病等），手术史，家族疾病史等内容</w:t>
            </w:r>
          </w:p>
          <w:p w14:paraId="02F470CB">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中医体质辨识</w:t>
            </w:r>
          </w:p>
          <w:p w14:paraId="0150F3F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展示患者的中医体质，包括平和质、气虚质、阳虚质、阴虚质、痰湿质、湿热质、血瘀质、气郁质、特禀质；</w:t>
            </w:r>
          </w:p>
          <w:p w14:paraId="242E3793">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诊断记录</w:t>
            </w:r>
          </w:p>
          <w:p w14:paraId="2BEE725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支持展示患者6个月内在区域内各机构就诊的诊断结果，包括诊断结果、时间、就诊医院；</w:t>
            </w:r>
          </w:p>
          <w:p w14:paraId="493FF139">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就诊记录</w:t>
            </w:r>
          </w:p>
          <w:p w14:paraId="20E25F5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支持展示患者6个月内在区域内各机构就诊的就诊记录，包括类型、日期、医疗机构、就诊科室、诊断；</w:t>
            </w:r>
          </w:p>
          <w:p w14:paraId="17EFDDE9">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用药记录</w:t>
            </w:r>
          </w:p>
          <w:p w14:paraId="24837A7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支持展示患者6个月内在区域内各机构就诊的用药信息，包括药品名称、时间、诊断、医疗机构、医生；</w:t>
            </w:r>
          </w:p>
          <w:p w14:paraId="718D0D6E">
            <w:pPr>
              <w:keepNext w:val="0"/>
              <w:keepLines w:val="0"/>
              <w:pageBreakBefore w:val="0"/>
              <w:widowControl/>
              <w:numPr>
                <w:ilvl w:val="0"/>
                <w:numId w:val="38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疫苗接种记录</w:t>
            </w:r>
          </w:p>
          <w:p w14:paraId="02F7E54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支持展示患者最近4次疫苗接种记录，包括疫苗名称、接种时间、医疗机构；</w:t>
            </w:r>
          </w:p>
          <w:p w14:paraId="105C95B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2.健康标签</w:t>
            </w:r>
          </w:p>
          <w:p w14:paraId="0C0A984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健康标签基于患者在全面健康平台的大数据，重点关注患者的异常体征、慢病（肾病等）诊疗数据、心理健康等内容，给出关键提示；</w:t>
            </w:r>
          </w:p>
          <w:p w14:paraId="0E2B16D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3.健康提醒</w:t>
            </w:r>
          </w:p>
          <w:p w14:paraId="64C37B4F">
            <w:pPr>
              <w:keepNext w:val="0"/>
              <w:keepLines w:val="0"/>
              <w:pageBreakBefore w:val="0"/>
              <w:widowControl/>
              <w:numPr>
                <w:ilvl w:val="0"/>
                <w:numId w:val="38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公共健康提醒</w:t>
            </w:r>
          </w:p>
          <w:p w14:paraId="74E3F29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支持展示公共卫生事件提醒、卫生社会舆情等内容，由卫生局统一发布</w:t>
            </w:r>
          </w:p>
          <w:p w14:paraId="4809D18C">
            <w:pPr>
              <w:keepNext w:val="0"/>
              <w:keepLines w:val="0"/>
              <w:pageBreakBefore w:val="0"/>
              <w:widowControl/>
              <w:numPr>
                <w:ilvl w:val="0"/>
                <w:numId w:val="38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个人健康提醒</w:t>
            </w:r>
          </w:p>
          <w:p w14:paraId="1FDC211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根据患者的慢病签约数据，为患者提供个人卫生事件提醒，例如慢病随访、慢病检查、疫苗接种等内容；</w:t>
            </w:r>
          </w:p>
          <w:p w14:paraId="32CA4D2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4.规范诊疗路径</w:t>
            </w:r>
          </w:p>
          <w:p w14:paraId="4D465AA7">
            <w:pPr>
              <w:keepNext w:val="0"/>
              <w:keepLines w:val="0"/>
              <w:pageBreakBefore w:val="0"/>
              <w:widowControl/>
              <w:numPr>
                <w:ilvl w:val="0"/>
                <w:numId w:val="38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接诊</w:t>
            </w:r>
          </w:p>
          <w:p w14:paraId="0A9ECBD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优化页面布局设计，支持填写患者接诊信息，包括患者基本信息、体征详情、辅助信息、血压记录、血糖记录；</w:t>
            </w:r>
          </w:p>
          <w:p w14:paraId="55306C4F">
            <w:pPr>
              <w:keepNext w:val="0"/>
              <w:keepLines w:val="0"/>
              <w:pageBreakBefore w:val="0"/>
              <w:widowControl/>
              <w:numPr>
                <w:ilvl w:val="0"/>
                <w:numId w:val="38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w:t>
            </w:r>
          </w:p>
          <w:p w14:paraId="0DFA715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支持医生开具检查、检验、病理项目；支持查看、打印检查检验报告单；支持查看云影像；支持查询和预约区内区内CT、核磁共振等大型设备资源；</w:t>
            </w:r>
          </w:p>
          <w:p w14:paraId="733E5BE3">
            <w:pPr>
              <w:keepNext w:val="0"/>
              <w:keepLines w:val="0"/>
              <w:pageBreakBefore w:val="0"/>
              <w:widowControl/>
              <w:numPr>
                <w:ilvl w:val="0"/>
                <w:numId w:val="38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w:t>
            </w:r>
          </w:p>
          <w:p w14:paraId="3A325D0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支持显示当前诊断、历史诊断、中医诊断、西医诊断；</w:t>
            </w:r>
          </w:p>
          <w:p w14:paraId="4993EE77">
            <w:pPr>
              <w:keepNext w:val="0"/>
              <w:keepLines w:val="0"/>
              <w:pageBreakBefore w:val="0"/>
              <w:widowControl/>
              <w:numPr>
                <w:ilvl w:val="0"/>
                <w:numId w:val="38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干预</w:t>
            </w:r>
          </w:p>
          <w:p w14:paraId="34D234A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支持填写各类疾病问卷，增加个人健康档案完善度作为诊疗依据；</w:t>
            </w:r>
          </w:p>
          <w:p w14:paraId="1C3849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支持为患者提供营养处方和运动处方，内容包括膳食规则、饮食提示、运动推荐、运动时长等内容；</w:t>
            </w:r>
          </w:p>
          <w:p w14:paraId="3CCC015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5.药品库存查询</w:t>
            </w:r>
          </w:p>
          <w:p w14:paraId="53FDEB3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支持跨机构查询区域内各家机构的药品库存情况，内容包括药品库位名称、数量、数量单位、药品名称、生成批次等</w:t>
            </w:r>
          </w:p>
          <w:p w14:paraId="555EE3E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6.统计分析</w:t>
            </w:r>
          </w:p>
          <w:p w14:paraId="569E411F">
            <w:pPr>
              <w:keepNext w:val="0"/>
              <w:keepLines w:val="0"/>
              <w:pageBreakBefore w:val="0"/>
              <w:widowControl/>
              <w:numPr>
                <w:ilvl w:val="0"/>
                <w:numId w:val="38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统计查询</w:t>
            </w:r>
          </w:p>
          <w:p w14:paraId="4C89BB5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支持按照意愿挂号科室、就诊时间对患者进行查询；</w:t>
            </w:r>
          </w:p>
          <w:p w14:paraId="4DB212E4">
            <w:pPr>
              <w:keepNext w:val="0"/>
              <w:keepLines w:val="0"/>
              <w:pageBreakBefore w:val="0"/>
              <w:widowControl/>
              <w:numPr>
                <w:ilvl w:val="0"/>
                <w:numId w:val="389"/>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统计详情</w:t>
            </w:r>
          </w:p>
          <w:p w14:paraId="6723C90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支持查看查询详细信息，包括就诊人数、就诊时间、随访人数、是否进行复诊预约、是否检查等内容；支持查看具体患者信息，包括挂号科室、患者姓名；</w:t>
            </w:r>
          </w:p>
        </w:tc>
      </w:tr>
      <w:tr w14:paraId="68AB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752" w:type="dxa"/>
            <w:vMerge w:val="continue"/>
            <w:shd w:val="clear" w:color="auto" w:fill="auto"/>
            <w:noWrap w:val="0"/>
            <w:vAlign w:val="center"/>
          </w:tcPr>
          <w:p w14:paraId="0F3B0899">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p>
        </w:tc>
        <w:tc>
          <w:tcPr>
            <w:tcW w:w="752" w:type="dxa"/>
            <w:vMerge w:val="continue"/>
            <w:shd w:val="clear" w:color="auto" w:fill="auto"/>
            <w:noWrap w:val="0"/>
            <w:vAlign w:val="center"/>
          </w:tcPr>
          <w:p w14:paraId="49EBBC92">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018" w:type="dxa"/>
            <w:shd w:val="clear" w:color="auto" w:fill="auto"/>
            <w:noWrap w:val="0"/>
            <w:vAlign w:val="center"/>
          </w:tcPr>
          <w:p w14:paraId="1BBD68F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二、智能辅助诊断</w:t>
            </w:r>
          </w:p>
          <w:p w14:paraId="0AC1E95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1.智能问诊</w:t>
            </w:r>
          </w:p>
          <w:p w14:paraId="5509AB15">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常见症状推荐</w:t>
            </w:r>
          </w:p>
          <w:p w14:paraId="2D79268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提供推荐发烧、咳嗽、头晕等基层医疗机构常见症状问诊模板，方便用户快速进入问诊。</w:t>
            </w:r>
          </w:p>
          <w:p w14:paraId="73CFA908">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通过人体图选择症状</w:t>
            </w:r>
          </w:p>
          <w:p w14:paraId="7785317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可结合患者的年龄和性别，给出对应人体图，并按照人体部位进行症状分类供用户点选相关症状进入问诊。</w:t>
            </w:r>
          </w:p>
          <w:p w14:paraId="3A36E7AB">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通过人体系统选择症状</w:t>
            </w:r>
          </w:p>
          <w:p w14:paraId="5AFA2DD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可按照人体系统进行症状分类供用户点选相关症状进入问诊。</w:t>
            </w:r>
          </w:p>
          <w:p w14:paraId="29E92928">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其他症状问诊</w:t>
            </w:r>
          </w:p>
          <w:p w14:paraId="1CAB3D9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对于系统提供的标准症状以外的症状，支持用户在搜索框内查询及添加，系统即给出相应的问诊模板。</w:t>
            </w:r>
          </w:p>
          <w:p w14:paraId="60572909">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病史采集</w:t>
            </w:r>
          </w:p>
          <w:p w14:paraId="492935B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提供针对性的症状问诊模板资源供用户快速点选录入患者病史信息。选择症状后，问诊流程循序渐进地引导医生详细询问患者每个症状的具体情况，医生可根据患者病情进行选择性的勾选。</w:t>
            </w:r>
          </w:p>
          <w:p w14:paraId="41A8D8AB">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伴随症状推荐</w:t>
            </w:r>
          </w:p>
          <w:p w14:paraId="0CE4600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可根据当前录入的病历信息推荐进一步问诊症状。完成主要症状的属性信息录入之后，系统支持对可能的伴随症状进行推荐。</w:t>
            </w:r>
          </w:p>
          <w:p w14:paraId="6FC2CC84">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一般情况问诊</w:t>
            </w:r>
          </w:p>
          <w:p w14:paraId="457CC68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可提供对患者的饮食、睡眠、精神、二便情况等一般情况的问诊资源，供医生问诊。</w:t>
            </w:r>
          </w:p>
          <w:p w14:paraId="14448BFC">
            <w:pPr>
              <w:keepNext w:val="0"/>
              <w:keepLines w:val="0"/>
              <w:pageBreakBefore w:val="0"/>
              <w:widowControl/>
              <w:numPr>
                <w:ilvl w:val="0"/>
                <w:numId w:val="390"/>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自动生成病历</w:t>
            </w:r>
          </w:p>
          <w:p w14:paraId="465D89C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问诊信息填选结束后，可根据采集的病史信息自动生成规范病历信息，并同步到门诊病历主诉和现病史输入框中。</w:t>
            </w:r>
          </w:p>
          <w:p w14:paraId="2E3AAA2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2.病历书写</w:t>
            </w:r>
          </w:p>
          <w:p w14:paraId="09DCD455">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就诊类型选择</w:t>
            </w:r>
          </w:p>
          <w:p w14:paraId="5D6DBD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提供就诊类型选择，分为：初诊、复诊、体检、其他。</w:t>
            </w:r>
          </w:p>
          <w:p w14:paraId="4EADAB6F">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病历字段书写</w:t>
            </w:r>
          </w:p>
          <w:p w14:paraId="3D87000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提供常规病历字段（主诉、现病史等）书写功能，让医生在选择书写病历方式时，可选择常规书写的方式。</w:t>
            </w:r>
          </w:p>
          <w:p w14:paraId="09C950DC">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体格检查智能校验</w:t>
            </w:r>
          </w:p>
          <w:p w14:paraId="0ADA8F2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可自动对信息进行智能校验，若发现有异常，会进行提醒，供医生参考。</w:t>
            </w:r>
          </w:p>
          <w:p w14:paraId="7E8F053C">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个性化词条收藏</w:t>
            </w:r>
          </w:p>
          <w:p w14:paraId="758A644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对于既往史、过敏史、个人史、家族史的录入，支持用户对经常录入的病历信息进行个性化词条收藏，方便快速引用。</w:t>
            </w:r>
          </w:p>
          <w:p w14:paraId="5D93955C">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联想词录入</w:t>
            </w:r>
          </w:p>
          <w:p w14:paraId="078A48C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在医生录入病历信息时，给出如症状推荐等下一步问诊联想录入相关信息推荐，方便用户快速录入。</w:t>
            </w:r>
          </w:p>
          <w:p w14:paraId="6D2E80E6">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诊断标化录入</w:t>
            </w:r>
          </w:p>
          <w:p w14:paraId="248400B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实现疑似诊断topN与机构诊断的标准化映射，用户录入诊断名称时，可开立辅诊推荐诊断对应的机构诊断，提升辅诊推荐诊断的参考价值。</w:t>
            </w:r>
          </w:p>
          <w:p w14:paraId="6A54A70B">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HIS信息同步</w:t>
            </w:r>
          </w:p>
          <w:p w14:paraId="4C3C76F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提供与HIS系统中患者信息、病历及诊断信息的同步功能。</w:t>
            </w:r>
          </w:p>
          <w:p w14:paraId="56AF8E6C">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收藏病历模板</w:t>
            </w:r>
          </w:p>
          <w:p w14:paraId="5982CBE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提供将用户经常使用的病历收藏至个人模板的功能。</w:t>
            </w:r>
          </w:p>
          <w:p w14:paraId="03125D22">
            <w:pPr>
              <w:keepNext w:val="0"/>
              <w:keepLines w:val="0"/>
              <w:pageBreakBefore w:val="0"/>
              <w:widowControl/>
              <w:numPr>
                <w:ilvl w:val="0"/>
                <w:numId w:val="391"/>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病历质检可解释性</w:t>
            </w:r>
          </w:p>
          <w:p w14:paraId="552321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系统需针对病历出现的不规范问题，在病历中高亮显示出不规范信息，给予用户信息定位提示。</w:t>
            </w:r>
          </w:p>
          <w:p w14:paraId="283EAE1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3.病历模板</w:t>
            </w:r>
          </w:p>
          <w:p w14:paraId="02ABB7B2">
            <w:pPr>
              <w:keepNext w:val="0"/>
              <w:keepLines w:val="0"/>
              <w:pageBreakBefore w:val="0"/>
              <w:widowControl/>
              <w:numPr>
                <w:ilvl w:val="0"/>
                <w:numId w:val="39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系统模板</w:t>
            </w:r>
          </w:p>
          <w:p w14:paraId="15BF14B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支持一键引用较为贴合患者病情的病历模板至门诊病历书写处，再结合实际情况进行修改完善，可提高电子病历书写效率。</w:t>
            </w:r>
          </w:p>
          <w:p w14:paraId="56F6E6BF">
            <w:pPr>
              <w:keepNext w:val="0"/>
              <w:keepLines w:val="0"/>
              <w:pageBreakBefore w:val="0"/>
              <w:widowControl/>
              <w:numPr>
                <w:ilvl w:val="0"/>
                <w:numId w:val="39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个人模板</w:t>
            </w:r>
          </w:p>
          <w:p w14:paraId="1AC3F4D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集成当前用户收藏的病历模板，便于用户快捷引用。</w:t>
            </w:r>
          </w:p>
          <w:p w14:paraId="1C40AC75">
            <w:pPr>
              <w:keepNext w:val="0"/>
              <w:keepLines w:val="0"/>
              <w:pageBreakBefore w:val="0"/>
              <w:widowControl/>
              <w:numPr>
                <w:ilvl w:val="0"/>
                <w:numId w:val="39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历史病历</w:t>
            </w:r>
          </w:p>
          <w:p w14:paraId="338D4ED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集成当前患者的既往病历信息，方便医生进行病情回顾和引用。</w:t>
            </w:r>
          </w:p>
          <w:p w14:paraId="6FAF4E25">
            <w:pPr>
              <w:keepNext w:val="0"/>
              <w:keepLines w:val="0"/>
              <w:pageBreakBefore w:val="0"/>
              <w:widowControl/>
              <w:numPr>
                <w:ilvl w:val="0"/>
                <w:numId w:val="39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模板排序</w:t>
            </w:r>
          </w:p>
          <w:p w14:paraId="6EE16E6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提供系统模板按照科室、拼音首字母两种方式排序展示。</w:t>
            </w:r>
          </w:p>
          <w:p w14:paraId="6AA9CC5C">
            <w:pPr>
              <w:keepNext w:val="0"/>
              <w:keepLines w:val="0"/>
              <w:pageBreakBefore w:val="0"/>
              <w:widowControl/>
              <w:numPr>
                <w:ilvl w:val="0"/>
                <w:numId w:val="392"/>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模板查询</w:t>
            </w:r>
          </w:p>
          <w:p w14:paraId="5C44F76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提供通过诊断名称全称、名称拼音首字母全拼等方式的检索功能。</w:t>
            </w:r>
          </w:p>
          <w:p w14:paraId="655D402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4.病历质检</w:t>
            </w:r>
          </w:p>
          <w:p w14:paraId="654EC6E1">
            <w:pPr>
              <w:keepNext w:val="0"/>
              <w:keepLines w:val="0"/>
              <w:pageBreakBefore w:val="0"/>
              <w:widowControl/>
              <w:numPr>
                <w:ilvl w:val="0"/>
                <w:numId w:val="39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病历格式质检</w:t>
            </w:r>
          </w:p>
          <w:p w14:paraId="5634EC6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可对必填字段（主诉、现病史）及字段内必填内容的缺失进行检测并提醒，以及对书写内容中存在不符合病历规范但不影响病历完整及可理解性的情况进行检测并提醒。</w:t>
            </w:r>
          </w:p>
          <w:p w14:paraId="25A41DF6">
            <w:pPr>
              <w:keepNext w:val="0"/>
              <w:keepLines w:val="0"/>
              <w:pageBreakBefore w:val="0"/>
              <w:widowControl/>
              <w:numPr>
                <w:ilvl w:val="0"/>
                <w:numId w:val="39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病历内涵质检</w:t>
            </w:r>
          </w:p>
          <w:p w14:paraId="541DE14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可对主诉、现病史、体格检查及一般项目中存在前后信息不一致或逻辑矛盾的情况进行检测并提醒。</w:t>
            </w:r>
          </w:p>
          <w:p w14:paraId="43E38FDC">
            <w:pPr>
              <w:keepNext w:val="0"/>
              <w:keepLines w:val="0"/>
              <w:pageBreakBefore w:val="0"/>
              <w:widowControl/>
              <w:numPr>
                <w:ilvl w:val="0"/>
                <w:numId w:val="39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生命体征数值异常质检</w:t>
            </w:r>
          </w:p>
          <w:p w14:paraId="7E22FD9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可对体温、血压、脉搏、呼吸、心率等一般生命体征数值异常的进行识别、检测和提醒。</w:t>
            </w:r>
          </w:p>
          <w:p w14:paraId="77CE9932">
            <w:pPr>
              <w:keepNext w:val="0"/>
              <w:keepLines w:val="0"/>
              <w:pageBreakBefore w:val="0"/>
              <w:widowControl/>
              <w:numPr>
                <w:ilvl w:val="0"/>
                <w:numId w:val="39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特殊病历监测识别</w:t>
            </w:r>
          </w:p>
          <w:p w14:paraId="4DBCE8A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可对病历描述患者就诊目的是来院体检、取药、预防接种、孕产检、计生服务而非正常看病的情况进行判断并提示，且不进行常规质检判断。</w:t>
            </w:r>
          </w:p>
          <w:p w14:paraId="3C08703E">
            <w:pPr>
              <w:keepNext w:val="0"/>
              <w:keepLines w:val="0"/>
              <w:pageBreakBefore w:val="0"/>
              <w:widowControl/>
              <w:numPr>
                <w:ilvl w:val="0"/>
                <w:numId w:val="393"/>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病历质检分析</w:t>
            </w:r>
          </w:p>
          <w:p w14:paraId="1F67E6F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提供查看病历书写情况功能，包括病历质量展示、病历数量显示、相关占比等信息。</w:t>
            </w:r>
          </w:p>
          <w:p w14:paraId="0C4ED4D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5.辅助诊断</w:t>
            </w:r>
          </w:p>
          <w:p w14:paraId="72899DA3">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TOP5推荐诊断</w:t>
            </w:r>
          </w:p>
          <w:p w14:paraId="6A7EF92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可根据患者基本信息、临床表现基本信息、主诉、现病史、既往史、检查检验等数据，为全科医生自动推送TOP5的疑似诊断结果，提供需要考虑的疾病列表。</w:t>
            </w:r>
          </w:p>
          <w:p w14:paraId="3F20B7A3">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推荐诊断置信度</w:t>
            </w:r>
          </w:p>
          <w:p w14:paraId="21165E4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可对TOP5的疑似诊断结果进行评估并按照置信度的高低进行排序，供医生参考。</w:t>
            </w:r>
          </w:p>
          <w:p w14:paraId="6FAD7D3C">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诊断分组</w:t>
            </w:r>
          </w:p>
          <w:p w14:paraId="6E5D05D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可根据获取到的患者的病历信息，按照系统/科室的分类下进行疑似诊断推荐。</w:t>
            </w:r>
          </w:p>
          <w:p w14:paraId="427E2F69">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结合历史病历进行辅助诊断推荐</w:t>
            </w:r>
          </w:p>
          <w:p w14:paraId="6922364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获取患者历史病历信息后，提供自动或用户手动选择结合患者的一个或多个历史病历，结合后系统将综合考虑患者病情给出更加准确的推荐诊断功能。</w:t>
            </w:r>
          </w:p>
          <w:p w14:paraId="11D7996E">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诊断多样化推荐</w:t>
            </w:r>
          </w:p>
          <w:p w14:paraId="3DED14B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当医生书写的病历信息较为简单时，系统需支持根据患者病历信息，对于一些症状类疾病，按常见病、危急病、传染病及少见病四个维度进行多样化诊断推荐及相关疾病资源推荐。</w:t>
            </w:r>
          </w:p>
          <w:p w14:paraId="62EA21DC">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推荐诊断引用</w:t>
            </w:r>
          </w:p>
          <w:p w14:paraId="20DD0E7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根据智能推荐疑似疾病诊断，可通过一键引用到病历诊断中。</w:t>
            </w:r>
          </w:p>
          <w:p w14:paraId="35BB76B9">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相似病历推荐</w:t>
            </w:r>
          </w:p>
          <w:p w14:paraId="472EDB9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可根据当前病历信息进行语义理解及格式分析，智能推荐多个与当前书写病历相关的相似病历，并按照相似度由高到低进行展示。</w:t>
            </w:r>
          </w:p>
          <w:p w14:paraId="6B36CE69">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危重病提示</w:t>
            </w:r>
          </w:p>
          <w:p w14:paraId="0B695E5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可对于属于危重病的推荐疾病给出“危”的标签，供医生参考。</w:t>
            </w:r>
          </w:p>
          <w:p w14:paraId="04622687">
            <w:pPr>
              <w:keepNext w:val="0"/>
              <w:keepLines w:val="0"/>
              <w:pageBreakBefore w:val="0"/>
              <w:widowControl/>
              <w:numPr>
                <w:ilvl w:val="0"/>
                <w:numId w:val="394"/>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传染病风险提示</w:t>
            </w:r>
          </w:p>
          <w:p w14:paraId="4BB7CD4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可根据患者病历信息，对于属于国家法定传染病的疾病进行传染病风险提示及进一步问诊资源推荐。</w:t>
            </w:r>
          </w:p>
          <w:p w14:paraId="7A121E8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6.诊断质检</w:t>
            </w:r>
          </w:p>
          <w:p w14:paraId="4CCA2A44">
            <w:pPr>
              <w:keepNext w:val="0"/>
              <w:keepLines w:val="0"/>
              <w:pageBreakBefore w:val="0"/>
              <w:widowControl/>
              <w:numPr>
                <w:ilvl w:val="0"/>
                <w:numId w:val="39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诊断不一致提示</w:t>
            </w:r>
          </w:p>
          <w:p w14:paraId="56634EA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可结合患者的病历信息对医生所下的诊断进行质控分析，提供人机诊断不一致的提示。</w:t>
            </w:r>
          </w:p>
          <w:p w14:paraId="1273AB64">
            <w:pPr>
              <w:keepNext w:val="0"/>
              <w:keepLines w:val="0"/>
              <w:pageBreakBefore w:val="0"/>
              <w:widowControl/>
              <w:numPr>
                <w:ilvl w:val="0"/>
                <w:numId w:val="39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诊断必要依据提示</w:t>
            </w:r>
          </w:p>
          <w:p w14:paraId="761DBBA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可结合医生所下诊断所需的必要症状依据给出资源推荐，供医生参考。</w:t>
            </w:r>
          </w:p>
          <w:p w14:paraId="47853DD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7.进一步问诊</w:t>
            </w:r>
          </w:p>
          <w:p w14:paraId="6A95BEA1">
            <w:pPr>
              <w:keepNext w:val="0"/>
              <w:keepLines w:val="0"/>
              <w:pageBreakBefore w:val="0"/>
              <w:widowControl/>
              <w:numPr>
                <w:ilvl w:val="0"/>
                <w:numId w:val="3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关键问诊症状推荐</w:t>
            </w:r>
          </w:p>
          <w:p w14:paraId="35EB641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可根据TOP5推荐诊断，提供该疾病的关键症状的进一步问诊资源推荐。</w:t>
            </w:r>
          </w:p>
          <w:p w14:paraId="29D5B71B">
            <w:pPr>
              <w:keepNext w:val="0"/>
              <w:keepLines w:val="0"/>
              <w:pageBreakBefore w:val="0"/>
              <w:widowControl/>
              <w:numPr>
                <w:ilvl w:val="0"/>
                <w:numId w:val="3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关键问诊体征推荐</w:t>
            </w:r>
          </w:p>
          <w:p w14:paraId="1768288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可根据TOP5推荐诊断，提供该疾病的关键体征的进一步问诊资源推荐。</w:t>
            </w:r>
          </w:p>
          <w:p w14:paraId="3C3A2745">
            <w:pPr>
              <w:keepNext w:val="0"/>
              <w:keepLines w:val="0"/>
              <w:pageBreakBefore w:val="0"/>
              <w:widowControl/>
              <w:numPr>
                <w:ilvl w:val="0"/>
                <w:numId w:val="3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进一步检查检验推荐</w:t>
            </w:r>
          </w:p>
          <w:p w14:paraId="519E7A9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可根据TOP5推荐诊断，提供该疾病常见的检查检验推荐，供医生进一步参考。</w:t>
            </w:r>
          </w:p>
          <w:p w14:paraId="76222F3A">
            <w:pPr>
              <w:keepNext w:val="0"/>
              <w:keepLines w:val="0"/>
              <w:pageBreakBefore w:val="0"/>
              <w:widowControl/>
              <w:numPr>
                <w:ilvl w:val="0"/>
                <w:numId w:val="396"/>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进一步问诊症状诊断临床思维图提示</w:t>
            </w:r>
          </w:p>
          <w:p w14:paraId="4A5C874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诊断中提及的症状若在病历中也相应出现，系统需提供常见病的症状诊断临床思维图资源，供用户查看以进一步问诊。</w:t>
            </w:r>
          </w:p>
          <w:p w14:paraId="5C8813B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8.鉴别诊断</w:t>
            </w:r>
          </w:p>
          <w:p w14:paraId="48182233">
            <w:pPr>
              <w:keepNext w:val="0"/>
              <w:keepLines w:val="0"/>
              <w:pageBreakBefore w:val="0"/>
              <w:widowControl/>
              <w:numPr>
                <w:ilvl w:val="0"/>
                <w:numId w:val="39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鉴别诊断推荐</w:t>
            </w:r>
          </w:p>
          <w:p w14:paraId="1A325F8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医生当前诊断合理时，系统支持推荐医生诊断的鉴别诊断列表，供用户参考问诊鉴别。</w:t>
            </w:r>
          </w:p>
          <w:p w14:paraId="73B7BD86">
            <w:pPr>
              <w:keepNext w:val="0"/>
              <w:keepLines w:val="0"/>
              <w:pageBreakBefore w:val="0"/>
              <w:widowControl/>
              <w:numPr>
                <w:ilvl w:val="0"/>
                <w:numId w:val="39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疾病鉴别要点</w:t>
            </w:r>
          </w:p>
          <w:p w14:paraId="61339C4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系统提供当前鉴别诊断与医生诊断的鉴别要点资源推荐。</w:t>
            </w:r>
          </w:p>
          <w:p w14:paraId="70C04165">
            <w:pPr>
              <w:keepNext w:val="0"/>
              <w:keepLines w:val="0"/>
              <w:pageBreakBefore w:val="0"/>
              <w:widowControl/>
              <w:numPr>
                <w:ilvl w:val="0"/>
                <w:numId w:val="39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临床表现</w:t>
            </w:r>
          </w:p>
          <w:p w14:paraId="2790B52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系统支持推荐医生诊断的主要临床表现资源，供用户参考查看。</w:t>
            </w:r>
          </w:p>
          <w:p w14:paraId="27D3AF37">
            <w:pPr>
              <w:keepNext w:val="0"/>
              <w:keepLines w:val="0"/>
              <w:pageBreakBefore w:val="0"/>
              <w:widowControl/>
              <w:numPr>
                <w:ilvl w:val="0"/>
                <w:numId w:val="39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鉴别检验</w:t>
            </w:r>
          </w:p>
          <w:p w14:paraId="3890AEB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系统支持推荐医生诊断的需要进行鉴别的检验项目资源，供用户参考查看。</w:t>
            </w:r>
          </w:p>
          <w:p w14:paraId="324B4309">
            <w:pPr>
              <w:keepNext w:val="0"/>
              <w:keepLines w:val="0"/>
              <w:pageBreakBefore w:val="0"/>
              <w:widowControl/>
              <w:numPr>
                <w:ilvl w:val="0"/>
                <w:numId w:val="397"/>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鉴别检查</w:t>
            </w:r>
          </w:p>
          <w:p w14:paraId="32233434">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系统需提供该鉴别诊断与当前医生诊断需要进行鉴别的检查项目资源，供用户参考查看。</w:t>
            </w:r>
          </w:p>
          <w:p w14:paraId="70D24AF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9.疾病知识</w:t>
            </w:r>
          </w:p>
          <w:p w14:paraId="7682D720">
            <w:pPr>
              <w:keepNext w:val="0"/>
              <w:keepLines w:val="0"/>
              <w:pageBreakBefore w:val="0"/>
              <w:widowControl/>
              <w:numPr>
                <w:ilvl w:val="0"/>
                <w:numId w:val="3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疾病要素基础知识</w:t>
            </w:r>
          </w:p>
          <w:p w14:paraId="6F05B8E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可提供推荐诊断疾病相关的症状、体征、检查检验、鉴别诊断基础知识，并支持资源查看。</w:t>
            </w:r>
          </w:p>
          <w:p w14:paraId="7A173B20">
            <w:pPr>
              <w:keepNext w:val="0"/>
              <w:keepLines w:val="0"/>
              <w:pageBreakBefore w:val="0"/>
              <w:widowControl/>
              <w:numPr>
                <w:ilvl w:val="0"/>
                <w:numId w:val="3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症状诊断临床思维图</w:t>
            </w:r>
          </w:p>
          <w:p w14:paraId="2D005A7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系统在TOP5推荐诊断下，可提供疾病相关的症状诊断思维导图功能，更加贴合医生的诊断思路，从而有针对性地进一步问诊。</w:t>
            </w:r>
          </w:p>
          <w:p w14:paraId="7FA6F746">
            <w:pPr>
              <w:keepNext w:val="0"/>
              <w:keepLines w:val="0"/>
              <w:pageBreakBefore w:val="0"/>
              <w:widowControl/>
              <w:numPr>
                <w:ilvl w:val="0"/>
                <w:numId w:val="3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疾病资源多样化</w:t>
            </w:r>
          </w:p>
          <w:p w14:paraId="04272F7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可按照临床路径、指南、病例等多种分类提供疾病基本资源推荐。</w:t>
            </w:r>
          </w:p>
          <w:p w14:paraId="5CCD387D">
            <w:pPr>
              <w:keepNext w:val="0"/>
              <w:keepLines w:val="0"/>
              <w:pageBreakBefore w:val="0"/>
              <w:widowControl/>
              <w:numPr>
                <w:ilvl w:val="0"/>
                <w:numId w:val="398"/>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疾病量表推荐</w:t>
            </w:r>
          </w:p>
          <w:p w14:paraId="4B716E0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对于推荐诊断疾病，系统可推荐出与确诊或者评估该疾病相关的量表。</w:t>
            </w:r>
          </w:p>
          <w:p w14:paraId="1D8623F2">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10.疾病知识图谱</w:t>
            </w:r>
          </w:p>
          <w:p w14:paraId="69F77606">
            <w:pPr>
              <w:keepNext w:val="0"/>
              <w:keepLines w:val="0"/>
              <w:pageBreakBefore w:val="0"/>
              <w:widowControl/>
              <w:numPr>
                <w:ilvl w:val="0"/>
                <w:numId w:val="399"/>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图谱展示</w:t>
            </w:r>
          </w:p>
          <w:p w14:paraId="606F958A">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有关疾病的症状、体征、检查、检验、药品、鉴别诊断、性别、所属科室、好发人群、好发时间、发病因素、推荐量表等疾病属性及其医学内容，以具象化的形式讲疾病体系综合呈现，使用户更加全面清晰地了解疾病知识。</w:t>
            </w:r>
          </w:p>
          <w:p w14:paraId="3D95B195">
            <w:pPr>
              <w:keepNext w:val="0"/>
              <w:keepLines w:val="0"/>
              <w:pageBreakBefore w:val="0"/>
              <w:widowControl/>
              <w:numPr>
                <w:ilvl w:val="0"/>
                <w:numId w:val="399"/>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图谱点亮</w:t>
            </w:r>
          </w:p>
          <w:p w14:paraId="4A5A33A1">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若疾病的症状/体征在病历中出现，系统需支持出现的症状/体征在图谱中高亮显示，以便用户直观查看。</w:t>
            </w:r>
          </w:p>
          <w:p w14:paraId="7E976635">
            <w:pPr>
              <w:keepNext w:val="0"/>
              <w:keepLines w:val="0"/>
              <w:pageBreakBefore w:val="0"/>
              <w:widowControl/>
              <w:numPr>
                <w:ilvl w:val="0"/>
                <w:numId w:val="399"/>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图谱资源列表</w:t>
            </w:r>
          </w:p>
          <w:p w14:paraId="0FB2519B">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提供疾病的图谱资源列表供用户查看参考，主要包括发病机制和病程特点等疾病相关内容。</w:t>
            </w:r>
          </w:p>
          <w:p w14:paraId="0179C653">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11.推荐诊疗</w:t>
            </w:r>
          </w:p>
          <w:p w14:paraId="0B55DF6D">
            <w:pPr>
              <w:keepNext w:val="0"/>
              <w:keepLines w:val="0"/>
              <w:pageBreakBefore w:val="0"/>
              <w:widowControl/>
              <w:numPr>
                <w:ilvl w:val="0"/>
                <w:numId w:val="400"/>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诊疗路径推荐</w:t>
            </w:r>
          </w:p>
          <w:p w14:paraId="01BCE2F6">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根据常见慢性病的基层诊疗指南（需支持高血压和糖尿病），系统可提供诊疗路径的推荐能力。</w:t>
            </w:r>
          </w:p>
          <w:p w14:paraId="49575296">
            <w:pPr>
              <w:keepNext w:val="0"/>
              <w:keepLines w:val="0"/>
              <w:pageBreakBefore w:val="0"/>
              <w:widowControl/>
              <w:numPr>
                <w:ilvl w:val="0"/>
                <w:numId w:val="400"/>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检查项目推荐</w:t>
            </w:r>
          </w:p>
          <w:p w14:paraId="446DA106">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可结合当前病历信息与医生所下的诊断，自动推荐相关检查项目为医生开立医嘱提供参考。</w:t>
            </w:r>
          </w:p>
          <w:p w14:paraId="03875F37">
            <w:pPr>
              <w:keepNext w:val="0"/>
              <w:keepLines w:val="0"/>
              <w:pageBreakBefore w:val="0"/>
              <w:widowControl/>
              <w:numPr>
                <w:ilvl w:val="0"/>
                <w:numId w:val="400"/>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检查项目梗概</w:t>
            </w:r>
          </w:p>
          <w:p w14:paraId="02EF16A6">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针对AI推荐的检查项目，支持检查项目的概述资源供用户查看参考。</w:t>
            </w:r>
          </w:p>
          <w:p w14:paraId="6D708A91">
            <w:pPr>
              <w:keepNext w:val="0"/>
              <w:keepLines w:val="0"/>
              <w:pageBreakBefore w:val="0"/>
              <w:widowControl/>
              <w:numPr>
                <w:ilvl w:val="0"/>
                <w:numId w:val="400"/>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用药推荐</w:t>
            </w:r>
          </w:p>
          <w:p w14:paraId="3639AC21">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可结合当前病历信息与医生所下的诊断，自动推荐相关药品为医生开立医嘱提供参考。</w:t>
            </w:r>
          </w:p>
          <w:p w14:paraId="2BCFDE75">
            <w:pPr>
              <w:keepNext w:val="0"/>
              <w:keepLines w:val="0"/>
              <w:pageBreakBefore w:val="0"/>
              <w:widowControl/>
              <w:numPr>
                <w:ilvl w:val="0"/>
                <w:numId w:val="400"/>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药品说明书</w:t>
            </w:r>
          </w:p>
          <w:p w14:paraId="215333B9">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可针对具体药品提供相应的药品说明书资源供用户查看。</w:t>
            </w:r>
          </w:p>
          <w:p w14:paraId="74F8F5C1">
            <w:pPr>
              <w:keepNext w:val="0"/>
              <w:keepLines w:val="0"/>
              <w:pageBreakBefore w:val="0"/>
              <w:widowControl/>
              <w:numPr>
                <w:ilvl w:val="0"/>
                <w:numId w:val="400"/>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治疗方案推荐</w:t>
            </w:r>
          </w:p>
          <w:p w14:paraId="65181696">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可结合当前病历及医生所下诊断给出治疗方案推荐，提供治疗方案概述说明并支持查看治疗方案具体详情。</w:t>
            </w:r>
          </w:p>
          <w:p w14:paraId="11E85BA2">
            <w:pPr>
              <w:keepNext w:val="0"/>
              <w:keepLines w:val="0"/>
              <w:pageBreakBefore w:val="0"/>
              <w:widowControl/>
              <w:numPr>
                <w:ilvl w:val="0"/>
                <w:numId w:val="400"/>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疾病健康指导</w:t>
            </w:r>
          </w:p>
          <w:p w14:paraId="48C9DDEE">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可根据医生的诊断，智能推荐与疾病相关的健康宣教知识，为患者提供饮食、运动等多方面的健康建议，给予详细的健康指导。</w:t>
            </w:r>
          </w:p>
          <w:p w14:paraId="6A4ECB3F">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12.合理用药</w:t>
            </w:r>
          </w:p>
          <w:p w14:paraId="172F6482">
            <w:pPr>
              <w:keepNext w:val="0"/>
              <w:keepLines w:val="0"/>
              <w:pageBreakBefore w:val="0"/>
              <w:widowControl/>
              <w:numPr>
                <w:ilvl w:val="0"/>
                <w:numId w:val="401"/>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用药不合理警示级别展示</w:t>
            </w:r>
          </w:p>
          <w:p w14:paraId="1093D28F">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系统可对于各种用药不合理情况做出高、中、低不同警示级别的展示。</w:t>
            </w:r>
          </w:p>
          <w:p w14:paraId="5380B510">
            <w:pPr>
              <w:keepNext w:val="0"/>
              <w:keepLines w:val="0"/>
              <w:pageBreakBefore w:val="0"/>
              <w:widowControl/>
              <w:numPr>
                <w:ilvl w:val="0"/>
                <w:numId w:val="401"/>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用药不合理原因展示</w:t>
            </w:r>
          </w:p>
          <w:p w14:paraId="18410ED6">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可查看本次提交处方不合理问题类型，包括但不限于药物遴选不适宜、存在配伍禁忌、无适应症用药、溶媒选择不适宜、溶媒剂量不适宜、重复用药、给药途径不适宜、给药剂量不适宜、给药频次不适宜、超疗程用药、超处方限量等。</w:t>
            </w:r>
          </w:p>
          <w:p w14:paraId="618BF72A">
            <w:pPr>
              <w:keepNext w:val="0"/>
              <w:keepLines w:val="0"/>
              <w:pageBreakBefore w:val="0"/>
              <w:widowControl/>
              <w:numPr>
                <w:ilvl w:val="0"/>
                <w:numId w:val="401"/>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用药不合理原因可解释性</w:t>
            </w:r>
          </w:p>
          <w:p w14:paraId="533F23B3">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对于系统展示的用药不合理原因可提供相应的可解释性，可解释性来源包括但不限于药品说明书、人卫教材、指南、文献等。</w:t>
            </w:r>
          </w:p>
          <w:p w14:paraId="1F93C96F">
            <w:pPr>
              <w:keepNext w:val="0"/>
              <w:keepLines w:val="0"/>
              <w:pageBreakBefore w:val="0"/>
              <w:widowControl/>
              <w:numPr>
                <w:ilvl w:val="0"/>
                <w:numId w:val="401"/>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不合理用药推荐用药方案</w:t>
            </w:r>
          </w:p>
          <w:p w14:paraId="3CD6568C">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对于系统判断不合理的用药，系统会提供相应的推荐用药方案，包括但不限于用法、用量、频次、溶媒、疗程等。</w:t>
            </w:r>
          </w:p>
          <w:p w14:paraId="375096D6">
            <w:pPr>
              <w:keepNext w:val="0"/>
              <w:keepLines w:val="0"/>
              <w:pageBreakBefore w:val="0"/>
              <w:widowControl/>
              <w:numPr>
                <w:ilvl w:val="0"/>
                <w:numId w:val="401"/>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药品说明书快速链接查询</w:t>
            </w:r>
          </w:p>
          <w:p w14:paraId="694C5292">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推荐用药及用药不合理原因展示时，可以提供对应的药品说明书，医生可以通过超链接形式进行点击查看。</w:t>
            </w:r>
          </w:p>
          <w:p w14:paraId="29C1812D">
            <w:pPr>
              <w:keepNext w:val="0"/>
              <w:keepLines w:val="0"/>
              <w:pageBreakBefore w:val="0"/>
              <w:widowControl/>
              <w:numPr>
                <w:ilvl w:val="0"/>
                <w:numId w:val="401"/>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继续用药原因词条收录及快速引用</w:t>
            </w:r>
          </w:p>
          <w:p w14:paraId="197D455A">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支持将常用的继续用药原因作为词条进行收录，并支持快速引用。</w:t>
            </w:r>
          </w:p>
          <w:p w14:paraId="05ED5B1E">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13.医学检索</w:t>
            </w:r>
          </w:p>
          <w:p w14:paraId="7A8AB90C">
            <w:pPr>
              <w:keepNext w:val="0"/>
              <w:keepLines w:val="0"/>
              <w:pageBreakBefore w:val="0"/>
              <w:widowControl/>
              <w:numPr>
                <w:ilvl w:val="0"/>
                <w:numId w:val="402"/>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资源搜索</w:t>
            </w:r>
          </w:p>
          <w:p w14:paraId="44425028">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系统可为用户提供资源丰富的医学检索数据库，方便用户查询参考。</w:t>
            </w:r>
          </w:p>
          <w:p w14:paraId="6FFB959A">
            <w:pPr>
              <w:keepNext w:val="0"/>
              <w:keepLines w:val="0"/>
              <w:pageBreakBefore w:val="0"/>
              <w:widowControl/>
              <w:numPr>
                <w:ilvl w:val="0"/>
                <w:numId w:val="402"/>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权威知识库检索</w:t>
            </w:r>
          </w:p>
          <w:p w14:paraId="09D8349A">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提供权威医学检索知识库，供用户搜索查询。</w:t>
            </w:r>
          </w:p>
          <w:p w14:paraId="4C0E3FC4">
            <w:pPr>
              <w:keepNext w:val="0"/>
              <w:keepLines w:val="0"/>
              <w:pageBreakBefore w:val="0"/>
              <w:widowControl/>
              <w:numPr>
                <w:ilvl w:val="0"/>
                <w:numId w:val="402"/>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资源收藏</w:t>
            </w:r>
          </w:p>
          <w:p w14:paraId="5740AE60">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方便用户快捷检索及收藏医学资源，支持查看历史收藏的医学资料记录</w:t>
            </w:r>
          </w:p>
          <w:p w14:paraId="6A97D6F0">
            <w:pPr>
              <w:keepNext w:val="0"/>
              <w:keepLines w:val="0"/>
              <w:pageBreakBefore w:val="0"/>
              <w:widowControl/>
              <w:numPr>
                <w:ilvl w:val="0"/>
                <w:numId w:val="402"/>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近日搜索查看</w:t>
            </w:r>
          </w:p>
          <w:p w14:paraId="0ECA9BAD">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系统需支持对用户的近期搜索情况进行推荐，方便用户一键点选进入搜索结果页面</w:t>
            </w:r>
          </w:p>
          <w:p w14:paraId="6CD9FD8C">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14.病历档案</w:t>
            </w:r>
          </w:p>
          <w:p w14:paraId="689766BA">
            <w:pPr>
              <w:keepNext w:val="0"/>
              <w:keepLines w:val="0"/>
              <w:pageBreakBefore w:val="0"/>
              <w:widowControl/>
              <w:numPr>
                <w:ilvl w:val="0"/>
                <w:numId w:val="403"/>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历史病历</w:t>
            </w:r>
          </w:p>
          <w:p w14:paraId="600CDD91">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集成当前患者的既往病历信息，方便医生进行病情回顾和引用。</w:t>
            </w:r>
          </w:p>
          <w:p w14:paraId="4DD03BBA">
            <w:pPr>
              <w:keepNext w:val="0"/>
              <w:keepLines w:val="0"/>
              <w:pageBreakBefore w:val="0"/>
              <w:widowControl/>
              <w:numPr>
                <w:ilvl w:val="0"/>
                <w:numId w:val="403"/>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健康档案</w:t>
            </w:r>
          </w:p>
          <w:p w14:paraId="18FC9700">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支持查看患者的健康档案信息。健康档案内容包括患者的药物过敏史、疾病史、手术史、外伤史、输血史等内容，可以帮医生快速了解患者的健康状况。</w:t>
            </w:r>
          </w:p>
          <w:p w14:paraId="65D541FD">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15.病历中心</w:t>
            </w:r>
          </w:p>
          <w:p w14:paraId="3E997A2D">
            <w:pPr>
              <w:keepNext w:val="0"/>
              <w:keepLines w:val="0"/>
              <w:pageBreakBefore w:val="0"/>
              <w:widowControl/>
              <w:numPr>
                <w:ilvl w:val="0"/>
                <w:numId w:val="404"/>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病历分类及统计</w:t>
            </w:r>
          </w:p>
          <w:p w14:paraId="68096403">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提供用户累计病历、规范病历与不规范病历、体检病历、其他特殊病历的统计功能。</w:t>
            </w:r>
          </w:p>
          <w:p w14:paraId="279B9E4A">
            <w:pPr>
              <w:keepNext w:val="0"/>
              <w:keepLines w:val="0"/>
              <w:pageBreakBefore w:val="0"/>
              <w:widowControl/>
              <w:numPr>
                <w:ilvl w:val="0"/>
                <w:numId w:val="404"/>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病历查询与检索</w:t>
            </w:r>
          </w:p>
          <w:p w14:paraId="70ED0EEF">
            <w:pPr>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提供用户通过患者姓名、就诊时间、病历类型、质检结果等维度的病历检索与查看功能。</w:t>
            </w:r>
          </w:p>
          <w:p w14:paraId="1DFC37D9">
            <w:pPr>
              <w:keepNext w:val="0"/>
              <w:keepLines w:val="0"/>
              <w:pageBreakBefore w:val="0"/>
              <w:widowControl/>
              <w:numPr>
                <w:ilvl w:val="0"/>
                <w:numId w:val="404"/>
              </w:numPr>
              <w:suppressLineNumbers w:val="0"/>
              <w:kinsoku/>
              <w:wordWrap/>
              <w:overflowPunct/>
              <w:topLinePunct w:val="0"/>
              <w:autoSpaceDE/>
              <w:autoSpaceDN/>
              <w:bidi w:val="0"/>
              <w:adjustRightInd w:val="0"/>
              <w:snapToGrid w:val="0"/>
              <w:spacing w:before="0" w:after="0" w:line="240" w:lineRule="auto"/>
              <w:ind w:left="0" w:leftChars="0" w:firstLine="0"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病历列表及内容</w:t>
            </w:r>
          </w:p>
          <w:p w14:paraId="2F511D1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提供记录用户接诊的所有患者的病历内容查看功能。</w:t>
            </w:r>
          </w:p>
          <w:p w14:paraId="38F000F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15.</w:t>
            </w:r>
            <w:r>
              <w:rPr>
                <w:rFonts w:hint="eastAsia" w:ascii="宋体" w:hAnsi="宋体" w:eastAsia="宋体" w:cs="宋体"/>
                <w:b/>
                <w:bCs/>
                <w:color w:val="auto"/>
                <w:kern w:val="0"/>
                <w:sz w:val="21"/>
                <w:szCs w:val="21"/>
                <w:lang w:bidi="ar"/>
              </w:rPr>
              <w:t>业务系统改造</w:t>
            </w:r>
          </w:p>
          <w:p w14:paraId="24EAB29A">
            <w:pPr>
              <w:keepNext w:val="0"/>
              <w:keepLines w:val="0"/>
              <w:pageBreakBefore w:val="0"/>
              <w:numPr>
                <w:ilvl w:val="0"/>
                <w:numId w:val="40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客户端功能</w:t>
            </w:r>
          </w:p>
          <w:p w14:paraId="4CA2B9E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支持系统登入信息推送</w:t>
            </w:r>
          </w:p>
          <w:p w14:paraId="73BC119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支持书写病历功能</w:t>
            </w:r>
          </w:p>
          <w:p w14:paraId="6D69613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支持查看建议方案页面</w:t>
            </w:r>
          </w:p>
          <w:p w14:paraId="423FD86F">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支持查看用药提醒页面</w:t>
            </w:r>
          </w:p>
          <w:p w14:paraId="18B0F07A">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支持查看病历数和规范病历数</w:t>
            </w:r>
          </w:p>
          <w:p w14:paraId="77A3C3D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支持查看智能辅助和互认相关历史消息</w:t>
            </w:r>
          </w:p>
          <w:p w14:paraId="5CDC8A75">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支持查看互认患者主页面</w:t>
            </w:r>
          </w:p>
          <w:p w14:paraId="5A75AAD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支持检查检验互认功能</w:t>
            </w:r>
          </w:p>
          <w:p w14:paraId="634FBF9A">
            <w:pPr>
              <w:keepNext w:val="0"/>
              <w:keepLines w:val="0"/>
              <w:pageBreakBefore w:val="0"/>
              <w:numPr>
                <w:ilvl w:val="0"/>
                <w:numId w:val="40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数据查询接口</w:t>
            </w:r>
          </w:p>
          <w:p w14:paraId="6A7A09E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提供相关数据查询接口</w:t>
            </w:r>
          </w:p>
          <w:p w14:paraId="4EB6B0F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1.查询基础字典信息</w:t>
            </w:r>
          </w:p>
          <w:p w14:paraId="364F2F5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2.查询值域字典信息</w:t>
            </w:r>
          </w:p>
          <w:p w14:paraId="2D0E1918">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3.查询处方收费项目信息</w:t>
            </w:r>
          </w:p>
          <w:p w14:paraId="5001F3F2">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4.查询诊断字典信息</w:t>
            </w:r>
          </w:p>
          <w:p w14:paraId="639FC3D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5.查询药房库存信息</w:t>
            </w:r>
          </w:p>
          <w:p w14:paraId="799A641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6.查询处方状态信息</w:t>
            </w:r>
          </w:p>
          <w:p w14:paraId="62978254">
            <w:pPr>
              <w:keepNext w:val="0"/>
              <w:keepLines w:val="0"/>
              <w:pageBreakBefore w:val="0"/>
              <w:numPr>
                <w:ilvl w:val="0"/>
                <w:numId w:val="40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数据推送接口</w:t>
            </w:r>
          </w:p>
          <w:p w14:paraId="0D39A41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患者诊疗数据实时推送</w:t>
            </w:r>
          </w:p>
          <w:p w14:paraId="6C99E82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1.接诊患者时推送患者就诊信息</w:t>
            </w:r>
          </w:p>
          <w:p w14:paraId="6C7D1A6D">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2.门诊病历保存时推送患者门诊病历信息</w:t>
            </w:r>
          </w:p>
          <w:p w14:paraId="0438C43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3.门诊处方保存和删除时推送患者处方信息</w:t>
            </w:r>
          </w:p>
          <w:p w14:paraId="635B5ACF">
            <w:pPr>
              <w:keepNext w:val="0"/>
              <w:keepLines w:val="0"/>
              <w:pageBreakBefore w:val="0"/>
              <w:numPr>
                <w:ilvl w:val="0"/>
                <w:numId w:val="405"/>
              </w:numPr>
              <w:kinsoku/>
              <w:wordWrap/>
              <w:overflowPunct/>
              <w:topLinePunct w:val="0"/>
              <w:autoSpaceDE/>
              <w:autoSpaceDN/>
              <w:bidi w:val="0"/>
              <w:adjustRightInd w:val="0"/>
              <w:snapToGrid w:val="0"/>
              <w:spacing w:before="0" w:after="0" w:line="240" w:lineRule="auto"/>
              <w:ind w:left="425" w:hanging="425"/>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数据回写接口</w:t>
            </w:r>
          </w:p>
          <w:p w14:paraId="31C0831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电子病历数据回写，将智能辅助推荐的病历和诊断数据直接写入患者的病历中</w:t>
            </w:r>
          </w:p>
          <w:p w14:paraId="153F00B7">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bidi="ar"/>
              </w:rPr>
              <w:t>处方药品推荐，将智能辅助推荐药品引入到门诊处方中</w:t>
            </w:r>
          </w:p>
        </w:tc>
      </w:tr>
      <w:tr w14:paraId="2C08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752" w:type="dxa"/>
            <w:vMerge w:val="continue"/>
            <w:shd w:val="clear" w:color="auto" w:fill="auto"/>
            <w:noWrap w:val="0"/>
            <w:vAlign w:val="center"/>
          </w:tcPr>
          <w:p w14:paraId="3E457D7B">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p>
        </w:tc>
        <w:tc>
          <w:tcPr>
            <w:tcW w:w="752" w:type="dxa"/>
            <w:vMerge w:val="continue"/>
            <w:shd w:val="clear" w:color="auto" w:fill="auto"/>
            <w:noWrap w:val="0"/>
            <w:vAlign w:val="center"/>
          </w:tcPr>
          <w:p w14:paraId="6FBF11B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018" w:type="dxa"/>
            <w:shd w:val="clear" w:color="auto" w:fill="auto"/>
            <w:noWrap w:val="0"/>
            <w:vAlign w:val="center"/>
          </w:tcPr>
          <w:p w14:paraId="1602393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三、数据采集改造</w:t>
            </w:r>
          </w:p>
          <w:p w14:paraId="2BBAAD61">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本次项目将完成基层云适应性改造，按照鄞州区全民健康信息平台</w:t>
            </w:r>
            <w:r>
              <w:rPr>
                <w:rFonts w:hint="eastAsia" w:ascii="宋体" w:hAnsi="宋体" w:eastAsia="宋体" w:cs="宋体"/>
                <w:color w:val="auto"/>
                <w:kern w:val="0"/>
                <w:sz w:val="21"/>
                <w:szCs w:val="21"/>
                <w:lang w:eastAsia="zh-CN" w:bidi="ar"/>
              </w:rPr>
              <w:t>改造</w:t>
            </w:r>
            <w:r>
              <w:rPr>
                <w:rFonts w:hint="eastAsia" w:ascii="宋体" w:hAnsi="宋体" w:eastAsia="宋体" w:cs="宋体"/>
                <w:color w:val="auto"/>
                <w:kern w:val="0"/>
                <w:sz w:val="21"/>
                <w:szCs w:val="21"/>
                <w:lang w:bidi="ar"/>
              </w:rPr>
              <w:t>后的标准规范，通过数据高铁、日志传输、接口模式等混合模式实现数据上传至中间交换库。</w:t>
            </w:r>
          </w:p>
          <w:p w14:paraId="7C348EE6">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涉及的数据集包括但不限于患者、120+调度管理、病理信息管理、产前筛查与诊断、出生医学证明、传染病动态监测、儿童健康保健、儿童健康体检、分娩信息、妇女常见病筛查、护理记录、婚前保健服务、健康体检服务、精神卫生监测、就诊卡管理、库存管理、临床服务其他、麻醉信息管理、门急诊处方和处置管理、门急诊电子病历、门诊诊疗信息、免疫规划监测等</w:t>
            </w:r>
          </w:p>
        </w:tc>
      </w:tr>
      <w:tr w14:paraId="0BBB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752" w:type="dxa"/>
            <w:vMerge w:val="continue"/>
            <w:shd w:val="clear" w:color="auto" w:fill="auto"/>
            <w:noWrap w:val="0"/>
            <w:vAlign w:val="center"/>
          </w:tcPr>
          <w:p w14:paraId="4826E724">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2" w:type="dxa"/>
            <w:vMerge w:val="continue"/>
            <w:shd w:val="clear" w:color="auto" w:fill="auto"/>
            <w:noWrap w:val="0"/>
            <w:vAlign w:val="center"/>
          </w:tcPr>
          <w:p w14:paraId="1C4395B0">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018" w:type="dxa"/>
            <w:shd w:val="clear" w:color="auto" w:fill="auto"/>
            <w:noWrap w:val="0"/>
            <w:vAlign w:val="center"/>
          </w:tcPr>
          <w:p w14:paraId="37750820">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四、协同应用对接</w:t>
            </w:r>
          </w:p>
          <w:p w14:paraId="7DBDF2EC">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本次项目将完成基层云适应性改造，实现与鄞州区全民健康信息平台的应用对接。包括但不限于以下接口：</w:t>
            </w:r>
          </w:p>
          <w:p w14:paraId="2D19650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子病历质控、耗材质控、药事质控、设备质控、体检质控、透析质控、分级诊疗（门诊/住院/检查/检验/治疗）、一体化学科、精康补助、医后付、远程门诊、鄞领健康、鄞领妇幼、伤害监测、多码就医、绩效补偿、合理用药、献血减免等。</w:t>
            </w:r>
          </w:p>
        </w:tc>
      </w:tr>
      <w:tr w14:paraId="0BFD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752" w:type="dxa"/>
            <w:shd w:val="clear" w:color="auto" w:fill="auto"/>
            <w:noWrap w:val="0"/>
            <w:vAlign w:val="center"/>
          </w:tcPr>
          <w:p w14:paraId="7A4A1503">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52" w:type="dxa"/>
            <w:shd w:val="clear" w:color="auto" w:fill="auto"/>
            <w:noWrap w:val="0"/>
            <w:vAlign w:val="center"/>
          </w:tcPr>
          <w:p w14:paraId="1BBDD4C7">
            <w:pPr>
              <w:keepNext w:val="0"/>
              <w:keepLines w:val="0"/>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ascii="宋体" w:hAnsi="宋体" w:eastAsia="宋体" w:cs="宋体"/>
                <w:color w:val="auto"/>
                <w:sz w:val="21"/>
                <w:szCs w:val="21"/>
              </w:rPr>
              <w:t>区级医疗卫生机构升级改造配合</w:t>
            </w:r>
          </w:p>
        </w:tc>
        <w:tc>
          <w:tcPr>
            <w:tcW w:w="7018" w:type="dxa"/>
            <w:shd w:val="clear" w:color="auto" w:fill="auto"/>
            <w:noWrap w:val="0"/>
            <w:vAlign w:val="center"/>
          </w:tcPr>
          <w:p w14:paraId="04ED741E">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bidi="ar"/>
              </w:rPr>
              <w:t>一、数据采集改造</w:t>
            </w:r>
            <w:r>
              <w:rPr>
                <w:rFonts w:hint="eastAsia" w:ascii="宋体" w:hAnsi="宋体" w:eastAsia="宋体" w:cs="宋体"/>
                <w:b/>
                <w:bCs/>
                <w:color w:val="auto"/>
                <w:kern w:val="0"/>
                <w:sz w:val="21"/>
                <w:szCs w:val="21"/>
                <w:lang w:val="en-US" w:eastAsia="zh-CN" w:bidi="ar"/>
              </w:rPr>
              <w:t>对接及配合</w:t>
            </w:r>
          </w:p>
          <w:p w14:paraId="1DFB05E3">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本项目中标单位需配合区级医疗卫生机构</w:t>
            </w:r>
            <w:r>
              <w:rPr>
                <w:rFonts w:hint="eastAsia" w:ascii="宋体" w:hAnsi="宋体" w:eastAsia="宋体" w:cs="宋体"/>
                <w:color w:val="auto"/>
                <w:kern w:val="0"/>
                <w:sz w:val="21"/>
                <w:szCs w:val="21"/>
                <w:lang w:val="en-US" w:eastAsia="zh-CN" w:bidi="ar"/>
              </w:rPr>
              <w:t>完成</w:t>
            </w:r>
            <w:r>
              <w:rPr>
                <w:rFonts w:hint="eastAsia" w:ascii="宋体" w:hAnsi="宋体" w:eastAsia="宋体" w:cs="宋体"/>
                <w:color w:val="auto"/>
                <w:kern w:val="0"/>
                <w:sz w:val="21"/>
                <w:szCs w:val="21"/>
                <w:lang w:bidi="ar"/>
              </w:rPr>
              <w:t>区级医疗卫生机构信息系统</w:t>
            </w:r>
            <w:r>
              <w:rPr>
                <w:rFonts w:hint="eastAsia" w:ascii="宋体" w:hAnsi="宋体" w:eastAsia="宋体" w:cs="宋体"/>
                <w:color w:val="auto"/>
                <w:kern w:val="0"/>
                <w:sz w:val="21"/>
                <w:szCs w:val="21"/>
                <w:lang w:val="en-US" w:eastAsia="zh-CN" w:bidi="ar"/>
              </w:rPr>
              <w:t>数据采集</w:t>
            </w:r>
            <w:r>
              <w:rPr>
                <w:rFonts w:hint="eastAsia" w:ascii="宋体" w:hAnsi="宋体" w:eastAsia="宋体" w:cs="宋体"/>
                <w:color w:val="auto"/>
                <w:kern w:val="0"/>
                <w:sz w:val="21"/>
                <w:szCs w:val="21"/>
                <w:lang w:bidi="ar"/>
              </w:rPr>
              <w:t>改造</w:t>
            </w:r>
            <w:r>
              <w:rPr>
                <w:rFonts w:hint="eastAsia" w:ascii="宋体" w:hAnsi="宋体" w:eastAsia="宋体" w:cs="宋体"/>
                <w:color w:val="auto"/>
                <w:kern w:val="0"/>
                <w:sz w:val="21"/>
                <w:szCs w:val="21"/>
                <w:lang w:val="en-US" w:eastAsia="zh-CN" w:bidi="ar"/>
              </w:rPr>
              <w:t>工作</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按照鄞州区全民健康信息平台</w:t>
            </w:r>
            <w:r>
              <w:rPr>
                <w:rFonts w:hint="eastAsia" w:ascii="宋体" w:hAnsi="宋体" w:eastAsia="宋体" w:cs="宋体"/>
                <w:color w:val="auto"/>
                <w:kern w:val="0"/>
                <w:sz w:val="21"/>
                <w:szCs w:val="21"/>
                <w:lang w:eastAsia="zh-CN" w:bidi="ar"/>
              </w:rPr>
              <w:t>改造</w:t>
            </w:r>
            <w:r>
              <w:rPr>
                <w:rFonts w:hint="eastAsia" w:ascii="宋体" w:hAnsi="宋体" w:eastAsia="宋体" w:cs="宋体"/>
                <w:color w:val="auto"/>
                <w:kern w:val="0"/>
                <w:sz w:val="21"/>
                <w:szCs w:val="21"/>
                <w:lang w:bidi="ar"/>
              </w:rPr>
              <w:t>后的标准规范，通过数据高铁、日志传输、接口模式等混合模式实现数据上传至中间交换库。</w:t>
            </w:r>
          </w:p>
          <w:p w14:paraId="70B78409">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涉及的数据集包括但不限于患者、120+调度管理、病理信息管理、产前筛查与诊断、出生医学证明、传染病动态监测、儿童健康保健、儿童健康体检、分娩信息、妇女常见病筛查、护理记录、婚前保健服务、健康体检服务、精神卫生监测、就诊卡管理、库存管理、临床服务其他、麻醉信息管理、门急诊处方和处置管理、门急诊电子病历、门诊诊疗信息、免疫规划监测等</w:t>
            </w:r>
            <w:r>
              <w:rPr>
                <w:rFonts w:hint="eastAsia" w:ascii="宋体" w:hAnsi="宋体" w:eastAsia="宋体" w:cs="宋体"/>
                <w:color w:val="auto"/>
                <w:kern w:val="0"/>
                <w:sz w:val="21"/>
                <w:szCs w:val="21"/>
                <w:lang w:eastAsia="zh-CN" w:bidi="ar"/>
              </w:rPr>
              <w:t>。</w:t>
            </w:r>
          </w:p>
          <w:p w14:paraId="3F16917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kern w:val="0"/>
                <w:sz w:val="21"/>
                <w:szCs w:val="21"/>
                <w:lang w:bidi="ar"/>
              </w:rPr>
              <w:t>二、协同应用对接</w:t>
            </w:r>
            <w:r>
              <w:rPr>
                <w:rFonts w:hint="eastAsia" w:ascii="宋体" w:hAnsi="宋体" w:eastAsia="宋体" w:cs="宋体"/>
                <w:b/>
                <w:bCs/>
                <w:color w:val="auto"/>
                <w:kern w:val="0"/>
                <w:sz w:val="21"/>
                <w:szCs w:val="21"/>
                <w:lang w:val="en-US" w:eastAsia="zh-CN" w:bidi="ar"/>
              </w:rPr>
              <w:t>及配合</w:t>
            </w:r>
          </w:p>
          <w:p w14:paraId="3A4625A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本次项目</w:t>
            </w:r>
            <w:r>
              <w:rPr>
                <w:rFonts w:hint="eastAsia" w:ascii="宋体" w:hAnsi="宋体" w:eastAsia="宋体" w:cs="宋体"/>
                <w:color w:val="auto"/>
                <w:kern w:val="0"/>
                <w:sz w:val="21"/>
                <w:szCs w:val="21"/>
                <w:lang w:val="en-US" w:eastAsia="zh-CN" w:bidi="ar"/>
              </w:rPr>
              <w:t>建设的</w:t>
            </w:r>
            <w:r>
              <w:rPr>
                <w:rFonts w:hint="eastAsia" w:ascii="宋体" w:hAnsi="宋体" w:eastAsia="宋体" w:cs="宋体"/>
                <w:color w:val="auto"/>
                <w:kern w:val="0"/>
                <w:sz w:val="21"/>
                <w:szCs w:val="21"/>
                <w:lang w:bidi="ar"/>
              </w:rPr>
              <w:t>鄞州区</w:t>
            </w:r>
            <w:r>
              <w:rPr>
                <w:rFonts w:hint="eastAsia" w:ascii="宋体" w:hAnsi="宋体" w:eastAsia="宋体" w:cs="宋体"/>
                <w:color w:val="auto"/>
                <w:kern w:val="0"/>
                <w:sz w:val="21"/>
                <w:szCs w:val="21"/>
                <w:lang w:val="en-US" w:eastAsia="zh-CN" w:bidi="ar"/>
              </w:rPr>
              <w:t>新一代</w:t>
            </w:r>
            <w:r>
              <w:rPr>
                <w:rFonts w:hint="eastAsia" w:ascii="宋体" w:hAnsi="宋体" w:eastAsia="宋体" w:cs="宋体"/>
                <w:color w:val="auto"/>
                <w:kern w:val="0"/>
                <w:sz w:val="21"/>
                <w:szCs w:val="21"/>
                <w:lang w:bidi="ar"/>
              </w:rPr>
              <w:t>全民健康信息平台</w:t>
            </w:r>
            <w:r>
              <w:rPr>
                <w:rFonts w:hint="eastAsia" w:ascii="宋体" w:hAnsi="宋体" w:eastAsia="宋体" w:cs="宋体"/>
                <w:color w:val="auto"/>
                <w:kern w:val="0"/>
                <w:sz w:val="21"/>
                <w:szCs w:val="21"/>
                <w:lang w:val="en-US" w:eastAsia="zh-CN" w:bidi="ar"/>
              </w:rPr>
              <w:t>需做好双向对接工作，即平台与</w:t>
            </w:r>
            <w:r>
              <w:rPr>
                <w:rFonts w:hint="eastAsia" w:ascii="宋体" w:hAnsi="宋体" w:eastAsia="宋体" w:cs="宋体"/>
                <w:color w:val="auto"/>
                <w:kern w:val="0"/>
                <w:sz w:val="21"/>
                <w:szCs w:val="21"/>
                <w:lang w:bidi="ar"/>
              </w:rPr>
              <w:t>区级医疗卫生机构信息系统</w:t>
            </w:r>
            <w:r>
              <w:rPr>
                <w:rFonts w:hint="eastAsia" w:ascii="宋体" w:hAnsi="宋体" w:eastAsia="宋体" w:cs="宋体"/>
                <w:color w:val="auto"/>
                <w:kern w:val="0"/>
                <w:sz w:val="21"/>
                <w:szCs w:val="21"/>
                <w:lang w:val="en-US" w:eastAsia="zh-CN" w:bidi="ar"/>
              </w:rPr>
              <w:t>的对接和平台与基于</w:t>
            </w:r>
            <w:r>
              <w:rPr>
                <w:rFonts w:hint="eastAsia" w:ascii="宋体" w:hAnsi="宋体" w:eastAsia="宋体" w:cs="宋体"/>
                <w:color w:val="auto"/>
                <w:kern w:val="0"/>
                <w:sz w:val="21"/>
                <w:szCs w:val="21"/>
                <w:lang w:bidi="ar"/>
              </w:rPr>
              <w:t>平台</w:t>
            </w:r>
            <w:r>
              <w:rPr>
                <w:rFonts w:hint="eastAsia" w:ascii="宋体" w:hAnsi="宋体" w:eastAsia="宋体" w:cs="宋体"/>
                <w:color w:val="auto"/>
                <w:kern w:val="0"/>
                <w:sz w:val="21"/>
                <w:szCs w:val="21"/>
                <w:lang w:val="en-US" w:eastAsia="zh-CN" w:bidi="ar"/>
              </w:rPr>
              <w:t>建设的</w:t>
            </w:r>
            <w:r>
              <w:rPr>
                <w:rFonts w:hint="eastAsia" w:ascii="宋体" w:hAnsi="宋体" w:eastAsia="宋体" w:cs="宋体"/>
                <w:color w:val="auto"/>
                <w:kern w:val="0"/>
                <w:sz w:val="21"/>
                <w:szCs w:val="21"/>
                <w:lang w:bidi="ar"/>
              </w:rPr>
              <w:t>应用</w:t>
            </w:r>
            <w:r>
              <w:rPr>
                <w:rFonts w:hint="eastAsia" w:ascii="宋体" w:hAnsi="宋体" w:eastAsia="宋体" w:cs="宋体"/>
                <w:color w:val="auto"/>
                <w:kern w:val="0"/>
                <w:sz w:val="21"/>
                <w:szCs w:val="21"/>
                <w:lang w:val="en-US" w:eastAsia="zh-CN" w:bidi="ar"/>
              </w:rPr>
              <w:t>的</w:t>
            </w:r>
            <w:r>
              <w:rPr>
                <w:rFonts w:hint="eastAsia" w:ascii="宋体" w:hAnsi="宋体" w:eastAsia="宋体" w:cs="宋体"/>
                <w:color w:val="auto"/>
                <w:kern w:val="0"/>
                <w:sz w:val="21"/>
                <w:szCs w:val="21"/>
                <w:lang w:bidi="ar"/>
              </w:rPr>
              <w:t>对接。</w:t>
            </w:r>
            <w:r>
              <w:rPr>
                <w:rFonts w:hint="eastAsia" w:ascii="宋体" w:hAnsi="宋体" w:eastAsia="宋体" w:cs="宋体"/>
                <w:color w:val="auto"/>
                <w:kern w:val="0"/>
                <w:sz w:val="21"/>
                <w:szCs w:val="21"/>
                <w:lang w:val="en-US" w:eastAsia="zh-CN" w:bidi="ar"/>
              </w:rPr>
              <w:t>本项目中标单位需配合区级医疗卫生机构相关业务系统与平台的对接，</w:t>
            </w:r>
            <w:r>
              <w:rPr>
                <w:rFonts w:hint="eastAsia" w:ascii="宋体" w:hAnsi="宋体" w:eastAsia="宋体" w:cs="宋体"/>
                <w:color w:val="auto"/>
                <w:kern w:val="0"/>
                <w:sz w:val="21"/>
                <w:szCs w:val="21"/>
                <w:lang w:bidi="ar"/>
              </w:rPr>
              <w:t>包括但不限于以下接口：</w:t>
            </w:r>
          </w:p>
          <w:p w14:paraId="1CF5EAFB">
            <w:pPr>
              <w:keepNext w:val="0"/>
              <w:keepLines w:val="0"/>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子病历质控、耗材质控、药事质控、设备质控、体检质控、透析质控、分级诊疗（门诊/住院/检查/检验/治疗）、一体化学科、精康补助、医后付、远程门诊、鄞领健康、鄞领妇幼、伤害监测、多码就医、绩效补偿、合理用药、献血减免等。</w:t>
            </w:r>
          </w:p>
        </w:tc>
      </w:tr>
    </w:tbl>
    <w:p w14:paraId="3319CA75">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564D5E5F">
      <w:pPr>
        <w:keepNext/>
        <w:keepLines/>
        <w:pageBreakBefore w:val="0"/>
        <w:widowControl w:val="0"/>
        <w:numPr>
          <w:ilvl w:val="2"/>
          <w:numId w:val="2"/>
        </w:numPr>
        <w:kinsoku/>
        <w:wordWrap/>
        <w:overflowPunct/>
        <w:topLinePunct w:val="0"/>
        <w:autoSpaceDE/>
        <w:autoSpaceDN/>
        <w:bidi w:val="0"/>
        <w:adjustRightInd w:val="0"/>
        <w:snapToGrid w:val="0"/>
        <w:spacing w:before="260" w:beforeLines="0" w:beforeAutospacing="0" w:after="260" w:afterLines="0" w:afterAutospacing="0" w:line="413" w:lineRule="auto"/>
        <w:ind w:left="720" w:hanging="720"/>
        <w:jc w:val="both"/>
        <w:outlineLvl w:val="2"/>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数据资源层</w:t>
      </w:r>
    </w:p>
    <w:p w14:paraId="04BC4F18">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数据采集治理</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1"/>
        <w:gridCol w:w="777"/>
        <w:gridCol w:w="6984"/>
      </w:tblGrid>
      <w:tr w14:paraId="00B0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88" w:type="dxa"/>
            <w:tcBorders>
              <w:tl2br w:val="nil"/>
              <w:tr2bl w:val="nil"/>
            </w:tcBorders>
            <w:noWrap w:val="0"/>
            <w:vAlign w:val="center"/>
          </w:tcPr>
          <w:p w14:paraId="6426915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序号</w:t>
            </w:r>
          </w:p>
        </w:tc>
        <w:tc>
          <w:tcPr>
            <w:tcW w:w="788" w:type="dxa"/>
            <w:tcBorders>
              <w:tl2br w:val="nil"/>
              <w:tr2bl w:val="nil"/>
            </w:tcBorders>
            <w:noWrap w:val="0"/>
            <w:vAlign w:val="center"/>
          </w:tcPr>
          <w:p w14:paraId="73109BD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名称</w:t>
            </w:r>
          </w:p>
        </w:tc>
        <w:tc>
          <w:tcPr>
            <w:tcW w:w="7485" w:type="dxa"/>
            <w:tcBorders>
              <w:tl2br w:val="nil"/>
              <w:tr2bl w:val="nil"/>
            </w:tcBorders>
            <w:noWrap w:val="0"/>
            <w:vAlign w:val="center"/>
          </w:tcPr>
          <w:p w14:paraId="16D47C6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功能及技术参数</w:t>
            </w:r>
          </w:p>
        </w:tc>
      </w:tr>
      <w:tr w14:paraId="17B78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restart"/>
            <w:tcBorders>
              <w:tl2br w:val="nil"/>
              <w:tr2bl w:val="nil"/>
            </w:tcBorders>
            <w:noWrap w:val="0"/>
            <w:vAlign w:val="center"/>
          </w:tcPr>
          <w:p w14:paraId="7810BF2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p w14:paraId="060FA5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restart"/>
            <w:tcBorders>
              <w:tl2br w:val="nil"/>
              <w:tr2bl w:val="nil"/>
            </w:tcBorders>
            <w:noWrap w:val="0"/>
            <w:vAlign w:val="center"/>
          </w:tcPr>
          <w:p w14:paraId="08B30B2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一体化采集调度</w:t>
            </w:r>
          </w:p>
        </w:tc>
        <w:tc>
          <w:tcPr>
            <w:tcW w:w="7485" w:type="dxa"/>
            <w:vMerge w:val="restart"/>
            <w:tcBorders>
              <w:tl2br w:val="nil"/>
              <w:tr2bl w:val="nil"/>
            </w:tcBorders>
            <w:noWrap w:val="0"/>
            <w:vAlign w:val="center"/>
          </w:tcPr>
          <w:p w14:paraId="79A1EBE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一、采集任务管理（</w:t>
            </w:r>
            <w:r>
              <w:rPr>
                <w:rFonts w:hint="eastAsia" w:ascii="宋体" w:hAnsi="宋体" w:eastAsia="宋体" w:cs="宋体"/>
                <w:b/>
                <w:bCs/>
                <w:color w:val="auto"/>
                <w:kern w:val="0"/>
                <w:sz w:val="21"/>
                <w:szCs w:val="21"/>
                <w:lang w:val="en-US" w:eastAsia="zh-CN" w:bidi="ar"/>
              </w:rPr>
              <w:t>改造</w:t>
            </w:r>
            <w:r>
              <w:rPr>
                <w:rFonts w:hint="eastAsia" w:ascii="宋体" w:hAnsi="宋体" w:eastAsia="宋体" w:cs="宋体"/>
                <w:b/>
                <w:bCs/>
                <w:color w:val="auto"/>
                <w:kern w:val="0"/>
                <w:sz w:val="21"/>
                <w:szCs w:val="21"/>
                <w:lang w:bidi="ar"/>
              </w:rPr>
              <w:t>）</w:t>
            </w:r>
          </w:p>
          <w:p w14:paraId="376A455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1.任务分类列表</w:t>
            </w:r>
          </w:p>
          <w:p w14:paraId="072A4E5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任务分类新增</w:t>
            </w:r>
          </w:p>
          <w:p w14:paraId="3713ACE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支持任务分类新增，构建多层次采集任务，提升管理效率。</w:t>
            </w:r>
          </w:p>
          <w:p w14:paraId="27834D8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任务分类维护管理</w:t>
            </w:r>
          </w:p>
          <w:p w14:paraId="0AED3F0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支持分类维护管理，确保项目结构清晰，便于调整优化。</w:t>
            </w:r>
          </w:p>
          <w:p w14:paraId="1C3EC42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2.采集任务列表</w:t>
            </w:r>
          </w:p>
          <w:p w14:paraId="67CD51B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采集任务执行管理</w:t>
            </w:r>
          </w:p>
          <w:p w14:paraId="26F138E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支持采集任务执行管理，监控数据获取流程，确保信息完整性</w:t>
            </w:r>
          </w:p>
          <w:p w14:paraId="4C0EFB5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采集任务新增维护管理</w:t>
            </w:r>
          </w:p>
          <w:p w14:paraId="23B21F0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支持采集任务新增维护管理，动态调整任务列表，适应业务变化。</w:t>
            </w:r>
          </w:p>
          <w:p w14:paraId="6DDC6CD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3.定时策略</w:t>
            </w:r>
          </w:p>
          <w:p w14:paraId="4414848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执行策略corn表达式新增</w:t>
            </w:r>
          </w:p>
          <w:p w14:paraId="55DF1E6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支持执行策略Corn表达式新增，灵活设定任务调度，提高自动化调度水平。</w:t>
            </w:r>
          </w:p>
          <w:p w14:paraId="454CA42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执行策略维护管理</w:t>
            </w:r>
          </w:p>
          <w:p w14:paraId="484F45E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支持执行策略维护管理，适时调整策略参数，优化任务执行模式。</w:t>
            </w:r>
          </w:p>
        </w:tc>
      </w:tr>
      <w:tr w14:paraId="72F69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5B5545C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4A963EE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676C5F1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二、首页</w:t>
            </w:r>
          </w:p>
          <w:p w14:paraId="6F24F3A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支持采集任务作业及转换监控，全程跟踪数据流转，保障转换质量。（</w:t>
            </w:r>
            <w:r>
              <w:rPr>
                <w:rFonts w:hint="eastAsia" w:ascii="宋体" w:hAnsi="宋体" w:eastAsia="宋体" w:cs="宋体"/>
                <w:color w:val="auto"/>
                <w:kern w:val="0"/>
                <w:sz w:val="21"/>
                <w:szCs w:val="21"/>
                <w:lang w:eastAsia="zh-CN" w:bidi="ar"/>
              </w:rPr>
              <w:t>改造</w:t>
            </w:r>
            <w:r>
              <w:rPr>
                <w:rFonts w:hint="eastAsia" w:ascii="宋体" w:hAnsi="宋体" w:eastAsia="宋体" w:cs="宋体"/>
                <w:color w:val="auto"/>
                <w:kern w:val="0"/>
                <w:sz w:val="21"/>
                <w:szCs w:val="21"/>
                <w:lang w:bidi="ar"/>
              </w:rPr>
              <w:t>）</w:t>
            </w:r>
          </w:p>
          <w:p w14:paraId="3D627EC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支持采集监控及错误记录，及时发现并处理异常，减少数据丢失。（新增）</w:t>
            </w:r>
          </w:p>
          <w:p w14:paraId="4C74320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支持近七天转换作业监控，回顾近期数据处理，评估系统效能。（新增）</w:t>
            </w:r>
          </w:p>
        </w:tc>
      </w:tr>
      <w:tr w14:paraId="3CAE0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88" w:type="dxa"/>
            <w:vMerge w:val="continue"/>
            <w:tcBorders>
              <w:tl2br w:val="nil"/>
              <w:tr2bl w:val="nil"/>
            </w:tcBorders>
            <w:noWrap w:val="0"/>
            <w:vAlign w:val="center"/>
          </w:tcPr>
          <w:p w14:paraId="0827349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1A7E18D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tcBorders>
              <w:tl2br w:val="nil"/>
              <w:tr2bl w:val="nil"/>
            </w:tcBorders>
            <w:noWrap w:val="0"/>
            <w:vAlign w:val="center"/>
          </w:tcPr>
          <w:p w14:paraId="3C7DEA6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三、资源仓库管理（新增）</w:t>
            </w:r>
          </w:p>
          <w:p w14:paraId="084F273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1.资源库列表管理</w:t>
            </w:r>
          </w:p>
          <w:p w14:paraId="6966E12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支持资源库新增维护管理，统一存储资源，便于检索与调用。</w:t>
            </w:r>
          </w:p>
          <w:p w14:paraId="0B25961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支持资源库列表统计展示，概览资源存量，优化库存管理。</w:t>
            </w:r>
          </w:p>
          <w:p w14:paraId="3DD8FE9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2.资源仓库明细</w:t>
            </w:r>
          </w:p>
          <w:p w14:paraId="5290C8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支持资源库树形列表信息统计展示，呈现资源层级结构，增强可视性。</w:t>
            </w:r>
          </w:p>
          <w:p w14:paraId="1D7BACD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支持资源库初始化配置及XML脚本导入，快速部署资源库，简化初始化流程。</w:t>
            </w:r>
          </w:p>
          <w:p w14:paraId="0C47CFC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3.资源仓库DB链接</w:t>
            </w:r>
          </w:p>
          <w:p w14:paraId="744389A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支持资源仓库DB链接处理以及维护。</w:t>
            </w:r>
          </w:p>
        </w:tc>
      </w:tr>
      <w:tr w14:paraId="4195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6E14F08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650C5AA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4D55B00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val="en-US" w:eastAsia="zh-CN" w:bidi="ar"/>
              </w:rPr>
              <w:t>四</w:t>
            </w:r>
            <w:r>
              <w:rPr>
                <w:rFonts w:hint="eastAsia" w:ascii="宋体" w:hAnsi="宋体" w:eastAsia="宋体" w:cs="宋体"/>
                <w:b/>
                <w:bCs/>
                <w:color w:val="auto"/>
                <w:kern w:val="0"/>
                <w:sz w:val="21"/>
                <w:szCs w:val="21"/>
                <w:lang w:bidi="ar"/>
              </w:rPr>
              <w:t>、采集监控管理（新增）</w:t>
            </w:r>
          </w:p>
          <w:p w14:paraId="2B91739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一、监控管理</w:t>
            </w:r>
          </w:p>
          <w:p w14:paraId="17F768B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1.采集任务监控</w:t>
            </w:r>
          </w:p>
          <w:p w14:paraId="3D1C08A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支持任务数统计分析，深度挖掘任务执行规律，为决策提供依据。</w:t>
            </w:r>
          </w:p>
          <w:p w14:paraId="5743993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支持采集任务明细统计展示，详尽呈现采集细节，助力精细化管理。</w:t>
            </w:r>
          </w:p>
          <w:p w14:paraId="77235FB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2.执行日志记录</w:t>
            </w:r>
          </w:p>
          <w:p w14:paraId="069E738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支持日志统计分析列表，梳理系统日志，快速定位潜在问题。</w:t>
            </w:r>
          </w:p>
          <w:p w14:paraId="5710E9E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支持日志清理，定期整理日志文件，保障系统运行顺畅。</w:t>
            </w:r>
          </w:p>
          <w:p w14:paraId="0A8AC01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3.任务线程监控</w:t>
            </w:r>
          </w:p>
          <w:p w14:paraId="14012C3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支持线程活跃监控，实时监测系统负载，预防过载风险。</w:t>
            </w:r>
          </w:p>
          <w:p w14:paraId="7781399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支持队列监控，掌握任务处理队列状态，优化调度策略。</w:t>
            </w:r>
          </w:p>
          <w:p w14:paraId="5301405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支持线程池明细展示，透视系统资源分配，确保高效运作。</w:t>
            </w:r>
          </w:p>
          <w:p w14:paraId="56B3DF3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二、对账情况</w:t>
            </w:r>
          </w:p>
          <w:p w14:paraId="3DCDFE8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支持对账情况按时间、机构进行查看。</w:t>
            </w:r>
          </w:p>
        </w:tc>
      </w:tr>
      <w:tr w14:paraId="2E67F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88" w:type="dxa"/>
            <w:tcBorders>
              <w:tl2br w:val="nil"/>
              <w:tr2bl w:val="nil"/>
            </w:tcBorders>
            <w:noWrap w:val="0"/>
            <w:vAlign w:val="center"/>
          </w:tcPr>
          <w:p w14:paraId="58B303D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788" w:type="dxa"/>
            <w:vMerge w:val="restart"/>
            <w:tcBorders>
              <w:tl2br w:val="nil"/>
              <w:tr2bl w:val="nil"/>
            </w:tcBorders>
            <w:noWrap w:val="0"/>
            <w:vAlign w:val="center"/>
          </w:tcPr>
          <w:p w14:paraId="4A0CF25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采集交换监控</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新建</w:t>
            </w:r>
            <w:r>
              <w:rPr>
                <w:rFonts w:hint="eastAsia" w:ascii="宋体" w:hAnsi="宋体" w:eastAsia="宋体" w:cs="宋体"/>
                <w:color w:val="auto"/>
                <w:kern w:val="0"/>
                <w:sz w:val="21"/>
                <w:szCs w:val="21"/>
                <w:lang w:eastAsia="zh-CN" w:bidi="ar"/>
              </w:rPr>
              <w:t>）</w:t>
            </w:r>
          </w:p>
        </w:tc>
        <w:tc>
          <w:tcPr>
            <w:tcW w:w="7485" w:type="dxa"/>
            <w:vMerge w:val="restart"/>
            <w:tcBorders>
              <w:tl2br w:val="nil"/>
              <w:tr2bl w:val="nil"/>
            </w:tcBorders>
            <w:noWrap w:val="0"/>
            <w:vAlign w:val="center"/>
          </w:tcPr>
          <w:p w14:paraId="4F6BA45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val="en-US" w:eastAsia="zh-CN" w:bidi="ar"/>
              </w:rPr>
            </w:pPr>
          </w:p>
          <w:p w14:paraId="4C93F10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val="en-US" w:eastAsia="zh-CN" w:bidi="ar"/>
              </w:rPr>
              <w:t>一、</w:t>
            </w:r>
            <w:r>
              <w:rPr>
                <w:rFonts w:hint="eastAsia" w:ascii="宋体" w:hAnsi="宋体" w:eastAsia="宋体" w:cs="宋体"/>
                <w:b/>
                <w:bCs/>
                <w:color w:val="auto"/>
                <w:kern w:val="0"/>
                <w:sz w:val="21"/>
                <w:szCs w:val="21"/>
                <w:lang w:bidi="ar"/>
              </w:rPr>
              <w:t>业务发生到前置库入库监控</w:t>
            </w:r>
          </w:p>
          <w:p w14:paraId="73B4EF6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支持数据采集基本信息统计分析，概览数据采集概况，评估采集效率。</w:t>
            </w:r>
          </w:p>
          <w:p w14:paraId="540D630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支持数据采集入库耗时统计分析，监测数据入库时间，提升数据处理速度。</w:t>
            </w:r>
          </w:p>
          <w:p w14:paraId="68CB137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支持数据采集上传及磁盘容量统计分析，监控存储空间使用，预防容量不足。</w:t>
            </w:r>
          </w:p>
          <w:p w14:paraId="52D8767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支持数据采集速率及占比统计分析，量化数据采集效率，优化资源配置。</w:t>
            </w:r>
          </w:p>
          <w:p w14:paraId="411CBF1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val="en-US" w:eastAsia="zh-CN" w:bidi="ar"/>
              </w:rPr>
              <w:t>二、</w:t>
            </w:r>
            <w:r>
              <w:rPr>
                <w:rFonts w:hint="eastAsia" w:ascii="宋体" w:hAnsi="宋体" w:eastAsia="宋体" w:cs="宋体"/>
                <w:b/>
                <w:bCs/>
                <w:color w:val="auto"/>
                <w:kern w:val="0"/>
                <w:sz w:val="21"/>
                <w:szCs w:val="21"/>
                <w:lang w:bidi="ar"/>
              </w:rPr>
              <w:t>前置库汇总至中心库入库监控</w:t>
            </w:r>
          </w:p>
          <w:p w14:paraId="5030B7A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支持数据采集基本信息统计分析，概览数据采集概况，评估采集效率。</w:t>
            </w:r>
          </w:p>
          <w:p w14:paraId="020BA27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支持数据采集入库耗时统计分析，监测数据入库时间，提升数据处理速度。</w:t>
            </w:r>
          </w:p>
          <w:p w14:paraId="61DB5F9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支持数据采集上传及磁盘容量统计分析，监控存储空间使用，预防容量不足。</w:t>
            </w:r>
          </w:p>
          <w:p w14:paraId="5C9242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支持数据采集速率及占比统计分析，量化数据采集效率，优化资源配置。</w:t>
            </w:r>
          </w:p>
          <w:p w14:paraId="70813EC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val="en-US" w:eastAsia="zh-CN" w:bidi="ar"/>
              </w:rPr>
              <w:t>三、</w:t>
            </w:r>
            <w:r>
              <w:rPr>
                <w:rFonts w:hint="eastAsia" w:ascii="宋体" w:hAnsi="宋体" w:eastAsia="宋体" w:cs="宋体"/>
                <w:b/>
                <w:bCs/>
                <w:color w:val="auto"/>
                <w:kern w:val="0"/>
                <w:sz w:val="21"/>
                <w:szCs w:val="21"/>
                <w:lang w:bidi="ar"/>
              </w:rPr>
              <w:t>业务库至中心库入库监控</w:t>
            </w:r>
          </w:p>
          <w:p w14:paraId="76C9D49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支持数据采集业务库至中心库基本信息统计分析，概览数据采集概况，评估采集效率。</w:t>
            </w:r>
          </w:p>
          <w:p w14:paraId="1E93F3D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支持数据采集业务库至中心库入库耗时统计分析，监测数据入库时间，提升数据处理速度。</w:t>
            </w:r>
          </w:p>
          <w:p w14:paraId="4671BE0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支持数据采集业务库至中心库上传及磁盘容量统计分析，监控存储空间使用，预防容量不足。</w:t>
            </w:r>
          </w:p>
          <w:p w14:paraId="6AC5CA0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支持数据采集业务库至中心库速率及占比统计分析，量化数据采集效率，优化资源配置。</w:t>
            </w:r>
          </w:p>
        </w:tc>
      </w:tr>
      <w:tr w14:paraId="2B79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88" w:type="dxa"/>
            <w:vMerge w:val="restart"/>
            <w:tcBorders>
              <w:tl2br w:val="nil"/>
              <w:tr2bl w:val="nil"/>
            </w:tcBorders>
            <w:noWrap w:val="0"/>
            <w:vAlign w:val="center"/>
          </w:tcPr>
          <w:p w14:paraId="73AB171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3</w:t>
            </w:r>
          </w:p>
        </w:tc>
        <w:tc>
          <w:tcPr>
            <w:tcW w:w="788" w:type="dxa"/>
            <w:vMerge w:val="restart"/>
            <w:tcBorders>
              <w:tl2br w:val="nil"/>
              <w:tr2bl w:val="nil"/>
            </w:tcBorders>
            <w:noWrap w:val="0"/>
            <w:vAlign w:val="center"/>
          </w:tcPr>
          <w:p w14:paraId="65FA8A5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数据质控</w:t>
            </w:r>
          </w:p>
        </w:tc>
        <w:tc>
          <w:tcPr>
            <w:tcW w:w="7485" w:type="dxa"/>
            <w:tcBorders>
              <w:tl2br w:val="nil"/>
              <w:tr2bl w:val="nil"/>
            </w:tcBorders>
            <w:noWrap w:val="0"/>
            <w:vAlign w:val="center"/>
          </w:tcPr>
          <w:p w14:paraId="2C9087F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一、数据质控（</w:t>
            </w:r>
            <w:r>
              <w:rPr>
                <w:rFonts w:hint="eastAsia" w:ascii="宋体" w:hAnsi="宋体" w:eastAsia="宋体" w:cs="宋体"/>
                <w:b/>
                <w:bCs/>
                <w:color w:val="auto"/>
                <w:kern w:val="0"/>
                <w:sz w:val="21"/>
                <w:szCs w:val="21"/>
                <w:lang w:eastAsia="zh-CN" w:bidi="ar"/>
              </w:rPr>
              <w:t>改造</w:t>
            </w:r>
            <w:r>
              <w:rPr>
                <w:rFonts w:hint="eastAsia" w:ascii="宋体" w:hAnsi="宋体" w:eastAsia="宋体" w:cs="宋体"/>
                <w:b/>
                <w:bCs/>
                <w:color w:val="auto"/>
                <w:kern w:val="0"/>
                <w:sz w:val="21"/>
                <w:szCs w:val="21"/>
                <w:lang w:bidi="ar"/>
              </w:rPr>
              <w:t>）</w:t>
            </w:r>
          </w:p>
          <w:p w14:paraId="7DBDF73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1.数据质控总览</w:t>
            </w:r>
          </w:p>
          <w:p w14:paraId="4AE6447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支持昨日数据质控得分展示，实时反映数据质量，指导后续改进。</w:t>
            </w:r>
          </w:p>
          <w:p w14:paraId="0E27969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支持质控总览动态统计分析，概览质控成果，追踪长期趋势。</w:t>
            </w:r>
          </w:p>
          <w:p w14:paraId="000110E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支持质控通过率统计分析，评估数据质量稳定性，识别薄弱环节。</w:t>
            </w:r>
          </w:p>
          <w:p w14:paraId="07AEDCE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支持质控规则库统计概览，维护质控规则体系，确保规则适用性。</w:t>
            </w:r>
          </w:p>
          <w:p w14:paraId="2814693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支持本月得分趋势分析，追踪月度质控表现，识别波动原因。</w:t>
            </w:r>
          </w:p>
          <w:p w14:paraId="6F50BF9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支持扣分指标TOP20统计分析，突出主要问题领域，优先解决高影响因素。</w:t>
            </w:r>
          </w:p>
        </w:tc>
      </w:tr>
      <w:tr w14:paraId="6FF0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88" w:type="dxa"/>
            <w:vMerge w:val="continue"/>
            <w:tcBorders>
              <w:tl2br w:val="nil"/>
              <w:tr2bl w:val="nil"/>
            </w:tcBorders>
            <w:noWrap w:val="0"/>
            <w:vAlign w:val="center"/>
          </w:tcPr>
          <w:p w14:paraId="621E2AD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648DFB1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tcBorders>
              <w:tl2br w:val="nil"/>
              <w:tr2bl w:val="nil"/>
            </w:tcBorders>
            <w:noWrap w:val="0"/>
            <w:vAlign w:val="center"/>
          </w:tcPr>
          <w:p w14:paraId="2665E63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二、数据监控（</w:t>
            </w:r>
            <w:r>
              <w:rPr>
                <w:rFonts w:hint="eastAsia" w:ascii="宋体" w:hAnsi="宋体" w:eastAsia="宋体" w:cs="宋体"/>
                <w:b/>
                <w:bCs/>
                <w:color w:val="auto"/>
                <w:kern w:val="0"/>
                <w:sz w:val="21"/>
                <w:szCs w:val="21"/>
                <w:lang w:eastAsia="zh-CN" w:bidi="ar"/>
              </w:rPr>
              <w:t>改造</w:t>
            </w:r>
            <w:r>
              <w:rPr>
                <w:rFonts w:hint="eastAsia" w:ascii="宋体" w:hAnsi="宋体" w:eastAsia="宋体" w:cs="宋体"/>
                <w:b/>
                <w:bCs/>
                <w:color w:val="auto"/>
                <w:kern w:val="0"/>
                <w:sz w:val="21"/>
                <w:szCs w:val="21"/>
                <w:lang w:bidi="ar"/>
              </w:rPr>
              <w:t>）</w:t>
            </w:r>
          </w:p>
          <w:p w14:paraId="4E39D15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1.数据监控</w:t>
            </w:r>
          </w:p>
          <w:p w14:paraId="6E4D1F0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支持数据对账总览，确保数据一致性，增强数据可信度。</w:t>
            </w:r>
          </w:p>
        </w:tc>
      </w:tr>
      <w:tr w14:paraId="35786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282C044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16A83E1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23ED910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三、一致性统计（</w:t>
            </w:r>
            <w:r>
              <w:rPr>
                <w:rFonts w:hint="eastAsia" w:ascii="宋体" w:hAnsi="宋体" w:eastAsia="宋体" w:cs="宋体"/>
                <w:b/>
                <w:bCs/>
                <w:color w:val="auto"/>
                <w:kern w:val="0"/>
                <w:sz w:val="21"/>
                <w:szCs w:val="21"/>
                <w:lang w:eastAsia="zh-CN" w:bidi="ar"/>
              </w:rPr>
              <w:t>改造</w:t>
            </w:r>
            <w:r>
              <w:rPr>
                <w:rFonts w:hint="eastAsia" w:ascii="宋体" w:hAnsi="宋体" w:eastAsia="宋体" w:cs="宋体"/>
                <w:b/>
                <w:bCs/>
                <w:color w:val="auto"/>
                <w:kern w:val="0"/>
                <w:sz w:val="21"/>
                <w:szCs w:val="21"/>
                <w:lang w:bidi="ar"/>
              </w:rPr>
              <w:t>）</w:t>
            </w:r>
          </w:p>
          <w:p w14:paraId="708B0BD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1.数据一致性统计</w:t>
            </w:r>
          </w:p>
          <w:p w14:paraId="63D5616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支持数据一致性分析对比，细致核对数据匹配度，提升数据准确率。</w:t>
            </w:r>
          </w:p>
          <w:p w14:paraId="3FCF543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支持数据一致性分析对比，支持颗粒度动态调整。</w:t>
            </w:r>
          </w:p>
        </w:tc>
      </w:tr>
      <w:tr w14:paraId="48D1E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1391211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4CA5667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1A8B947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四、准确性统计（</w:t>
            </w:r>
            <w:r>
              <w:rPr>
                <w:rFonts w:hint="eastAsia" w:ascii="宋体" w:hAnsi="宋体" w:eastAsia="宋体" w:cs="宋体"/>
                <w:b/>
                <w:bCs/>
                <w:color w:val="auto"/>
                <w:kern w:val="0"/>
                <w:sz w:val="21"/>
                <w:szCs w:val="21"/>
                <w:lang w:eastAsia="zh-CN" w:bidi="ar"/>
              </w:rPr>
              <w:t>改造</w:t>
            </w:r>
            <w:r>
              <w:rPr>
                <w:rFonts w:hint="eastAsia" w:ascii="宋体" w:hAnsi="宋体" w:eastAsia="宋体" w:cs="宋体"/>
                <w:b/>
                <w:bCs/>
                <w:color w:val="auto"/>
                <w:kern w:val="0"/>
                <w:sz w:val="21"/>
                <w:szCs w:val="21"/>
                <w:lang w:bidi="ar"/>
              </w:rPr>
              <w:t>）</w:t>
            </w:r>
          </w:p>
          <w:p w14:paraId="71BFFC6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1.数据规范性统计</w:t>
            </w:r>
          </w:p>
          <w:p w14:paraId="713F769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支持数据规范性分析对比，检验数据格式合规性，保障数据标准化。</w:t>
            </w:r>
          </w:p>
          <w:p w14:paraId="25455C6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支持数据规范性分析对比，支持颗粒度动态调整。</w:t>
            </w:r>
          </w:p>
        </w:tc>
      </w:tr>
      <w:tr w14:paraId="6BDA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1C73D32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589883A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3A8F852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五、完整性统计（</w:t>
            </w:r>
            <w:r>
              <w:rPr>
                <w:rFonts w:hint="eastAsia" w:ascii="宋体" w:hAnsi="宋体" w:eastAsia="宋体" w:cs="宋体"/>
                <w:b/>
                <w:bCs/>
                <w:color w:val="auto"/>
                <w:kern w:val="0"/>
                <w:sz w:val="21"/>
                <w:szCs w:val="21"/>
                <w:lang w:eastAsia="zh-CN" w:bidi="ar"/>
              </w:rPr>
              <w:t>改造</w:t>
            </w:r>
            <w:r>
              <w:rPr>
                <w:rFonts w:hint="eastAsia" w:ascii="宋体" w:hAnsi="宋体" w:eastAsia="宋体" w:cs="宋体"/>
                <w:b/>
                <w:bCs/>
                <w:color w:val="auto"/>
                <w:kern w:val="0"/>
                <w:sz w:val="21"/>
                <w:szCs w:val="21"/>
                <w:lang w:bidi="ar"/>
              </w:rPr>
              <w:t>）</w:t>
            </w:r>
          </w:p>
          <w:p w14:paraId="6BF8104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1.数据完整性分析</w:t>
            </w:r>
          </w:p>
          <w:p w14:paraId="41B5A54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支持数据完整性分析对比，检查数据覆盖范围，避免信息遗漏。</w:t>
            </w:r>
          </w:p>
          <w:p w14:paraId="50006F6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支持数据完整性分析对比，支持颗粒度动态调整。</w:t>
            </w:r>
          </w:p>
        </w:tc>
      </w:tr>
      <w:tr w14:paraId="3056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7EF0169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57C4BEF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73FD03A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六、稳定性统计（</w:t>
            </w:r>
            <w:r>
              <w:rPr>
                <w:rFonts w:hint="eastAsia" w:ascii="宋体" w:hAnsi="宋体" w:eastAsia="宋体" w:cs="宋体"/>
                <w:b/>
                <w:bCs/>
                <w:color w:val="auto"/>
                <w:kern w:val="0"/>
                <w:sz w:val="21"/>
                <w:szCs w:val="21"/>
                <w:lang w:eastAsia="zh-CN" w:bidi="ar"/>
              </w:rPr>
              <w:t>改造</w:t>
            </w:r>
            <w:r>
              <w:rPr>
                <w:rFonts w:hint="eastAsia" w:ascii="宋体" w:hAnsi="宋体" w:eastAsia="宋体" w:cs="宋体"/>
                <w:b/>
                <w:bCs/>
                <w:color w:val="auto"/>
                <w:kern w:val="0"/>
                <w:sz w:val="21"/>
                <w:szCs w:val="21"/>
                <w:lang w:bidi="ar"/>
              </w:rPr>
              <w:t>）</w:t>
            </w:r>
          </w:p>
          <w:p w14:paraId="6D3A215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1.稳定性统计</w:t>
            </w:r>
          </w:p>
          <w:p w14:paraId="771099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支持数据稳定性分析对比，监测数据波动，确保数据可靠性。</w:t>
            </w:r>
          </w:p>
          <w:p w14:paraId="013B2EE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支持数据稳定性分析对比，支持颗粒度动态调整。</w:t>
            </w:r>
          </w:p>
        </w:tc>
      </w:tr>
      <w:tr w14:paraId="607AE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5D30D8A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2936661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655C3E2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七、考核评估设置（</w:t>
            </w:r>
            <w:r>
              <w:rPr>
                <w:rFonts w:hint="eastAsia" w:ascii="宋体" w:hAnsi="宋体" w:eastAsia="宋体" w:cs="宋体"/>
                <w:b/>
                <w:bCs/>
                <w:color w:val="auto"/>
                <w:kern w:val="0"/>
                <w:sz w:val="21"/>
                <w:szCs w:val="21"/>
                <w:lang w:eastAsia="zh-CN" w:bidi="ar"/>
              </w:rPr>
              <w:t>改造</w:t>
            </w:r>
            <w:r>
              <w:rPr>
                <w:rFonts w:hint="eastAsia" w:ascii="宋体" w:hAnsi="宋体" w:eastAsia="宋体" w:cs="宋体"/>
                <w:b/>
                <w:bCs/>
                <w:color w:val="auto"/>
                <w:kern w:val="0"/>
                <w:sz w:val="21"/>
                <w:szCs w:val="21"/>
                <w:lang w:bidi="ar"/>
              </w:rPr>
              <w:t>）</w:t>
            </w:r>
          </w:p>
          <w:p w14:paraId="359CA3E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1.指标管理</w:t>
            </w:r>
          </w:p>
          <w:p w14:paraId="56984F8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支持指标基本信息维护管理，构建指标体系，支撑绩效评价。</w:t>
            </w:r>
          </w:p>
          <w:p w14:paraId="7C91A6F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支持指标信息刷新，实时更新指标数据，反映最新业务状况。</w:t>
            </w:r>
          </w:p>
          <w:p w14:paraId="4D39DE3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支持指标权重配置，调整指标重要性，优化评价体系。</w:t>
            </w:r>
          </w:p>
          <w:p w14:paraId="7281ACE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2.指标类型管理</w:t>
            </w:r>
          </w:p>
          <w:p w14:paraId="07E327B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支持指标类型维护，细化指标分类，满足多样化需求。</w:t>
            </w:r>
          </w:p>
          <w:p w14:paraId="17D086C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支持子类型指标维护，深化指标层次，丰富评价维度。</w:t>
            </w:r>
          </w:p>
          <w:p w14:paraId="3609DB4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支持指标类型信息管理，维护指标类型库，确保信息齐全。</w:t>
            </w:r>
          </w:p>
          <w:p w14:paraId="19EA407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3.阈值权重管理</w:t>
            </w:r>
          </w:p>
          <w:p w14:paraId="6C397F2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支持质控分数阈值权重动态分配，灵活调整评价标准，适应变化环境。</w:t>
            </w:r>
          </w:p>
          <w:p w14:paraId="2BC91FC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支持质控分数阈值维护管理，设定评价界限，引导目标达成。</w:t>
            </w:r>
          </w:p>
        </w:tc>
      </w:tr>
      <w:tr w14:paraId="35B7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29CECCC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44BA2CF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0826C6E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八、数据质控总览（新增）</w:t>
            </w:r>
          </w:p>
          <w:p w14:paraId="2A0608A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1.质控总览</w:t>
            </w:r>
          </w:p>
          <w:p w14:paraId="471F60E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支持质控耗时及效率分析统计展示，评估质控流程，优化作业效率。</w:t>
            </w:r>
          </w:p>
          <w:p w14:paraId="3C89D85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支持数据质控过程中</w:t>
            </w:r>
          </w:p>
          <w:p w14:paraId="087716F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支持雷达图展示数据质控分数情况，支持动态展示雷达分数效果</w:t>
            </w:r>
          </w:p>
          <w:p w14:paraId="06186FE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支持以条形图形式展示数据质控问题数量</w:t>
            </w:r>
          </w:p>
          <w:p w14:paraId="658F364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支持质控结果数据按照高频问题排序展示</w:t>
            </w:r>
          </w:p>
          <w:p w14:paraId="44B1B0E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支持区县\机构分数统计展示，支持区县机构切换联动展示</w:t>
            </w:r>
          </w:p>
          <w:p w14:paraId="4C79C07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2.质控日历</w:t>
            </w:r>
          </w:p>
          <w:p w14:paraId="070EB23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支持统计质控任务对应每日质控分数展示</w:t>
            </w:r>
          </w:p>
          <w:p w14:paraId="5E98A32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支持对每日质控结果的数据量统计分析汇总</w:t>
            </w:r>
          </w:p>
          <w:p w14:paraId="3FC2AFE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支持对每日的质控数据结果分布统计分析</w:t>
            </w:r>
          </w:p>
          <w:p w14:paraId="01FDAD1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3.待办事务</w:t>
            </w:r>
          </w:p>
          <w:p w14:paraId="16EC0CB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支持待办处理问题展示功能，支持手动自动任务切换。</w:t>
            </w:r>
          </w:p>
          <w:p w14:paraId="779AC2A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支持对任务进行选择，可查看每一天的得分情况，以及当天的质控数据。</w:t>
            </w:r>
          </w:p>
          <w:p w14:paraId="415864D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支持待办事务面板快速进行重新算分操作</w:t>
            </w:r>
          </w:p>
          <w:p w14:paraId="5439A70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支持对待办考核分数进行配置，具备动态把控待办事务能力</w:t>
            </w:r>
          </w:p>
        </w:tc>
      </w:tr>
      <w:tr w14:paraId="49C1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1CFC10E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4B08D17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29A9FA6E">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九、数据质量管理（新增）</w:t>
            </w:r>
          </w:p>
          <w:p w14:paraId="1ABCE15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1.质控维度分析</w:t>
            </w:r>
          </w:p>
          <w:p w14:paraId="7C22DB3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支持对质控维度问题进行汇总统计，支持每个维度汇总分析</w:t>
            </w:r>
          </w:p>
          <w:p w14:paraId="46F5A96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支持质控维度问题一键导出</w:t>
            </w:r>
          </w:p>
          <w:p w14:paraId="492CD13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2.数据集质量分析</w:t>
            </w:r>
          </w:p>
          <w:p w14:paraId="50E3557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支持根据平台各数据集进行质控问题汇总分析</w:t>
            </w:r>
          </w:p>
          <w:p w14:paraId="636704B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支持质控数据集问题一键导出，便于管理员给机构下发表格文档，机构配合快速整改</w:t>
            </w:r>
          </w:p>
          <w:p w14:paraId="5D94FD9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3.质控问题列表</w:t>
            </w:r>
          </w:p>
          <w:p w14:paraId="583B7E9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支持提供平台所有质控得出的问题数据列表</w:t>
            </w:r>
          </w:p>
          <w:p w14:paraId="788D3B2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支持质控问题明细一键导出，便于管理员给机构下发表格文档，机构配合快速整改。</w:t>
            </w:r>
          </w:p>
        </w:tc>
      </w:tr>
      <w:tr w14:paraId="6596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7912B61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0E234E4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vMerge w:val="restart"/>
            <w:tcBorders>
              <w:tl2br w:val="nil"/>
              <w:tr2bl w:val="nil"/>
            </w:tcBorders>
            <w:noWrap w:val="0"/>
            <w:vAlign w:val="center"/>
          </w:tcPr>
          <w:p w14:paraId="7763C0B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十、方案计划管理（新增）</w:t>
            </w:r>
          </w:p>
          <w:p w14:paraId="33B6417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1.质控方案</w:t>
            </w:r>
          </w:p>
          <w:p w14:paraId="5C10F3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支持设置不同的质控方案主题，便于开展个性化的质控方案进行质控</w:t>
            </w:r>
          </w:p>
          <w:p w14:paraId="0A77CE6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支持对方案进行配置，包含方案名称、方案调度频率、方案得分、方案指标配置等。</w:t>
            </w:r>
          </w:p>
          <w:p w14:paraId="1FA2D3FA">
            <w:pPr>
              <w:widowControl w:val="0"/>
              <w:adjustRightInd w:val="0"/>
              <w:snapToGrid w:val="0"/>
              <w:spacing w:after="120" w:afterLines="0" w:afterAutospacing="0"/>
              <w:jc w:val="both"/>
              <w:textAlignment w:val="center"/>
              <w:rPr>
                <w:rFonts w:hint="eastAsia" w:ascii="宋体" w:hAnsi="宋体" w:eastAsia="宋体" w:cs="宋体"/>
                <w:color w:val="auto"/>
                <w:kern w:val="0"/>
                <w:sz w:val="21"/>
                <w:szCs w:val="21"/>
                <w:lang w:val="en-US" w:eastAsia="zh-CN" w:bidi="ar"/>
              </w:rPr>
            </w:pPr>
            <w:r>
              <w:rPr>
                <w:rFonts w:hint="eastAsia" w:ascii="Calibri" w:hAnsi="Calibri" w:eastAsia="宋体" w:cs="Times New Roman"/>
                <w:color w:val="auto"/>
                <w:kern w:val="2"/>
                <w:sz w:val="21"/>
                <w:szCs w:val="21"/>
                <w:lang w:val="en-US" w:eastAsia="zh-CN" w:bidi="ar"/>
              </w:rPr>
              <w:t>支持对质控方案规则进行准确性、逻辑性、完整性、及时性和稳定性等维度的权重设置，提供不同规则维度倾斜分数的手动设置和自动生成功能</w:t>
            </w:r>
          </w:p>
          <w:p w14:paraId="154778B3">
            <w:pPr>
              <w:rPr>
                <w:rFonts w:ascii="Calibri" w:hAnsi="Calibri" w:eastAsia="宋体" w:cs="Times New Roman"/>
                <w:color w:val="auto"/>
                <w:sz w:val="21"/>
                <w:szCs w:val="21"/>
              </w:rPr>
            </w:pPr>
          </w:p>
          <w:p w14:paraId="4A26D79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支持对方案进行版本迭代，快速迭代方案。</w:t>
            </w:r>
          </w:p>
          <w:p w14:paraId="63C9946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支持手动触发质控方案，支持自定义处理质控数据任务。</w:t>
            </w:r>
          </w:p>
          <w:p w14:paraId="6C043D3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支持对方案所属指标进行权重配置，支持分组管理配置。</w:t>
            </w:r>
          </w:p>
          <w:p w14:paraId="057D109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2.质控进度</w:t>
            </w:r>
          </w:p>
          <w:p w14:paraId="5671238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支持查看质控服务器的使用情况，支持对质控资源服务器动态调配，支持动态弹扩处理。</w:t>
            </w:r>
          </w:p>
          <w:p w14:paraId="5F00159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支持对质控进度动态查看，实时任务处理情况查看，支持异常明细查看。</w:t>
            </w:r>
          </w:p>
          <w:p w14:paraId="38C2B24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支持对排队中的质控任务进行动态调度，支持置顶任务操作。</w:t>
            </w:r>
          </w:p>
        </w:tc>
      </w:tr>
      <w:tr w14:paraId="46C60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88" w:type="dxa"/>
            <w:vMerge w:val="continue"/>
            <w:tcBorders>
              <w:tl2br w:val="nil"/>
              <w:tr2bl w:val="nil"/>
            </w:tcBorders>
            <w:noWrap w:val="0"/>
            <w:vAlign w:val="center"/>
          </w:tcPr>
          <w:p w14:paraId="5761ACA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3A42413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tcBorders>
              <w:tl2br w:val="nil"/>
              <w:tr2bl w:val="nil"/>
            </w:tcBorders>
            <w:noWrap w:val="0"/>
            <w:vAlign w:val="center"/>
          </w:tcPr>
          <w:p w14:paraId="3A20B0B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十一、基础管理（新增）</w:t>
            </w:r>
          </w:p>
          <w:p w14:paraId="5CEE7DA1">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1.质控规则管理</w:t>
            </w:r>
          </w:p>
          <w:p w14:paraId="1E2DBC5F">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支持自定义创建质控规则专题，支持对不同规则进行分类管理。</w:t>
            </w:r>
          </w:p>
          <w:p w14:paraId="28087A93">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支持质控规则的基本信息配置，支持自定义表自定义字段，自定义维度规则配置。</w:t>
            </w:r>
          </w:p>
          <w:p w14:paraId="2BEE9D3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支持质控规则下钻字段自定义配置。</w:t>
            </w:r>
          </w:p>
        </w:tc>
      </w:tr>
      <w:tr w14:paraId="5D9C2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88" w:type="dxa"/>
            <w:vMerge w:val="continue"/>
            <w:tcBorders>
              <w:tl2br w:val="nil"/>
              <w:tr2bl w:val="nil"/>
            </w:tcBorders>
            <w:noWrap w:val="0"/>
            <w:vAlign w:val="center"/>
          </w:tcPr>
          <w:p w14:paraId="1E14A85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6E8FEA2C">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tcBorders>
              <w:tl2br w:val="nil"/>
              <w:tr2bl w:val="nil"/>
            </w:tcBorders>
            <w:noWrap w:val="0"/>
            <w:vAlign w:val="center"/>
          </w:tcPr>
          <w:p w14:paraId="1D32943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b/>
                <w:bCs/>
                <w:color w:val="auto"/>
                <w:kern w:val="0"/>
                <w:sz w:val="21"/>
                <w:szCs w:val="21"/>
                <w:lang w:eastAsia="zh-CN" w:bidi="ar"/>
              </w:rPr>
            </w:pPr>
            <w:r>
              <w:rPr>
                <w:rFonts w:hint="eastAsia" w:ascii="宋体" w:hAnsi="宋体" w:eastAsia="宋体" w:cs="宋体"/>
                <w:b/>
                <w:bCs/>
                <w:color w:val="auto"/>
                <w:kern w:val="0"/>
                <w:sz w:val="21"/>
                <w:szCs w:val="21"/>
                <w:lang w:bidi="ar"/>
              </w:rPr>
              <w:t>十二、数据对账监管（新增）</w:t>
            </w:r>
          </w:p>
          <w:p w14:paraId="499FC24D">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1.对账结果分析</w:t>
            </w:r>
          </w:p>
          <w:p w14:paraId="492478C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支持对不同数据表进行对账分析、支持单表对账明细查看、支持重新对账等。</w:t>
            </w:r>
          </w:p>
          <w:p w14:paraId="57D0D09A">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支持对指标级对账进行统计分析、支持重新对账、支持查看对账明细</w:t>
            </w:r>
          </w:p>
          <w:p w14:paraId="695EE4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2.对账日历</w:t>
            </w:r>
          </w:p>
          <w:p w14:paraId="15718F32">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支持按日汇总统计对账结果，统计每日不同对账类型对账率分析。</w:t>
            </w:r>
          </w:p>
          <w:p w14:paraId="3F9031C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支持每月对账月报查询，统计每月通过次数和未通过次数占比，支持不同类型对账通过率查询展示。</w:t>
            </w:r>
          </w:p>
          <w:p w14:paraId="3E87387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3.对账指标配置</w:t>
            </w:r>
          </w:p>
          <w:p w14:paraId="47A4C28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支持指标级对账的指标配置管理，包括指标的增删查改等功能流程</w:t>
            </w:r>
          </w:p>
          <w:p w14:paraId="7C2A6D0B">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支持对账指标和对账机构进行配置处理，自定义每个指标对应的机构。</w:t>
            </w:r>
          </w:p>
        </w:tc>
      </w:tr>
      <w:tr w14:paraId="33DDD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88" w:type="dxa"/>
            <w:vMerge w:val="continue"/>
            <w:tcBorders>
              <w:tl2br w:val="nil"/>
              <w:tr2bl w:val="nil"/>
            </w:tcBorders>
            <w:noWrap w:val="0"/>
            <w:vAlign w:val="center"/>
          </w:tcPr>
          <w:p w14:paraId="29632485">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lang w:val="en-US" w:eastAsia="zh-CN"/>
              </w:rPr>
            </w:pPr>
          </w:p>
        </w:tc>
        <w:tc>
          <w:tcPr>
            <w:tcW w:w="788" w:type="dxa"/>
            <w:vMerge w:val="continue"/>
            <w:tcBorders>
              <w:tl2br w:val="nil"/>
              <w:tr2bl w:val="nil"/>
            </w:tcBorders>
            <w:noWrap w:val="0"/>
            <w:vAlign w:val="center"/>
          </w:tcPr>
          <w:p w14:paraId="47D30D7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rPr>
                <w:rFonts w:hint="eastAsia" w:ascii="宋体" w:hAnsi="宋体" w:eastAsia="宋体" w:cs="宋体"/>
                <w:color w:val="auto"/>
                <w:sz w:val="21"/>
                <w:szCs w:val="21"/>
              </w:rPr>
            </w:pPr>
          </w:p>
        </w:tc>
        <w:tc>
          <w:tcPr>
            <w:tcW w:w="7485" w:type="dxa"/>
            <w:tcBorders>
              <w:tl2br w:val="nil"/>
              <w:tr2bl w:val="nil"/>
            </w:tcBorders>
            <w:noWrap w:val="0"/>
            <w:vAlign w:val="center"/>
          </w:tcPr>
          <w:p w14:paraId="117D8894">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十三、数据分级分类</w:t>
            </w:r>
          </w:p>
          <w:p w14:paraId="05E1052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center"/>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根据国家、地方或行业法律法规，结合医疗数据分类分级标准和数据资产现状，开展数据分类分级工作，确定数据安全分类分级方案；依据分类分级方案对数据表和字段进行数据分类分级标识。</w:t>
            </w:r>
          </w:p>
        </w:tc>
      </w:tr>
    </w:tbl>
    <w:p w14:paraId="1599E2AB">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08E3FDA9">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中心交换库（新建）</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847"/>
        <w:gridCol w:w="6829"/>
      </w:tblGrid>
      <w:tr w14:paraId="03CB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48D0D636">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序号</w:t>
            </w:r>
          </w:p>
        </w:tc>
        <w:tc>
          <w:tcPr>
            <w:tcW w:w="754" w:type="dxa"/>
            <w:tcBorders>
              <w:tl2br w:val="nil"/>
              <w:tr2bl w:val="nil"/>
            </w:tcBorders>
            <w:noWrap w:val="0"/>
            <w:vAlign w:val="center"/>
          </w:tcPr>
          <w:p w14:paraId="44C132C4">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6081" w:type="dxa"/>
            <w:tcBorders>
              <w:tl2br w:val="nil"/>
              <w:tr2bl w:val="nil"/>
            </w:tcBorders>
            <w:noWrap w:val="0"/>
            <w:vAlign w:val="center"/>
          </w:tcPr>
          <w:p w14:paraId="4D9E4BE9">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5157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noWrap w:val="0"/>
            <w:vAlign w:val="center"/>
          </w:tcPr>
          <w:p w14:paraId="62B018B0">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754" w:type="dxa"/>
            <w:tcBorders>
              <w:tl2br w:val="nil"/>
              <w:tr2bl w:val="nil"/>
            </w:tcBorders>
            <w:noWrap w:val="0"/>
            <w:vAlign w:val="center"/>
          </w:tcPr>
          <w:p w14:paraId="7CB95608">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中心交换库</w:t>
            </w:r>
          </w:p>
        </w:tc>
        <w:tc>
          <w:tcPr>
            <w:tcW w:w="6081" w:type="dxa"/>
            <w:tcBorders>
              <w:tl2br w:val="nil"/>
              <w:tr2bl w:val="nil"/>
            </w:tcBorders>
            <w:noWrap w:val="0"/>
            <w:vAlign w:val="center"/>
          </w:tcPr>
          <w:p w14:paraId="2EEF95A7">
            <w:pPr>
              <w:keepNext w:val="0"/>
              <w:keepLines w:val="0"/>
              <w:pageBreakBefore w:val="0"/>
              <w:widowControl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支持为各个医院提供数据高铁的数据传输途径，是医院与全民健康信息平台数据中心之间的缓存库，支持存储医疗机构、其他业务条线的相关数据。</w:t>
            </w:r>
          </w:p>
        </w:tc>
      </w:tr>
    </w:tbl>
    <w:p w14:paraId="7BC52074">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3B7F9B10">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数据中心</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734"/>
        <w:gridCol w:w="747"/>
        <w:gridCol w:w="7041"/>
      </w:tblGrid>
      <w:tr w14:paraId="235B6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026F7065">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754" w:type="dxa"/>
            <w:tcBorders>
              <w:tl2br w:val="nil"/>
              <w:tr2bl w:val="nil"/>
            </w:tcBorders>
            <w:shd w:val="clear" w:color="auto" w:fill="auto"/>
            <w:noWrap w:val="0"/>
            <w:vAlign w:val="center"/>
          </w:tcPr>
          <w:p w14:paraId="3FE00CDC">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7459" w:type="dxa"/>
            <w:tcBorders>
              <w:tl2br w:val="nil"/>
              <w:tr2bl w:val="nil"/>
            </w:tcBorders>
            <w:shd w:val="clear" w:color="auto" w:fill="auto"/>
            <w:noWrap w:val="0"/>
            <w:vAlign w:val="center"/>
          </w:tcPr>
          <w:p w14:paraId="3D38D2B5">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36C23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1BB1AF15">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3215DAE8">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vMerge w:val="restart"/>
            <w:tcBorders>
              <w:tl2br w:val="nil"/>
              <w:tr2bl w:val="nil"/>
            </w:tcBorders>
            <w:shd w:val="clear" w:color="auto" w:fill="auto"/>
            <w:noWrap w:val="0"/>
            <w:vAlign w:val="center"/>
          </w:tcPr>
          <w:p w14:paraId="7C9CE53E">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全员人口库</w:t>
            </w:r>
          </w:p>
        </w:tc>
        <w:tc>
          <w:tcPr>
            <w:tcW w:w="7459" w:type="dxa"/>
            <w:vMerge w:val="restart"/>
            <w:tcBorders>
              <w:tl2br w:val="nil"/>
              <w:tr2bl w:val="nil"/>
            </w:tcBorders>
            <w:shd w:val="clear" w:color="auto" w:fill="auto"/>
            <w:noWrap w:val="0"/>
            <w:vAlign w:val="center"/>
          </w:tcPr>
          <w:p w14:paraId="5B6C178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1.常驻人口库（</w:t>
            </w:r>
            <w:r>
              <w:rPr>
                <w:rFonts w:hint="eastAsia" w:ascii="宋体" w:hAnsi="宋体" w:eastAsia="宋体" w:cs="宋体"/>
                <w:color w:val="auto"/>
                <w:kern w:val="0"/>
                <w:sz w:val="21"/>
                <w:szCs w:val="21"/>
                <w:lang w:eastAsia="zh-CN" w:bidi="ar"/>
              </w:rPr>
              <w:t>改造</w:t>
            </w:r>
            <w:r>
              <w:rPr>
                <w:rFonts w:hint="eastAsia" w:ascii="宋体" w:hAnsi="宋体" w:eastAsia="宋体" w:cs="宋体"/>
                <w:color w:val="auto"/>
                <w:kern w:val="0"/>
                <w:sz w:val="21"/>
                <w:szCs w:val="21"/>
                <w:lang w:bidi="ar"/>
              </w:rPr>
              <w:t>）</w:t>
            </w:r>
          </w:p>
          <w:p w14:paraId="23773BB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支持常住人口信息的归集</w:t>
            </w:r>
          </w:p>
          <w:p w14:paraId="65C3A5D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2.流动人口库（新增）</w:t>
            </w:r>
          </w:p>
          <w:p w14:paraId="149E1AE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支持流动人口信息的归集</w:t>
            </w:r>
          </w:p>
          <w:p w14:paraId="778E8F4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3.民政来源人口库（新增）</w:t>
            </w:r>
          </w:p>
          <w:p w14:paraId="39B8D3D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支持民政来源的人口信息的归集</w:t>
            </w:r>
          </w:p>
        </w:tc>
      </w:tr>
      <w:tr w14:paraId="28A43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7E1288FA">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2</w:t>
            </w:r>
          </w:p>
        </w:tc>
        <w:tc>
          <w:tcPr>
            <w:tcW w:w="754" w:type="dxa"/>
            <w:vMerge w:val="restart"/>
            <w:tcBorders>
              <w:tl2br w:val="nil"/>
              <w:tr2bl w:val="nil"/>
            </w:tcBorders>
            <w:shd w:val="clear" w:color="auto" w:fill="auto"/>
            <w:noWrap w:val="0"/>
            <w:vAlign w:val="center"/>
          </w:tcPr>
          <w:p w14:paraId="4F07B5E5">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健康档案库</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改造</w:t>
            </w:r>
            <w:r>
              <w:rPr>
                <w:rFonts w:hint="eastAsia" w:ascii="宋体" w:hAnsi="宋体" w:eastAsia="宋体" w:cs="宋体"/>
                <w:color w:val="auto"/>
                <w:kern w:val="0"/>
                <w:sz w:val="21"/>
                <w:szCs w:val="21"/>
                <w:lang w:eastAsia="zh-CN" w:bidi="ar"/>
              </w:rPr>
              <w:t>）</w:t>
            </w:r>
          </w:p>
        </w:tc>
        <w:tc>
          <w:tcPr>
            <w:tcW w:w="7459" w:type="dxa"/>
            <w:vMerge w:val="restart"/>
            <w:tcBorders>
              <w:tl2br w:val="nil"/>
              <w:tr2bl w:val="nil"/>
            </w:tcBorders>
            <w:shd w:val="clear" w:color="auto" w:fill="auto"/>
            <w:noWrap w:val="0"/>
            <w:vAlign w:val="center"/>
          </w:tcPr>
          <w:p w14:paraId="0FAA4D1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1.健康档案</w:t>
            </w:r>
          </w:p>
          <w:p w14:paraId="1252C6C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支持健康档案数据的归集，如健康档案基本信息，家庭档案信息等</w:t>
            </w:r>
          </w:p>
          <w:p w14:paraId="2429783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2.高血压管理</w:t>
            </w:r>
          </w:p>
          <w:p w14:paraId="346AF6D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支持高血压管理数据的归集，如高血压报告卡信息，高血压管理档案，高血压分级记录，随访记录等</w:t>
            </w:r>
          </w:p>
          <w:p w14:paraId="2F0A93C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3.糖尿病管理</w:t>
            </w:r>
          </w:p>
          <w:p w14:paraId="7B5C76E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支持糖尿病管理数据的归集，如糖尿病报告卡信息，糖尿病管理档案，糖尿病分级记录，随访记录等</w:t>
            </w:r>
          </w:p>
          <w:p w14:paraId="29728A9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4.心脑血管管理</w:t>
            </w:r>
          </w:p>
          <w:p w14:paraId="7D2A40D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支持心脑血管管理数据的归集，如心脑血管报告卡信息，心脑血管管理档案，随访记录等</w:t>
            </w:r>
          </w:p>
          <w:p w14:paraId="0880593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5.健康体检</w:t>
            </w:r>
          </w:p>
          <w:p w14:paraId="77DBB1C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支持健康体检数据的归集，如体检基础信息，查体，辅助检查等相关信息</w:t>
            </w:r>
          </w:p>
          <w:p w14:paraId="729DC42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6.中医药健康</w:t>
            </w:r>
          </w:p>
          <w:p w14:paraId="243AB9E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支持中医药健康数据的归集，如中医体质辨识信息，儿童中医药健康管理信息等</w:t>
            </w:r>
          </w:p>
          <w:p w14:paraId="468A304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7.妇幼保健</w:t>
            </w:r>
          </w:p>
          <w:p w14:paraId="603B927E">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支持妇幼保健数据的归集，如孕产妇产前访视记录，孕产妇产后访视记录，儿童保健记录等</w:t>
            </w:r>
          </w:p>
          <w:p w14:paraId="6F2387C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8.计划免疫</w:t>
            </w:r>
          </w:p>
          <w:p w14:paraId="1C078C4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支持计划免疫数据归集，如儿童预防接种记录，接种副反应记录等</w:t>
            </w:r>
          </w:p>
        </w:tc>
      </w:tr>
      <w:tr w14:paraId="40C84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44700A3C">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3</w:t>
            </w:r>
          </w:p>
        </w:tc>
        <w:tc>
          <w:tcPr>
            <w:tcW w:w="754" w:type="dxa"/>
            <w:vMerge w:val="restart"/>
            <w:tcBorders>
              <w:tl2br w:val="nil"/>
              <w:tr2bl w:val="nil"/>
            </w:tcBorders>
            <w:shd w:val="clear" w:color="auto" w:fill="auto"/>
            <w:noWrap w:val="0"/>
            <w:vAlign w:val="center"/>
          </w:tcPr>
          <w:p w14:paraId="3DDA05CA">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电子病历库</w:t>
            </w:r>
          </w:p>
        </w:tc>
        <w:tc>
          <w:tcPr>
            <w:tcW w:w="7459" w:type="dxa"/>
            <w:vMerge w:val="restart"/>
            <w:tcBorders>
              <w:tl2br w:val="nil"/>
              <w:tr2bl w:val="nil"/>
            </w:tcBorders>
            <w:shd w:val="clear" w:color="auto" w:fill="auto"/>
            <w:noWrap w:val="0"/>
            <w:vAlign w:val="center"/>
          </w:tcPr>
          <w:p w14:paraId="53AF88A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1.门(急)诊病历</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改造</w:t>
            </w:r>
            <w:r>
              <w:rPr>
                <w:rFonts w:hint="eastAsia" w:ascii="宋体" w:hAnsi="宋体" w:eastAsia="宋体" w:cs="宋体"/>
                <w:color w:val="auto"/>
                <w:kern w:val="0"/>
                <w:sz w:val="21"/>
                <w:szCs w:val="21"/>
                <w:lang w:eastAsia="zh-CN" w:bidi="ar"/>
              </w:rPr>
              <w:t>）</w:t>
            </w:r>
          </w:p>
          <w:p w14:paraId="71E98AA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支持门(急)诊病历数据的归集，例如门诊电子病历，门诊就诊记录门诊挂号记录等相关数据</w:t>
            </w:r>
          </w:p>
          <w:p w14:paraId="1F5E74F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2.住院病案首页</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3AF6814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支持病案首页数据的归集，如病案首页信息，病案首页诊断信息，病案首页手术麻醉信息等</w:t>
            </w:r>
          </w:p>
          <w:p w14:paraId="5A3A223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3.住院病程记录</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34103FF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支持病程记录数据的归集，如首次病程记录，日常病程记录，上级医师查房记录等</w:t>
            </w:r>
          </w:p>
          <w:p w14:paraId="6EF235E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4.护理记录</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70527B3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支持护理记录数据的归集，如一般护理记录，危急重症记录等</w:t>
            </w:r>
          </w:p>
          <w:p w14:paraId="4B9561D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5.手术记录</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30ABD2F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支持手术记录数据的归集，如一般手术记录，手术申请单等</w:t>
            </w:r>
          </w:p>
          <w:p w14:paraId="4B2BD91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6.麻醉记录</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16A8A20E">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支持麻醉记录数据的归集，如术前麻醉小结，手术麻醉记录等</w:t>
            </w:r>
          </w:p>
          <w:p w14:paraId="19CE39E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7.知情同意书</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126C618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支持知情同意书数据的归集，如输血治疗同意书等</w:t>
            </w:r>
          </w:p>
          <w:p w14:paraId="1FB2CFA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支持住院诊疗数据的归集，如住院登记信息，住院医嘱信息，住院治疗信息等</w:t>
            </w:r>
          </w:p>
          <w:p w14:paraId="7CF92787">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支持检查检验数据的归集，如检查记录，检验记录，检查/检验申请信息等</w:t>
            </w:r>
          </w:p>
          <w:p w14:paraId="38A0F66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支持治疗记录数据的归集，如门诊治疗记录等</w:t>
            </w:r>
          </w:p>
        </w:tc>
      </w:tr>
      <w:tr w14:paraId="1818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16443520">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4</w:t>
            </w:r>
          </w:p>
        </w:tc>
        <w:tc>
          <w:tcPr>
            <w:tcW w:w="754" w:type="dxa"/>
            <w:vMerge w:val="restart"/>
            <w:tcBorders>
              <w:tl2br w:val="nil"/>
              <w:tr2bl w:val="nil"/>
            </w:tcBorders>
            <w:shd w:val="clear" w:color="auto" w:fill="auto"/>
            <w:noWrap w:val="0"/>
            <w:vAlign w:val="center"/>
          </w:tcPr>
          <w:p w14:paraId="7779A8C4">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运营数据库</w:t>
            </w:r>
          </w:p>
        </w:tc>
        <w:tc>
          <w:tcPr>
            <w:tcW w:w="7459" w:type="dxa"/>
            <w:vMerge w:val="restart"/>
            <w:tcBorders>
              <w:tl2br w:val="nil"/>
              <w:tr2bl w:val="nil"/>
            </w:tcBorders>
            <w:shd w:val="clear" w:color="auto" w:fill="auto"/>
            <w:noWrap w:val="0"/>
            <w:vAlign w:val="center"/>
          </w:tcPr>
          <w:p w14:paraId="561BCD4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1.医院收费信息（</w:t>
            </w:r>
            <w:r>
              <w:rPr>
                <w:rFonts w:hint="eastAsia" w:ascii="宋体" w:hAnsi="宋体" w:eastAsia="宋体" w:cs="宋体"/>
                <w:color w:val="auto"/>
                <w:kern w:val="0"/>
                <w:sz w:val="21"/>
                <w:szCs w:val="21"/>
                <w:lang w:eastAsia="zh-CN" w:bidi="ar"/>
              </w:rPr>
              <w:t>改造</w:t>
            </w:r>
            <w:r>
              <w:rPr>
                <w:rFonts w:hint="eastAsia" w:ascii="宋体" w:hAnsi="宋体" w:eastAsia="宋体" w:cs="宋体"/>
                <w:color w:val="auto"/>
                <w:kern w:val="0"/>
                <w:sz w:val="21"/>
                <w:szCs w:val="21"/>
                <w:lang w:bidi="ar"/>
              </w:rPr>
              <w:t>）</w:t>
            </w:r>
          </w:p>
          <w:p w14:paraId="7288552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支持医疗机构收费数据的归集，如门诊收费信息，住院收费信息，医保结算信息等</w:t>
            </w:r>
          </w:p>
          <w:p w14:paraId="302A2E6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2.人力资源信息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10D8B80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支持人力资源数据的归集，如人员职称职务，人员科研学术等信息</w:t>
            </w:r>
          </w:p>
          <w:p w14:paraId="04627F8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3.财务信息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20E03F1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支持财务信息的归集，如财务收入信息等</w:t>
            </w:r>
          </w:p>
          <w:p w14:paraId="0826606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4.物资耗材信息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740767A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支持物资耗材数据的归集，如物资采购信息，物资入库信息等</w:t>
            </w:r>
          </w:p>
        </w:tc>
      </w:tr>
      <w:tr w14:paraId="605A8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31BC20C7">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5</w:t>
            </w:r>
          </w:p>
        </w:tc>
        <w:tc>
          <w:tcPr>
            <w:tcW w:w="754" w:type="dxa"/>
            <w:vMerge w:val="restart"/>
            <w:tcBorders>
              <w:tl2br w:val="nil"/>
              <w:tr2bl w:val="nil"/>
            </w:tcBorders>
            <w:shd w:val="clear" w:color="auto" w:fill="auto"/>
            <w:noWrap w:val="0"/>
            <w:vAlign w:val="center"/>
          </w:tcPr>
          <w:p w14:paraId="3377C1B0">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基础资源库</w:t>
            </w:r>
          </w:p>
        </w:tc>
        <w:tc>
          <w:tcPr>
            <w:tcW w:w="7459" w:type="dxa"/>
            <w:vMerge w:val="restart"/>
            <w:tcBorders>
              <w:tl2br w:val="nil"/>
              <w:tr2bl w:val="nil"/>
            </w:tcBorders>
            <w:shd w:val="clear" w:color="auto" w:fill="auto"/>
            <w:noWrap w:val="0"/>
            <w:vAlign w:val="center"/>
          </w:tcPr>
          <w:p w14:paraId="20FF5AE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1.医疗机构信息（</w:t>
            </w:r>
            <w:r>
              <w:rPr>
                <w:rFonts w:hint="eastAsia" w:ascii="宋体" w:hAnsi="宋体" w:eastAsia="宋体" w:cs="宋体"/>
                <w:color w:val="auto"/>
                <w:kern w:val="0"/>
                <w:sz w:val="21"/>
                <w:szCs w:val="21"/>
                <w:lang w:eastAsia="zh-CN" w:bidi="ar"/>
              </w:rPr>
              <w:t>改造</w:t>
            </w:r>
            <w:r>
              <w:rPr>
                <w:rFonts w:hint="eastAsia" w:ascii="宋体" w:hAnsi="宋体" w:eastAsia="宋体" w:cs="宋体"/>
                <w:color w:val="auto"/>
                <w:kern w:val="0"/>
                <w:sz w:val="21"/>
                <w:szCs w:val="21"/>
                <w:lang w:bidi="ar"/>
              </w:rPr>
              <w:t>）</w:t>
            </w:r>
          </w:p>
          <w:p w14:paraId="023B992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支持医疗机构数据的归集，如机构基础信息等</w:t>
            </w:r>
          </w:p>
          <w:p w14:paraId="599F44E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2.医疗机构人员信息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25BB91E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支持医疗机构人员数据的归集，如医生，护士等</w:t>
            </w:r>
          </w:p>
          <w:p w14:paraId="42A68C9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3.基础字典信息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7EBBFF6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支持医疗机构基础字典数据的归集，如诊断信息，手术信息等</w:t>
            </w:r>
          </w:p>
          <w:p w14:paraId="09477F3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4.医院床位资源信息</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新增</w:t>
            </w:r>
            <w:r>
              <w:rPr>
                <w:rFonts w:hint="eastAsia" w:ascii="宋体" w:hAnsi="宋体" w:eastAsia="宋体" w:cs="宋体"/>
                <w:color w:val="auto"/>
                <w:kern w:val="0"/>
                <w:sz w:val="21"/>
                <w:szCs w:val="21"/>
                <w:lang w:eastAsia="zh-CN" w:bidi="ar"/>
              </w:rPr>
              <w:t>）</w:t>
            </w:r>
          </w:p>
          <w:p w14:paraId="16C4B6A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支持医疗机构床位信息的归集，如床位信息等</w:t>
            </w:r>
          </w:p>
        </w:tc>
      </w:tr>
      <w:tr w14:paraId="34DC5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297F2AA6">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6</w:t>
            </w:r>
          </w:p>
        </w:tc>
        <w:tc>
          <w:tcPr>
            <w:tcW w:w="754" w:type="dxa"/>
            <w:vMerge w:val="restart"/>
            <w:tcBorders>
              <w:tl2br w:val="nil"/>
              <w:tr2bl w:val="nil"/>
            </w:tcBorders>
            <w:shd w:val="clear" w:color="auto" w:fill="auto"/>
            <w:noWrap w:val="0"/>
            <w:vAlign w:val="center"/>
          </w:tcPr>
          <w:p w14:paraId="207B5941">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共享文档库（新增）</w:t>
            </w:r>
          </w:p>
        </w:tc>
        <w:tc>
          <w:tcPr>
            <w:tcW w:w="7459" w:type="dxa"/>
            <w:vMerge w:val="restart"/>
            <w:tcBorders>
              <w:tl2br w:val="nil"/>
              <w:tr2bl w:val="nil"/>
            </w:tcBorders>
            <w:shd w:val="clear" w:color="auto" w:fill="auto"/>
            <w:noWrap w:val="0"/>
            <w:vAlign w:val="center"/>
          </w:tcPr>
          <w:p w14:paraId="360FC9E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1.区域共享文档库</w:t>
            </w:r>
          </w:p>
          <w:p w14:paraId="696E0F2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支持存储通过共享文档管理系统生成的共享文档</w:t>
            </w:r>
          </w:p>
          <w:p w14:paraId="2C84BE3E">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2.医院共享文档库</w:t>
            </w:r>
          </w:p>
          <w:p w14:paraId="207B73E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支持存储医疗机构上传医院生成的共享文档</w:t>
            </w:r>
          </w:p>
        </w:tc>
      </w:tr>
      <w:tr w14:paraId="7EA8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5D048FE1">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7</w:t>
            </w:r>
          </w:p>
        </w:tc>
        <w:tc>
          <w:tcPr>
            <w:tcW w:w="754" w:type="dxa"/>
            <w:tcBorders>
              <w:tl2br w:val="nil"/>
              <w:tr2bl w:val="nil"/>
            </w:tcBorders>
            <w:shd w:val="clear" w:color="auto" w:fill="auto"/>
            <w:noWrap w:val="0"/>
            <w:vAlign w:val="center"/>
          </w:tcPr>
          <w:p w14:paraId="1164842A">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业务专题库（新增）</w:t>
            </w:r>
          </w:p>
        </w:tc>
        <w:tc>
          <w:tcPr>
            <w:tcW w:w="7459" w:type="dxa"/>
            <w:tcBorders>
              <w:tl2br w:val="nil"/>
              <w:tr2bl w:val="nil"/>
            </w:tcBorders>
            <w:shd w:val="clear" w:color="auto" w:fill="auto"/>
            <w:noWrap w:val="0"/>
            <w:vAlign w:val="center"/>
          </w:tcPr>
          <w:p w14:paraId="4A2D457A">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1.业务协同专题库</w:t>
            </w:r>
          </w:p>
          <w:p w14:paraId="5D8F467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支持归集业务协同相关的数据，如区域检验、区域眼底、区域血压监测等</w:t>
            </w:r>
          </w:p>
          <w:p w14:paraId="5EB143C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2.连续性医疗卫生服务专题库</w:t>
            </w:r>
          </w:p>
          <w:p w14:paraId="2662749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支持归集连续性医疗卫生服务相关的数据，如一体化学科等</w:t>
            </w:r>
          </w:p>
          <w:p w14:paraId="00DC9CF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3.医政医管专题库</w:t>
            </w:r>
          </w:p>
          <w:p w14:paraId="5A914B9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支持归集医政医管相关的数据，如综合管理、医疗质控等</w:t>
            </w:r>
          </w:p>
          <w:p w14:paraId="299D03D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4.公共卫生管理专题库</w:t>
            </w:r>
          </w:p>
          <w:p w14:paraId="3D6F831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支持归集公共卫生管理相关的数据，如伤害监测、传染病监测等</w:t>
            </w:r>
          </w:p>
          <w:p w14:paraId="6FDAA79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5.行政管理专题库</w:t>
            </w:r>
          </w:p>
          <w:p w14:paraId="1070CFCE">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支持归集行政管理相关的数据，如绩效考核数据等</w:t>
            </w:r>
          </w:p>
        </w:tc>
      </w:tr>
    </w:tbl>
    <w:p w14:paraId="273A39DC">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46435106">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数据仓库</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855"/>
        <w:gridCol w:w="856"/>
        <w:gridCol w:w="6811"/>
      </w:tblGrid>
      <w:tr w14:paraId="0AF3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3E80ED3D">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754" w:type="dxa"/>
            <w:tcBorders>
              <w:tl2br w:val="nil"/>
              <w:tr2bl w:val="nil"/>
            </w:tcBorders>
            <w:shd w:val="clear" w:color="auto" w:fill="auto"/>
            <w:noWrap w:val="0"/>
            <w:vAlign w:val="center"/>
          </w:tcPr>
          <w:p w14:paraId="7630BB7D">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6001" w:type="dxa"/>
            <w:tcBorders>
              <w:tl2br w:val="nil"/>
              <w:tr2bl w:val="nil"/>
            </w:tcBorders>
            <w:shd w:val="clear" w:color="auto" w:fill="auto"/>
            <w:noWrap w:val="0"/>
            <w:vAlign w:val="center"/>
          </w:tcPr>
          <w:p w14:paraId="06F4D535">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功能及技术参数</w:t>
            </w:r>
          </w:p>
        </w:tc>
      </w:tr>
      <w:tr w14:paraId="68FFC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7569444C">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420150C4">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tcBorders>
              <w:tl2br w:val="nil"/>
              <w:tr2bl w:val="nil"/>
            </w:tcBorders>
            <w:shd w:val="clear" w:color="auto" w:fill="auto"/>
            <w:noWrap w:val="0"/>
            <w:vAlign w:val="center"/>
          </w:tcPr>
          <w:p w14:paraId="0ACF2DB2">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数据仓库</w:t>
            </w:r>
          </w:p>
        </w:tc>
        <w:tc>
          <w:tcPr>
            <w:tcW w:w="6001" w:type="dxa"/>
            <w:tcBorders>
              <w:tl2br w:val="nil"/>
              <w:tr2bl w:val="nil"/>
            </w:tcBorders>
            <w:shd w:val="clear" w:color="auto" w:fill="auto"/>
            <w:noWrap w:val="0"/>
            <w:vAlign w:val="center"/>
          </w:tcPr>
          <w:p w14:paraId="537CA0B5">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1.维度层（改造）</w:t>
            </w:r>
          </w:p>
          <w:p w14:paraId="6D17B86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支持存放数据维度和字典维度</w:t>
            </w:r>
          </w:p>
          <w:p w14:paraId="18ED0BD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2.明细层（新增）</w:t>
            </w:r>
          </w:p>
          <w:p w14:paraId="6A64E64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支持存放经过标化的业务明细实时数据</w:t>
            </w:r>
          </w:p>
          <w:p w14:paraId="3F9F1A9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3.汇聚层（新增）</w:t>
            </w:r>
          </w:p>
          <w:p w14:paraId="33077E8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支持存放清洗、初步汇聚、加工后的数据</w:t>
            </w:r>
          </w:p>
          <w:p w14:paraId="01D06AF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4.主题层（新增）</w:t>
            </w:r>
          </w:p>
          <w:p w14:paraId="2C62B4DC">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支持存放业务专题层面清洗、汇聚、加工后的数据</w:t>
            </w:r>
          </w:p>
          <w:p w14:paraId="7500389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5.数据同步（新增）</w:t>
            </w:r>
          </w:p>
          <w:p w14:paraId="52D602CB">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支持任务调度管理功能，允许用户设定定时、触发方式触发同步任务，并能监控同步任务执行情况，实时反馈执行状态和结果。</w:t>
            </w:r>
          </w:p>
        </w:tc>
      </w:tr>
    </w:tbl>
    <w:p w14:paraId="7B27FF4E">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49784956">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数据迁移及平台切换</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81"/>
        <w:gridCol w:w="781"/>
        <w:gridCol w:w="6960"/>
      </w:tblGrid>
      <w:tr w14:paraId="6974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0" w:hRule="atLeast"/>
        </w:trPr>
        <w:tc>
          <w:tcPr>
            <w:tcW w:w="754" w:type="dxa"/>
            <w:shd w:val="clear" w:color="auto" w:fill="auto"/>
            <w:noWrap w:val="0"/>
            <w:vAlign w:val="center"/>
          </w:tcPr>
          <w:p w14:paraId="69AEE9FF">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754" w:type="dxa"/>
            <w:shd w:val="clear" w:color="auto" w:fill="auto"/>
            <w:noWrap w:val="0"/>
            <w:vAlign w:val="center"/>
          </w:tcPr>
          <w:p w14:paraId="335BEDB0">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模块</w:t>
            </w:r>
          </w:p>
        </w:tc>
        <w:tc>
          <w:tcPr>
            <w:tcW w:w="6720" w:type="dxa"/>
            <w:shd w:val="clear" w:color="auto" w:fill="auto"/>
            <w:noWrap w:val="0"/>
            <w:vAlign w:val="center"/>
          </w:tcPr>
          <w:p w14:paraId="47D996CA">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功能及技术参数</w:t>
            </w:r>
          </w:p>
        </w:tc>
      </w:tr>
      <w:tr w14:paraId="1279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754" w:type="dxa"/>
            <w:shd w:val="clear" w:color="auto" w:fill="auto"/>
            <w:noWrap w:val="0"/>
            <w:vAlign w:val="center"/>
          </w:tcPr>
          <w:p w14:paraId="40CDE66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509C674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p>
        </w:tc>
        <w:tc>
          <w:tcPr>
            <w:tcW w:w="754" w:type="dxa"/>
            <w:shd w:val="clear" w:color="auto" w:fill="auto"/>
            <w:noWrap w:val="0"/>
            <w:vAlign w:val="center"/>
          </w:tcPr>
          <w:p w14:paraId="39DE344D">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数据迁移及平台切换</w:t>
            </w:r>
          </w:p>
        </w:tc>
        <w:tc>
          <w:tcPr>
            <w:tcW w:w="6720" w:type="dxa"/>
            <w:shd w:val="clear" w:color="auto" w:fill="auto"/>
            <w:noWrap w:val="0"/>
            <w:vAlign w:val="center"/>
          </w:tcPr>
          <w:p w14:paraId="59DB9BE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1.数据迁移</w:t>
            </w:r>
          </w:p>
          <w:p w14:paraId="5A97CA2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需实现将现有全民健康信息平台数据迁入至国产化数据库。</w:t>
            </w:r>
          </w:p>
          <w:p w14:paraId="2D546AE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迁移的数据需包括医疗服务、卫生资源、人口信息、医疗服务、公共卫生等类型的全量数据。</w:t>
            </w:r>
          </w:p>
          <w:p w14:paraId="2675CC86">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迁移的数据需根据全新的数据标准进行分析、转化、校验，保证不影响历史数据的查询、应用、统计分析。</w:t>
            </w:r>
          </w:p>
          <w:p w14:paraId="705EA289">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2.平台切换</w:t>
            </w:r>
          </w:p>
          <w:p w14:paraId="21049998">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需提供详细的平台切换计划。</w:t>
            </w:r>
          </w:p>
          <w:p w14:paraId="5FD41A80">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平台切换需做好充足的验证工作，包括标准验证、数据验证、功能验证。</w:t>
            </w:r>
          </w:p>
          <w:p w14:paraId="53546164">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平台切换需做好充分的应急策略。</w:t>
            </w:r>
          </w:p>
        </w:tc>
      </w:tr>
    </w:tbl>
    <w:p w14:paraId="47A825DE">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2AFA0C19">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数据采集</w:t>
      </w:r>
    </w:p>
    <w:tbl>
      <w:tblPr>
        <w:tblStyle w:val="13"/>
        <w:tblW w:w="5000"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1440"/>
        <w:gridCol w:w="6396"/>
      </w:tblGrid>
      <w:tr w14:paraId="2BCE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nil"/>
              <w:right w:val="single" w:color="000000" w:sz="4" w:space="0"/>
            </w:tcBorders>
            <w:noWrap w:val="0"/>
            <w:vAlign w:val="center"/>
          </w:tcPr>
          <w:p w14:paraId="5E647A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440" w:type="dxa"/>
            <w:tcBorders>
              <w:top w:val="single" w:color="000000" w:sz="4" w:space="0"/>
              <w:left w:val="nil"/>
              <w:bottom w:val="nil"/>
              <w:right w:val="single" w:color="000000" w:sz="4" w:space="0"/>
            </w:tcBorders>
            <w:noWrap w:val="0"/>
            <w:vAlign w:val="center"/>
          </w:tcPr>
          <w:p w14:paraId="24CF2B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采集项</w:t>
            </w:r>
          </w:p>
        </w:tc>
        <w:tc>
          <w:tcPr>
            <w:tcW w:w="6396" w:type="dxa"/>
            <w:tcBorders>
              <w:top w:val="single" w:color="000000" w:sz="4" w:space="0"/>
              <w:left w:val="nil"/>
              <w:bottom w:val="nil"/>
              <w:right w:val="single" w:color="000000" w:sz="4" w:space="0"/>
            </w:tcBorders>
            <w:noWrap w:val="0"/>
            <w:vAlign w:val="center"/>
          </w:tcPr>
          <w:p w14:paraId="1E2AF5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采集内容</w:t>
            </w:r>
          </w:p>
        </w:tc>
      </w:tr>
      <w:tr w14:paraId="6D39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C880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8B315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总体要求</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624065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针对本项目制定的数据标准和实际需求，采集包含但不限于以下数据。</w:t>
            </w:r>
          </w:p>
        </w:tc>
      </w:tr>
      <w:tr w14:paraId="09A4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B967C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AC6F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患者基本信息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BA87E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包括姓名,性别代码,出生日期时间，省代码，市代码，区县代码，街道代码，村代码，婚姻状况，文化程度，ABO血型，RH血型，国籍，民族，电子邮箱，家庭电话，工作单位等</w:t>
            </w:r>
          </w:p>
        </w:tc>
      </w:tr>
      <w:tr w14:paraId="6123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A29E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B422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患者地址</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B8A7F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包括省代码，市代码，区县代码，街道代码，村代码，街道名，村名，邮政编码，详细地址信息，采集人员工号，采集日期时间等</w:t>
            </w:r>
          </w:p>
        </w:tc>
      </w:tr>
      <w:tr w14:paraId="2434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A853F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452A9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患者相关联系人</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564FD1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包括联系人关系代码，联系人姓名，联系人电话，联系人地址，当前选择状态，采集人员工号等</w:t>
            </w:r>
          </w:p>
        </w:tc>
      </w:tr>
      <w:tr w14:paraId="7DAC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FD6D9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F91D9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病人卡片信息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CFF86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包括卡内数据，卡类型代码，卡明码，居民主索引，记录状态代码，采集日期时间等</w:t>
            </w:r>
          </w:p>
        </w:tc>
      </w:tr>
      <w:tr w14:paraId="5D61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5F0D2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04C3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门诊体温体征</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17E92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包括登记人员工号，登记日期时间，身高，体重（kg），体温（℃），脉搏（次/min），收缩压（mmHg），舒张压（mmHg）等</w:t>
            </w:r>
          </w:p>
        </w:tc>
      </w:tr>
      <w:tr w14:paraId="0A85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4C770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579A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门诊病人挂号信息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2BD17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包括挂号类型代码，挂号日期时间，挂号来源，挂号终端IP地址，挂号终端号，预约来源，预约挂号流水号，预约分时段起始时间，预约分时段结束时间，挂号操作人员工号等</w:t>
            </w:r>
          </w:p>
        </w:tc>
      </w:tr>
      <w:tr w14:paraId="7858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AA89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FD28B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门诊工作日志</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F06DD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包括门诊编号，居民主索引，挂号科室代码，就诊科室编号，接诊医生工号，接诊类型代码，挂号日期时间，签到日期时间，接诊日期时间，诊毕日期时间等</w:t>
            </w:r>
          </w:p>
        </w:tc>
      </w:tr>
      <w:tr w14:paraId="5FB6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FA22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FB4D5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门诊医生西医诊断</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C74A5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包括门诊编号, 门诊就诊号, 是否主诊断, 西医诊断编码, 西医诊断院内描述, 修改人员工号, 修改日期时间, 序号, 诊断日期时间</w:t>
            </w:r>
          </w:p>
        </w:tc>
      </w:tr>
      <w:tr w14:paraId="6690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609A1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09046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门诊医生中医诊断</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2B1B5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包括门诊编号, 门诊就诊号, 是否主诊断, 修改人员工号, 修改日期时间, 序号, 诊断日期时间, 治则治法, 中医病名编码, 中医证候代码等</w:t>
            </w:r>
          </w:p>
        </w:tc>
      </w:tr>
      <w:tr w14:paraId="6D31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4E1F4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4FC00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急诊分诊信息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67706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包括mews评分, mews预检分级, 病人预检号, 登记人员编码, 登记时间, 分诊级别, 分诊日期时间, 呼吸, 就诊类型, 来院方式, 脉搏（次/min）, 门诊编号, 生命体征_收集时间, 收缩压（mmHg）, 舒张压（mmHg）, 体温, 修改人员工号, 修改日期时间, 血氧饱和度, 意识评分, 主诉详情等</w:t>
            </w:r>
          </w:p>
        </w:tc>
      </w:tr>
      <w:tr w14:paraId="52E2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97A2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E42DD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西医门（急）诊处方</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46DDF7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包括备注, 病人来源代码, 处方保密标志, 处方编号, 处方调配药剂师编号,处方要求, 处方有效天数, 处方状态代码, 发药时间, 开处方的时间, 门诊编号, 收费编号, 收费明细表处方号, 外配处方序号, 修改人员工号, 修改日期时间, 允许流转标志, 诊断编码汇总, 作废日期时间等</w:t>
            </w:r>
          </w:p>
        </w:tc>
      </w:tr>
      <w:tr w14:paraId="7C53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9EA36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4D40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西医门（急）诊处方明细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F8390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包括毒性药物标志, 发药数量, 发药数量单位名称, 给药时机, 给药速度, 规格, 基本药物标志, 剂量单位, 精神药物标志, 精神药物类别代码, 开处方的时间, 抗菌药标志, 抗菌药物级别, 抗肿瘤药物标志, 麻醉药物标志, 慢病药物标志, 每次剂量, 每次用量, 门诊编号, 门诊就诊号, 明细序号, 配药单位, 配药数量, 配药天数, 医院内部药品编码, 最小单位配药数量, 最小销售包装单位名称等</w:t>
            </w:r>
          </w:p>
        </w:tc>
      </w:tr>
      <w:tr w14:paraId="5006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D0E8C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FE05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中医门（急）诊处方</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443F93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包括处方保密标志, 处方备注信息, 处方编号, 处方药品金额, 处方要求, 处方有效天数, 方剂名称, 膏方标志, 给药时机描述, 煎药方式代码, 煎药费用金额, 煎药天数, 用药天数, 用药途径代码, 中医病名编码, 中医证候代码等</w:t>
            </w:r>
          </w:p>
        </w:tc>
      </w:tr>
      <w:tr w14:paraId="5E9E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31CFB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79F2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中医门（急）诊处方明细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8B34D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包括草药类别代码, 处方编号, 处方明细编号, 处方药品组号, 单帖使用量, 单帖使用量单位代码, 单帖使用量单位名称, 开处方的时间, 门诊编号, 门诊就诊号, 配药数量, 药品金额, 药品品级, 药物剂型代码, 中药煎煮法, 中药饮片处方, 中药饮片药品编号, 子序号等</w:t>
            </w:r>
          </w:p>
        </w:tc>
      </w:tr>
      <w:tr w14:paraId="7E34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9930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DCF84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中医门诊处方代煎</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62B65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包括处方编号, 处方接收日期时间, 代煎单位代码, 代煎单位名称, 代煎方式代码, 修改人员工号, 修改日期时间等</w:t>
            </w:r>
          </w:p>
        </w:tc>
      </w:tr>
      <w:tr w14:paraId="512F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3F04D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019B3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中医门诊处方代煎明细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67DBE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包括操作方式代码, 操作日期时间, 操作者姓名, 操作者证件号码, 处方编号, 代煎节点备注信息, 代煎节点标准编码, 代煎节点序号, 复核重量, 设备编号, 汤剂体积, 修改人员工号, 修改日期时间, 照片链接等</w:t>
            </w:r>
          </w:p>
        </w:tc>
      </w:tr>
      <w:tr w14:paraId="0E4F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0D7D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9C64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中医处方代煎中药配送信息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B7352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包括处方编号, 配送订单号, 配送方式名称, 收件地址-详细地址, 收件地址-行政区划代码, 收件者电话号码, 收件者姓名, 修改人员工号, 修改日期时间, 预计送达日期时间等</w:t>
            </w:r>
          </w:p>
        </w:tc>
      </w:tr>
      <w:tr w14:paraId="04B8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D14D1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3654A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中医处方代煎中药配送信息明细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5F927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包括节点更新日期时间, 配送订单号, 配送节点描述, 配送节点名称, 配送节点序号, 配送者电话号码, 配送者姓名, 修改人员工号, 修改日期时间, 中医配送标准编码代码等</w:t>
            </w:r>
          </w:p>
        </w:tc>
      </w:tr>
      <w:tr w14:paraId="27D0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DA274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E490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门诊收费</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AB492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包括电子发票号, 电子票据代码, 电子票据开票人员工号, 电子票据校验码, 发票状态, 合计金额, 结算流水号, 结算人员工号, 结算途径, 就诊卡号, 卡类型代码, 门诊编号, 门诊就诊号, 收费编号, 收费来源, 收费日期时间, 退费标志, 修改人员工号, 修改日期时间, 纸质财政发票号码, 纸质财政发票开票人员工号, 纸质财政发票票据代码等</w:t>
            </w:r>
          </w:p>
        </w:tc>
      </w:tr>
      <w:tr w14:paraId="67D1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F159E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B4275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门诊收费明细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4CF3EB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包括处方编号, 单价, 费用类别代码, 费用类型代码, 开单科室代码, 开单医生工号, 是否自费标志, 收费编号, 收费时间, 项目代码, 项目金额, 项目数量, 修改人员工号, 修改日期时间, 序号, 医保代码, 诊间结算标识等</w:t>
            </w:r>
          </w:p>
        </w:tc>
      </w:tr>
      <w:tr w14:paraId="28FF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089FE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5A60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住院病人登记信息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A0382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包括备注, 病案号, 出院科室代码, 出院日期时间, 床位号, 当前住院科室, 居民主索引ID, 离院方式代码, 入院登记时间, 入院科室, 入院途径代码, 入住病区时间, 是否取消住院, 收治医师工号, 危急等级代码, 修改人员工号, 修改日期时间, 婴儿标志, 责任护士工号, 主任医师工号, 主治医师工号, 主住院编号, 住院病床类型, 住院登记取消人员工号, 住院登记取消时间, 住院登记取消原因, 住院登记人员工号, 住院号, 住院日期时间, 住院医师工号等</w:t>
            </w:r>
          </w:p>
        </w:tc>
      </w:tr>
      <w:tr w14:paraId="4900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9D78B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2192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住院病人医嘱信息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71C81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包括包装数量, 包装数量单位, 备注, 病房号, 床位号, 发药类型, 服药结束日期, 服药起始日期, 服药天数, 给药方式, 给药时机, 给药速度, 核对人员, 护士复核人员工号, 基本药物标志, 剂量单位, 精神药物标志, 开嘱人工号, 开嘱时间, 抗菌药标志,  取消医嘱医生工号, 上级医生复核人员工号, 上级医生复核时间, 输入时间, 输液用药标志, 停嘱复核人员工号, 停嘱复核时间等</w:t>
            </w:r>
          </w:p>
        </w:tc>
      </w:tr>
      <w:tr w14:paraId="0A16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F7133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EA65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医嘱执行记录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40001D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包括是否中医医嘱, 提交护士工号, 修改人员工号, 修改日期时间, 序号, 医嘱(组)号, 医嘱提交日期时间, 医嘱执行科室ID, 医嘱执行人员工号, 医嘱执行日期时间, 执行次数, 住院号等</w:t>
            </w:r>
          </w:p>
        </w:tc>
      </w:tr>
      <w:tr w14:paraId="7EC6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CA8BC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23E4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住院病人费用信息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3C6B7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包括单价, 发生时间, 费用代码, 费用分类代码, 费用归属科室ID, 费用类型代码, 费用序号, 计费日期, 记费人员工号, 结算编号, 结算明细序号, 金额, 是否自费标志, 收费科室编号, 数量, 数量单位, 统计数量, 修改人员工号, 修改日期时间, 医嘱明细序号, 医嘱组号, 住院号等</w:t>
            </w:r>
          </w:p>
        </w:tc>
      </w:tr>
      <w:tr w14:paraId="73D8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474E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92A3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住院病人结算信息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6EFCA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包括保险分类代码, 电子发票编号, 电子票据代码, 电子票据校验码, 结算人员工号, 结算时间, 开票人员工号, 修改人员工号, 修改日期时间, 支付状态, 支付总额, 纸质财政发票开票人员工号, 纸质财政发票票据代码, 纸质发票号, 住院号, 住院结算号, 作废结算流水号等</w:t>
            </w:r>
          </w:p>
        </w:tc>
      </w:tr>
      <w:tr w14:paraId="2A9D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630E7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4843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医保结算信息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4E9553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包括报销金额, 备注提示, 本次减免金额, 不计入医保结算的费用, 超限价自费费用, 大病补充起付金额累计, 当年个人账户支付, 对应收费编号, 发票编号, 符合政策范围金额, 个人负担总金额, 个人现金支出, 个人账户共济支付金额, 个人账户支出, 个人自费, 个人自付, 公立医院改革标志, 公务员标志, 公务员医疗补助资金支出, 基本医疗保险统筹基金支出, 基本医疗保险统筹基金支付比例, 基金支付总额, 结算ID, 结算日期时间, 就医业务注册号, 就诊凭证编号, 就诊凭证类型, 居民大病保险资金支出, 居民主索引ID, 历年个人账户支付, 年度费用累计, 其他支出, 企业补充医疗保险基金支出, 清算方式, 清算经办机构, 清算类别, 全自费金额, 确认交易状态, 人员类别, 伤残人员医疗保障基金支出, 身份证, 实际支付起付线, 先行自付金额, 险种类型, 修改人员工号, 修改日期时间, 药品总额, 业务来源代码, 医保外自费金额, 医疗费用总额（发票总金额）, 医疗救助基金支出, 医疗类别, 医药机构结算ID, 医院负担金额, 余额, 证件类型代码, 职工大额医疗费用补助基金支出, 纸质发票号, 中途结算标志, 住院天数, 作废标记等</w:t>
            </w:r>
          </w:p>
        </w:tc>
      </w:tr>
      <w:tr w14:paraId="11A7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25FAC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929BF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临床辅助检查报告单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D8313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包括检查类型, 检查日期时间, 检查项目代码, 检查医生工号, 检查仪器号, 简要病史, 介入物名称, 就医业务注册号, 就诊科室编号, 开单日期时间, 申请备注, 申请单号, 申请科室代码, 申请医生编号等</w:t>
            </w:r>
          </w:p>
        </w:tc>
      </w:tr>
      <w:tr w14:paraId="478A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3167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591F6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病理检查报告单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E1EFE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标本状态, 冰冻与石蜡诊断符合标志, 病理检查项目编码, 病理检查项目名称, 病理检查项目中心编码, 病理检查作废原因, 病理镜下所见, 病理肉眼所见, 登记人员工号, 活检部位, 检查标本号</w:t>
            </w:r>
          </w:p>
        </w:tc>
      </w:tr>
      <w:tr w14:paraId="3CC8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1F221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BAB3E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化验报告单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E2914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包括报告单编号, 报告单序号, 报告日期时间, 报告医师工号, 备注, 标本类别, 标本性状备注, 标本状态, 病人科室ID, 采集部位, 采集人员工号, 采集日期时间, 床位号, 复审人员工号, 复审日期时间, 互认编码, 检测仪器编码, 检测仪器名称, 检查目的（互认）, 检验技师, 检验类型, 检验项目编码, 接收标本日期时间, 就医业务注册号, 门诊就诊号, 上机日期时间, 申请备注, 申请单号, 申请科室ID, 申请日期时间, 申请医生工号, 审核人员工号, 审核日期时间, 审核意见, 实验室代码, 实验室名称, 是否加急, 送检人员工号, 送检日期时间, 条码号, 修改人员工号, 修改日期时间, 业务来源代码, 医嘱号, 作废人员工号, 作废日期时间, 作废原因等</w:t>
            </w:r>
          </w:p>
        </w:tc>
      </w:tr>
      <w:tr w14:paraId="2C1E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D4599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3DEC7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化验报告单明细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46E16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包括报告单编号, 报告单明细序号, 报告单序号, 参考范围, 对定性结果的补充说明, 检查仪器号, 检验定量结果计量单位, 检验方法, 检验结果, 检验明细项目代码, 检验明细项目简称, 检验明细项目名称, 检验明细项目英文, 检验日期时间, 检验项目LOINC编码, 检验项目编码（互认）, 检验项目分类显示名称, 结果类型, 结果状态, 介于定量与定性之间的结果值, 是否危急值, 是否已及时处置危急值, 显示顺序号(1-999), 项目名称（互认）, 修改人员工号, 修改日期时间, 仪器名称, 正常值上限, 正常值下限等</w:t>
            </w:r>
          </w:p>
        </w:tc>
      </w:tr>
      <w:tr w14:paraId="1103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F6022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56C69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细菌结果</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DA398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包括报告单编号, 报告单明细序号, 报告单序号, 备注, 发现方式, 检测结果代码, 检测结果简述, 检测结果文字描述, 检测日期时间, 检查仪器号, 检验项目编码, 检验项目编码（互认）, 检验项目名称, 结果类型, 菌落计数, 培养基, 培养结果, 培养时间描述, 培养条件, 设备编码, 试验板名称, 试验板序号, 微生物评语, 细菌ID（互认）, 细菌代码, 细菌名称, 细菌名称（互认）, 项目名称（互认）, 修改人员工号, 修改日期时间, 仪器名称等</w:t>
            </w:r>
          </w:p>
        </w:tc>
      </w:tr>
      <w:tr w14:paraId="3031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9C436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C98D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药敏结果</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52E7C7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包括ETEST结果, MIC结果, 报告单编号, 报告单明细序号, 报告单序号, 检测方法, 检测日期, 菌落计数, 抗生素参考剂量上限, 抗生素参考剂量下限, 抗生素检测结果值, 耐药性结果, 试验板序号, 细菌ID（互认）, 细菌ID（互认）-药敏, 细菌代码, 细菌名称, 细菌名称（互认）, 细菌名称（互认）-药敏, 修改人员工号, 修改日期时间, 样本号, 药敏代码, 药敏英文名称, 药敏中文名称, 抑菌环直径, 用法及用量等</w:t>
            </w:r>
          </w:p>
        </w:tc>
      </w:tr>
      <w:tr w14:paraId="5068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16EC4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8A4A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体检登记信息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51FE4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包括电子邮箱, 记录日期时间, 记录者工号, 家属姓名, 健康档案id, 就医业务注册号, 签到日期时间, 是否个人预约, 是否团体预约, 收费编号, 套餐标识, 体检类型, 体检状态代码, 详细地址信息, 修改人员工号, 修改日期时间, 预约体检时间, 总金额等</w:t>
            </w:r>
          </w:p>
        </w:tc>
      </w:tr>
      <w:tr w14:paraId="143C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67954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F6761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体检总检信息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81CB0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包括补充建议, 处理意见, 记录时间, 记录者工号, 建议, 就医业务注册号, 是否作废, 特病标志, 修改人员工号, 修改日期时间, 诊断, 综述, 总检日期时间, 总检医生工号等</w:t>
            </w:r>
          </w:p>
        </w:tc>
      </w:tr>
      <w:tr w14:paraId="1039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82062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AC924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门诊排班信息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33BD1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包括挂号费, 挂号科室编号, 挂号医生编号, 核定可预约数量, 门诊时间段, 排班结束日期时间, 排班开始日期时间, 排班序号, 是否分时段, 是否停诊, 停诊操作日期时间, 停诊理由, 修改人员工号, 修改日期时间, 医生登录系统日期时间, 诊疗费等</w:t>
            </w:r>
          </w:p>
        </w:tc>
      </w:tr>
      <w:tr w14:paraId="1DB4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1A075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56BA1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挂号预约记录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CB5C3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包括挂号预约序号(医院唯一号), 挂号预约状态, 接诊号或住院号, 就诊类型, 居民主索引ID, 排班序号, 取号迟到标记, 是否分时段, 修改人员工号, 修改日期时间, 预约操作完成日期时间, 预约方式, 预约科室, 预约科室所属专业, 预约区间-截止日期时间, 预约区间-起始日期时间, 预约医生等</w:t>
            </w:r>
          </w:p>
        </w:tc>
      </w:tr>
      <w:tr w14:paraId="51C9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82F41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F9C69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医院运营管理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61401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包括超声检查人次, 当前实时待入院人数, 当前实时待手术人数, 当前实时开放床位数, 当前实时手术中人数, 当前实时在院人数, 当前实时占用床位数, 当日累计互联网医院服务人次, 当日累计互联网医院服务收入, 当日累计检查人次, 当日累计检验人次, 当日累计门诊加号数, 当日累计门诊结算笔数, 当日累计门诊均次费用, 当日累计体检收入, 当日累计完成手术人次, 当日累计住院结算笔数, 当日累计住院均次费用, 放射检查人次, 门诊智慧结算笔数, 内镜检查人次, 其中重症人数, 统计时间, 心电检查人次, 修改人员工号, 修改日期时间, 有预约的检查人次, 住院智慧结算笔数等</w:t>
            </w:r>
          </w:p>
        </w:tc>
      </w:tr>
      <w:tr w14:paraId="1F402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36CA1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F31B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住院病人转科记录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7A78A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包括病历中医诊断名称汇总, 操作人员工号, 操作日期时间, 床位轮转类型代码, 新床位代码, 新床位类型, 新科室代码, 修改人员工号, 修改日期时间, 序号, 原床位代码, 原床位类型, 原科室代码, 住院号, 转科转床标志等</w:t>
            </w:r>
          </w:p>
        </w:tc>
      </w:tr>
      <w:tr w14:paraId="3F1F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02588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FD528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急救120出抢记录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CB772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包括病人挂号序号, 出抢记录序号, 出抢结束日期时间, 出抢开始日期时间, 出抢诊断编码, 出抢诊断名称, 分诊级别, 分诊日期时间, 过敏史, 患者去向, 就诊类型, 死亡日期时间, 修改人员工号, 修改日期时间, 主治医师工号, 住院科室本地编号, 住院科室本地名称, 住院科室中心编号, 住院科室中心名称等</w:t>
            </w:r>
          </w:p>
        </w:tc>
      </w:tr>
      <w:tr w14:paraId="6A5F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F6E98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9B6B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急诊留观病历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D2199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包括辨证依据, 初诊标志代码, 过敏史, 过敏史标志, 患者去向代码, 急诊留观病程记录, 记录时间, 既往史, 就诊日期时间, 科室ID, 门诊挂号ID, 申请单编号, 收入观察室日期时间, 体格检查, 现病史, 修改人员工号, 修改日期时间, 中医“四诊”观察结果, 主诉, 注意事项等</w:t>
            </w:r>
          </w:p>
        </w:tc>
      </w:tr>
      <w:tr w14:paraId="78DA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929F4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D326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西医电子病历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5A46A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包括病历号, 病历书写完成时间, 病人主诉, 初诊标志代码, 出生史, 处置计划, 发热门诊标志, 个人史, 各项评估, 过敏史, 患者去向代码, 婚育史, 急诊标志, 疾病史（含外伤）, 既往史, 家族史, 健康教育, 接诊医生工号, 就诊科室编号, 就诊日期时间, 流行病学史, 脉搏（次/min）, 门诊处理, 门诊费用类别名称, 门诊挂号ID, 门诊就诊号, 门诊文书号, 身高, 生长史, 收缩压（mmHg）, 手术史, 输血史, 舒张压（mmHg）, 疼痛评分, 体格检查, 体重（kg）, 喂养史, 现病史, 修改人员工号, 修改日期时间, 预防接种史, 月经史, 孕周, 治疗意见, 注意事项等</w:t>
            </w:r>
          </w:p>
        </w:tc>
      </w:tr>
      <w:tr w14:paraId="029C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0BF80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0139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中医电子病历</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9CC3D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包括辨证依据, 病历号, 病历书写完成时间, 病人主诉, 初诊标志代码, 出生史, 辅助检查项目, 个人史, 门诊文书号, 切诊-按诊, 切诊-脉诊代码, 切诊-其他, 身高, 生长史, 收缩压（mmHg）, 手术史, 输血史, 舒张压（mmHg）, 体格检查, 体重（kg）, 望诊-其他, 望诊-舌代码, 望诊-苔代码, 望诊-望面色代码, 望诊-望排泄物与分泌物代码, 望诊-望皮肤代码, 望诊-望神代码, 望诊-望头颅五官九窍代码, 望诊-望小儿食指络脉代码, 望诊-望形态代码, 望诊_望小儿腹胸代码, 喂养史, 闻诊-其他, 闻诊-听声音代码, 闻诊-嗅气味代码, 问诊-其他, 问诊-问出汗代码, 问诊-问大便代码, 问诊-问耳目代码, 问诊-问妇女代码, 问诊-问寒热代码, 问诊-问睡眠代码, 问诊-问头身代码, 问诊-问小便代码, 问诊-问胸胁脘腹代码, 问诊-问饮食与口味代码, 现病史, 修改人员工号, 修改日期时间, 预防接种史, 月经史, 孕周, 治疗意见, 中医“四诊”观察结果, 注意事项等</w:t>
            </w:r>
          </w:p>
        </w:tc>
      </w:tr>
      <w:tr w14:paraId="5144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72258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2EFD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病案首页信息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D89BA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包括病案归档情况, 病案归档时间, 病案号, 病案质量代码, 病理号, 病理诊断费,入院日期时间, 入院时情况代码, 入院途径代码, 入院诊断, 入院诊断中医，中草药费, 中成药费, 中毒原因, 中药特殊调配加工费, 中医辨证论治费, 中医辨证论治会诊费, 中医辨证施膳费等</w:t>
            </w:r>
          </w:p>
        </w:tc>
      </w:tr>
      <w:tr w14:paraId="6D09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56BC0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74510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病案首页患者诊断</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25BE8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包括病案号, 分化程度代码, 入院病情代码, 是否主诊断, 首页诊断类型代码, 修改人员工号, 修改日期时间, 序号, 诊断编码, 诊断时间, 诊断依据, 住院号, 住院患者疾病诊断类型代码, 最高诊断依据代码等</w:t>
            </w:r>
          </w:p>
        </w:tc>
      </w:tr>
      <w:tr w14:paraId="5964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560A4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E7DBA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首页手术麻醉信息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682CE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包括病案号, 麻醉方法代码, 麻醉结束日期时间, 麻醉开始日期时间, 麻醉医师工号, 手术持续时间, 手术及操作编码, 手术级别代码, 手术切口类别代码, 手术切口愈合等级, 手术时间, 手术医生II助, 手术医生I助, 手术者, 修改人员工号, 修改日期时间, 序号, 住院号等</w:t>
            </w:r>
          </w:p>
        </w:tc>
      </w:tr>
      <w:tr w14:paraId="2205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B3828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6C5D7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入院记录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66A0A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包括病历诊断名称汇总, 病历中医诊断名称汇总, 病史陈述者姓名, 病史摘要, 补充专科情况, 陈述内容可靠标志, 陈述内容可靠标志, 陈述者与患者的关系代码, 出生史, 传染病史, 床位号, 发育史, 辅助检查-病理检查, 辅助检查-其他, 辅助检查-特殊检查, 个人史, 过敏史, 患者传染性标志, 婚育史, 疾病史（含外伤）, 既往史, 家族史, 接诊医生工号, 科室ID, 脉搏（次/min）, 母孕史, 入院日期时间, 收缩压（mmHg）, 手术史, 输血史, 舒张压（mmHg）, 体格检查--腹部检查结果等</w:t>
            </w:r>
          </w:p>
        </w:tc>
      </w:tr>
      <w:tr w14:paraId="7A88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DD9D5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62CB1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24小时内入出院记录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94CA2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包括病历诊断名称汇总, 病历中医诊断名称汇总, 病史陈述者姓名, 陈述内容可靠标志, 陈述者与患者的关系代码, 出院情况, 出院日期时间, 出院医嘱, 出院医嘱开立日期时间, 出院医嘱开嘱医生工号, 个人史, 婚育史, 记录时间, 记录者工号, 既往史, 家族史, 接诊医生工号, 入院情况, 入院日期时间, 文档标题, 文档提交时间, 文档提交者ID, 现病史, 修改人员工号, 修改日期时间, 月经史, 诊疗过程描述, 症状描述, 症状名称, 主任医师工号, 主诉, 主治医师工号, 住院号, 住院医师工号等</w:t>
            </w:r>
          </w:p>
        </w:tc>
      </w:tr>
      <w:tr w14:paraId="59EF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27198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E71F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首次病程记录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30482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病历中医诊断名称汇总, 病例特点, 床位号, 记录时间, 记录者工号, 上级医师工号, 文档标题, 文档提交时间, 文档提交者姓名, 修改人员工号, 修改日期时间, 诊断依据, 诊疗计划, 治则治法, 主诉, 住院号, 住院医师工号等</w:t>
            </w:r>
          </w:p>
        </w:tc>
      </w:tr>
      <w:tr w14:paraId="5022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A7506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05844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日常病程记录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D0293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床位号, 记录时间, 记录者工号, 签名日期时间, 日常病程记录文书流水号, 文档标题, 修改人员工号, 修改日期时间, 医嘱内容, 主治医师工号, 住院病程, 住院号, 专业技术职务类别代码等</w:t>
            </w:r>
          </w:p>
        </w:tc>
      </w:tr>
      <w:tr w14:paraId="0AB4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C34EE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628F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上级医师查房记录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66817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查房记录, 查房日期时间, 查房主题, 床位号, 记录者工号, 签名日期时间, 上级医师查房记录文书流水号, 文档提交时间, 修改人员工号, 修改日期时间, 医嘱内容, 诊疗计划, 主任医师工号, 主治医师工号, 住院号等</w:t>
            </w:r>
          </w:p>
        </w:tc>
      </w:tr>
      <w:tr w14:paraId="1DEA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06C27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610E4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疑难病例讨论记录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4682D2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参加讨论人员名单, 床位号, 记录时间, 记录者工号, 简要病情, 讨论地点, 讨论日期时间, 讨论意见, 文档标题, 文档提交时间, 下一步诊疗计划, 修改人员工号, 修改日期时间, 疑难病例讨论记录文书流水号, 主持人姓名, 主持人总结意见, 主任医师工号, 主治医师工号, 住院号等</w:t>
            </w:r>
          </w:p>
        </w:tc>
      </w:tr>
      <w:tr w14:paraId="66E1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81211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7445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交接班记录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378E0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病历中医诊断名称汇总, 床位号, 记录时间, 记录者工号, 交班日期时间, 交班者工号, 交接班记录文书编号, 接班日期时间, 接班者签名, 接班诊疗计划, 目前情况, 入院情况, 入院日期时间, 修改人员工号, 修改日期时间, 诊疗过程描述, 主诉, 住院号, 注意事项等</w:t>
            </w:r>
          </w:p>
        </w:tc>
      </w:tr>
      <w:tr w14:paraId="022A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771A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97052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转科记录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33740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病历中医诊断名称汇总, 床位号, 目前情况, 入院情况, 入院日期时间, 修改标志, 修改人员工号, 修改日期时间, 诊疗过程描述, 主诉, 住院号, 注意事项, 转出病床号, 转出病房号, 转出日期时间, 转科记录类型, 转科记录流水号, 转科记录文书编号, 转科目的, 转入病床号, 转入病房号, 转入日期时间, 转入诊疗计划等</w:t>
            </w:r>
          </w:p>
        </w:tc>
      </w:tr>
      <w:tr w14:paraId="2B51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A84D6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2F9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阶段小结</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6C143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病历中医诊断名称汇总, 床位号, 阶段小结文书编号, 今后治疗方案, 目前情况, 签名日期时间, 入院情况, 入院日期时间, 小结日期时间, 修改人员工号, 修改日期时间, 医嘱内容, 诊疗过程描述, 主治医师工号, 住院号等</w:t>
            </w:r>
          </w:p>
        </w:tc>
      </w:tr>
      <w:tr w14:paraId="1684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2BF0A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983C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抢救记录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8BDD5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病情变化情况, 参加抢救人员名单, 操作次数, 操作方法, 床位号, 呼吸心跳停止时间, 家属要求放弃抢救, 签名日期时间, 抢救措施, 抢救地点, 抢救记录文书编号, 抢救结果, 抢救结束日期时间, 抢救开始日期时间, 修改人员工号, 修改日期时间, 主要生命体征描述, 住院号, 住院医师工号, 注意事项, 专业技术职务类别代码等</w:t>
            </w:r>
          </w:p>
        </w:tc>
      </w:tr>
      <w:tr w14:paraId="2C41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5489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BB495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会诊记录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575693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病历摘要, 病历诊断名称汇总, 病历中医诊断名称汇总, 床位号, 辅助检查结果, 会诊地点, 会诊级别, 会诊记录文书编号, 会诊科室名称, 会诊类型, 会诊目的, 会诊日期时间, 会诊申请科室, 会诊申请日期时间, 会诊意见, 会诊原因, 下一步诊疗计划,诊疗过程名称, 治则治法, 中医“四诊”观察结果, 住院号等</w:t>
            </w:r>
          </w:p>
        </w:tc>
      </w:tr>
      <w:tr w14:paraId="654A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79319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57FF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术前小结</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3B66B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病历麻醉操作名称汇总, 病历手术及操作名称汇总, 病历摘要, 病历诊断名称汇总, 床位号, 辅助检查结果, 过敏史, 过敏史标志, 会诊意见, 其他术前情况,  手术要点, 手术者工号, 手术指征, 手术主要步骤, 术前查看患者相关情况, 术前小结文书编号, 术前准备, 术中可能出现的问题及对策, 术中术后注意事项, 小结日期时间, 注意事项等</w:t>
            </w:r>
          </w:p>
        </w:tc>
      </w:tr>
      <w:tr w14:paraId="4E16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665BA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90087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术前讨论</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4038D6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病历麻醉操作名称汇总, 病历手术及操作名称汇总, 病历诊断名称汇总, 参加讨论人员名单, 床位号, 简要病情, 签名日期时间, 入院日期时间, 手术方案, 手术要点, 手术指征, 术前讨论文书编号, 术前准备, 术中可能出现的问题及对策, 讨论地点, 讨论结论, 讨论日期时间, 讨论意见, 修改人员工号, 修改日期时间, 主持人姓名, 住院号, 住院医师工号, 注意事项, 专业技术职务类别代码等</w:t>
            </w:r>
          </w:p>
        </w:tc>
      </w:tr>
      <w:tr w14:paraId="2E4F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C0659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9E43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术后首次病程记录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9A22B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病历麻醉操作名称汇总, 病历手术及操作名称汇总, 病历诊断名称汇总, 并发量, 床位号, 记录时间, 借鉴的问题, 签名日期时间, 手术过程, 手术及操作目标部位名称, 手术结束生命体征, 手术结束时间, 手术开始时间, 手术日期时间, 术后处理措施, 术后首次病程记录文书编号, 术中出血量, 修改人员工号, 修改日期时间, 诊断依据, 住院号, 住院医师工号等</w:t>
            </w:r>
          </w:p>
        </w:tc>
      </w:tr>
      <w:tr w14:paraId="07FD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7BBA7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0734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出院记录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5AD56A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包括CT, MRI, X光拍片, 病房号, 病理, 病历诊断名称汇总, 病历中医诊断名称汇总, 病情转归代码, 出院病床号, 出院病房号, 出院病区代码, 出院带药, 出院科室代码, 出院情况, 出院日期时间, 出院时症状与体征, 出院医嘱, 出院诊断院内描述, 床位号,入院情况, 入院日期时间, 入院诊断院内描述, 随访安排, 特殊检查资料号, 诊疗过程描述, 主任医师工号, 主治医师工号, 住院病案号, 住院号, 住院天数, 住院医师工号, 住院重要检查检验结果, 注意事项等</w:t>
            </w:r>
          </w:p>
        </w:tc>
      </w:tr>
      <w:tr w14:paraId="2A34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BB793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C717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死亡记录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72939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病历死亡诊断名称汇总, 病历诊断名称汇总, 病历直接死亡原因汇总, 床位号, 家属是否同意尸体解剖标志, 签名日期时间, 入院情况, 入院日期时间, 死亡时间, 修改人员工号, 修改日期时间, 诊疗过程描述, 主任医师工号, 主治医师工号, 住院号, 住院医师工号等</w:t>
            </w:r>
          </w:p>
        </w:tc>
      </w:tr>
      <w:tr w14:paraId="7DF5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6E3F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C7AF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死亡病例讨论记录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B8CC6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病历死亡诊断名称汇总, 病历诊断名称汇总, 病历直接死亡原因汇总, 参加讨论人员名单, 床位号, 签名日期时间, 死亡讨论记录, 讨论地点, 讨论日期时间, 修改人员工号, 修改日期时间, 主持人姓名, 主持人总结意见, 主任医师工号, 主治医师工号, 住院号, 专业技术职务类别代码等</w:t>
            </w:r>
          </w:p>
        </w:tc>
      </w:tr>
      <w:tr w14:paraId="3FE9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3E1AF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A9CAC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入院评估记录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9F6EF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包括Apgar评分值, 病房号, 病历诊断名称汇总, 床位号, 发育程度代码, 呼吸频率（次/min）, 患者传染性标志, 疾病史（含外伤）, 接诊护士工号, 精神状态正常标志, 脉搏（次/min）, 评估日期时间, 签名日期时间, 日吸烟量（支）, 日饮酒量（mL）, 入病房方式, 入院日期时间, 入院途径代码, 入院原因, 收缩压（mmHg）, 舒张压（mmHg）, 睡眠状况, 特殊情况, 体温（℃）, 体重, 停止吸烟天数, 通知医师标志, 通知医师日期时间, 吸烟标志, 吸烟状况代码, 心理状态代码, 修改人员工号, 修改日期时间, 一般健康状况标志, 饮酒标志, 饮酒频率代码, 饮食情况代码, 营养状态代码, 责任护士工号, 主要症状, 住院号, 自理能力代码等</w:t>
            </w:r>
          </w:p>
        </w:tc>
      </w:tr>
      <w:tr w14:paraId="0162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8769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D143E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护理计划记录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84C32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包括安全护理代码, 病房号, 病历诊断名称汇总, 床位号, 导管护理描述, 护理操作结果, 护理操作名称, 护理操作项目类目名称, 护理等级代码, 护理计划记录文书编号, 护理类型代码, 护理问题, 护士工号, 记录时间, 皮肤护理, 气管护理代码, 签名日期时间, 体位护理, 修改人员工号, 修改日期时间, 饮食指导代码, 住院号等</w:t>
            </w:r>
          </w:p>
        </w:tc>
      </w:tr>
      <w:tr w14:paraId="7D90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AFC68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C546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待产记录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CEFB1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包括膀胱充盈标志, 病房号, 产程记录日期时间, 产程检查者工号, 产次, 产妇姓名, 产前检查标志, 产前检查异常情况, 肠胀气标志, 处置计划, 床位号, 此次妊娠特殊情况, 待产日期时间, 分娩前体重（kg）, 腹围(cm）, 宫底高度（cm）, 宫颈厚度, 宫口情况, 宫缩情况, 估计胎儿体重, 呼吸频率（次/min）, 计划选取的分娩方式代码等</w:t>
            </w:r>
          </w:p>
        </w:tc>
      </w:tr>
      <w:tr w14:paraId="65C7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BA8DE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51106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阴道分娩记录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F7FDA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包括Apgar评分间隔时间, Apgar评分值, 病房号, 产次, 产妇会阴缝合针数, 产妇会阴切开标志, 产妇姓名, 产后膀胱充盈标志, 产后出血量（mL）, 产后宫底高度（cm）, 产后宫缩, 产后观察日期时间, 产后检查时间（min）, 产后脉搏（次/min ）, 产后收缩压（mmHg ）, 产后舒张压（mmHg ）, 产后心率（次/min ）, 产后用药等</w:t>
            </w:r>
          </w:p>
        </w:tc>
      </w:tr>
      <w:tr w14:paraId="5C3D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25475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7A4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剖宫产记录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89441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包括宫腔探查处理情况, 宫腔探查异常情况描述, 宫缩剂名称, 宫缩剂使用方法, 记录者工号, 麻醉方法代码, 麻醉体位, 麻醉效果, 麻醉医师工号, 年龄（岁）, 剖宫产手术过程, 其他用药, 其他用药情况, 脐带长度（cm）, 脐带异常情况描述等</w:t>
            </w:r>
          </w:p>
        </w:tc>
      </w:tr>
      <w:tr w14:paraId="2735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DD306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32F3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住院病人出院小结</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1043B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包括出院病房代码, 出院建议, 出院科室代码, 出院情况, 出院日期时间, 出院时症状与体征, 出院小结签名时间, 出院医嘱, 床位号, 记录时间, 记录者工号, 记录状态代码, 离院方式代码, 入院科室代码, 入院情况, 入院日期时间, 实际住院天数, 手术过程, 手术切口类别代码, 手术切口愈合等级代码, 特病标志, 小结内容, 修改人员工号, 修改日期时间, 阳性辅助检查结果, 婴儿标志, 诊疗过程描述, 诊疗经过（含抢救情况）, 治疗记录, 治疗结果, 治则治法, 中药煎煮方法, 中药用药方法, 中医“四诊”观察结果, 主治医师工号, 住院号, 住院医师工号等</w:t>
            </w:r>
          </w:p>
        </w:tc>
      </w:tr>
      <w:tr w14:paraId="052F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C2AB2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048E4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体温测量次数提醒</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C2897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包括记录数值, 建议测量时间点, 是否测量, 提醒测量时间点, 修改人员工号, 修改日期时间, 住院号等</w:t>
            </w:r>
          </w:p>
        </w:tc>
      </w:tr>
      <w:tr w14:paraId="01D6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CE9F8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9B430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病危（重）护理记录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EBCCF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病危（重）护理记录文书编号, 床位号, 过敏史, 呼吸机监护项目, 呼吸频率（次/min）, 护理等级代码, 护理类型代码, 护士签名, 记录时间, 签名日期时间, 收缩压（mmHg）, 舒张压（mmHg）, 体温（℃）, 体重, 心率（次/min）, 修改人员工号, 修改日期时间, 血糖检测值（mmol/L）, 饮食情况代码, 住院号等</w:t>
            </w:r>
          </w:p>
        </w:tc>
      </w:tr>
      <w:tr w14:paraId="2ADF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F4F4B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66587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手术护理记录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46A72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包括,皮肤检查描述, 签名日期时间, 入手术室日期时间, 手术护理记录文书编号, 手术及操作目标部位名称, 手术间编号, 手术结束日期时间, 手术开始日期时间, 手术者姓名, 术前清点标志, 术中病理标志, 术中所用物品名称, 修改人员工号, 修改日期时间, 业务来源代码, 转运者签名, 准备事项等</w:t>
            </w:r>
          </w:p>
        </w:tc>
      </w:tr>
      <w:tr w14:paraId="7664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3F6E0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C31E7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生命体征测量记录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B29A5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床位号, 腹围(cm）, 呼吸频率（次/min）, 护士签名, 记录时间, 脉搏（次/min）, 起搏器心率（次/min）, 签名日期时间, 入院日期时间, 生命体征测量记录文书编号, 实际住院天数, 使用呼吸机标志, 收缩压（mmHg）, 手术或分娩后天数, 舒张压（mmHg）, 体温（℃）, 体重, 修改人员工号, 修改日期时间, 住院号等</w:t>
            </w:r>
          </w:p>
        </w:tc>
      </w:tr>
      <w:tr w14:paraId="0A03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4049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E7F7A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出入量记录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5B95A2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病历诊断名称汇总, 出入量记录文书编号, 床位号, 护理等级代码, 护理类型代码, 护士签名, 记录时间, 呕吐标志, 排尿困难标志, 签名日期时间, 修改人员工号, 修改日期时间, 住院号等</w:t>
            </w:r>
          </w:p>
        </w:tc>
      </w:tr>
      <w:tr w14:paraId="0FB98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80D47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CFF89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高值耗材使用记录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256AE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包括病床号, 病房号, 病历诊断名称汇总, 材料名称, 产品编码, 产品供应商, 产品生产厂家, 高值耗材使用记录文书编号, 耗材单位, 护士签名, 记录日期时间, 签名日期时间, 使用途径, 数量, 修改人员工号, 修改日期时间, 植入性耗材标志, 住院号等</w:t>
            </w:r>
          </w:p>
        </w:tc>
      </w:tr>
      <w:tr w14:paraId="5FA9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377CB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C1F71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手术申请信息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948A8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包括安排操作人员工号, 安排操作时间, 安排手术时间, 就医业务注册号, 麻醉申请单号, 申请备注, 申请单号, 申请医生工号, 是否非计划再次手术, 是否加急, 是否镜下手术, 是否日间手术, 是否自体输血, 手术部位名称, 手术及操作编码, 手术及操作编码名称等</w:t>
            </w:r>
          </w:p>
        </w:tc>
      </w:tr>
      <w:tr w14:paraId="6021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653FC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0A429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一般手术记录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50620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包括ABO血型代码, ASA分级, Mallampati分级, 备注, 病历诊断名称汇总, 出手术室日期时间, 出血量（mL）, 放置部位, 复苏结束时间, 复苏开始时间, 患者术后去向, 接诊医生工号, 麻醉标志, 麻醉结束时间, 麻醉开始时间, 麻醉满意程度, 麻醉体位等</w:t>
            </w:r>
          </w:p>
        </w:tc>
      </w:tr>
      <w:tr w14:paraId="22C1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CD1B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0EC5F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治疗申请单信息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654C5B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包括备注, 撤销人员工号, 撤销日期时间, 登记人员工号, 登记日期时间, 就医业务注册号, 开单备注, 申请单号, 申请日期时间, 申请医生工号, 申请治疗项目, 申请治疗项目类型, 审核人员, 审核日期时间, 是否加急, 提交人员工号, 提交日期时间, 修改人员工号, 修改日期时间, 业务来源代码, 注意事项等</w:t>
            </w:r>
          </w:p>
        </w:tc>
      </w:tr>
      <w:tr w14:paraId="1B30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2AD1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DB2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治疗记录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8AABF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操作编码, 操作次数, 操作方法描述, 操作日期时间, 处理及指导意见, 床位号, 过敏史, 过敏史标志, 介入物名称, 今后治疗方案, 就医业务注册号, 签名日期时间, 申请单号, 手术及操作目标部位名称, 随访方式代码, 随访日期日期, 随访周期建议代码, 修改人员工号, 修改日期时间, 业务来源代码, 医嘱使用备注, 医嘱执行者工号, 有创诊疗操作标志等</w:t>
            </w:r>
          </w:p>
        </w:tc>
      </w:tr>
      <w:tr w14:paraId="67A1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AD7C4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8011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麻醉记录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B1092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 麻醉方法代码, 麻醉合并症标志代码, 麻醉记录文书编号, 麻醉开始日期时间, 麻醉描述, 麻醉前用药, 麻醉体位, 麻醉效果, 麻醉药物名称, 麻醉医师工号, 麻醉医嘱名称, 特殊监测项目结果, 特殊监测项目名称, 修改人员工号, 修改日期时间, 序号, 业务来源代码, 医嘱类型代码, 医嘱明细序号, 诊疗过程描述, 作废人员工号, 作废日期时间等</w:t>
            </w:r>
          </w:p>
        </w:tc>
      </w:tr>
      <w:tr w14:paraId="4701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A8BFA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B7A0D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麻醉术前访视记录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1F49C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包括B超检查结果, CT检查结果, MRI超检查结果, 病房号, 病历麻醉操作名称汇总, 病历手术及操作名称汇总, 病历诊断名称汇总, 床位号, 电子申请单编号, 肺部听诊结果, 手术间编号, 术前合并疾病, 术前麻醉医嘱, 四肢检查结果, 心电图检查结果, 心脏听诊结果, 胸部X线检查结果等</w:t>
            </w:r>
          </w:p>
        </w:tc>
      </w:tr>
      <w:tr w14:paraId="063A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8E591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70A1E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麻醉术后访视记录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500EBF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包括拔除气管插管标志, 病房号, 病历麻醉操作名称汇总, 病历手术及操作名称汇总, 病历诊断名称汇总, 床位号, 电子申请单编号, 记录日期时间, 就医业务注册号, 麻醉恢复情况, 麻醉适应证, 麻醉术后访视记录文书编号, 麻醉医师工号, 签名日期时间, 清醒日期时间, 手术及操作编码, 特殊情况, 修改人员工号, 修改日期时间, 业务来源代码, 一般状况检查结果等</w:t>
            </w:r>
          </w:p>
        </w:tc>
      </w:tr>
      <w:tr w14:paraId="5AEB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E0DF8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898B7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手术同意书</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4CA88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病历麻醉操作名称汇总, 病历手术及操作名称汇总, 病历诊断名称汇总, 床位号, 法定代理人签名, 法定代理人与患者的关系代码, 患者/法定代理人签名日期时间, 患者/法定代理人意见, 患者签名, 记录日期时间, 经治医师签名,修改人员工号, 修改日期时间, 业务来源代码, 医师签名日期时间, 知情同意书编号等</w:t>
            </w:r>
          </w:p>
        </w:tc>
      </w:tr>
      <w:tr w14:paraId="09FE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EAE2D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4954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麻醉知情同意书</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001D47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包括患者/法定代理人意见, 患者基础疾病, 患者签名, 基础疾病对麻醉可能产生的影响, 记录日期时间, 就医业务注册号, 麻醉医师签名, 麻醉医师签名日期时间, 麻醉中、麻醉后可能发生的意外及并发症, 拟行有创操作和监测方法, 使用麻醉镇痛泵标志, 修改人员工号, 修改日期时间, 业务来源代码, 知情同意书编号等</w:t>
            </w:r>
          </w:p>
        </w:tc>
      </w:tr>
      <w:tr w14:paraId="647A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A73A4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D1C16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输血治疗同意书</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F1FA1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包括病房号, 病历输血品种汇总, 病历诊断名称汇总, 床位号, 法定代理人与患者的关系代码, 患者/法定代理人签名, 患者/法定代理人签名日期时间, 患者/法定代理人意见, 记录日期时间, 就医业务注册号, 拟定输血日期时间, 输血方式, 输血前有关检查项目及结果, 输血史标识代码, 输血指征, 修改人员工号, 修改日期时间, 业务来源代码, 医师签名, 医师签名日期时间, 知情同意书编号等</w:t>
            </w:r>
          </w:p>
        </w:tc>
      </w:tr>
      <w:tr w14:paraId="48F8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F53C4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CE379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家庭基本信息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1E1524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包括居住地址-省,居住地址-市,居住地址-区/县,居住地址-街道/乡,居住地址-社区/村,家庭类型,平均收入,户属性,居住总面积(㎡),人均居住面积(㎡),房屋类型,房屋类型其他,厨房(使用方式),厨房(排风设施)等</w:t>
            </w:r>
          </w:p>
        </w:tc>
      </w:tr>
      <w:tr w14:paraId="3FBA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830DB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D354D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健康档案</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581811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姓名，性别，出生年月，血型，联系类别，联系方式，婚姻，职业，文化程度，工作单位，户主关系，证件号码，身份证，保险类别，保险号，居住地址-省，居住地址-市，居住地址-区/县，居住地址-街道/镇，居住地址-社区/村</w:t>
            </w:r>
          </w:p>
        </w:tc>
      </w:tr>
      <w:tr w14:paraId="3FC8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B957A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361CF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行为习惯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393715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包括是否吸烟，开始吸烟时间(岁)，戒烟时间(岁)，每日吸烟/支，以往平均每日吸烟，是否饮酒，常饮酒类，饮酒量，是否戒酒，，以往常饮酒类，饮食习惯，每日刷牙频率，锻炼频率，锻炼方式</w:t>
            </w:r>
          </w:p>
        </w:tc>
      </w:tr>
      <w:tr w14:paraId="3C8C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FDE6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BB91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糖尿病分级信息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C6318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评估日期时间，评估医生，空腹血糖值，餐后2小时血糖值，随机血糖值，糖化血红蛋白，微血管并发症，微血管并发症_是否稳定，大血管并发症，大血管并发症_是否稳定，糖尿病相关合并症，糖尿病相关合并症_是否稳定，糖尿病管理级别，服务机构代码，操作医生机构代码，操作日期时间等</w:t>
            </w:r>
          </w:p>
        </w:tc>
      </w:tr>
      <w:tr w14:paraId="4CDC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45AD8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3814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糖尿病随访记录</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A65D3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随访方式，随访日期时间，下次随访日期时间，随访医生，输入医生，输入日期时间，随访医疗机构，户籍核实，未核实原因，居住地核实，未核实原因，户口迁出，迁出日期时间，心率，收缩压，舒张压，体重，腰围，空腹血糖 (FBG)等</w:t>
            </w:r>
          </w:p>
        </w:tc>
      </w:tr>
      <w:tr w14:paraId="064C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8F316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493E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传染病报卡</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20F024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卡序号，报告卡编号，卡片类别，家长姓名，现住址，病例分类1，病例分类2，发病日期时间，初诊日期时间，诊断日期时间，死亡日期时间，甲类传染病，乙类传染病，丙类传染病，其他传染病，其他传染病，订正病名</w:t>
            </w:r>
          </w:p>
        </w:tc>
      </w:tr>
      <w:tr w14:paraId="589B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93DE4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F802E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住院登记信息</w:t>
            </w:r>
          </w:p>
        </w:tc>
        <w:tc>
          <w:tcPr>
            <w:tcW w:w="6396" w:type="dxa"/>
            <w:tcBorders>
              <w:top w:val="single" w:color="000000" w:sz="4" w:space="0"/>
              <w:left w:val="single" w:color="000000" w:sz="4" w:space="0"/>
              <w:bottom w:val="single" w:color="000000" w:sz="4" w:space="0"/>
              <w:right w:val="single" w:color="000000" w:sz="4" w:space="0"/>
            </w:tcBorders>
            <w:noWrap/>
            <w:vAlign w:val="center"/>
          </w:tcPr>
          <w:p w14:paraId="77847E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包括住院号，入院疾病代码，入院疾病名称，出院疾病代码，出院疾病名称，入院途径代码，出院途径代码</w:t>
            </w:r>
          </w:p>
        </w:tc>
      </w:tr>
      <w:tr w14:paraId="445A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CDA9E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FF517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住院医嘱</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09DB3E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包括住院号，医嘱号，医嘱日期，药品代码，药品名称</w:t>
            </w:r>
          </w:p>
        </w:tc>
      </w:tr>
      <w:tr w14:paraId="42DF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9BC0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81135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病案首页信息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27DADC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包括姓名，性别，代码，出生日期，入院日期，出院日期，住院患者住院天数，出院方式，主治医师，医保类型，是否医保，是否以中医为主治疗</w:t>
            </w:r>
          </w:p>
        </w:tc>
      </w:tr>
      <w:tr w14:paraId="2DA7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E3C1D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5E470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住院结算费用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7026EF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包括结算号，住院号，入院时间ID，出院时间ID，患者姓名，疾病代码，收费项目代码</w:t>
            </w:r>
          </w:p>
        </w:tc>
      </w:tr>
      <w:tr w14:paraId="08C2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4D767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DB0A5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住院发生费用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4E045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住院号，入院日期，出院日期，计费日期，疾病代码，疾病名称，费用类别代码，药品名称，基药分类代码，总金额</w:t>
            </w:r>
          </w:p>
        </w:tc>
      </w:tr>
      <w:tr w14:paraId="7687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BD545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D4D56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住院支付费用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36CF84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包括序号，住院结算号，支付金额，支付来源字典，支付终端号，支付交易号，操作人员，是否退钱，是否挂账，支付性质代码</w:t>
            </w:r>
          </w:p>
        </w:tc>
      </w:tr>
      <w:tr w14:paraId="6D47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5F6A4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1AC33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门诊挂号</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6C3878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包括病人来源名称，挂号时间，门诊号，挂号科室代码，挂号科室名称，挂号医生代码，挂号医生名称，患者姓名，是否本地挂号类型编号，是否预约</w:t>
            </w:r>
          </w:p>
        </w:tc>
      </w:tr>
      <w:tr w14:paraId="7EF0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32357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ACA6C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门诊工作日志</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DAC7B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包括序号，就诊编号，接诊类型，科室代码，医生代码，挂号科室代码，挂号医生代码，接诊时间，诊断，诊毕时间，主要处理，病人去向</w:t>
            </w:r>
          </w:p>
        </w:tc>
      </w:tr>
      <w:tr w14:paraId="7E9F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D3BD6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A83FC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门诊处方事实表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9DB23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包括门诊日期，厨房号，序号，处方类型编号，处方类型名称，是否审核，是否调剂，是否点评，药品代码，药品名称，药品类型，基药分类代码，是否抗菌药</w:t>
            </w:r>
          </w:p>
        </w:tc>
      </w:tr>
      <w:tr w14:paraId="3B47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E930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82F68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药事门诊发配单</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4F5CA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包括机构代码，机构名，开方科室代码，开方科室名称，门诊号，仓库名，窗口号，配药人员，配药时间，多人配药，发药人员，发药时间，取药时长</w:t>
            </w:r>
          </w:p>
        </w:tc>
      </w:tr>
      <w:tr w14:paraId="23CC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5BD88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72008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门急诊结算费用</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2659CD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包括门诊收费号，账单号，结算时间，门诊号，机构代码，患者姓名，疾病代码，是否医保，是否复诊，是否预约，是否医疗服务收入，药品代码，费用类型名称</w:t>
            </w:r>
          </w:p>
        </w:tc>
      </w:tr>
      <w:tr w14:paraId="4CC1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63C4B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B38AC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门诊支付明细信息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EBF3F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包括实际支付流水号，挂号时间，结算时间，是否医保，挂号科室代码，支付方式，是否医保支付，收费来源，是否作废，支付金额</w:t>
            </w:r>
          </w:p>
        </w:tc>
      </w:tr>
      <w:tr w14:paraId="6F75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A04CD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D95B3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手术管理</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7277A3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包括手术申请号，预约时间，手术开始时间，手术结束时间，完成时间，是否迟开，手术时长，主刀医生代码，主刀医生名称，手术切口代码，是否微创手术，手术切口登记</w:t>
            </w:r>
          </w:p>
        </w:tc>
      </w:tr>
      <w:tr w14:paraId="25EC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98BFA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F469B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检查管理</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30B2A6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包括申请单号，项目序号，申请科室代码，执行科室代码，报告医生代码，检查类型，检查名称，检查时间，报告时间，出报告时长，等候时长，报告日期，检查日期</w:t>
            </w:r>
          </w:p>
        </w:tc>
      </w:tr>
      <w:tr w14:paraId="278B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2CED0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8398A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化验标本信息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770A7F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包括标本编号，申请单号，标本来源，采集时间，检验名称，开嘱分类代码，开嘱分类名称</w:t>
            </w:r>
          </w:p>
        </w:tc>
      </w:tr>
      <w:tr w14:paraId="6030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0086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3E8B4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化验报告单明细</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678329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包括机构代码，机构名称，报告单编号，显示顺序号，标本ID，电子识别码，样本号，申请单编号，细菌分类，细菌名称，采集人员ID，送检人员ID，核对人员ID</w:t>
            </w:r>
          </w:p>
        </w:tc>
      </w:tr>
      <w:tr w14:paraId="037B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ED78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3CC1E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机构维度信息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91B8D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包括机构代码，机构名，机构简称，上级机构号，上级机构名，机构评级号，组织代码</w:t>
            </w:r>
          </w:p>
        </w:tc>
      </w:tr>
      <w:tr w14:paraId="44B5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E59C7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780E5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病区维度信息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71EA9B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包括平台机构代码，机构名，病区内码，病区代码，病区名，状态，病区类型编号，楼，层，创建时间</w:t>
            </w:r>
          </w:p>
        </w:tc>
      </w:tr>
      <w:tr w14:paraId="240D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A64BD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13D86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科室维度信息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6FCFB1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包括科室ID，归属机构代编码，科室代码，科室名称，记录状态，科室来源，科室类型编号，科室类型名称，挂号类型代码，挂号类型名称，是否专家</w:t>
            </w:r>
          </w:p>
        </w:tc>
      </w:tr>
      <w:tr w14:paraId="2A36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EE7F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9D227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医疗组维度信息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119E8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包括隶属医疗机构，机构名，医疗组内码，代码，名称，状态，职责性质编号，指责性质名称</w:t>
            </w:r>
          </w:p>
        </w:tc>
      </w:tr>
      <w:tr w14:paraId="4E05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53918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D0BFB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医生维度信息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3C00C7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包括ID，人员工号，机构代码，医生号，科室号，启用状态，职称号，职称名，学历号，学历名称，是否执业医师</w:t>
            </w:r>
          </w:p>
        </w:tc>
      </w:tr>
      <w:tr w14:paraId="6795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1A2BE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007C1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门诊挂号类型</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FE2A8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包括ID，代码，名称，辅码1，是否急诊，是否专家，是否专科，是否特需，是否中医诊疗人次</w:t>
            </w:r>
          </w:p>
        </w:tc>
      </w:tr>
      <w:tr w14:paraId="591F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2A352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7FB58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收费类型维度信息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86349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包括收费项目编号，是否医疗服务收入，收入分类ID，收入分类，收费类型，创建时间</w:t>
            </w:r>
          </w:p>
        </w:tc>
      </w:tr>
      <w:tr w14:paraId="5B81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FFED2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1B006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费用项目维度信息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60B58D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包括项目代码，项目名称，是否特需，是否中医医疗服务收入</w:t>
            </w:r>
          </w:p>
        </w:tc>
      </w:tr>
      <w:tr w14:paraId="7C1B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C091E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DB829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病人性质维度信息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7EBBE4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包括机构代码，机构名，性质分类，是否医保，记录状态</w:t>
            </w:r>
          </w:p>
        </w:tc>
      </w:tr>
      <w:tr w14:paraId="6D94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C6BA9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9D9CF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结算基础字典信息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3BF2C5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包括结算基础字典代码，结算类型代码，结算类型名称，支付类型编号，支付类型名称，状态，是否医保支付，类型标志，支付方式编号，支付方式名称</w:t>
            </w:r>
          </w:p>
        </w:tc>
      </w:tr>
      <w:tr w14:paraId="703A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75C91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120A2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药品维度信息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64CDF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包括药品代码，药品名称，药品编码，药品通用名，生产厂家编号，生产厂家名称，药品类别编号，药品类别名称，剂型编号，剂型名称</w:t>
            </w:r>
          </w:p>
        </w:tc>
      </w:tr>
      <w:tr w14:paraId="0DFE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34D21F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F6B5D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医嘱执行途径字典信息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2AAFA7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包括ID，机构代码，途径编号，途径名称，途径代码，途径简称，途径类型号，途径类型名</w:t>
            </w:r>
          </w:p>
        </w:tc>
      </w:tr>
      <w:tr w14:paraId="744D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6AE9B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29EEF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疾病诊断维度信息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E442F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包括ICD编码，疾病名称，疾病类型编号，疾病类型名称，是否需要进入临床路径，是否重点病种，是否单病种</w:t>
            </w:r>
          </w:p>
        </w:tc>
      </w:tr>
      <w:tr w14:paraId="3048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E47A8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4024E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手术切口维度信息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BBE35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包括分类标志，名称，代码，排序码，记录状态，修改人员</w:t>
            </w:r>
          </w:p>
        </w:tc>
      </w:tr>
      <w:tr w14:paraId="7750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21C65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0AD52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手术名称维度信息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2F600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包括手术编号，手术名称，ICD，手术级别号，手术级别名称，是否微创手术</w:t>
            </w:r>
          </w:p>
        </w:tc>
      </w:tr>
      <w:tr w14:paraId="0964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6BBCC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64C02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手术房间维度信息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F7988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包括ID，代码，名称，手术间类型，手术室代码，手术室名称，手术台数</w:t>
            </w:r>
          </w:p>
        </w:tc>
      </w:tr>
      <w:tr w14:paraId="5927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FA30B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D134B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区域维度信息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6038C1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包括ID，区域代码，简称，全称，行政区域层，是否末级，记录状态，父级id，是否本地</w:t>
            </w:r>
          </w:p>
        </w:tc>
      </w:tr>
      <w:tr w14:paraId="31B4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AA0EE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D03AF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年龄段维度信息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782D2D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包括代码，名称，区间开始值，区间截止值，删除标识，创建时间</w:t>
            </w:r>
          </w:p>
        </w:tc>
      </w:tr>
      <w:tr w14:paraId="1AD2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69E17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BE5CD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抗菌药物分类维度信息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29D48A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包括名称，代码，ID，创建时间，修改时间</w:t>
            </w:r>
          </w:p>
        </w:tc>
      </w:tr>
      <w:tr w14:paraId="3845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94692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0EB76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检验出报告时长分类维度信息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EB186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包括ID，名称，区间开始值，区间截止值</w:t>
            </w:r>
          </w:p>
        </w:tc>
      </w:tr>
      <w:tr w14:paraId="568B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F0896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00B2A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收费来源维度信息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E269C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包括ID，代码，名称，删除标识，创建时间，修改时间</w:t>
            </w:r>
          </w:p>
        </w:tc>
      </w:tr>
      <w:tr w14:paraId="38C5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479CB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A0BFD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取药时长分类维度信息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0C4305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包括ID，名称，区间开始值，区间截止值</w:t>
            </w:r>
          </w:p>
        </w:tc>
      </w:tr>
      <w:tr w14:paraId="0F03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4FE7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B505E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病情转归维度信息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2557ED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包括ID，代码，名称，删除标识，创建时间，修改时间</w:t>
            </w:r>
          </w:p>
        </w:tc>
      </w:tr>
      <w:tr w14:paraId="1E3E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A578E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BBA65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住院状态维度信息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F56FB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包括ID，代码，名称，删除标识，创建时间，修改时间</w:t>
            </w:r>
          </w:p>
        </w:tc>
      </w:tr>
      <w:tr w14:paraId="2B71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6EFA68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1C1D2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住院人次_出院途径汇总信息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071FA8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包括出院途径代码，出院途径名称，出院人次，住院死亡人数，转出人次</w:t>
            </w:r>
          </w:p>
        </w:tc>
      </w:tr>
      <w:tr w14:paraId="3BA4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771A8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0E8BA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住院人次_入院途径汇总信息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87EC5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包括入院途径代码，入院途径名称，入院人次，门急诊入院人次，转入人次</w:t>
            </w:r>
          </w:p>
        </w:tc>
      </w:tr>
      <w:tr w14:paraId="43B3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0BCDD5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2B9AE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住院人次_疾病汇总信息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0A9D37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包括疾病代码，疾病名称，ICD编码，是否重点病种，出院人次，住院死亡人数，重点疾病出院例数，重点疾病死亡例数</w:t>
            </w:r>
          </w:p>
        </w:tc>
      </w:tr>
      <w:tr w14:paraId="49BB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B1412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D7941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住院人次_医生汇总信息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6A15F4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包括入院人次，急诊入院人次、门诊入院人次、出院人次、住院死亡人数、出院患者手术人次、出院患者实际占用总床日数、出院患者术前住院总天数、出院结账人次</w:t>
            </w:r>
          </w:p>
        </w:tc>
      </w:tr>
      <w:tr w14:paraId="5930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89F47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0DA6F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住院人次_医保类型汇总信息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B9331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包括是否医保，险种类型代码，险种类型名称，险种类型分类代码，医保类型分类，参保地医保区划分</w:t>
            </w:r>
          </w:p>
        </w:tc>
      </w:tr>
      <w:tr w14:paraId="15F8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48F78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E4420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住院人次_转归情况汇总信息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99232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包括机构代码，机构名称，转归情况代码，转归情况名称，出院人次</w:t>
            </w:r>
          </w:p>
        </w:tc>
      </w:tr>
      <w:tr w14:paraId="39ED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197A3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DC099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住院人次_患者汇总信息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5DBD8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包括患者地域来源代码，患者地域来源名称，患者性别代码，患者性别名称，患者年龄段代码，患者年龄段名称</w:t>
            </w:r>
          </w:p>
        </w:tc>
      </w:tr>
      <w:tr w14:paraId="2E4F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77ECF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502D2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住院人次_危急等级今日汇总信息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F0892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包括机构代码，病区代码，科室代码，医生代码，危急等级编号，危急等级名称，在院人数</w:t>
            </w:r>
          </w:p>
        </w:tc>
      </w:tr>
      <w:tr w14:paraId="0FCE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37C64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E5104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住院结算费用_医生汇总信息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322490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包括住院收入、住院医疗服务收入、住院检查收入、住院检验收入、住院药品收入</w:t>
            </w:r>
          </w:p>
        </w:tc>
      </w:tr>
      <w:tr w14:paraId="429E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2318F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DD4B4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住院结算费用_疾病汇总信息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E1538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住院收入、住院药品收入、出院患者住院收入、结算人次、出院人次、出院患者住院天数之和</w:t>
            </w:r>
          </w:p>
        </w:tc>
      </w:tr>
      <w:tr w14:paraId="220C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DE2EC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DDF6E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住院结算费用_费用类别汇总信息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048E2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费用类别代码、费用类别名称、住院收入、出院医保患者住院收入</w:t>
            </w:r>
          </w:p>
        </w:tc>
      </w:tr>
      <w:tr w14:paraId="1CEB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5D6682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890F9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住院结算费用_医生_医保汇总信息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7D5A12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包括险种类型代码，险种类型名称，是否医保，住院收入，住院医疗服务收入，出院患者住院药品收入</w:t>
            </w:r>
          </w:p>
        </w:tc>
      </w:tr>
      <w:tr w14:paraId="74C5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19FD42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ED574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住院发生费用_医生汇总信息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E4833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包括住院收入-发生，住院医疗服务收入-发生，住院药品收入-发生，住院检查收入-发生，住院检验收入-发生</w:t>
            </w:r>
          </w:p>
        </w:tc>
      </w:tr>
      <w:tr w14:paraId="2B6C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88E1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0E369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住院发生费用_疾病汇总信息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7D98A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包括疾病代码，疾病名称，住院收入-发生，住院药品收入-发生</w:t>
            </w:r>
          </w:p>
        </w:tc>
      </w:tr>
      <w:tr w14:paraId="3F3A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23887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3E249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住院医嘱_医生汇总信息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DBBFC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包括医嘱数，抗菌药物医嘱数，含基本药物医嘱数，含静脉注射医嘱数，住院中草药贴数，出院患者使用西药人次，出院患者使用中草药人次，出院患者使用中成药人次</w:t>
            </w:r>
          </w:p>
        </w:tc>
      </w:tr>
      <w:tr w14:paraId="6453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22046F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E8EC9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住院医嘱_药品类型汇总信息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A570A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包括药品类别编号，药品类型名称，是否出院带药，医嘱数，药物医嘱数，出院人次</w:t>
            </w:r>
          </w:p>
        </w:tc>
      </w:tr>
      <w:tr w14:paraId="5B3B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51548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D1D62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病案首页_医生汇总信息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98628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包括门诊诊断和出院诊断符合患者人数，入院诊断和出院诊断符合患者人数，术前诊断和术后诊断符合患者人数，以中医为主治疗的出院患者</w:t>
            </w:r>
          </w:p>
        </w:tc>
      </w:tr>
      <w:tr w14:paraId="5AC9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A438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AB1B6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门急诊人次_医生汇总信息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5E5F07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包括诊疗人次，预约诊疗人次，提前一周预约人次，复诊人次，退号人次，门诊预约等待人次</w:t>
            </w:r>
          </w:p>
        </w:tc>
      </w:tr>
      <w:tr w14:paraId="6DA0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008DE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C5D07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门急诊人次_挂号来源汇总信息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148A7B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包括诊疗人次，是否重开，重开科室ID，重开科室</w:t>
            </w:r>
          </w:p>
        </w:tc>
      </w:tr>
      <w:tr w14:paraId="192A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86" w:type="dxa"/>
            <w:tcBorders>
              <w:top w:val="single" w:color="000000" w:sz="4" w:space="0"/>
              <w:left w:val="single" w:color="000000" w:sz="4" w:space="0"/>
              <w:bottom w:val="single" w:color="000000" w:sz="4" w:space="0"/>
              <w:right w:val="single" w:color="000000" w:sz="4" w:space="0"/>
            </w:tcBorders>
            <w:noWrap w:val="0"/>
            <w:vAlign w:val="center"/>
          </w:tcPr>
          <w:p w14:paraId="7CBE7F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5C3DE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门急诊结算费用_医生汇总信息</w:t>
            </w:r>
          </w:p>
        </w:tc>
        <w:tc>
          <w:tcPr>
            <w:tcW w:w="6396" w:type="dxa"/>
            <w:tcBorders>
              <w:top w:val="single" w:color="000000" w:sz="4" w:space="0"/>
              <w:left w:val="single" w:color="000000" w:sz="4" w:space="0"/>
              <w:bottom w:val="single" w:color="000000" w:sz="4" w:space="0"/>
              <w:right w:val="single" w:color="000000" w:sz="4" w:space="0"/>
            </w:tcBorders>
            <w:noWrap w:val="0"/>
            <w:vAlign w:val="center"/>
          </w:tcPr>
          <w:p w14:paraId="4E9BCF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包括门急诊药品收入，门急诊检查收入，门急诊抗菌药物收入，门急诊西药收入，门急诊中药饮片收入，门急诊非医保患者收入</w:t>
            </w:r>
          </w:p>
        </w:tc>
      </w:tr>
    </w:tbl>
    <w:p w14:paraId="08848094">
      <w:pPr>
        <w:pageBreakBefore w:val="0"/>
        <w:kinsoku/>
        <w:wordWrap/>
        <w:overflowPunct/>
        <w:topLinePunct w:val="0"/>
        <w:autoSpaceDE/>
        <w:autoSpaceDN/>
        <w:bidi w:val="0"/>
        <w:adjustRightInd w:val="0"/>
        <w:snapToGrid w:val="0"/>
        <w:rPr>
          <w:rFonts w:hint="eastAsia" w:ascii="宋体" w:hAnsi="宋体" w:eastAsia="宋体" w:cs="宋体"/>
          <w:color w:val="auto"/>
          <w:sz w:val="21"/>
          <w:szCs w:val="21"/>
          <w:lang w:val="en-US" w:eastAsia="zh-CN"/>
        </w:rPr>
      </w:pPr>
    </w:p>
    <w:p w14:paraId="19B6C6B1">
      <w:pPr>
        <w:keepNext/>
        <w:keepLines/>
        <w:pageBreakBefore w:val="0"/>
        <w:widowControl w:val="0"/>
        <w:numPr>
          <w:ilvl w:val="3"/>
          <w:numId w:val="2"/>
        </w:numPr>
        <w:kinsoku/>
        <w:wordWrap/>
        <w:overflowPunct/>
        <w:topLinePunct w:val="0"/>
        <w:autoSpaceDE/>
        <w:autoSpaceDN/>
        <w:bidi w:val="0"/>
        <w:adjustRightInd w:val="0"/>
        <w:snapToGrid w:val="0"/>
        <w:spacing w:before="280" w:beforeLines="0" w:beforeAutospacing="0" w:after="290" w:afterLines="0" w:afterAutospacing="0" w:line="372" w:lineRule="auto"/>
        <w:ind w:left="864" w:hanging="864"/>
        <w:jc w:val="both"/>
        <w:outlineLvl w:val="3"/>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省、市数据回流</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941"/>
        <w:gridCol w:w="941"/>
        <w:gridCol w:w="6640"/>
      </w:tblGrid>
      <w:tr w14:paraId="7092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622A4C73">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754" w:type="dxa"/>
            <w:tcBorders>
              <w:tl2br w:val="nil"/>
              <w:tr2bl w:val="nil"/>
            </w:tcBorders>
            <w:shd w:val="clear" w:color="auto" w:fill="auto"/>
            <w:noWrap w:val="0"/>
            <w:vAlign w:val="center"/>
          </w:tcPr>
          <w:p w14:paraId="51CB3C13">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系统</w:t>
            </w:r>
          </w:p>
        </w:tc>
        <w:tc>
          <w:tcPr>
            <w:tcW w:w="5321" w:type="dxa"/>
            <w:tcBorders>
              <w:tl2br w:val="nil"/>
              <w:tr2bl w:val="nil"/>
            </w:tcBorders>
            <w:shd w:val="clear" w:color="auto" w:fill="auto"/>
            <w:noWrap w:val="0"/>
            <w:vAlign w:val="center"/>
          </w:tcPr>
          <w:p w14:paraId="15D840E0">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功能模块及技术参数</w:t>
            </w:r>
          </w:p>
        </w:tc>
      </w:tr>
      <w:tr w14:paraId="0D44C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54" w:type="dxa"/>
            <w:tcBorders>
              <w:tl2br w:val="nil"/>
              <w:tr2bl w:val="nil"/>
            </w:tcBorders>
            <w:shd w:val="clear" w:color="auto" w:fill="auto"/>
            <w:noWrap w:val="0"/>
            <w:vAlign w:val="center"/>
          </w:tcPr>
          <w:p w14:paraId="53AF3CCD">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p w14:paraId="3CCD0B92">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sz w:val="21"/>
                <w:szCs w:val="21"/>
              </w:rPr>
            </w:pPr>
          </w:p>
        </w:tc>
        <w:tc>
          <w:tcPr>
            <w:tcW w:w="754" w:type="dxa"/>
            <w:tcBorders>
              <w:tl2br w:val="nil"/>
              <w:tr2bl w:val="nil"/>
            </w:tcBorders>
            <w:shd w:val="clear" w:color="auto" w:fill="auto"/>
            <w:noWrap w:val="0"/>
            <w:vAlign w:val="center"/>
          </w:tcPr>
          <w:p w14:paraId="5AB19AA8">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省、市数据回流</w:t>
            </w:r>
          </w:p>
          <w:p w14:paraId="1FBEBDF3">
            <w:pPr>
              <w:pageBreakBefore w:val="0"/>
              <w:kinsoku/>
              <w:wordWrap/>
              <w:overflowPunct/>
              <w:topLinePunct w:val="0"/>
              <w:autoSpaceDE/>
              <w:autoSpaceDN/>
              <w:bidi w:val="0"/>
              <w:adjustRightInd w:val="0"/>
              <w:snapToGrid w:val="0"/>
              <w:spacing w:before="0" w:after="0" w:line="240" w:lineRule="auto"/>
              <w:ind w:left="0" w:firstLine="0"/>
              <w:jc w:val="center"/>
              <w:textAlignment w:val="center"/>
              <w:rPr>
                <w:rFonts w:hint="eastAsia" w:ascii="宋体" w:hAnsi="宋体" w:eastAsia="宋体" w:cs="宋体"/>
                <w:color w:val="auto"/>
                <w:kern w:val="0"/>
                <w:sz w:val="21"/>
                <w:szCs w:val="21"/>
                <w:lang w:eastAsia="zh-CN" w:bidi="ar"/>
              </w:rPr>
            </w:pPr>
          </w:p>
        </w:tc>
        <w:tc>
          <w:tcPr>
            <w:tcW w:w="5321" w:type="dxa"/>
            <w:tcBorders>
              <w:tl2br w:val="nil"/>
              <w:tr2bl w:val="nil"/>
            </w:tcBorders>
            <w:shd w:val="clear" w:color="auto" w:fill="auto"/>
            <w:noWrap w:val="0"/>
            <w:vAlign w:val="center"/>
          </w:tcPr>
          <w:p w14:paraId="44D3BB4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1.总体要求</w:t>
            </w:r>
          </w:p>
          <w:p w14:paraId="49F1D8C2">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需根据实际需求，做好省、市级相关系统内鄞州区所属数据的回流。</w:t>
            </w:r>
          </w:p>
          <w:p w14:paraId="306A549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2.卫健部门数据回流</w:t>
            </w:r>
          </w:p>
          <w:p w14:paraId="288318DF">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通过宁波市全民健康信息平台与鄞州区新一代全民健康信息平台的交互，根据居民建档地或居住地在鄞州区的，实现对应数据回流至鄞州区新一代全民健康信息平台。</w:t>
            </w:r>
          </w:p>
          <w:p w14:paraId="7F550781">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3.卫健部门以外的数据回流</w:t>
            </w:r>
          </w:p>
          <w:p w14:paraId="368D5DB3">
            <w:pPr>
              <w:pageBreakBefore w:val="0"/>
              <w:kinsoku/>
              <w:wordWrap/>
              <w:overflowPunct/>
              <w:topLinePunct w:val="0"/>
              <w:autoSpaceDE/>
              <w:autoSpaceDN/>
              <w:bidi w:val="0"/>
              <w:adjustRightInd w:val="0"/>
              <w:snapToGrid w:val="0"/>
              <w:spacing w:before="0" w:after="0" w:line="240" w:lineRule="auto"/>
              <w:ind w:left="0" w:firstLine="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通过浙江省一体化数字资源系统（IRS），将所需数据回流至</w:t>
            </w:r>
            <w:r>
              <w:rPr>
                <w:rFonts w:hint="eastAsia" w:ascii="宋体" w:hAnsi="宋体" w:eastAsia="宋体" w:cs="宋体"/>
                <w:color w:val="auto"/>
                <w:kern w:val="0"/>
                <w:sz w:val="21"/>
                <w:szCs w:val="21"/>
                <w:lang w:eastAsia="zh-CN" w:bidi="ar"/>
              </w:rPr>
              <w:t>鄞州区数据局</w:t>
            </w:r>
            <w:r>
              <w:rPr>
                <w:rFonts w:hint="eastAsia" w:ascii="宋体" w:hAnsi="宋体" w:eastAsia="宋体" w:cs="宋体"/>
                <w:color w:val="auto"/>
                <w:kern w:val="0"/>
                <w:sz w:val="21"/>
                <w:szCs w:val="21"/>
                <w:lang w:bidi="ar"/>
              </w:rPr>
              <w:t>数仓，通过规定的方式实现数据应用。</w:t>
            </w:r>
          </w:p>
        </w:tc>
      </w:tr>
    </w:tbl>
    <w:p w14:paraId="2396858F">
      <w:pPr>
        <w:keepNext/>
        <w:keepLines/>
        <w:widowControl w:val="0"/>
        <w:numPr>
          <w:ilvl w:val="1"/>
          <w:numId w:val="2"/>
        </w:numPr>
        <w:bidi w:val="0"/>
        <w:spacing w:before="120" w:beforeLines="0" w:beforeAutospacing="0" w:after="120" w:afterLines="0" w:afterAutospacing="0" w:line="360" w:lineRule="auto"/>
        <w:ind w:left="0" w:firstLine="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基础设施详细技术需求</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733"/>
        <w:gridCol w:w="874"/>
        <w:gridCol w:w="6399"/>
      </w:tblGrid>
      <w:tr w14:paraId="2A2F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noWrap/>
            <w:vAlign w:val="center"/>
          </w:tcPr>
          <w:p w14:paraId="55B3DB0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42" w:type="pct"/>
            <w:gridSpan w:val="2"/>
            <w:noWrap/>
            <w:vAlign w:val="center"/>
          </w:tcPr>
          <w:p w14:paraId="59496E1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采购设备/服务名称</w:t>
            </w:r>
          </w:p>
        </w:tc>
        <w:tc>
          <w:tcPr>
            <w:tcW w:w="3754" w:type="pct"/>
            <w:noWrap/>
            <w:vAlign w:val="center"/>
          </w:tcPr>
          <w:p w14:paraId="027CC53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38D5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noWrap/>
            <w:vAlign w:val="center"/>
          </w:tcPr>
          <w:p w14:paraId="556F8B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42" w:type="pct"/>
            <w:gridSpan w:val="2"/>
            <w:noWrap/>
            <w:vAlign w:val="center"/>
          </w:tcPr>
          <w:p w14:paraId="72045C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链路</w:t>
            </w:r>
          </w:p>
        </w:tc>
        <w:tc>
          <w:tcPr>
            <w:tcW w:w="3754" w:type="pct"/>
            <w:noWrap w:val="0"/>
            <w:vAlign w:val="center"/>
          </w:tcPr>
          <w:p w14:paraId="675BB8C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1、两条千兆OTN链路；从IDC机房至市卫健委联通机房（软件园）；</w:t>
            </w:r>
          </w:p>
          <w:p w14:paraId="159B592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2、两条链路选择不同的运营商，每个传输节点具有环保护（非VPN和裸光纤），其中一条要求直接接入市卫健委联通机房（软件园）核心交换机。</w:t>
            </w:r>
          </w:p>
          <w:p w14:paraId="5933B0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3、带与专网接入的设备适配的10KM单模光模块一对。</w:t>
            </w:r>
          </w:p>
          <w:p w14:paraId="3D0CCE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4、租赁期1年。</w:t>
            </w:r>
          </w:p>
        </w:tc>
      </w:tr>
      <w:tr w14:paraId="7AEE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3E27D5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42" w:type="pct"/>
            <w:gridSpan w:val="2"/>
            <w:vMerge w:val="restart"/>
            <w:noWrap/>
            <w:vAlign w:val="center"/>
          </w:tcPr>
          <w:p w14:paraId="2A212F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网络设备</w:t>
            </w:r>
          </w:p>
        </w:tc>
        <w:tc>
          <w:tcPr>
            <w:tcW w:w="3754" w:type="pct"/>
            <w:noWrap w:val="0"/>
            <w:vAlign w:val="center"/>
          </w:tcPr>
          <w:p w14:paraId="6FA9EA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1、交换容量≥4.8Tbps，以官网所列最低参数为准；</w:t>
            </w:r>
          </w:p>
        </w:tc>
      </w:tr>
      <w:tr w14:paraId="0CB8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0F9AC7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DC9C621">
            <w:pPr>
              <w:jc w:val="center"/>
              <w:rPr>
                <w:rFonts w:hint="eastAsia" w:ascii="宋体" w:hAnsi="宋体" w:eastAsia="宋体" w:cs="宋体"/>
                <w:i w:val="0"/>
                <w:iCs w:val="0"/>
                <w:color w:val="auto"/>
                <w:sz w:val="21"/>
                <w:szCs w:val="21"/>
                <w:u w:val="none"/>
              </w:rPr>
            </w:pPr>
          </w:p>
        </w:tc>
        <w:tc>
          <w:tcPr>
            <w:tcW w:w="3754" w:type="pct"/>
            <w:noWrap/>
            <w:vAlign w:val="center"/>
          </w:tcPr>
          <w:p w14:paraId="4F8CAEA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2、转发性能≥2000Mpps,以官网所列最低参数为准；</w:t>
            </w:r>
          </w:p>
        </w:tc>
      </w:tr>
      <w:tr w14:paraId="09D6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F2A33D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C1DC166">
            <w:pPr>
              <w:jc w:val="center"/>
              <w:rPr>
                <w:rFonts w:hint="eastAsia" w:ascii="宋体" w:hAnsi="宋体" w:eastAsia="宋体" w:cs="宋体"/>
                <w:i w:val="0"/>
                <w:iCs w:val="0"/>
                <w:color w:val="auto"/>
                <w:sz w:val="21"/>
                <w:szCs w:val="21"/>
                <w:u w:val="none"/>
              </w:rPr>
            </w:pPr>
          </w:p>
        </w:tc>
        <w:tc>
          <w:tcPr>
            <w:tcW w:w="3754" w:type="pct"/>
            <w:noWrap/>
            <w:vAlign w:val="center"/>
          </w:tcPr>
          <w:p w14:paraId="27ABA7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3、扩展插槽≥4个；</w:t>
            </w:r>
          </w:p>
        </w:tc>
      </w:tr>
      <w:tr w14:paraId="45F1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072956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AC6F79E">
            <w:pPr>
              <w:jc w:val="center"/>
              <w:rPr>
                <w:rFonts w:hint="eastAsia" w:ascii="宋体" w:hAnsi="宋体" w:eastAsia="宋体" w:cs="宋体"/>
                <w:i w:val="0"/>
                <w:iCs w:val="0"/>
                <w:color w:val="auto"/>
                <w:sz w:val="21"/>
                <w:szCs w:val="21"/>
                <w:u w:val="none"/>
              </w:rPr>
            </w:pPr>
          </w:p>
        </w:tc>
        <w:tc>
          <w:tcPr>
            <w:tcW w:w="3754" w:type="pct"/>
            <w:noWrap/>
            <w:vAlign w:val="center"/>
          </w:tcPr>
          <w:p w14:paraId="62EFA0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4、整机最大MAC地址表≥280K；</w:t>
            </w:r>
          </w:p>
        </w:tc>
      </w:tr>
      <w:tr w14:paraId="5530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2B3C70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D4EA30C">
            <w:pPr>
              <w:jc w:val="center"/>
              <w:rPr>
                <w:rFonts w:hint="eastAsia" w:ascii="宋体" w:hAnsi="宋体" w:eastAsia="宋体" w:cs="宋体"/>
                <w:i w:val="0"/>
                <w:iCs w:val="0"/>
                <w:color w:val="auto"/>
                <w:sz w:val="21"/>
                <w:szCs w:val="21"/>
                <w:u w:val="none"/>
              </w:rPr>
            </w:pPr>
          </w:p>
        </w:tc>
        <w:tc>
          <w:tcPr>
            <w:tcW w:w="3754" w:type="pct"/>
            <w:noWrap w:val="0"/>
            <w:vAlign w:val="center"/>
          </w:tcPr>
          <w:p w14:paraId="7CE2AA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5、VLAN：支持基于端口、基于协议、基于MAC的VLAN；支持QinQ和灵活QinQ；</w:t>
            </w:r>
          </w:p>
        </w:tc>
      </w:tr>
      <w:tr w14:paraId="2AE0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C14298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232C758">
            <w:pPr>
              <w:jc w:val="center"/>
              <w:rPr>
                <w:rFonts w:hint="eastAsia" w:ascii="宋体" w:hAnsi="宋体" w:eastAsia="宋体" w:cs="宋体"/>
                <w:i w:val="0"/>
                <w:iCs w:val="0"/>
                <w:color w:val="auto"/>
                <w:sz w:val="21"/>
                <w:szCs w:val="21"/>
                <w:u w:val="none"/>
              </w:rPr>
            </w:pPr>
          </w:p>
        </w:tc>
        <w:tc>
          <w:tcPr>
            <w:tcW w:w="3754" w:type="pct"/>
            <w:noWrap w:val="0"/>
            <w:vAlign w:val="center"/>
          </w:tcPr>
          <w:p w14:paraId="064FDA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6、二层功能：支持基于端口、基于协议、基于MAC的VLAN；支持动态MAC、静态MAC和黑洞MAC表项；</w:t>
            </w:r>
          </w:p>
        </w:tc>
      </w:tr>
      <w:tr w14:paraId="375A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FE23BB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4528C21">
            <w:pPr>
              <w:jc w:val="center"/>
              <w:rPr>
                <w:rFonts w:hint="eastAsia" w:ascii="宋体" w:hAnsi="宋体" w:eastAsia="宋体" w:cs="宋体"/>
                <w:i w:val="0"/>
                <w:iCs w:val="0"/>
                <w:color w:val="auto"/>
                <w:sz w:val="21"/>
                <w:szCs w:val="21"/>
                <w:u w:val="none"/>
              </w:rPr>
            </w:pPr>
          </w:p>
        </w:tc>
        <w:tc>
          <w:tcPr>
            <w:tcW w:w="3754" w:type="pct"/>
            <w:noWrap w:val="0"/>
            <w:vAlign w:val="center"/>
          </w:tcPr>
          <w:p w14:paraId="56B11F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7、三层功能：支持RIP、OSPF、ISIS、BGP等IPv4动态路由协议；</w:t>
            </w:r>
          </w:p>
        </w:tc>
      </w:tr>
      <w:tr w14:paraId="61BF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B991CB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B19568C">
            <w:pPr>
              <w:jc w:val="center"/>
              <w:rPr>
                <w:rFonts w:hint="eastAsia" w:ascii="宋体" w:hAnsi="宋体" w:eastAsia="宋体" w:cs="宋体"/>
                <w:i w:val="0"/>
                <w:iCs w:val="0"/>
                <w:color w:val="auto"/>
                <w:sz w:val="21"/>
                <w:szCs w:val="21"/>
                <w:u w:val="none"/>
              </w:rPr>
            </w:pPr>
          </w:p>
        </w:tc>
        <w:tc>
          <w:tcPr>
            <w:tcW w:w="3754" w:type="pct"/>
            <w:noWrap w:val="0"/>
            <w:vAlign w:val="center"/>
          </w:tcPr>
          <w:p w14:paraId="27B74A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8、MPLS:支持MPLS、MCE；支持MPLS VPN；</w:t>
            </w:r>
          </w:p>
        </w:tc>
      </w:tr>
      <w:tr w14:paraId="4D7B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3F1825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DC52793">
            <w:pPr>
              <w:jc w:val="center"/>
              <w:rPr>
                <w:rFonts w:hint="eastAsia" w:ascii="宋体" w:hAnsi="宋体" w:eastAsia="宋体" w:cs="宋体"/>
                <w:i w:val="0"/>
                <w:iCs w:val="0"/>
                <w:color w:val="auto"/>
                <w:sz w:val="21"/>
                <w:szCs w:val="21"/>
                <w:u w:val="none"/>
              </w:rPr>
            </w:pPr>
          </w:p>
        </w:tc>
        <w:tc>
          <w:tcPr>
            <w:tcW w:w="3754" w:type="pct"/>
            <w:noWrap w:val="0"/>
            <w:vAlign w:val="center"/>
          </w:tcPr>
          <w:p w14:paraId="31E0DA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9、可靠性：支持VRRP；支持跨设备链路聚合技术；</w:t>
            </w:r>
          </w:p>
        </w:tc>
      </w:tr>
      <w:tr w14:paraId="7E4D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BCCC08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C554E45">
            <w:pPr>
              <w:jc w:val="center"/>
              <w:rPr>
                <w:rFonts w:hint="eastAsia" w:ascii="宋体" w:hAnsi="宋体" w:eastAsia="宋体" w:cs="宋体"/>
                <w:i w:val="0"/>
                <w:iCs w:val="0"/>
                <w:color w:val="auto"/>
                <w:sz w:val="21"/>
                <w:szCs w:val="21"/>
                <w:u w:val="none"/>
              </w:rPr>
            </w:pPr>
          </w:p>
        </w:tc>
        <w:tc>
          <w:tcPr>
            <w:tcW w:w="3754" w:type="pct"/>
            <w:noWrap w:val="0"/>
            <w:vAlign w:val="center"/>
          </w:tcPr>
          <w:p w14:paraId="111A16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10、支持L2~L4协议包过滤功能和流分类。</w:t>
            </w:r>
          </w:p>
        </w:tc>
      </w:tr>
      <w:tr w14:paraId="38E0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32268C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A043662">
            <w:pPr>
              <w:jc w:val="center"/>
              <w:rPr>
                <w:rFonts w:hint="eastAsia" w:ascii="宋体" w:hAnsi="宋体" w:eastAsia="宋体" w:cs="宋体"/>
                <w:i w:val="0"/>
                <w:iCs w:val="0"/>
                <w:color w:val="auto"/>
                <w:sz w:val="21"/>
                <w:szCs w:val="21"/>
                <w:u w:val="none"/>
              </w:rPr>
            </w:pPr>
          </w:p>
        </w:tc>
        <w:tc>
          <w:tcPr>
            <w:tcW w:w="3754" w:type="pct"/>
            <w:noWrap w:val="0"/>
            <w:vAlign w:val="center"/>
          </w:tcPr>
          <w:p w14:paraId="2DE787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11、本次实配：本次单台配置四电源，双风扇；≥24端口万兆光口（万兆光口满配光模块） ≥20个千兆电口，≥2端口40G光口；</w:t>
            </w:r>
          </w:p>
        </w:tc>
      </w:tr>
      <w:tr w14:paraId="668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B569BB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80E30FC">
            <w:pPr>
              <w:jc w:val="center"/>
              <w:rPr>
                <w:rFonts w:hint="eastAsia" w:ascii="宋体" w:hAnsi="宋体" w:eastAsia="宋体" w:cs="宋体"/>
                <w:i w:val="0"/>
                <w:iCs w:val="0"/>
                <w:color w:val="auto"/>
                <w:sz w:val="21"/>
                <w:szCs w:val="21"/>
                <w:u w:val="none"/>
              </w:rPr>
            </w:pPr>
          </w:p>
        </w:tc>
        <w:tc>
          <w:tcPr>
            <w:tcW w:w="3754" w:type="pct"/>
            <w:noWrap w:val="0"/>
            <w:vAlign w:val="center"/>
          </w:tcPr>
          <w:p w14:paraId="1D64C4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★12、提供5年原厂质保，签订合同时提供针对本项目的原厂质保函；</w:t>
            </w:r>
          </w:p>
        </w:tc>
      </w:tr>
      <w:tr w14:paraId="5537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628431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42" w:type="pct"/>
            <w:gridSpan w:val="2"/>
            <w:vMerge w:val="restart"/>
            <w:noWrap/>
            <w:vAlign w:val="center"/>
          </w:tcPr>
          <w:p w14:paraId="2B1369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防火墙</w:t>
            </w:r>
          </w:p>
        </w:tc>
        <w:tc>
          <w:tcPr>
            <w:tcW w:w="3754" w:type="pct"/>
            <w:noWrap w:val="0"/>
            <w:vAlign w:val="center"/>
          </w:tcPr>
          <w:p w14:paraId="754C29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1、产品由专用的国产化硬件平台、国产化安全操作系统及功能软件构成，产品符合信创要求；提供相关证明材料；</w:t>
            </w:r>
          </w:p>
        </w:tc>
      </w:tr>
      <w:tr w14:paraId="056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2124A2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53C4376">
            <w:pPr>
              <w:jc w:val="center"/>
              <w:rPr>
                <w:rFonts w:hint="eastAsia" w:ascii="宋体" w:hAnsi="宋体" w:eastAsia="宋体" w:cs="宋体"/>
                <w:i w:val="0"/>
                <w:iCs w:val="0"/>
                <w:color w:val="auto"/>
                <w:sz w:val="21"/>
                <w:szCs w:val="21"/>
                <w:u w:val="none"/>
              </w:rPr>
            </w:pPr>
          </w:p>
        </w:tc>
        <w:tc>
          <w:tcPr>
            <w:tcW w:w="3754" w:type="pct"/>
            <w:noWrap w:val="0"/>
            <w:vAlign w:val="center"/>
          </w:tcPr>
          <w:p w14:paraId="024BE916">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2、规格：≤</w:t>
            </w:r>
            <w:r>
              <w:rPr>
                <w:rFonts w:hint="eastAsia" w:ascii="宋体" w:hAnsi="宋体" w:eastAsia="宋体" w:cs="宋体"/>
                <w:i w:val="0"/>
                <w:iCs w:val="0"/>
                <w:color w:val="auto"/>
                <w:kern w:val="0"/>
                <w:sz w:val="21"/>
                <w:szCs w:val="21"/>
                <w:u w:val="none"/>
                <w:lang w:val="en-US" w:eastAsia="zh-CN" w:bidi="ar"/>
              </w:rPr>
              <w:t>2U，机架式安装</w:t>
            </w:r>
          </w:p>
        </w:tc>
      </w:tr>
      <w:tr w14:paraId="611F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8BAB3A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3BD06E7">
            <w:pPr>
              <w:jc w:val="center"/>
              <w:rPr>
                <w:rFonts w:hint="eastAsia" w:ascii="宋体" w:hAnsi="宋体" w:eastAsia="宋体" w:cs="宋体"/>
                <w:i w:val="0"/>
                <w:iCs w:val="0"/>
                <w:color w:val="auto"/>
                <w:sz w:val="21"/>
                <w:szCs w:val="21"/>
                <w:u w:val="none"/>
              </w:rPr>
            </w:pPr>
          </w:p>
        </w:tc>
        <w:tc>
          <w:tcPr>
            <w:tcW w:w="3754" w:type="pct"/>
            <w:noWrap w:val="0"/>
            <w:vAlign w:val="center"/>
          </w:tcPr>
          <w:p w14:paraId="78821BF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3、配置不少于1个管理口、1个HA口、4个千兆电口、4个千兆光口（满配千兆多模模块）和6个万兆光口（满配万兆多模模块）；日志存储时间不少于6个月。</w:t>
            </w:r>
          </w:p>
        </w:tc>
      </w:tr>
      <w:tr w14:paraId="42BE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6E7EA93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5B8608F">
            <w:pPr>
              <w:jc w:val="center"/>
              <w:rPr>
                <w:rFonts w:hint="eastAsia" w:ascii="宋体" w:hAnsi="宋体" w:eastAsia="宋体" w:cs="宋体"/>
                <w:i w:val="0"/>
                <w:iCs w:val="0"/>
                <w:color w:val="auto"/>
                <w:sz w:val="21"/>
                <w:szCs w:val="21"/>
                <w:u w:val="none"/>
              </w:rPr>
            </w:pPr>
          </w:p>
        </w:tc>
        <w:tc>
          <w:tcPr>
            <w:tcW w:w="3754" w:type="pct"/>
            <w:noWrap w:val="0"/>
            <w:vAlign w:val="center"/>
          </w:tcPr>
          <w:p w14:paraId="62DE978B">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4、网络层吞吐量(双向)： IPv4：≥40Gbps，IPv6：≥40Gbps； 应用层吞吐量（单向）： IPv4：≥20Gbps，IPv6：≥20Gbps；TCP新建连接速率： IPv4：≥250万/秒，IPv6：≥250万/秒； TCP并发连接数： IPv4：≥3000万，IPv6：≥3000万。</w:t>
            </w:r>
          </w:p>
        </w:tc>
      </w:tr>
      <w:tr w14:paraId="49E4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BD9C88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80F6745">
            <w:pPr>
              <w:jc w:val="center"/>
              <w:rPr>
                <w:rFonts w:hint="eastAsia" w:ascii="宋体" w:hAnsi="宋体" w:eastAsia="宋体" w:cs="宋体"/>
                <w:i w:val="0"/>
                <w:iCs w:val="0"/>
                <w:color w:val="auto"/>
                <w:sz w:val="21"/>
                <w:szCs w:val="21"/>
                <w:u w:val="none"/>
              </w:rPr>
            </w:pPr>
          </w:p>
        </w:tc>
        <w:tc>
          <w:tcPr>
            <w:tcW w:w="3754" w:type="pct"/>
            <w:noWrap w:val="0"/>
            <w:vAlign w:val="center"/>
          </w:tcPr>
          <w:p w14:paraId="32EDB4B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5、含5年应用特征库升级许可，配置5年IPS入侵防御、AV防病毒。</w:t>
            </w:r>
          </w:p>
        </w:tc>
      </w:tr>
      <w:tr w14:paraId="0E2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302" w:type="pct"/>
            <w:vMerge w:val="continue"/>
            <w:noWrap/>
            <w:vAlign w:val="center"/>
          </w:tcPr>
          <w:p w14:paraId="7CA380F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0BA9C07">
            <w:pPr>
              <w:jc w:val="center"/>
              <w:rPr>
                <w:rFonts w:hint="eastAsia" w:ascii="宋体" w:hAnsi="宋体" w:eastAsia="宋体" w:cs="宋体"/>
                <w:i w:val="0"/>
                <w:iCs w:val="0"/>
                <w:color w:val="auto"/>
                <w:sz w:val="21"/>
                <w:szCs w:val="21"/>
                <w:u w:val="none"/>
              </w:rPr>
            </w:pPr>
          </w:p>
        </w:tc>
        <w:tc>
          <w:tcPr>
            <w:tcW w:w="3754" w:type="pct"/>
            <w:noWrap w:val="0"/>
            <w:vAlign w:val="center"/>
          </w:tcPr>
          <w:p w14:paraId="2DC8494A">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6、网络接入</w:t>
            </w:r>
          </w:p>
          <w:p w14:paraId="5EEBE41A">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支持路由、交换、虚拟线、Listening、混合工作模式；</w:t>
            </w:r>
          </w:p>
          <w:p w14:paraId="10D47D2B">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支持一对一SNAT、多对一SNAT、一对一DNAT、双向NAT、NoNAT等多种转换方式；支持源IP转换同一性；</w:t>
            </w:r>
          </w:p>
          <w:p w14:paraId="5E73B42D">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支持手动和LACP链路聚合，可根据源/目的MAC、源/目的IP、源/目的端口、五元组、端口轮询等条件提供多种链路负载算法；</w:t>
            </w:r>
          </w:p>
          <w:p w14:paraId="42A191EE">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支持IPv4/IPv6双栈工作模式；</w:t>
            </w:r>
          </w:p>
        </w:tc>
      </w:tr>
      <w:tr w14:paraId="134B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3882E5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4D60485">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15FA8C0F">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7、访问控制</w:t>
            </w:r>
          </w:p>
          <w:p w14:paraId="5343814E">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支持一体化安全策略配置，可以通过一条策略实现五元组、源MAC、源地区、目的地区、域名、应用、服务、时间、长连接、并发会话、WEB认证、URL过滤、邮件安全、数据过滤、文件过滤、审计等功能配置；</w:t>
            </w:r>
          </w:p>
          <w:p w14:paraId="36FFF06C">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支持域名控制，支持对多级域名进行控制，域名对象支持通配符</w:t>
            </w:r>
          </w:p>
          <w:p w14:paraId="15ACCD6C">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提供策略分析功能，支持策略命中分析、策略冗余分析、策略冲突检查、策略包含分析；</w:t>
            </w:r>
          </w:p>
          <w:p w14:paraId="24CEF6F1">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访问控制策略执行动作支持允许、禁止及认证，对符合条件的流量进行Web认证；</w:t>
            </w:r>
          </w:p>
        </w:tc>
      </w:tr>
      <w:tr w14:paraId="7A08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3D1D65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0E45824">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AF20FEB">
            <w:pPr>
              <w:jc w:val="left"/>
              <w:rPr>
                <w:rFonts w:hint="eastAsia" w:ascii="宋体" w:hAnsi="宋体" w:eastAsia="宋体" w:cs="宋体"/>
                <w:i w:val="0"/>
                <w:iCs w:val="0"/>
                <w:color w:val="auto"/>
                <w:sz w:val="21"/>
                <w:szCs w:val="21"/>
                <w:u w:val="none"/>
              </w:rPr>
            </w:pPr>
          </w:p>
        </w:tc>
      </w:tr>
      <w:tr w14:paraId="6080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09F4DE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F497BDE">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630F319">
            <w:pPr>
              <w:jc w:val="left"/>
              <w:rPr>
                <w:rFonts w:hint="eastAsia" w:ascii="宋体" w:hAnsi="宋体" w:eastAsia="宋体" w:cs="宋体"/>
                <w:i w:val="0"/>
                <w:iCs w:val="0"/>
                <w:color w:val="auto"/>
                <w:sz w:val="21"/>
                <w:szCs w:val="21"/>
                <w:u w:val="none"/>
              </w:rPr>
            </w:pPr>
          </w:p>
        </w:tc>
      </w:tr>
      <w:tr w14:paraId="5C98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BB9BEF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9755897">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2E8E9F8A">
            <w:pPr>
              <w:jc w:val="left"/>
              <w:rPr>
                <w:rFonts w:hint="eastAsia" w:ascii="宋体" w:hAnsi="宋体" w:eastAsia="宋体" w:cs="宋体"/>
                <w:i w:val="0"/>
                <w:iCs w:val="0"/>
                <w:color w:val="auto"/>
                <w:sz w:val="21"/>
                <w:szCs w:val="21"/>
                <w:u w:val="none"/>
              </w:rPr>
            </w:pPr>
          </w:p>
        </w:tc>
      </w:tr>
      <w:tr w14:paraId="6842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02" w:type="pct"/>
            <w:vMerge w:val="continue"/>
            <w:noWrap/>
            <w:vAlign w:val="center"/>
          </w:tcPr>
          <w:p w14:paraId="696719C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311A7E5">
            <w:pPr>
              <w:jc w:val="center"/>
              <w:rPr>
                <w:rFonts w:hint="eastAsia" w:ascii="宋体" w:hAnsi="宋体" w:eastAsia="宋体" w:cs="宋体"/>
                <w:i w:val="0"/>
                <w:iCs w:val="0"/>
                <w:color w:val="auto"/>
                <w:sz w:val="21"/>
                <w:szCs w:val="21"/>
                <w:u w:val="none"/>
              </w:rPr>
            </w:pPr>
          </w:p>
        </w:tc>
        <w:tc>
          <w:tcPr>
            <w:tcW w:w="3754" w:type="pct"/>
            <w:noWrap w:val="0"/>
            <w:vAlign w:val="center"/>
          </w:tcPr>
          <w:p w14:paraId="41A9CA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8、安全防护</w:t>
            </w:r>
          </w:p>
          <w:p w14:paraId="6FDEE65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内置行为分析功能，对异常行为进行告警；支持行为分析监控展示，可展示不同行为分析策略的实时数据和基线数据趋势；</w:t>
            </w:r>
          </w:p>
          <w:p w14:paraId="120EF4D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支持针对IP、ICMP、TCP、UDP、DNS、HTTP、NTP等协议进行DDOS防护；支持预定义和自定义策略模板；</w:t>
            </w:r>
          </w:p>
          <w:p w14:paraId="00E39A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支持NTP DDOS防护；</w:t>
            </w:r>
          </w:p>
          <w:p w14:paraId="637783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内置邮件安全防护功能，支持邮件过滤、邮箱防暴力破解、邮件泛洪攻击防护、邮件黑、白名单检测；</w:t>
            </w:r>
          </w:p>
        </w:tc>
      </w:tr>
      <w:tr w14:paraId="5239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vMerge w:val="continue"/>
            <w:noWrap/>
            <w:vAlign w:val="center"/>
          </w:tcPr>
          <w:p w14:paraId="0AA6DCA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5F5C996">
            <w:pPr>
              <w:jc w:val="center"/>
              <w:rPr>
                <w:rFonts w:hint="eastAsia" w:ascii="宋体" w:hAnsi="宋体" w:eastAsia="宋体" w:cs="宋体"/>
                <w:i w:val="0"/>
                <w:iCs w:val="0"/>
                <w:color w:val="auto"/>
                <w:sz w:val="21"/>
                <w:szCs w:val="21"/>
                <w:u w:val="none"/>
              </w:rPr>
            </w:pPr>
          </w:p>
        </w:tc>
        <w:tc>
          <w:tcPr>
            <w:tcW w:w="3754" w:type="pct"/>
            <w:noWrap w:val="0"/>
            <w:vAlign w:val="center"/>
          </w:tcPr>
          <w:p w14:paraId="4115389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9、系统管理</w:t>
            </w:r>
          </w:p>
          <w:p w14:paraId="7035AB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支持独立审计策略，支持审计白名单；</w:t>
            </w:r>
          </w:p>
          <w:p w14:paraId="3030B6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支持在一台物理设备上划分出相互独立的虚拟系统，可根据连接配额及连接新建速率为每个虚拟系统分配资源，实配不少于24个虚拟防火墙授权；</w:t>
            </w:r>
          </w:p>
          <w:p w14:paraId="3AFD08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支持在WEB界面进行网络诊断，支持PING、TRACEROUTE、TCP、HTTP、DNS诊断方式；</w:t>
            </w:r>
          </w:p>
        </w:tc>
      </w:tr>
      <w:tr w14:paraId="7402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443982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5479E03">
            <w:pPr>
              <w:jc w:val="center"/>
              <w:rPr>
                <w:rFonts w:hint="eastAsia" w:ascii="宋体" w:hAnsi="宋体" w:eastAsia="宋体" w:cs="宋体"/>
                <w:i w:val="0"/>
                <w:iCs w:val="0"/>
                <w:color w:val="auto"/>
                <w:sz w:val="21"/>
                <w:szCs w:val="21"/>
                <w:u w:val="none"/>
              </w:rPr>
            </w:pPr>
          </w:p>
        </w:tc>
        <w:tc>
          <w:tcPr>
            <w:tcW w:w="3754" w:type="pct"/>
            <w:noWrap w:val="0"/>
            <w:vAlign w:val="center"/>
          </w:tcPr>
          <w:p w14:paraId="16106D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10、产品具有公安部《计算机信息系统安全专用产品销售许可证》或中国网络安全审查技术与认证中心《网络关键设备和网络安全专用产品安全认证证书》；提供相关证明。</w:t>
            </w:r>
          </w:p>
        </w:tc>
      </w:tr>
      <w:tr w14:paraId="46A4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1B5BC1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A7394A8">
            <w:pPr>
              <w:jc w:val="center"/>
              <w:rPr>
                <w:rFonts w:hint="eastAsia" w:ascii="宋体" w:hAnsi="宋体" w:eastAsia="宋体" w:cs="宋体"/>
                <w:i w:val="0"/>
                <w:iCs w:val="0"/>
                <w:color w:val="auto"/>
                <w:sz w:val="21"/>
                <w:szCs w:val="21"/>
                <w:u w:val="none"/>
              </w:rPr>
            </w:pPr>
          </w:p>
        </w:tc>
        <w:tc>
          <w:tcPr>
            <w:tcW w:w="3754" w:type="pct"/>
            <w:noWrap w:val="0"/>
            <w:vAlign w:val="center"/>
          </w:tcPr>
          <w:p w14:paraId="4800A3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★11、提供5年原厂质保，签订合同时提供针对本项目的原厂质保函；</w:t>
            </w:r>
          </w:p>
        </w:tc>
      </w:tr>
      <w:tr w14:paraId="0F20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14D80B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42" w:type="pct"/>
            <w:gridSpan w:val="2"/>
            <w:vMerge w:val="restart"/>
            <w:noWrap/>
            <w:vAlign w:val="center"/>
          </w:tcPr>
          <w:p w14:paraId="6A3D1A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国密IPSEC</w:t>
            </w:r>
          </w:p>
        </w:tc>
        <w:tc>
          <w:tcPr>
            <w:tcW w:w="3754" w:type="pct"/>
            <w:noWrap w:val="0"/>
            <w:vAlign w:val="center"/>
          </w:tcPr>
          <w:p w14:paraId="4C32DE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1、≤2U机箱，机架式安装</w:t>
            </w:r>
          </w:p>
        </w:tc>
      </w:tr>
      <w:tr w14:paraId="608A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F6D19B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B96C992">
            <w:pPr>
              <w:jc w:val="center"/>
              <w:rPr>
                <w:rFonts w:hint="eastAsia" w:ascii="宋体" w:hAnsi="宋体" w:eastAsia="宋体" w:cs="宋体"/>
                <w:i w:val="0"/>
                <w:iCs w:val="0"/>
                <w:color w:val="auto"/>
                <w:sz w:val="21"/>
                <w:szCs w:val="21"/>
                <w:u w:val="none"/>
              </w:rPr>
            </w:pPr>
          </w:p>
        </w:tc>
        <w:tc>
          <w:tcPr>
            <w:tcW w:w="3754" w:type="pct"/>
            <w:noWrap w:val="0"/>
            <w:vAlign w:val="center"/>
          </w:tcPr>
          <w:p w14:paraId="20A1B0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2、规格：≥4千兆光口（配模块），≥4千兆电口，冗余电源；</w:t>
            </w:r>
          </w:p>
        </w:tc>
      </w:tr>
      <w:tr w14:paraId="15AB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4DA2F1C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A79ED34">
            <w:pPr>
              <w:jc w:val="center"/>
              <w:rPr>
                <w:rFonts w:hint="eastAsia" w:ascii="宋体" w:hAnsi="宋体" w:eastAsia="宋体" w:cs="宋体"/>
                <w:i w:val="0"/>
                <w:iCs w:val="0"/>
                <w:color w:val="auto"/>
                <w:sz w:val="21"/>
                <w:szCs w:val="21"/>
                <w:u w:val="none"/>
              </w:rPr>
            </w:pPr>
          </w:p>
        </w:tc>
        <w:tc>
          <w:tcPr>
            <w:tcW w:w="3754" w:type="pct"/>
            <w:noWrap w:val="0"/>
            <w:vAlign w:val="center"/>
          </w:tcPr>
          <w:p w14:paraId="52CAEE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3、国密IPSEC最大吞吐率≥400Mbps;最大隧道数≥5000条；每秒新建隧道数≥25条；加解密时延≤0.3ms；本次配置≥100个并发用户许可。</w:t>
            </w:r>
          </w:p>
        </w:tc>
      </w:tr>
      <w:tr w14:paraId="3C72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7906B2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1C5F417">
            <w:pPr>
              <w:jc w:val="center"/>
              <w:rPr>
                <w:rFonts w:hint="eastAsia" w:ascii="宋体" w:hAnsi="宋体" w:eastAsia="宋体" w:cs="宋体"/>
                <w:i w:val="0"/>
                <w:iCs w:val="0"/>
                <w:color w:val="auto"/>
                <w:sz w:val="21"/>
                <w:szCs w:val="21"/>
                <w:u w:val="none"/>
              </w:rPr>
            </w:pPr>
          </w:p>
        </w:tc>
        <w:tc>
          <w:tcPr>
            <w:tcW w:w="3754" w:type="pct"/>
            <w:noWrap w:val="0"/>
            <w:vAlign w:val="center"/>
          </w:tcPr>
          <w:p w14:paraId="1A2EFF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4、支持SSL、IPSec使用一套用户认证，用户管理；支持管理员分级分权管理，根据不同管理可以管理不同的功能模块；支持基于用户、用户组、用户角色进行授权；</w:t>
            </w:r>
          </w:p>
        </w:tc>
      </w:tr>
      <w:tr w14:paraId="7B41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5A1EB3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CBAADA3">
            <w:pPr>
              <w:jc w:val="center"/>
              <w:rPr>
                <w:rFonts w:hint="eastAsia" w:ascii="宋体" w:hAnsi="宋体" w:eastAsia="宋体" w:cs="宋体"/>
                <w:i w:val="0"/>
                <w:iCs w:val="0"/>
                <w:color w:val="auto"/>
                <w:sz w:val="21"/>
                <w:szCs w:val="21"/>
                <w:u w:val="none"/>
              </w:rPr>
            </w:pPr>
          </w:p>
        </w:tc>
        <w:tc>
          <w:tcPr>
            <w:tcW w:w="3754" w:type="pct"/>
            <w:noWrap w:val="0"/>
            <w:vAlign w:val="center"/>
          </w:tcPr>
          <w:p w14:paraId="31CD92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5、支持静态用户名口令、数字证书、短信、人脸识别认证方式；支持两种或两种以上组合认证方式；</w:t>
            </w:r>
          </w:p>
        </w:tc>
      </w:tr>
      <w:tr w14:paraId="3DC6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04F0632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8CFD4D1">
            <w:pPr>
              <w:jc w:val="center"/>
              <w:rPr>
                <w:rFonts w:hint="eastAsia" w:ascii="宋体" w:hAnsi="宋体" w:eastAsia="宋体" w:cs="宋体"/>
                <w:i w:val="0"/>
                <w:iCs w:val="0"/>
                <w:color w:val="auto"/>
                <w:sz w:val="21"/>
                <w:szCs w:val="21"/>
                <w:u w:val="none"/>
              </w:rPr>
            </w:pPr>
          </w:p>
        </w:tc>
        <w:tc>
          <w:tcPr>
            <w:tcW w:w="3754" w:type="pct"/>
            <w:noWrap w:val="0"/>
            <w:vAlign w:val="center"/>
          </w:tcPr>
          <w:p w14:paraId="53CB1B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内置CA，可以对证书进行生成、签发、废弃操作；支持国际、国密算法证书；支持DER/PEM/PKCS12等多种证书编码；支持通过OCSP/LDAP等协议对CA证书进行在线认证；支持使用RADIUS、TACACS/TACACS+、LDAP、域认证第三方安全认证方式；</w:t>
            </w:r>
          </w:p>
        </w:tc>
      </w:tr>
      <w:tr w14:paraId="262E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2" w:type="pct"/>
            <w:vMerge w:val="continue"/>
            <w:noWrap/>
            <w:vAlign w:val="center"/>
          </w:tcPr>
          <w:p w14:paraId="5B8DF80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99AF8D4">
            <w:pPr>
              <w:jc w:val="center"/>
              <w:rPr>
                <w:rFonts w:hint="eastAsia" w:ascii="宋体" w:hAnsi="宋体" w:eastAsia="宋体" w:cs="宋体"/>
                <w:i w:val="0"/>
                <w:iCs w:val="0"/>
                <w:color w:val="auto"/>
                <w:sz w:val="21"/>
                <w:szCs w:val="21"/>
                <w:u w:val="none"/>
              </w:rPr>
            </w:pPr>
          </w:p>
        </w:tc>
        <w:tc>
          <w:tcPr>
            <w:tcW w:w="3754" w:type="pct"/>
            <w:noWrap w:val="0"/>
            <w:vAlign w:val="center"/>
          </w:tcPr>
          <w:p w14:paraId="652781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7、IPSecVPN</w:t>
            </w:r>
          </w:p>
          <w:p w14:paraId="09B5BB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支持DES、3DES、AES、MD5、SHA1、DH GROUP1/2/5、RSA 1024/2048等加密算法；</w:t>
            </w:r>
          </w:p>
          <w:p w14:paraId="49AA42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支持国家商密专用的SM2、SM3、SM4算法；</w:t>
            </w:r>
          </w:p>
          <w:p w14:paraId="347CDD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支持国密、国际算法切换；</w:t>
            </w:r>
          </w:p>
          <w:p w14:paraId="2A2726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支持虚拟路由、隧道转发；</w:t>
            </w:r>
          </w:p>
          <w:p w14:paraId="3FA1491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支持使用标准的X.509证书建立隧道；</w:t>
            </w:r>
          </w:p>
          <w:p w14:paraId="605E01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支持多机多隧道的负载均衡和备份；</w:t>
            </w:r>
          </w:p>
        </w:tc>
      </w:tr>
      <w:tr w14:paraId="1EE0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4BF169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5711926">
            <w:pPr>
              <w:jc w:val="center"/>
              <w:rPr>
                <w:rFonts w:hint="eastAsia" w:ascii="宋体" w:hAnsi="宋体" w:eastAsia="宋体" w:cs="宋体"/>
                <w:i w:val="0"/>
                <w:iCs w:val="0"/>
                <w:color w:val="auto"/>
                <w:sz w:val="21"/>
                <w:szCs w:val="21"/>
                <w:u w:val="none"/>
              </w:rPr>
            </w:pPr>
          </w:p>
        </w:tc>
        <w:tc>
          <w:tcPr>
            <w:tcW w:w="3754" w:type="pct"/>
            <w:noWrap w:val="0"/>
            <w:vAlign w:val="center"/>
          </w:tcPr>
          <w:p w14:paraId="5153FA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8、产品具备国家密码管理局（商用密码产品认证证书）。</w:t>
            </w:r>
          </w:p>
        </w:tc>
      </w:tr>
      <w:tr w14:paraId="1FD1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A6706C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A473022">
            <w:pPr>
              <w:jc w:val="center"/>
              <w:rPr>
                <w:rFonts w:hint="eastAsia" w:ascii="宋体" w:hAnsi="宋体" w:eastAsia="宋体" w:cs="宋体"/>
                <w:i w:val="0"/>
                <w:iCs w:val="0"/>
                <w:color w:val="auto"/>
                <w:sz w:val="21"/>
                <w:szCs w:val="21"/>
                <w:u w:val="none"/>
              </w:rPr>
            </w:pPr>
          </w:p>
        </w:tc>
        <w:tc>
          <w:tcPr>
            <w:tcW w:w="3754" w:type="pct"/>
            <w:noWrap w:val="0"/>
            <w:vAlign w:val="center"/>
          </w:tcPr>
          <w:p w14:paraId="561C26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9、产品具有公安部《计算机信息系统安全专用产品销售许可证》或中国网络安全审查技术与认证中心《网络关键设备和网络安全专用产品安全认证证书》；提供相关证明</w:t>
            </w:r>
          </w:p>
        </w:tc>
      </w:tr>
      <w:tr w14:paraId="0988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02" w:type="pct"/>
            <w:vMerge w:val="continue"/>
            <w:noWrap/>
            <w:vAlign w:val="center"/>
          </w:tcPr>
          <w:p w14:paraId="4B4BBAC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991818A">
            <w:pPr>
              <w:jc w:val="center"/>
              <w:rPr>
                <w:rFonts w:hint="eastAsia" w:ascii="宋体" w:hAnsi="宋体" w:eastAsia="宋体" w:cs="宋体"/>
                <w:i w:val="0"/>
                <w:iCs w:val="0"/>
                <w:color w:val="auto"/>
                <w:sz w:val="21"/>
                <w:szCs w:val="21"/>
                <w:u w:val="none"/>
              </w:rPr>
            </w:pPr>
          </w:p>
        </w:tc>
        <w:tc>
          <w:tcPr>
            <w:tcW w:w="3754" w:type="pct"/>
            <w:noWrap w:val="0"/>
            <w:vAlign w:val="center"/>
          </w:tcPr>
          <w:p w14:paraId="6F2DA6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★10、提供5年原厂质保，签订合同时提供针对本项目的原厂质保函；</w:t>
            </w:r>
          </w:p>
        </w:tc>
      </w:tr>
      <w:tr w14:paraId="498D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169900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29" w:type="pct"/>
            <w:vMerge w:val="restart"/>
            <w:noWrap w:val="0"/>
            <w:vAlign w:val="center"/>
          </w:tcPr>
          <w:p w14:paraId="55B602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超融合服务器（前置服务器）</w:t>
            </w:r>
          </w:p>
        </w:tc>
        <w:tc>
          <w:tcPr>
            <w:tcW w:w="512" w:type="pct"/>
            <w:vMerge w:val="restart"/>
            <w:noWrap w:val="0"/>
            <w:vAlign w:val="center"/>
          </w:tcPr>
          <w:p w14:paraId="2D256E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（一）超融合硬件设备</w:t>
            </w:r>
          </w:p>
        </w:tc>
        <w:tc>
          <w:tcPr>
            <w:tcW w:w="3754" w:type="pct"/>
            <w:noWrap w:val="0"/>
            <w:vAlign w:val="center"/>
          </w:tcPr>
          <w:p w14:paraId="051D3C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1、设备外形：硬件设备采用机架式服务器，适用于通用机房环境，支持标准机柜</w:t>
            </w:r>
          </w:p>
        </w:tc>
      </w:tr>
      <w:tr w14:paraId="3958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84A591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5B47D3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F539350">
            <w:pPr>
              <w:jc w:val="center"/>
              <w:rPr>
                <w:rFonts w:hint="eastAsia" w:ascii="宋体" w:hAnsi="宋体" w:eastAsia="宋体" w:cs="宋体"/>
                <w:i w:val="0"/>
                <w:iCs w:val="0"/>
                <w:color w:val="auto"/>
                <w:sz w:val="21"/>
                <w:szCs w:val="21"/>
                <w:u w:val="none"/>
              </w:rPr>
            </w:pPr>
          </w:p>
        </w:tc>
        <w:tc>
          <w:tcPr>
            <w:tcW w:w="3754" w:type="pct"/>
            <w:noWrap w:val="0"/>
            <w:vAlign w:val="center"/>
          </w:tcPr>
          <w:p w14:paraId="117E48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2、信创架构服务器，国产自研品牌</w:t>
            </w:r>
          </w:p>
        </w:tc>
      </w:tr>
      <w:tr w14:paraId="22FE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06F204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D0E3C1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FA334B2">
            <w:pPr>
              <w:jc w:val="center"/>
              <w:rPr>
                <w:rFonts w:hint="eastAsia" w:ascii="宋体" w:hAnsi="宋体" w:eastAsia="宋体" w:cs="宋体"/>
                <w:i w:val="0"/>
                <w:iCs w:val="0"/>
                <w:color w:val="auto"/>
                <w:sz w:val="21"/>
                <w:szCs w:val="21"/>
                <w:u w:val="none"/>
              </w:rPr>
            </w:pPr>
          </w:p>
        </w:tc>
        <w:tc>
          <w:tcPr>
            <w:tcW w:w="3754" w:type="pct"/>
            <w:noWrap w:val="0"/>
            <w:vAlign w:val="center"/>
          </w:tcPr>
          <w:p w14:paraId="5027FF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3、本次配置3节点服务器</w:t>
            </w:r>
          </w:p>
        </w:tc>
      </w:tr>
      <w:tr w14:paraId="5549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EA0B81C">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17AFCE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23A6425">
            <w:pPr>
              <w:jc w:val="center"/>
              <w:rPr>
                <w:rFonts w:hint="eastAsia" w:ascii="宋体" w:hAnsi="宋体" w:eastAsia="宋体" w:cs="宋体"/>
                <w:i w:val="0"/>
                <w:iCs w:val="0"/>
                <w:color w:val="auto"/>
                <w:sz w:val="21"/>
                <w:szCs w:val="21"/>
                <w:u w:val="none"/>
              </w:rPr>
            </w:pPr>
          </w:p>
        </w:tc>
        <w:tc>
          <w:tcPr>
            <w:tcW w:w="3754" w:type="pct"/>
            <w:noWrap w:val="0"/>
            <w:vAlign w:val="center"/>
          </w:tcPr>
          <w:p w14:paraId="12FDEF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以下为单节点配置：</w:t>
            </w:r>
          </w:p>
        </w:tc>
      </w:tr>
      <w:tr w14:paraId="3DCD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CD18BC9">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1C12394">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AE51F55">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54CF571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（1）单节点处理器：配置≥2路C86架构CPU，每颗核数≥16核，频率≥2.5GHZ；所投产品CPU须符合自主可控安全测评要求，提供中国信息安全测评中心官网截图证明</w:t>
            </w:r>
          </w:p>
          <w:p w14:paraId="73C943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（2）内存硬盘：内存配置≥512G DDR4内存；硬盘配置≥2×480GB SSD系统盘；数据盘：≥4×3.84TB NVME SSD硬盘；</w:t>
            </w:r>
          </w:p>
          <w:p w14:paraId="57CA7C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（3）硬盘控制器：≥2GB缓存，支持缓存数据保护，且后备保护时间不受限制支持RAID0/1/10/5/6/50/60；</w:t>
            </w:r>
          </w:p>
          <w:p w14:paraId="306A053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（4）PCIe插槽：支持提供≥10个PCIe 插槽</w:t>
            </w:r>
          </w:p>
          <w:p w14:paraId="28038B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（5）电源：≥2个热插拔冗余电源</w:t>
            </w:r>
          </w:p>
          <w:p w14:paraId="6AA7498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（6）风扇：配置可热插拔冗余风扇</w:t>
            </w:r>
          </w:p>
          <w:p w14:paraId="01D3B9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（7）本次每节点配置：≥2个万兆网口含模块+2个千兆电口，采用国产网络芯片；千兆管理网接口≥2个，存储网接口≥2个（含多模光模块），业务网接口≥2个（含多模光模块）</w:t>
            </w:r>
          </w:p>
        </w:tc>
      </w:tr>
      <w:tr w14:paraId="4335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4DFD9B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E4B17E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179F41F">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DE2F4C2">
            <w:pPr>
              <w:jc w:val="left"/>
              <w:rPr>
                <w:rFonts w:hint="eastAsia" w:ascii="宋体" w:hAnsi="宋体" w:eastAsia="宋体" w:cs="宋体"/>
                <w:i w:val="0"/>
                <w:iCs w:val="0"/>
                <w:color w:val="auto"/>
                <w:sz w:val="21"/>
                <w:szCs w:val="21"/>
                <w:u w:val="none"/>
              </w:rPr>
            </w:pPr>
          </w:p>
        </w:tc>
      </w:tr>
      <w:tr w14:paraId="51DE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9C175C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335FA1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BB6AE89">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E319FF8">
            <w:pPr>
              <w:jc w:val="left"/>
              <w:rPr>
                <w:rFonts w:hint="eastAsia" w:ascii="宋体" w:hAnsi="宋体" w:eastAsia="宋体" w:cs="宋体"/>
                <w:i w:val="0"/>
                <w:iCs w:val="0"/>
                <w:color w:val="auto"/>
                <w:sz w:val="21"/>
                <w:szCs w:val="21"/>
                <w:u w:val="none"/>
              </w:rPr>
            </w:pPr>
          </w:p>
        </w:tc>
      </w:tr>
      <w:tr w14:paraId="45F6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80A0C7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821235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A789525">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EC1E10F">
            <w:pPr>
              <w:jc w:val="left"/>
              <w:rPr>
                <w:rFonts w:hint="eastAsia" w:ascii="宋体" w:hAnsi="宋体" w:eastAsia="宋体" w:cs="宋体"/>
                <w:i w:val="0"/>
                <w:iCs w:val="0"/>
                <w:color w:val="auto"/>
                <w:sz w:val="21"/>
                <w:szCs w:val="21"/>
                <w:u w:val="none"/>
              </w:rPr>
            </w:pPr>
          </w:p>
        </w:tc>
      </w:tr>
      <w:tr w14:paraId="1BD5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FABE7D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78F17D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FA7A900">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1FE0B50">
            <w:pPr>
              <w:jc w:val="left"/>
              <w:rPr>
                <w:rFonts w:hint="eastAsia" w:ascii="宋体" w:hAnsi="宋体" w:eastAsia="宋体" w:cs="宋体"/>
                <w:i w:val="0"/>
                <w:iCs w:val="0"/>
                <w:color w:val="auto"/>
                <w:sz w:val="21"/>
                <w:szCs w:val="21"/>
                <w:u w:val="none"/>
              </w:rPr>
            </w:pPr>
          </w:p>
        </w:tc>
      </w:tr>
      <w:tr w14:paraId="1A70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33314E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4B462B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4732A8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8AA167F">
            <w:pPr>
              <w:jc w:val="left"/>
              <w:rPr>
                <w:rFonts w:hint="eastAsia" w:ascii="宋体" w:hAnsi="宋体" w:eastAsia="宋体" w:cs="宋体"/>
                <w:i w:val="0"/>
                <w:iCs w:val="0"/>
                <w:color w:val="auto"/>
                <w:sz w:val="21"/>
                <w:szCs w:val="21"/>
                <w:u w:val="none"/>
              </w:rPr>
            </w:pPr>
          </w:p>
        </w:tc>
      </w:tr>
      <w:tr w14:paraId="7B48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08B0F6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D200D74">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C3DB06A">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73E6ECA">
            <w:pPr>
              <w:jc w:val="left"/>
              <w:rPr>
                <w:rFonts w:hint="eastAsia" w:ascii="宋体" w:hAnsi="宋体" w:eastAsia="宋体" w:cs="宋体"/>
                <w:i w:val="0"/>
                <w:iCs w:val="0"/>
                <w:color w:val="auto"/>
                <w:sz w:val="21"/>
                <w:szCs w:val="21"/>
                <w:u w:val="none"/>
              </w:rPr>
            </w:pPr>
          </w:p>
        </w:tc>
      </w:tr>
      <w:tr w14:paraId="760F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0FF549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35A5A9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5ECC586">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4FA4AEEB">
            <w:pPr>
              <w:jc w:val="left"/>
              <w:rPr>
                <w:rFonts w:hint="eastAsia" w:ascii="宋体" w:hAnsi="宋体" w:eastAsia="宋体" w:cs="宋体"/>
                <w:i w:val="0"/>
                <w:iCs w:val="0"/>
                <w:color w:val="auto"/>
                <w:sz w:val="21"/>
                <w:szCs w:val="21"/>
                <w:u w:val="none"/>
              </w:rPr>
            </w:pPr>
          </w:p>
        </w:tc>
      </w:tr>
      <w:tr w14:paraId="03F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267C3E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D3326B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D287E6F">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6FF14E15">
            <w:pPr>
              <w:jc w:val="left"/>
              <w:rPr>
                <w:rFonts w:hint="eastAsia" w:ascii="宋体" w:hAnsi="宋体" w:eastAsia="宋体" w:cs="宋体"/>
                <w:i w:val="0"/>
                <w:iCs w:val="0"/>
                <w:color w:val="auto"/>
                <w:sz w:val="21"/>
                <w:szCs w:val="21"/>
                <w:u w:val="none"/>
              </w:rPr>
            </w:pPr>
          </w:p>
        </w:tc>
      </w:tr>
      <w:tr w14:paraId="1722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F36C95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4000DBC">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7778667">
            <w:pPr>
              <w:jc w:val="center"/>
              <w:rPr>
                <w:rFonts w:hint="eastAsia" w:ascii="宋体" w:hAnsi="宋体" w:eastAsia="宋体" w:cs="宋体"/>
                <w:i w:val="0"/>
                <w:iCs w:val="0"/>
                <w:color w:val="auto"/>
                <w:sz w:val="21"/>
                <w:szCs w:val="21"/>
                <w:u w:val="none"/>
              </w:rPr>
            </w:pPr>
          </w:p>
        </w:tc>
        <w:tc>
          <w:tcPr>
            <w:tcW w:w="3754" w:type="pct"/>
            <w:noWrap w:val="0"/>
            <w:vAlign w:val="center"/>
          </w:tcPr>
          <w:p w14:paraId="3976C0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★4、提供5年原厂质保，签订合同时提供针对本项目的原厂质保函</w:t>
            </w:r>
          </w:p>
        </w:tc>
      </w:tr>
      <w:tr w14:paraId="0D21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A16268B">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5C27DAD">
            <w:pPr>
              <w:jc w:val="center"/>
              <w:rPr>
                <w:rFonts w:hint="eastAsia" w:ascii="宋体" w:hAnsi="宋体" w:eastAsia="宋体" w:cs="宋体"/>
                <w:i w:val="0"/>
                <w:iCs w:val="0"/>
                <w:color w:val="auto"/>
                <w:sz w:val="21"/>
                <w:szCs w:val="21"/>
                <w:u w:val="none"/>
              </w:rPr>
            </w:pPr>
          </w:p>
        </w:tc>
        <w:tc>
          <w:tcPr>
            <w:tcW w:w="512" w:type="pct"/>
            <w:vMerge w:val="restart"/>
            <w:noWrap w:val="0"/>
            <w:vAlign w:val="center"/>
          </w:tcPr>
          <w:p w14:paraId="36DD4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（二）超融合软件</w:t>
            </w:r>
          </w:p>
        </w:tc>
        <w:tc>
          <w:tcPr>
            <w:tcW w:w="3754" w:type="pct"/>
            <w:noWrap w:val="0"/>
            <w:vAlign w:val="center"/>
          </w:tcPr>
          <w:p w14:paraId="320B2B8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1、虚拟化软件采用裸金属架构，支持标准的C86架构平台和ARM架构平台；支持接入本次云管理平台统一化管理，运维等。</w:t>
            </w:r>
          </w:p>
        </w:tc>
      </w:tr>
      <w:tr w14:paraId="545A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2E01FCE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2FBDA5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4439932">
            <w:pPr>
              <w:jc w:val="center"/>
              <w:rPr>
                <w:rFonts w:hint="eastAsia" w:ascii="宋体" w:hAnsi="宋体" w:eastAsia="宋体" w:cs="宋体"/>
                <w:i w:val="0"/>
                <w:iCs w:val="0"/>
                <w:color w:val="auto"/>
                <w:sz w:val="21"/>
                <w:szCs w:val="21"/>
                <w:u w:val="none"/>
              </w:rPr>
            </w:pPr>
          </w:p>
        </w:tc>
        <w:tc>
          <w:tcPr>
            <w:tcW w:w="3754" w:type="pct"/>
            <w:noWrap w:val="0"/>
            <w:vAlign w:val="center"/>
          </w:tcPr>
          <w:p w14:paraId="65F1A92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2、兼容主流信创操作系统，包括但不限于麒麟、统信等品牌，提供兼容性证明；</w:t>
            </w:r>
          </w:p>
        </w:tc>
      </w:tr>
      <w:tr w14:paraId="48F8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5EBE42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F44D51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66B21C5">
            <w:pPr>
              <w:jc w:val="center"/>
              <w:rPr>
                <w:rFonts w:hint="eastAsia" w:ascii="宋体" w:hAnsi="宋体" w:eastAsia="宋体" w:cs="宋体"/>
                <w:i w:val="0"/>
                <w:iCs w:val="0"/>
                <w:color w:val="auto"/>
                <w:sz w:val="21"/>
                <w:szCs w:val="21"/>
                <w:u w:val="none"/>
              </w:rPr>
            </w:pPr>
          </w:p>
        </w:tc>
        <w:tc>
          <w:tcPr>
            <w:tcW w:w="3754" w:type="pct"/>
            <w:noWrap w:val="0"/>
            <w:vAlign w:val="center"/>
          </w:tcPr>
          <w:p w14:paraId="1510BAC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3、兼容主流信创数据库，包括但不限于达梦、人大金仓等，提供兼容性证明；</w:t>
            </w:r>
          </w:p>
        </w:tc>
      </w:tr>
      <w:tr w14:paraId="2CFE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B9722D6">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773A30B">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C6CFD87">
            <w:pPr>
              <w:jc w:val="center"/>
              <w:rPr>
                <w:rFonts w:hint="eastAsia" w:ascii="宋体" w:hAnsi="宋体" w:eastAsia="宋体" w:cs="宋体"/>
                <w:i w:val="0"/>
                <w:iCs w:val="0"/>
                <w:color w:val="auto"/>
                <w:sz w:val="21"/>
                <w:szCs w:val="21"/>
                <w:u w:val="none"/>
              </w:rPr>
            </w:pPr>
          </w:p>
        </w:tc>
        <w:tc>
          <w:tcPr>
            <w:tcW w:w="3754" w:type="pct"/>
            <w:noWrap w:val="0"/>
            <w:vAlign w:val="center"/>
          </w:tcPr>
          <w:p w14:paraId="5FAFC9E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4、最少只需3个节点集群即可同时提供虚拟化、分布式块、对象、文件存储服务</w:t>
            </w:r>
            <w:r>
              <w:rPr>
                <w:rFonts w:hint="eastAsia" w:ascii="宋体" w:hAnsi="宋体" w:eastAsia="宋体" w:cs="宋体"/>
                <w:b/>
                <w:bCs/>
                <w:i w:val="0"/>
                <w:iCs w:val="0"/>
                <w:color w:val="auto"/>
                <w:kern w:val="0"/>
                <w:sz w:val="21"/>
                <w:szCs w:val="21"/>
                <w:u w:val="none"/>
                <w:lang w:val="en-US" w:eastAsia="zh-CN" w:bidi="ar"/>
              </w:rPr>
              <w:t>。</w:t>
            </w:r>
          </w:p>
        </w:tc>
      </w:tr>
      <w:tr w14:paraId="044F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10B414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4CE1D8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3C5C60B">
            <w:pPr>
              <w:jc w:val="center"/>
              <w:rPr>
                <w:rFonts w:hint="eastAsia" w:ascii="宋体" w:hAnsi="宋体" w:eastAsia="宋体" w:cs="宋体"/>
                <w:i w:val="0"/>
                <w:iCs w:val="0"/>
                <w:color w:val="auto"/>
                <w:sz w:val="21"/>
                <w:szCs w:val="21"/>
                <w:u w:val="none"/>
              </w:rPr>
            </w:pPr>
          </w:p>
        </w:tc>
        <w:tc>
          <w:tcPr>
            <w:tcW w:w="3754" w:type="pct"/>
            <w:noWrap w:val="0"/>
            <w:vAlign w:val="center"/>
          </w:tcPr>
          <w:p w14:paraId="7677011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5、能直观展示虚拟化资源池的健康度、告警、资源使用情况等，同时展示内容支持用户自定义。</w:t>
            </w:r>
          </w:p>
        </w:tc>
      </w:tr>
      <w:tr w14:paraId="4C9C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8502919">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F3E5747">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DC97DE1">
            <w:pPr>
              <w:jc w:val="center"/>
              <w:rPr>
                <w:rFonts w:hint="eastAsia" w:ascii="宋体" w:hAnsi="宋体" w:eastAsia="宋体" w:cs="宋体"/>
                <w:i w:val="0"/>
                <w:iCs w:val="0"/>
                <w:color w:val="auto"/>
                <w:sz w:val="21"/>
                <w:szCs w:val="21"/>
                <w:u w:val="none"/>
              </w:rPr>
            </w:pPr>
          </w:p>
        </w:tc>
        <w:tc>
          <w:tcPr>
            <w:tcW w:w="3754" w:type="pct"/>
            <w:noWrap w:val="0"/>
            <w:vAlign w:val="center"/>
          </w:tcPr>
          <w:p w14:paraId="12D5A34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6、虚机还原：支持使用还原虚拟机到指定还原点状态，基于备份功能，虚机误删不影响还原功能。</w:t>
            </w:r>
          </w:p>
        </w:tc>
      </w:tr>
      <w:tr w14:paraId="741C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05E643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0DD7C0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988CE42">
            <w:pPr>
              <w:jc w:val="center"/>
              <w:rPr>
                <w:rFonts w:hint="eastAsia" w:ascii="宋体" w:hAnsi="宋体" w:eastAsia="宋体" w:cs="宋体"/>
                <w:i w:val="0"/>
                <w:iCs w:val="0"/>
                <w:color w:val="auto"/>
                <w:sz w:val="21"/>
                <w:szCs w:val="21"/>
                <w:u w:val="none"/>
              </w:rPr>
            </w:pPr>
          </w:p>
        </w:tc>
        <w:tc>
          <w:tcPr>
            <w:tcW w:w="3754" w:type="pct"/>
            <w:noWrap w:val="0"/>
            <w:vAlign w:val="center"/>
          </w:tcPr>
          <w:p w14:paraId="7F0932D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7、支持使用分析后端存储上的无效镜像文件，并提供清理和释放存储空间能力</w:t>
            </w:r>
            <w:r>
              <w:rPr>
                <w:rFonts w:hint="eastAsia" w:ascii="宋体" w:hAnsi="宋体" w:eastAsia="宋体" w:cs="宋体"/>
                <w:b/>
                <w:bCs/>
                <w:i w:val="0"/>
                <w:iCs w:val="0"/>
                <w:color w:val="auto"/>
                <w:kern w:val="0"/>
                <w:sz w:val="21"/>
                <w:szCs w:val="21"/>
                <w:u w:val="none"/>
                <w:lang w:val="en-US" w:eastAsia="zh-CN" w:bidi="ar"/>
              </w:rPr>
              <w:t>。</w:t>
            </w:r>
          </w:p>
        </w:tc>
      </w:tr>
      <w:tr w14:paraId="2F45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64CCF2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E3B1BB1">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5F65725">
            <w:pPr>
              <w:jc w:val="center"/>
              <w:rPr>
                <w:rFonts w:hint="eastAsia" w:ascii="宋体" w:hAnsi="宋体" w:eastAsia="宋体" w:cs="宋体"/>
                <w:i w:val="0"/>
                <w:iCs w:val="0"/>
                <w:color w:val="auto"/>
                <w:sz w:val="21"/>
                <w:szCs w:val="21"/>
                <w:u w:val="none"/>
              </w:rPr>
            </w:pPr>
          </w:p>
        </w:tc>
        <w:tc>
          <w:tcPr>
            <w:tcW w:w="3754" w:type="pct"/>
            <w:noWrap w:val="0"/>
            <w:vAlign w:val="center"/>
          </w:tcPr>
          <w:p w14:paraId="21AF0F0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8、支持快速查看、启动、删除、批量启动和批量删除长时间未使用且处于关闭状态的虚拟机，进行资源利用率统计。</w:t>
            </w:r>
          </w:p>
        </w:tc>
      </w:tr>
      <w:tr w14:paraId="19BA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A270C29">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BC5E55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359DEAD">
            <w:pPr>
              <w:jc w:val="center"/>
              <w:rPr>
                <w:rFonts w:hint="eastAsia" w:ascii="宋体" w:hAnsi="宋体" w:eastAsia="宋体" w:cs="宋体"/>
                <w:i w:val="0"/>
                <w:iCs w:val="0"/>
                <w:color w:val="auto"/>
                <w:sz w:val="21"/>
                <w:szCs w:val="21"/>
                <w:u w:val="none"/>
              </w:rPr>
            </w:pPr>
          </w:p>
        </w:tc>
        <w:tc>
          <w:tcPr>
            <w:tcW w:w="3754" w:type="pct"/>
            <w:noWrap w:val="0"/>
            <w:vAlign w:val="center"/>
          </w:tcPr>
          <w:p w14:paraId="317B6EC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9、超融合管理平台内置在线迁移工具，支持业界主流的操作系统、虚拟化平台，提升被迁移业务平台的普适性、降低业务上云的难度，降低运维工作量</w:t>
            </w:r>
          </w:p>
        </w:tc>
      </w:tr>
      <w:tr w14:paraId="378D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43C57EC">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8F4F87B">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57DCF9C">
            <w:pPr>
              <w:jc w:val="center"/>
              <w:rPr>
                <w:rFonts w:hint="eastAsia" w:ascii="宋体" w:hAnsi="宋体" w:eastAsia="宋体" w:cs="宋体"/>
                <w:i w:val="0"/>
                <w:iCs w:val="0"/>
                <w:color w:val="auto"/>
                <w:sz w:val="21"/>
                <w:szCs w:val="21"/>
                <w:u w:val="none"/>
              </w:rPr>
            </w:pPr>
          </w:p>
        </w:tc>
        <w:tc>
          <w:tcPr>
            <w:tcW w:w="3754" w:type="pct"/>
            <w:noWrap w:val="0"/>
            <w:vAlign w:val="center"/>
          </w:tcPr>
          <w:p w14:paraId="2093460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10、支持批量修改虚拟机的配置参数。</w:t>
            </w:r>
          </w:p>
        </w:tc>
      </w:tr>
      <w:tr w14:paraId="40F1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C3F8D3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E174B6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586EACD">
            <w:pPr>
              <w:jc w:val="center"/>
              <w:rPr>
                <w:rFonts w:hint="eastAsia" w:ascii="宋体" w:hAnsi="宋体" w:eastAsia="宋体" w:cs="宋体"/>
                <w:i w:val="0"/>
                <w:iCs w:val="0"/>
                <w:color w:val="auto"/>
                <w:sz w:val="21"/>
                <w:szCs w:val="21"/>
                <w:u w:val="none"/>
              </w:rPr>
            </w:pPr>
          </w:p>
        </w:tc>
        <w:tc>
          <w:tcPr>
            <w:tcW w:w="3754" w:type="pct"/>
            <w:noWrap w:val="0"/>
            <w:vAlign w:val="center"/>
          </w:tcPr>
          <w:p w14:paraId="324E27F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11、支持多个副本的容错机制，副本数量可基于存储池灵活设置；</w:t>
            </w:r>
          </w:p>
        </w:tc>
      </w:tr>
      <w:tr w14:paraId="18B7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B4A28C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A4F6711">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846E11E">
            <w:pPr>
              <w:jc w:val="center"/>
              <w:rPr>
                <w:rFonts w:hint="eastAsia" w:ascii="宋体" w:hAnsi="宋体" w:eastAsia="宋体" w:cs="宋体"/>
                <w:i w:val="0"/>
                <w:iCs w:val="0"/>
                <w:color w:val="auto"/>
                <w:sz w:val="21"/>
                <w:szCs w:val="21"/>
                <w:u w:val="none"/>
              </w:rPr>
            </w:pPr>
          </w:p>
        </w:tc>
        <w:tc>
          <w:tcPr>
            <w:tcW w:w="3754" w:type="pct"/>
            <w:noWrap w:val="0"/>
            <w:vAlign w:val="center"/>
          </w:tcPr>
          <w:p w14:paraId="5DE989B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12、磁盘或者节点故障之后无需人工干预，数据在集群内硬盘的剩余空间中自动重构，所有硬盘并发重构，提升重构效率</w:t>
            </w:r>
            <w:r>
              <w:rPr>
                <w:rFonts w:hint="eastAsia" w:ascii="宋体" w:hAnsi="宋体" w:eastAsia="宋体" w:cs="宋体"/>
                <w:b/>
                <w:bCs/>
                <w:i w:val="0"/>
                <w:iCs w:val="0"/>
                <w:color w:val="auto"/>
                <w:kern w:val="0"/>
                <w:sz w:val="21"/>
                <w:szCs w:val="21"/>
                <w:u w:val="none"/>
                <w:lang w:val="en-US" w:eastAsia="zh-CN" w:bidi="ar"/>
              </w:rPr>
              <w:t>。</w:t>
            </w:r>
          </w:p>
        </w:tc>
      </w:tr>
      <w:tr w14:paraId="05DC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C86C6B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9E725C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DDF08E9">
            <w:pPr>
              <w:jc w:val="center"/>
              <w:rPr>
                <w:rFonts w:hint="eastAsia" w:ascii="宋体" w:hAnsi="宋体" w:eastAsia="宋体" w:cs="宋体"/>
                <w:i w:val="0"/>
                <w:iCs w:val="0"/>
                <w:color w:val="auto"/>
                <w:sz w:val="21"/>
                <w:szCs w:val="21"/>
                <w:u w:val="none"/>
              </w:rPr>
            </w:pPr>
          </w:p>
        </w:tc>
        <w:tc>
          <w:tcPr>
            <w:tcW w:w="3754" w:type="pct"/>
            <w:noWrap w:val="0"/>
            <w:vAlign w:val="center"/>
          </w:tcPr>
          <w:p w14:paraId="187359E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13、支持系统从低版本到高版本的无缝升级，支持任意跨多版本升级</w:t>
            </w:r>
          </w:p>
        </w:tc>
      </w:tr>
      <w:tr w14:paraId="79B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B9D292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1B6BB8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D0F7230">
            <w:pPr>
              <w:jc w:val="center"/>
              <w:rPr>
                <w:rFonts w:hint="eastAsia" w:ascii="宋体" w:hAnsi="宋体" w:eastAsia="宋体" w:cs="宋体"/>
                <w:i w:val="0"/>
                <w:iCs w:val="0"/>
                <w:color w:val="auto"/>
                <w:sz w:val="21"/>
                <w:szCs w:val="21"/>
                <w:u w:val="none"/>
              </w:rPr>
            </w:pPr>
          </w:p>
        </w:tc>
        <w:tc>
          <w:tcPr>
            <w:tcW w:w="3754" w:type="pct"/>
            <w:noWrap w:val="0"/>
            <w:vAlign w:val="center"/>
          </w:tcPr>
          <w:p w14:paraId="2BC62C4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14、要求超融合平台提供故障切换能力，当组件发生故障时，不影响整个集群正常运行，保证业务连续性；当整个节点故障的情况下，支持整个节点的热插拔硬件替换。</w:t>
            </w:r>
          </w:p>
        </w:tc>
      </w:tr>
      <w:tr w14:paraId="52BF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2281B7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3912C9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416DBD1">
            <w:pPr>
              <w:jc w:val="center"/>
              <w:rPr>
                <w:rFonts w:hint="eastAsia" w:ascii="宋体" w:hAnsi="宋体" w:eastAsia="宋体" w:cs="宋体"/>
                <w:i w:val="0"/>
                <w:iCs w:val="0"/>
                <w:color w:val="auto"/>
                <w:sz w:val="21"/>
                <w:szCs w:val="21"/>
                <w:u w:val="none"/>
              </w:rPr>
            </w:pPr>
          </w:p>
        </w:tc>
        <w:tc>
          <w:tcPr>
            <w:tcW w:w="3754" w:type="pct"/>
            <w:noWrap w:val="0"/>
            <w:vAlign w:val="center"/>
          </w:tcPr>
          <w:p w14:paraId="06668CA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15、支持动态资源调度功能通过迁移虚拟机达到各个节点上资源负载的平衡；</w:t>
            </w:r>
          </w:p>
        </w:tc>
      </w:tr>
      <w:tr w14:paraId="606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87D48E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7E8CD4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1B9D91B">
            <w:pPr>
              <w:jc w:val="center"/>
              <w:rPr>
                <w:rFonts w:hint="eastAsia" w:ascii="宋体" w:hAnsi="宋体" w:eastAsia="宋体" w:cs="宋体"/>
                <w:i w:val="0"/>
                <w:iCs w:val="0"/>
                <w:color w:val="auto"/>
                <w:sz w:val="21"/>
                <w:szCs w:val="21"/>
                <w:u w:val="none"/>
              </w:rPr>
            </w:pPr>
          </w:p>
        </w:tc>
        <w:tc>
          <w:tcPr>
            <w:tcW w:w="3754" w:type="pct"/>
            <w:noWrap w:val="0"/>
            <w:vAlign w:val="center"/>
          </w:tcPr>
          <w:p w14:paraId="12D4F60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16、支持灵活定义定时增量及全量备份，备份间隔可指定小时、天、周，支持配置保留备份天数；</w:t>
            </w:r>
          </w:p>
        </w:tc>
      </w:tr>
      <w:tr w14:paraId="59CA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C283459">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9705E2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8B40A33">
            <w:pPr>
              <w:jc w:val="center"/>
              <w:rPr>
                <w:rFonts w:hint="eastAsia" w:ascii="宋体" w:hAnsi="宋体" w:eastAsia="宋体" w:cs="宋体"/>
                <w:i w:val="0"/>
                <w:iCs w:val="0"/>
                <w:color w:val="auto"/>
                <w:sz w:val="21"/>
                <w:szCs w:val="21"/>
                <w:u w:val="none"/>
              </w:rPr>
            </w:pPr>
          </w:p>
        </w:tc>
        <w:tc>
          <w:tcPr>
            <w:tcW w:w="3754" w:type="pct"/>
            <w:noWrap w:val="0"/>
            <w:vAlign w:val="center"/>
          </w:tcPr>
          <w:p w14:paraId="3D22730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17、支持虚拟机快照策略，可按月\周\天\小时\分钟等周期设置定时快照，提供快照策略任务记录</w:t>
            </w:r>
          </w:p>
        </w:tc>
      </w:tr>
      <w:tr w14:paraId="0C14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6ACF3C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423943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761B89D">
            <w:pPr>
              <w:jc w:val="center"/>
              <w:rPr>
                <w:rFonts w:hint="eastAsia" w:ascii="宋体" w:hAnsi="宋体" w:eastAsia="宋体" w:cs="宋体"/>
                <w:i w:val="0"/>
                <w:iCs w:val="0"/>
                <w:color w:val="auto"/>
                <w:sz w:val="21"/>
                <w:szCs w:val="21"/>
                <w:u w:val="none"/>
              </w:rPr>
            </w:pPr>
          </w:p>
        </w:tc>
        <w:tc>
          <w:tcPr>
            <w:tcW w:w="3754" w:type="pct"/>
            <w:noWrap w:val="0"/>
            <w:vAlign w:val="center"/>
          </w:tcPr>
          <w:p w14:paraId="1B7C106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▲18、本次配置不小于6颗物理CPU授权</w:t>
            </w:r>
          </w:p>
        </w:tc>
      </w:tr>
      <w:tr w14:paraId="396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F29201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8A066B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4D31BA8">
            <w:pPr>
              <w:jc w:val="center"/>
              <w:rPr>
                <w:rFonts w:hint="eastAsia" w:ascii="宋体" w:hAnsi="宋体" w:eastAsia="宋体" w:cs="宋体"/>
                <w:i w:val="0"/>
                <w:iCs w:val="0"/>
                <w:color w:val="auto"/>
                <w:sz w:val="21"/>
                <w:szCs w:val="21"/>
                <w:u w:val="none"/>
              </w:rPr>
            </w:pPr>
          </w:p>
        </w:tc>
        <w:tc>
          <w:tcPr>
            <w:tcW w:w="3754" w:type="pct"/>
            <w:noWrap w:val="0"/>
            <w:vAlign w:val="center"/>
          </w:tcPr>
          <w:p w14:paraId="3D38B988">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★19、提供5年原厂服务，签订合同时提供针对本项目的原厂质保函</w:t>
            </w:r>
          </w:p>
        </w:tc>
      </w:tr>
      <w:tr w14:paraId="27F7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066C5C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42" w:type="pct"/>
            <w:gridSpan w:val="2"/>
            <w:vMerge w:val="restart"/>
            <w:noWrap w:val="0"/>
            <w:vAlign w:val="center"/>
          </w:tcPr>
          <w:p w14:paraId="7F31D5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应用服务器</w:t>
            </w:r>
          </w:p>
        </w:tc>
        <w:tc>
          <w:tcPr>
            <w:tcW w:w="3754" w:type="pct"/>
            <w:noWrap w:val="0"/>
            <w:vAlign w:val="center"/>
          </w:tcPr>
          <w:p w14:paraId="031208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1、信创架构服务器，国产自研品牌</w:t>
            </w:r>
          </w:p>
        </w:tc>
      </w:tr>
      <w:tr w14:paraId="1FD0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2AACAB7">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9C60482">
            <w:pPr>
              <w:jc w:val="center"/>
              <w:rPr>
                <w:rFonts w:hint="eastAsia" w:ascii="宋体" w:hAnsi="宋体" w:eastAsia="宋体" w:cs="宋体"/>
                <w:i w:val="0"/>
                <w:iCs w:val="0"/>
                <w:color w:val="auto"/>
                <w:sz w:val="21"/>
                <w:szCs w:val="21"/>
                <w:u w:val="none"/>
              </w:rPr>
            </w:pPr>
          </w:p>
        </w:tc>
        <w:tc>
          <w:tcPr>
            <w:tcW w:w="3754" w:type="pct"/>
            <w:noWrap/>
            <w:vAlign w:val="center"/>
          </w:tcPr>
          <w:p w14:paraId="123462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2、外观：≥2U机架式服务器，标配原厂导轨</w:t>
            </w:r>
          </w:p>
        </w:tc>
      </w:tr>
      <w:tr w14:paraId="48E3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02DDAA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F34D394">
            <w:pPr>
              <w:jc w:val="center"/>
              <w:rPr>
                <w:rFonts w:hint="eastAsia" w:ascii="宋体" w:hAnsi="宋体" w:eastAsia="宋体" w:cs="宋体"/>
                <w:i w:val="0"/>
                <w:iCs w:val="0"/>
                <w:color w:val="auto"/>
                <w:sz w:val="21"/>
                <w:szCs w:val="21"/>
                <w:u w:val="none"/>
              </w:rPr>
            </w:pPr>
          </w:p>
        </w:tc>
        <w:tc>
          <w:tcPr>
            <w:tcW w:w="3754" w:type="pct"/>
            <w:noWrap w:val="0"/>
            <w:vAlign w:val="center"/>
          </w:tcPr>
          <w:p w14:paraId="6AC821F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3、处理器：配置≥2路C86架构CPU，每颗核数≥32核，频率≥2.7GHZ；所投产品CPU须符合自主可控安全测评要求，提供中国信息安全测评中心官网截图证明</w:t>
            </w:r>
          </w:p>
        </w:tc>
      </w:tr>
      <w:tr w14:paraId="63C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02" w:type="pct"/>
            <w:vMerge w:val="continue"/>
            <w:noWrap/>
            <w:vAlign w:val="center"/>
          </w:tcPr>
          <w:p w14:paraId="60565779">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520BC9E">
            <w:pPr>
              <w:jc w:val="center"/>
              <w:rPr>
                <w:rFonts w:hint="eastAsia" w:ascii="宋体" w:hAnsi="宋体" w:eastAsia="宋体" w:cs="宋体"/>
                <w:i w:val="0"/>
                <w:iCs w:val="0"/>
                <w:color w:val="auto"/>
                <w:sz w:val="21"/>
                <w:szCs w:val="21"/>
                <w:u w:val="none"/>
              </w:rPr>
            </w:pPr>
          </w:p>
        </w:tc>
        <w:tc>
          <w:tcPr>
            <w:tcW w:w="3754" w:type="pct"/>
            <w:noWrap w:val="0"/>
            <w:vAlign w:val="center"/>
          </w:tcPr>
          <w:p w14:paraId="1B92D3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4、内存硬盘：内存配置≥512G DDR4内存；硬盘配置：≥2×480GB SSD系统盘；数据盘：≥2×1.92TB NVME SSD硬盘；</w:t>
            </w:r>
          </w:p>
        </w:tc>
      </w:tr>
      <w:tr w14:paraId="745F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8A19CE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453F9D0">
            <w:pPr>
              <w:jc w:val="center"/>
              <w:rPr>
                <w:rFonts w:hint="eastAsia" w:ascii="宋体" w:hAnsi="宋体" w:eastAsia="宋体" w:cs="宋体"/>
                <w:i w:val="0"/>
                <w:iCs w:val="0"/>
                <w:color w:val="auto"/>
                <w:sz w:val="21"/>
                <w:szCs w:val="21"/>
                <w:u w:val="none"/>
              </w:rPr>
            </w:pPr>
          </w:p>
        </w:tc>
        <w:tc>
          <w:tcPr>
            <w:tcW w:w="3754" w:type="pct"/>
            <w:noWrap w:val="0"/>
            <w:vAlign w:val="center"/>
          </w:tcPr>
          <w:p w14:paraId="4CE7AC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6、硬盘控制器：≥2GB缓存，支持缓存数据保护，且后备保护时间不受限制支持RAID0/1/10/5/6/50/60；</w:t>
            </w:r>
          </w:p>
        </w:tc>
      </w:tr>
      <w:tr w14:paraId="5EC7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92EFB3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6F6933E">
            <w:pPr>
              <w:jc w:val="center"/>
              <w:rPr>
                <w:rFonts w:hint="eastAsia" w:ascii="宋体" w:hAnsi="宋体" w:eastAsia="宋体" w:cs="宋体"/>
                <w:i w:val="0"/>
                <w:iCs w:val="0"/>
                <w:color w:val="auto"/>
                <w:sz w:val="21"/>
                <w:szCs w:val="21"/>
                <w:u w:val="none"/>
              </w:rPr>
            </w:pPr>
          </w:p>
        </w:tc>
        <w:tc>
          <w:tcPr>
            <w:tcW w:w="3754" w:type="pct"/>
            <w:noWrap w:val="0"/>
            <w:vAlign w:val="center"/>
          </w:tcPr>
          <w:p w14:paraId="5956EA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7、网卡：配置≥4个千兆电口，≥4个万兆光口（含光模块）</w:t>
            </w:r>
          </w:p>
        </w:tc>
      </w:tr>
      <w:tr w14:paraId="6D8D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AF0B52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504571B">
            <w:pPr>
              <w:jc w:val="center"/>
              <w:rPr>
                <w:rFonts w:hint="eastAsia" w:ascii="宋体" w:hAnsi="宋体" w:eastAsia="宋体" w:cs="宋体"/>
                <w:i w:val="0"/>
                <w:iCs w:val="0"/>
                <w:color w:val="auto"/>
                <w:sz w:val="21"/>
                <w:szCs w:val="21"/>
                <w:u w:val="none"/>
              </w:rPr>
            </w:pPr>
          </w:p>
        </w:tc>
        <w:tc>
          <w:tcPr>
            <w:tcW w:w="3754" w:type="pct"/>
            <w:noWrap w:val="0"/>
            <w:vAlign w:val="center"/>
          </w:tcPr>
          <w:p w14:paraId="02A49A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8、PCIe插槽：支持提供≥10个PCIe 插槽</w:t>
            </w:r>
          </w:p>
        </w:tc>
      </w:tr>
      <w:tr w14:paraId="0463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298A14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D12B41C">
            <w:pPr>
              <w:jc w:val="center"/>
              <w:rPr>
                <w:rFonts w:hint="eastAsia" w:ascii="宋体" w:hAnsi="宋体" w:eastAsia="宋体" w:cs="宋体"/>
                <w:i w:val="0"/>
                <w:iCs w:val="0"/>
                <w:color w:val="auto"/>
                <w:sz w:val="21"/>
                <w:szCs w:val="21"/>
                <w:u w:val="none"/>
              </w:rPr>
            </w:pPr>
          </w:p>
        </w:tc>
        <w:tc>
          <w:tcPr>
            <w:tcW w:w="3754" w:type="pct"/>
            <w:noWrap w:val="0"/>
            <w:vAlign w:val="center"/>
          </w:tcPr>
          <w:p w14:paraId="63CEBC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9、电源：≥2个热插拔冗余电源；</w:t>
            </w:r>
          </w:p>
        </w:tc>
      </w:tr>
      <w:tr w14:paraId="5F15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135822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565166D">
            <w:pPr>
              <w:jc w:val="center"/>
              <w:rPr>
                <w:rFonts w:hint="eastAsia" w:ascii="宋体" w:hAnsi="宋体" w:eastAsia="宋体" w:cs="宋体"/>
                <w:i w:val="0"/>
                <w:iCs w:val="0"/>
                <w:color w:val="auto"/>
                <w:sz w:val="21"/>
                <w:szCs w:val="21"/>
                <w:u w:val="none"/>
              </w:rPr>
            </w:pPr>
          </w:p>
        </w:tc>
        <w:tc>
          <w:tcPr>
            <w:tcW w:w="3754" w:type="pct"/>
            <w:noWrap w:val="0"/>
            <w:vAlign w:val="center"/>
          </w:tcPr>
          <w:p w14:paraId="5E1674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10、风扇：配置可热插拔冗余风扇</w:t>
            </w:r>
          </w:p>
        </w:tc>
      </w:tr>
      <w:tr w14:paraId="516C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85BAE9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149AFCD">
            <w:pPr>
              <w:jc w:val="center"/>
              <w:rPr>
                <w:rFonts w:hint="eastAsia" w:ascii="宋体" w:hAnsi="宋体" w:eastAsia="宋体" w:cs="宋体"/>
                <w:i w:val="0"/>
                <w:iCs w:val="0"/>
                <w:color w:val="auto"/>
                <w:sz w:val="21"/>
                <w:szCs w:val="21"/>
                <w:u w:val="none"/>
              </w:rPr>
            </w:pPr>
          </w:p>
        </w:tc>
        <w:tc>
          <w:tcPr>
            <w:tcW w:w="3754" w:type="pct"/>
            <w:noWrap w:val="0"/>
            <w:vAlign w:val="center"/>
          </w:tcPr>
          <w:p w14:paraId="5AC810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11、可实时监控服务器内部关键部件运行状态和温度信息，CPU、内存、硬盘、风扇、电源、扩展。</w:t>
            </w:r>
          </w:p>
        </w:tc>
      </w:tr>
      <w:tr w14:paraId="369A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D500D08">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EF43B83">
            <w:pPr>
              <w:jc w:val="center"/>
              <w:rPr>
                <w:rFonts w:hint="eastAsia" w:ascii="宋体" w:hAnsi="宋体" w:eastAsia="宋体" w:cs="宋体"/>
                <w:i w:val="0"/>
                <w:iCs w:val="0"/>
                <w:color w:val="auto"/>
                <w:sz w:val="21"/>
                <w:szCs w:val="21"/>
                <w:u w:val="none"/>
              </w:rPr>
            </w:pPr>
          </w:p>
        </w:tc>
        <w:tc>
          <w:tcPr>
            <w:tcW w:w="3754" w:type="pct"/>
            <w:noWrap w:val="0"/>
            <w:vAlign w:val="center"/>
          </w:tcPr>
          <w:p w14:paraId="132E4A1D">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★12、提供5年原厂质保，签订合同时提供针对本项目的原厂质保函；</w:t>
            </w:r>
          </w:p>
        </w:tc>
      </w:tr>
      <w:tr w14:paraId="5E1A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118FC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29" w:type="pct"/>
            <w:vMerge w:val="restart"/>
            <w:noWrap w:val="0"/>
            <w:vAlign w:val="center"/>
          </w:tcPr>
          <w:p w14:paraId="573F69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超融合服务器（外网发布）</w:t>
            </w:r>
          </w:p>
        </w:tc>
        <w:tc>
          <w:tcPr>
            <w:tcW w:w="512" w:type="pct"/>
            <w:vMerge w:val="restart"/>
            <w:noWrap w:val="0"/>
            <w:vAlign w:val="center"/>
          </w:tcPr>
          <w:p w14:paraId="2FEC29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（一）超融合硬件设备</w:t>
            </w:r>
          </w:p>
        </w:tc>
        <w:tc>
          <w:tcPr>
            <w:tcW w:w="3754" w:type="pct"/>
            <w:noWrap w:val="0"/>
            <w:vAlign w:val="center"/>
          </w:tcPr>
          <w:p w14:paraId="4407B3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1、设备外形：硬件设备采用机架式服务器，适用于通用机房环境，支持标准机柜；</w:t>
            </w:r>
          </w:p>
        </w:tc>
      </w:tr>
      <w:tr w14:paraId="33B4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DA10BB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31A5AB4">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F5E8DB6">
            <w:pPr>
              <w:jc w:val="center"/>
              <w:rPr>
                <w:rFonts w:hint="eastAsia" w:ascii="宋体" w:hAnsi="宋体" w:eastAsia="宋体" w:cs="宋体"/>
                <w:i w:val="0"/>
                <w:iCs w:val="0"/>
                <w:color w:val="auto"/>
                <w:sz w:val="21"/>
                <w:szCs w:val="21"/>
                <w:u w:val="none"/>
              </w:rPr>
            </w:pPr>
          </w:p>
        </w:tc>
        <w:tc>
          <w:tcPr>
            <w:tcW w:w="3754" w:type="pct"/>
            <w:noWrap w:val="0"/>
            <w:vAlign w:val="center"/>
          </w:tcPr>
          <w:p w14:paraId="3E19EA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2、信创架构服务器，国产自研品牌</w:t>
            </w:r>
          </w:p>
        </w:tc>
      </w:tr>
      <w:tr w14:paraId="1E92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347AB9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BB71D68">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FDAFFAE">
            <w:pPr>
              <w:jc w:val="center"/>
              <w:rPr>
                <w:rFonts w:hint="eastAsia" w:ascii="宋体" w:hAnsi="宋体" w:eastAsia="宋体" w:cs="宋体"/>
                <w:i w:val="0"/>
                <w:iCs w:val="0"/>
                <w:color w:val="auto"/>
                <w:sz w:val="21"/>
                <w:szCs w:val="21"/>
                <w:u w:val="none"/>
              </w:rPr>
            </w:pPr>
          </w:p>
        </w:tc>
        <w:tc>
          <w:tcPr>
            <w:tcW w:w="3754" w:type="pct"/>
            <w:noWrap w:val="0"/>
            <w:vAlign w:val="center"/>
          </w:tcPr>
          <w:p w14:paraId="7C5B6358">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★3、本次配置3节点服务器</w:t>
            </w:r>
          </w:p>
        </w:tc>
      </w:tr>
      <w:tr w14:paraId="4DE6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4518F0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47B0F8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5D1C014">
            <w:pPr>
              <w:jc w:val="center"/>
              <w:rPr>
                <w:rFonts w:hint="eastAsia" w:ascii="宋体" w:hAnsi="宋体" w:eastAsia="宋体" w:cs="宋体"/>
                <w:i w:val="0"/>
                <w:iCs w:val="0"/>
                <w:color w:val="auto"/>
                <w:sz w:val="21"/>
                <w:szCs w:val="21"/>
                <w:u w:val="none"/>
              </w:rPr>
            </w:pPr>
          </w:p>
        </w:tc>
        <w:tc>
          <w:tcPr>
            <w:tcW w:w="3754" w:type="pct"/>
            <w:noWrap w:val="0"/>
            <w:vAlign w:val="center"/>
          </w:tcPr>
          <w:p w14:paraId="7FAD83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下列为单节点配置：</w:t>
            </w:r>
          </w:p>
        </w:tc>
      </w:tr>
      <w:tr w14:paraId="2B20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66670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0273EF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BC03A55">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57AB66E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（1）单节点处理器：配置≥2路C86架构CPU，每颗核数≥16核，频率≥2.5GHZ；所投产品CPU须符合自主可控安全测评要求，提供中国信息安全测评中心官网截图证明</w:t>
            </w:r>
          </w:p>
          <w:p w14:paraId="4A40917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（2）内存硬盘：内存配置≥512G DDR4内存；硬盘配置≥2×480GB SSD系统盘；数据盘：≥4×3.84TB NVME SSD硬盘；</w:t>
            </w:r>
          </w:p>
          <w:p w14:paraId="737174D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（3）硬盘控制器：≥2GB缓存，支持缓存数据保护，且后备保护时间不受限制支持RAID0/1/10/5/6/50/60；</w:t>
            </w:r>
          </w:p>
          <w:p w14:paraId="52B46BB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（4）PCIe插槽：支持提供≥10个PCIe 插槽</w:t>
            </w:r>
          </w:p>
          <w:p w14:paraId="7774C2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（5）电源：≥2个热插拔冗余电源</w:t>
            </w:r>
          </w:p>
          <w:p w14:paraId="6FCE2E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（6）风扇：配置可热插拔冗余风扇</w:t>
            </w:r>
          </w:p>
          <w:p w14:paraId="43C0BC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（7）本次每节点配置：≥2个万兆口含模块+2个千兆口，采用国产网络芯片；千兆管理网接口≥2个，存储网接口≥2个（含多模光模块），业务网接口≥2个（含多模光模块）；</w:t>
            </w:r>
          </w:p>
        </w:tc>
      </w:tr>
      <w:tr w14:paraId="430E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E9A73F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BB15B94">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8778BAA">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CC720D3">
            <w:pPr>
              <w:jc w:val="left"/>
              <w:rPr>
                <w:rFonts w:hint="eastAsia" w:ascii="宋体" w:hAnsi="宋体" w:eastAsia="宋体" w:cs="宋体"/>
                <w:i w:val="0"/>
                <w:iCs w:val="0"/>
                <w:color w:val="auto"/>
                <w:sz w:val="21"/>
                <w:szCs w:val="21"/>
                <w:u w:val="none"/>
              </w:rPr>
            </w:pPr>
          </w:p>
        </w:tc>
      </w:tr>
      <w:tr w14:paraId="3D2A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BAE8C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A0F102C">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5A4BC38">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48A25B1">
            <w:pPr>
              <w:jc w:val="left"/>
              <w:rPr>
                <w:rFonts w:hint="eastAsia" w:ascii="宋体" w:hAnsi="宋体" w:eastAsia="宋体" w:cs="宋体"/>
                <w:i w:val="0"/>
                <w:iCs w:val="0"/>
                <w:color w:val="auto"/>
                <w:sz w:val="21"/>
                <w:szCs w:val="21"/>
                <w:u w:val="none"/>
              </w:rPr>
            </w:pPr>
          </w:p>
        </w:tc>
      </w:tr>
      <w:tr w14:paraId="70E1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D93E54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DC7C61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8C0F566">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40EC80F">
            <w:pPr>
              <w:jc w:val="left"/>
              <w:rPr>
                <w:rFonts w:hint="eastAsia" w:ascii="宋体" w:hAnsi="宋体" w:eastAsia="宋体" w:cs="宋体"/>
                <w:i w:val="0"/>
                <w:iCs w:val="0"/>
                <w:color w:val="auto"/>
                <w:sz w:val="21"/>
                <w:szCs w:val="21"/>
                <w:u w:val="none"/>
              </w:rPr>
            </w:pPr>
          </w:p>
        </w:tc>
      </w:tr>
      <w:tr w14:paraId="0452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F2B600B">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F23A37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0019B1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B1084BB">
            <w:pPr>
              <w:jc w:val="left"/>
              <w:rPr>
                <w:rFonts w:hint="eastAsia" w:ascii="宋体" w:hAnsi="宋体" w:eastAsia="宋体" w:cs="宋体"/>
                <w:i w:val="0"/>
                <w:iCs w:val="0"/>
                <w:color w:val="auto"/>
                <w:sz w:val="21"/>
                <w:szCs w:val="21"/>
                <w:u w:val="none"/>
              </w:rPr>
            </w:pPr>
          </w:p>
        </w:tc>
      </w:tr>
      <w:tr w14:paraId="26F0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FA2D62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A04B9D1">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828991A">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6D9651F4">
            <w:pPr>
              <w:jc w:val="left"/>
              <w:rPr>
                <w:rFonts w:hint="eastAsia" w:ascii="宋体" w:hAnsi="宋体" w:eastAsia="宋体" w:cs="宋体"/>
                <w:i w:val="0"/>
                <w:iCs w:val="0"/>
                <w:color w:val="auto"/>
                <w:sz w:val="21"/>
                <w:szCs w:val="21"/>
                <w:u w:val="none"/>
              </w:rPr>
            </w:pPr>
          </w:p>
        </w:tc>
      </w:tr>
      <w:tr w14:paraId="6E92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4A58C8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3EEDAE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8BABEE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49ED50AC">
            <w:pPr>
              <w:jc w:val="left"/>
              <w:rPr>
                <w:rFonts w:hint="eastAsia" w:ascii="宋体" w:hAnsi="宋体" w:eastAsia="宋体" w:cs="宋体"/>
                <w:i w:val="0"/>
                <w:iCs w:val="0"/>
                <w:color w:val="auto"/>
                <w:sz w:val="21"/>
                <w:szCs w:val="21"/>
                <w:u w:val="none"/>
              </w:rPr>
            </w:pPr>
          </w:p>
        </w:tc>
      </w:tr>
      <w:tr w14:paraId="32BA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F9A24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81C928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8DD2507">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97D4889">
            <w:pPr>
              <w:jc w:val="left"/>
              <w:rPr>
                <w:rFonts w:hint="eastAsia" w:ascii="宋体" w:hAnsi="宋体" w:eastAsia="宋体" w:cs="宋体"/>
                <w:i w:val="0"/>
                <w:iCs w:val="0"/>
                <w:color w:val="auto"/>
                <w:sz w:val="21"/>
                <w:szCs w:val="21"/>
                <w:u w:val="none"/>
              </w:rPr>
            </w:pPr>
          </w:p>
        </w:tc>
      </w:tr>
      <w:tr w14:paraId="1451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0FAA98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733CFF7">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B7331E8">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9A0C1E6">
            <w:pPr>
              <w:jc w:val="left"/>
              <w:rPr>
                <w:rFonts w:hint="eastAsia" w:ascii="宋体" w:hAnsi="宋体" w:eastAsia="宋体" w:cs="宋体"/>
                <w:i w:val="0"/>
                <w:iCs w:val="0"/>
                <w:color w:val="auto"/>
                <w:sz w:val="21"/>
                <w:szCs w:val="21"/>
                <w:u w:val="none"/>
              </w:rPr>
            </w:pPr>
          </w:p>
        </w:tc>
      </w:tr>
      <w:tr w14:paraId="7493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93CB30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3B4F3D1">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E53D0AF">
            <w:pPr>
              <w:jc w:val="center"/>
              <w:rPr>
                <w:rFonts w:hint="eastAsia" w:ascii="宋体" w:hAnsi="宋体" w:eastAsia="宋体" w:cs="宋体"/>
                <w:i w:val="0"/>
                <w:iCs w:val="0"/>
                <w:color w:val="auto"/>
                <w:sz w:val="21"/>
                <w:szCs w:val="21"/>
                <w:u w:val="none"/>
              </w:rPr>
            </w:pPr>
          </w:p>
        </w:tc>
        <w:tc>
          <w:tcPr>
            <w:tcW w:w="3754" w:type="pct"/>
            <w:noWrap w:val="0"/>
            <w:vAlign w:val="center"/>
          </w:tcPr>
          <w:p w14:paraId="3E2C86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★4、提供5年原厂质保，签订合同时提供针对本项目的原厂质保函；</w:t>
            </w:r>
          </w:p>
        </w:tc>
      </w:tr>
      <w:tr w14:paraId="1A07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EBDC87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58B6313">
            <w:pPr>
              <w:jc w:val="center"/>
              <w:rPr>
                <w:rFonts w:hint="eastAsia" w:ascii="宋体" w:hAnsi="宋体" w:eastAsia="宋体" w:cs="宋体"/>
                <w:i w:val="0"/>
                <w:iCs w:val="0"/>
                <w:color w:val="auto"/>
                <w:sz w:val="21"/>
                <w:szCs w:val="21"/>
                <w:u w:val="none"/>
              </w:rPr>
            </w:pPr>
          </w:p>
        </w:tc>
        <w:tc>
          <w:tcPr>
            <w:tcW w:w="512" w:type="pct"/>
            <w:vMerge w:val="restart"/>
            <w:noWrap w:val="0"/>
            <w:vAlign w:val="center"/>
          </w:tcPr>
          <w:p w14:paraId="0283A3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（二）超融合软件</w:t>
            </w:r>
          </w:p>
        </w:tc>
        <w:tc>
          <w:tcPr>
            <w:tcW w:w="3754" w:type="pct"/>
            <w:noWrap w:val="0"/>
            <w:vAlign w:val="center"/>
          </w:tcPr>
          <w:p w14:paraId="36344FF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1、虚拟化软件采用裸金属架构，支持标准的C86架构平台和ARM架构平台；支持接入本次云管理平台统一化管理，运维等。</w:t>
            </w:r>
          </w:p>
        </w:tc>
      </w:tr>
      <w:tr w14:paraId="0C81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5F1EAB">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341C79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B4FFAE4">
            <w:pPr>
              <w:jc w:val="center"/>
              <w:rPr>
                <w:rFonts w:hint="eastAsia" w:ascii="宋体" w:hAnsi="宋体" w:eastAsia="宋体" w:cs="宋体"/>
                <w:i w:val="0"/>
                <w:iCs w:val="0"/>
                <w:color w:val="auto"/>
                <w:sz w:val="21"/>
                <w:szCs w:val="21"/>
                <w:u w:val="none"/>
              </w:rPr>
            </w:pPr>
          </w:p>
        </w:tc>
        <w:tc>
          <w:tcPr>
            <w:tcW w:w="3754" w:type="pct"/>
            <w:noWrap w:val="0"/>
            <w:vAlign w:val="center"/>
          </w:tcPr>
          <w:p w14:paraId="263F3ED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2、兼容主流信创操作系统，包括但不限于麒麟、统信等品牌，提供兼容性证明；</w:t>
            </w:r>
          </w:p>
        </w:tc>
      </w:tr>
      <w:tr w14:paraId="499F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AFF9A1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A48A227">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D6A8BC0">
            <w:pPr>
              <w:jc w:val="center"/>
              <w:rPr>
                <w:rFonts w:hint="eastAsia" w:ascii="宋体" w:hAnsi="宋体" w:eastAsia="宋体" w:cs="宋体"/>
                <w:i w:val="0"/>
                <w:iCs w:val="0"/>
                <w:color w:val="auto"/>
                <w:sz w:val="21"/>
                <w:szCs w:val="21"/>
                <w:u w:val="none"/>
              </w:rPr>
            </w:pPr>
          </w:p>
        </w:tc>
        <w:tc>
          <w:tcPr>
            <w:tcW w:w="3754" w:type="pct"/>
            <w:noWrap w:val="0"/>
            <w:vAlign w:val="center"/>
          </w:tcPr>
          <w:p w14:paraId="2199C67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3、兼容主流信创数据库，包括但不限于达梦、人大金仓等，提供兼容性证明；</w:t>
            </w:r>
          </w:p>
        </w:tc>
      </w:tr>
      <w:tr w14:paraId="0B34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2C67FB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295EA4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3FBA485">
            <w:pPr>
              <w:jc w:val="center"/>
              <w:rPr>
                <w:rFonts w:hint="eastAsia" w:ascii="宋体" w:hAnsi="宋体" w:eastAsia="宋体" w:cs="宋体"/>
                <w:i w:val="0"/>
                <w:iCs w:val="0"/>
                <w:color w:val="auto"/>
                <w:sz w:val="21"/>
                <w:szCs w:val="21"/>
                <w:u w:val="none"/>
              </w:rPr>
            </w:pPr>
          </w:p>
        </w:tc>
        <w:tc>
          <w:tcPr>
            <w:tcW w:w="3754" w:type="pct"/>
            <w:noWrap w:val="0"/>
            <w:vAlign w:val="center"/>
          </w:tcPr>
          <w:p w14:paraId="4CF0037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4、最少只需3个节点集群即可同时提供虚拟化、分布式块、对象、文件存储服务</w:t>
            </w:r>
            <w:r>
              <w:rPr>
                <w:rFonts w:hint="eastAsia" w:ascii="宋体" w:hAnsi="宋体" w:eastAsia="宋体" w:cs="宋体"/>
                <w:b/>
                <w:bCs/>
                <w:i w:val="0"/>
                <w:iCs w:val="0"/>
                <w:color w:val="auto"/>
                <w:kern w:val="0"/>
                <w:sz w:val="21"/>
                <w:szCs w:val="21"/>
                <w:u w:val="none"/>
                <w:lang w:val="en-US" w:eastAsia="zh-CN" w:bidi="ar"/>
              </w:rPr>
              <w:t>。</w:t>
            </w:r>
          </w:p>
        </w:tc>
      </w:tr>
      <w:tr w14:paraId="6845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08B22B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2F0A55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5B0B4CE">
            <w:pPr>
              <w:jc w:val="center"/>
              <w:rPr>
                <w:rFonts w:hint="eastAsia" w:ascii="宋体" w:hAnsi="宋体" w:eastAsia="宋体" w:cs="宋体"/>
                <w:i w:val="0"/>
                <w:iCs w:val="0"/>
                <w:color w:val="auto"/>
                <w:sz w:val="21"/>
                <w:szCs w:val="21"/>
                <w:u w:val="none"/>
              </w:rPr>
            </w:pPr>
          </w:p>
        </w:tc>
        <w:tc>
          <w:tcPr>
            <w:tcW w:w="3754" w:type="pct"/>
            <w:noWrap w:val="0"/>
            <w:vAlign w:val="center"/>
          </w:tcPr>
          <w:p w14:paraId="284A8D6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5、能直观展示虚拟化资源池的健康度、告警、资源使用情况等，同时展示内容支持用户自定义。</w:t>
            </w:r>
          </w:p>
        </w:tc>
      </w:tr>
      <w:tr w14:paraId="2516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131F4C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028D3F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AB937CC">
            <w:pPr>
              <w:jc w:val="center"/>
              <w:rPr>
                <w:rFonts w:hint="eastAsia" w:ascii="宋体" w:hAnsi="宋体" w:eastAsia="宋体" w:cs="宋体"/>
                <w:i w:val="0"/>
                <w:iCs w:val="0"/>
                <w:color w:val="auto"/>
                <w:sz w:val="21"/>
                <w:szCs w:val="21"/>
                <w:u w:val="none"/>
              </w:rPr>
            </w:pPr>
          </w:p>
        </w:tc>
        <w:tc>
          <w:tcPr>
            <w:tcW w:w="3754" w:type="pct"/>
            <w:noWrap w:val="0"/>
            <w:vAlign w:val="center"/>
          </w:tcPr>
          <w:p w14:paraId="36F4F99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6、虚机还原：支持使用还原虚拟机到指定还原点状态，基于备份功能，虚机误删不影响还原功能。</w:t>
            </w:r>
          </w:p>
        </w:tc>
      </w:tr>
      <w:tr w14:paraId="5549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23D2E8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ACC561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EAAA9BE">
            <w:pPr>
              <w:jc w:val="center"/>
              <w:rPr>
                <w:rFonts w:hint="eastAsia" w:ascii="宋体" w:hAnsi="宋体" w:eastAsia="宋体" w:cs="宋体"/>
                <w:i w:val="0"/>
                <w:iCs w:val="0"/>
                <w:color w:val="auto"/>
                <w:sz w:val="21"/>
                <w:szCs w:val="21"/>
                <w:u w:val="none"/>
              </w:rPr>
            </w:pPr>
          </w:p>
        </w:tc>
        <w:tc>
          <w:tcPr>
            <w:tcW w:w="3754" w:type="pct"/>
            <w:noWrap w:val="0"/>
            <w:vAlign w:val="center"/>
          </w:tcPr>
          <w:p w14:paraId="34D2793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7、支持使用分析后端存储上的无效镜像文件，并提供清理和释放存储空间能力</w:t>
            </w:r>
            <w:r>
              <w:rPr>
                <w:rFonts w:hint="eastAsia" w:ascii="宋体" w:hAnsi="宋体" w:eastAsia="宋体" w:cs="宋体"/>
                <w:b/>
                <w:bCs/>
                <w:i w:val="0"/>
                <w:iCs w:val="0"/>
                <w:color w:val="auto"/>
                <w:kern w:val="0"/>
                <w:sz w:val="21"/>
                <w:szCs w:val="21"/>
                <w:u w:val="none"/>
                <w:lang w:val="en-US" w:eastAsia="zh-CN" w:bidi="ar"/>
              </w:rPr>
              <w:t>。</w:t>
            </w:r>
          </w:p>
        </w:tc>
      </w:tr>
      <w:tr w14:paraId="7ABE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D16D49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45EA64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3176B51">
            <w:pPr>
              <w:jc w:val="center"/>
              <w:rPr>
                <w:rFonts w:hint="eastAsia" w:ascii="宋体" w:hAnsi="宋体" w:eastAsia="宋体" w:cs="宋体"/>
                <w:i w:val="0"/>
                <w:iCs w:val="0"/>
                <w:color w:val="auto"/>
                <w:sz w:val="21"/>
                <w:szCs w:val="21"/>
                <w:u w:val="none"/>
              </w:rPr>
            </w:pPr>
          </w:p>
        </w:tc>
        <w:tc>
          <w:tcPr>
            <w:tcW w:w="3754" w:type="pct"/>
            <w:noWrap w:val="0"/>
            <w:vAlign w:val="center"/>
          </w:tcPr>
          <w:p w14:paraId="6331D4F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8、支持快速查看、启动、删除、批量启动和批量删除长时间未使用且处于关闭状态的虚拟机，进行资源利用率统计。</w:t>
            </w:r>
          </w:p>
        </w:tc>
      </w:tr>
      <w:tr w14:paraId="67CF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AA1A5C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674C77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03A167C">
            <w:pPr>
              <w:jc w:val="center"/>
              <w:rPr>
                <w:rFonts w:hint="eastAsia" w:ascii="宋体" w:hAnsi="宋体" w:eastAsia="宋体" w:cs="宋体"/>
                <w:i w:val="0"/>
                <w:iCs w:val="0"/>
                <w:color w:val="auto"/>
                <w:sz w:val="21"/>
                <w:szCs w:val="21"/>
                <w:u w:val="none"/>
              </w:rPr>
            </w:pPr>
          </w:p>
        </w:tc>
        <w:tc>
          <w:tcPr>
            <w:tcW w:w="3754" w:type="pct"/>
            <w:noWrap w:val="0"/>
            <w:vAlign w:val="center"/>
          </w:tcPr>
          <w:p w14:paraId="502BC91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9、超融合管理平台内置在线迁移工具，支持业界主流的操作系统、虚拟化平台；</w:t>
            </w:r>
          </w:p>
        </w:tc>
      </w:tr>
      <w:tr w14:paraId="4D67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B29E77B">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99BCDC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BCF80E3">
            <w:pPr>
              <w:jc w:val="center"/>
              <w:rPr>
                <w:rFonts w:hint="eastAsia" w:ascii="宋体" w:hAnsi="宋体" w:eastAsia="宋体" w:cs="宋体"/>
                <w:i w:val="0"/>
                <w:iCs w:val="0"/>
                <w:color w:val="auto"/>
                <w:sz w:val="21"/>
                <w:szCs w:val="21"/>
                <w:u w:val="none"/>
              </w:rPr>
            </w:pPr>
          </w:p>
        </w:tc>
        <w:tc>
          <w:tcPr>
            <w:tcW w:w="3754" w:type="pct"/>
            <w:noWrap w:val="0"/>
            <w:vAlign w:val="center"/>
          </w:tcPr>
          <w:p w14:paraId="212AE6D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10、支持批量修改虚拟机的配置参数。</w:t>
            </w:r>
          </w:p>
        </w:tc>
      </w:tr>
      <w:tr w14:paraId="5CB5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70F1F5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3A5D1B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8A94ECE">
            <w:pPr>
              <w:jc w:val="center"/>
              <w:rPr>
                <w:rFonts w:hint="eastAsia" w:ascii="宋体" w:hAnsi="宋体" w:eastAsia="宋体" w:cs="宋体"/>
                <w:i w:val="0"/>
                <w:iCs w:val="0"/>
                <w:color w:val="auto"/>
                <w:sz w:val="21"/>
                <w:szCs w:val="21"/>
                <w:u w:val="none"/>
              </w:rPr>
            </w:pPr>
          </w:p>
        </w:tc>
        <w:tc>
          <w:tcPr>
            <w:tcW w:w="3754" w:type="pct"/>
            <w:noWrap w:val="0"/>
            <w:vAlign w:val="center"/>
          </w:tcPr>
          <w:p w14:paraId="7863FF9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11、支持多个副本的容错机制，副本数量可基于存储池灵活设置；</w:t>
            </w:r>
          </w:p>
        </w:tc>
      </w:tr>
      <w:tr w14:paraId="09C2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84B321C">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5C0A8B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DD4A03D">
            <w:pPr>
              <w:jc w:val="center"/>
              <w:rPr>
                <w:rFonts w:hint="eastAsia" w:ascii="宋体" w:hAnsi="宋体" w:eastAsia="宋体" w:cs="宋体"/>
                <w:i w:val="0"/>
                <w:iCs w:val="0"/>
                <w:color w:val="auto"/>
                <w:sz w:val="21"/>
                <w:szCs w:val="21"/>
                <w:u w:val="none"/>
              </w:rPr>
            </w:pPr>
          </w:p>
        </w:tc>
        <w:tc>
          <w:tcPr>
            <w:tcW w:w="3754" w:type="pct"/>
            <w:noWrap w:val="0"/>
            <w:vAlign w:val="center"/>
          </w:tcPr>
          <w:p w14:paraId="090F0A1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12、磁盘或者节点故障之后无需人工干预，数据在集群内硬盘的剩余空间中自动重构，所有硬盘并发重构，提升重构效率</w:t>
            </w:r>
            <w:r>
              <w:rPr>
                <w:rFonts w:hint="eastAsia" w:ascii="宋体" w:hAnsi="宋体" w:eastAsia="宋体" w:cs="宋体"/>
                <w:b/>
                <w:bCs/>
                <w:i w:val="0"/>
                <w:iCs w:val="0"/>
                <w:color w:val="auto"/>
                <w:kern w:val="0"/>
                <w:sz w:val="21"/>
                <w:szCs w:val="21"/>
                <w:u w:val="none"/>
                <w:lang w:val="en-US" w:eastAsia="zh-CN" w:bidi="ar"/>
              </w:rPr>
              <w:t>。</w:t>
            </w:r>
          </w:p>
        </w:tc>
      </w:tr>
      <w:tr w14:paraId="7301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D8CF68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F8E00D7">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3DE8065">
            <w:pPr>
              <w:jc w:val="center"/>
              <w:rPr>
                <w:rFonts w:hint="eastAsia" w:ascii="宋体" w:hAnsi="宋体" w:eastAsia="宋体" w:cs="宋体"/>
                <w:i w:val="0"/>
                <w:iCs w:val="0"/>
                <w:color w:val="auto"/>
                <w:sz w:val="21"/>
                <w:szCs w:val="21"/>
                <w:u w:val="none"/>
              </w:rPr>
            </w:pPr>
          </w:p>
        </w:tc>
        <w:tc>
          <w:tcPr>
            <w:tcW w:w="3754" w:type="pct"/>
            <w:noWrap w:val="0"/>
            <w:vAlign w:val="center"/>
          </w:tcPr>
          <w:p w14:paraId="5B62F75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13、支持系统从低版本到高版本的无缝升级，支持任意跨多版本升级</w:t>
            </w:r>
          </w:p>
        </w:tc>
      </w:tr>
      <w:tr w14:paraId="76DE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369B94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9C6446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9416538">
            <w:pPr>
              <w:jc w:val="center"/>
              <w:rPr>
                <w:rFonts w:hint="eastAsia" w:ascii="宋体" w:hAnsi="宋体" w:eastAsia="宋体" w:cs="宋体"/>
                <w:i w:val="0"/>
                <w:iCs w:val="0"/>
                <w:color w:val="auto"/>
                <w:sz w:val="21"/>
                <w:szCs w:val="21"/>
                <w:u w:val="none"/>
              </w:rPr>
            </w:pPr>
          </w:p>
        </w:tc>
        <w:tc>
          <w:tcPr>
            <w:tcW w:w="3754" w:type="pct"/>
            <w:noWrap w:val="0"/>
            <w:vAlign w:val="center"/>
          </w:tcPr>
          <w:p w14:paraId="15B3819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14、要求超融合平台提供故障切换能力，当组件发生故障时，不影响整个集群正常运行，保证业务连续性；当整个节点故障的情况下，支持整个节点的热插拔硬件替换。</w:t>
            </w:r>
          </w:p>
        </w:tc>
      </w:tr>
      <w:tr w14:paraId="4C87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2" w:type="pct"/>
            <w:vMerge w:val="continue"/>
            <w:noWrap/>
            <w:vAlign w:val="center"/>
          </w:tcPr>
          <w:p w14:paraId="3157F08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771050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1F75430">
            <w:pPr>
              <w:jc w:val="center"/>
              <w:rPr>
                <w:rFonts w:hint="eastAsia" w:ascii="宋体" w:hAnsi="宋体" w:eastAsia="宋体" w:cs="宋体"/>
                <w:i w:val="0"/>
                <w:iCs w:val="0"/>
                <w:color w:val="auto"/>
                <w:sz w:val="21"/>
                <w:szCs w:val="21"/>
                <w:u w:val="none"/>
              </w:rPr>
            </w:pPr>
          </w:p>
        </w:tc>
        <w:tc>
          <w:tcPr>
            <w:tcW w:w="3754" w:type="pct"/>
            <w:noWrap w:val="0"/>
            <w:vAlign w:val="center"/>
          </w:tcPr>
          <w:p w14:paraId="55CB53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15、支持动态资源调度功能通过迁移虚拟机达到各个节点上资源负载的平衡；</w:t>
            </w:r>
          </w:p>
        </w:tc>
      </w:tr>
      <w:tr w14:paraId="2836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47E68C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8EACD1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0FAC700">
            <w:pPr>
              <w:jc w:val="center"/>
              <w:rPr>
                <w:rFonts w:hint="eastAsia" w:ascii="宋体" w:hAnsi="宋体" w:eastAsia="宋体" w:cs="宋体"/>
                <w:i w:val="0"/>
                <w:iCs w:val="0"/>
                <w:color w:val="auto"/>
                <w:sz w:val="21"/>
                <w:szCs w:val="21"/>
                <w:u w:val="none"/>
              </w:rPr>
            </w:pPr>
          </w:p>
        </w:tc>
        <w:tc>
          <w:tcPr>
            <w:tcW w:w="3754" w:type="pct"/>
            <w:noWrap w:val="0"/>
            <w:vAlign w:val="center"/>
          </w:tcPr>
          <w:p w14:paraId="5FC9930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16、支持灵活定义定时增量及全量备份，备份间隔可指定小时、天、周，支持配置保留备份天数；</w:t>
            </w:r>
          </w:p>
        </w:tc>
      </w:tr>
      <w:tr w14:paraId="5CF6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E4F6776">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59B4E8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0BD0E80">
            <w:pPr>
              <w:jc w:val="center"/>
              <w:rPr>
                <w:rFonts w:hint="eastAsia" w:ascii="宋体" w:hAnsi="宋体" w:eastAsia="宋体" w:cs="宋体"/>
                <w:i w:val="0"/>
                <w:iCs w:val="0"/>
                <w:color w:val="auto"/>
                <w:sz w:val="21"/>
                <w:szCs w:val="21"/>
                <w:u w:val="none"/>
              </w:rPr>
            </w:pPr>
          </w:p>
        </w:tc>
        <w:tc>
          <w:tcPr>
            <w:tcW w:w="3754" w:type="pct"/>
            <w:noWrap w:val="0"/>
            <w:vAlign w:val="center"/>
          </w:tcPr>
          <w:p w14:paraId="261D498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17、支持虚拟机快照策略，可按月\周\天\小时\分钟等周期设置定时快照，提供快照策略任务记录</w:t>
            </w:r>
          </w:p>
        </w:tc>
      </w:tr>
      <w:tr w14:paraId="4E8D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072E50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1EB894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DDFD20D">
            <w:pPr>
              <w:jc w:val="center"/>
              <w:rPr>
                <w:rFonts w:hint="eastAsia" w:ascii="宋体" w:hAnsi="宋体" w:eastAsia="宋体" w:cs="宋体"/>
                <w:i w:val="0"/>
                <w:iCs w:val="0"/>
                <w:color w:val="auto"/>
                <w:sz w:val="21"/>
                <w:szCs w:val="21"/>
                <w:u w:val="none"/>
              </w:rPr>
            </w:pPr>
          </w:p>
        </w:tc>
        <w:tc>
          <w:tcPr>
            <w:tcW w:w="3754" w:type="pct"/>
            <w:noWrap w:val="0"/>
            <w:vAlign w:val="center"/>
          </w:tcPr>
          <w:p w14:paraId="595A5E8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▲18、本次配置不小于6颗物理CPU授权</w:t>
            </w:r>
          </w:p>
        </w:tc>
      </w:tr>
      <w:tr w14:paraId="58E1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661C06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FED3FA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EDA7456">
            <w:pPr>
              <w:jc w:val="center"/>
              <w:rPr>
                <w:rFonts w:hint="eastAsia" w:ascii="宋体" w:hAnsi="宋体" w:eastAsia="宋体" w:cs="宋体"/>
                <w:i w:val="0"/>
                <w:iCs w:val="0"/>
                <w:color w:val="auto"/>
                <w:sz w:val="21"/>
                <w:szCs w:val="21"/>
                <w:u w:val="none"/>
              </w:rPr>
            </w:pPr>
          </w:p>
        </w:tc>
        <w:tc>
          <w:tcPr>
            <w:tcW w:w="3754" w:type="pct"/>
            <w:noWrap w:val="0"/>
            <w:vAlign w:val="center"/>
          </w:tcPr>
          <w:p w14:paraId="4000680D">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★19、提供5年原厂质保，签订合同时提供针对本项目的原厂质保函</w:t>
            </w:r>
          </w:p>
        </w:tc>
      </w:tr>
      <w:tr w14:paraId="2E3F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02" w:type="pct"/>
            <w:vMerge w:val="restart"/>
            <w:noWrap/>
            <w:vAlign w:val="center"/>
          </w:tcPr>
          <w:p w14:paraId="4937E1E1">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c>
          <w:tcPr>
            <w:tcW w:w="942" w:type="pct"/>
            <w:gridSpan w:val="2"/>
            <w:vMerge w:val="restart"/>
            <w:noWrap w:val="0"/>
            <w:vAlign w:val="center"/>
          </w:tcPr>
          <w:p w14:paraId="231528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外网发布交换机</w:t>
            </w:r>
          </w:p>
        </w:tc>
        <w:tc>
          <w:tcPr>
            <w:tcW w:w="3754" w:type="pct"/>
            <w:noWrap w:val="0"/>
            <w:vAlign w:val="center"/>
          </w:tcPr>
          <w:p w14:paraId="2CE5D2B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1、交换容量≥4.8Tbps，以官网所列最低参数为准；</w:t>
            </w:r>
          </w:p>
        </w:tc>
      </w:tr>
      <w:tr w14:paraId="1C71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D7496B7">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1A92866">
            <w:pPr>
              <w:jc w:val="center"/>
              <w:rPr>
                <w:rFonts w:hint="eastAsia" w:ascii="宋体" w:hAnsi="宋体" w:eastAsia="宋体" w:cs="宋体"/>
                <w:i w:val="0"/>
                <w:iCs w:val="0"/>
                <w:color w:val="auto"/>
                <w:sz w:val="21"/>
                <w:szCs w:val="21"/>
                <w:u w:val="none"/>
              </w:rPr>
            </w:pPr>
          </w:p>
        </w:tc>
        <w:tc>
          <w:tcPr>
            <w:tcW w:w="3754" w:type="pct"/>
            <w:noWrap w:val="0"/>
            <w:vAlign w:val="center"/>
          </w:tcPr>
          <w:p w14:paraId="163B60B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2、转发性能≥2000Mpps,以官网所列最低参数为准；</w:t>
            </w:r>
          </w:p>
        </w:tc>
      </w:tr>
      <w:tr w14:paraId="30DC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DEDB79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328821E">
            <w:pPr>
              <w:jc w:val="center"/>
              <w:rPr>
                <w:rFonts w:hint="eastAsia" w:ascii="宋体" w:hAnsi="宋体" w:eastAsia="宋体" w:cs="宋体"/>
                <w:i w:val="0"/>
                <w:iCs w:val="0"/>
                <w:color w:val="auto"/>
                <w:sz w:val="21"/>
                <w:szCs w:val="21"/>
                <w:u w:val="none"/>
              </w:rPr>
            </w:pPr>
          </w:p>
        </w:tc>
        <w:tc>
          <w:tcPr>
            <w:tcW w:w="3754" w:type="pct"/>
            <w:noWrap w:val="0"/>
            <w:vAlign w:val="center"/>
          </w:tcPr>
          <w:p w14:paraId="5B4DA38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3、VLAN：支持基于端口、基于协议、基于MAC的VLAN；支持QinQ和灵活QinQ；</w:t>
            </w:r>
          </w:p>
        </w:tc>
      </w:tr>
      <w:tr w14:paraId="2039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6E3311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EDF6D86">
            <w:pPr>
              <w:jc w:val="center"/>
              <w:rPr>
                <w:rFonts w:hint="eastAsia" w:ascii="宋体" w:hAnsi="宋体" w:eastAsia="宋体" w:cs="宋体"/>
                <w:i w:val="0"/>
                <w:iCs w:val="0"/>
                <w:color w:val="auto"/>
                <w:sz w:val="21"/>
                <w:szCs w:val="21"/>
                <w:u w:val="none"/>
              </w:rPr>
            </w:pPr>
          </w:p>
        </w:tc>
        <w:tc>
          <w:tcPr>
            <w:tcW w:w="3754" w:type="pct"/>
            <w:noWrap w:val="0"/>
            <w:vAlign w:val="center"/>
          </w:tcPr>
          <w:p w14:paraId="7B370AA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4、二层功能：支持基于端口、基于协议、基于MAC的VLAN；支持动态MAC、静态MAC和黑洞MAC表项；</w:t>
            </w:r>
          </w:p>
        </w:tc>
      </w:tr>
      <w:tr w14:paraId="329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679088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7619699">
            <w:pPr>
              <w:jc w:val="center"/>
              <w:rPr>
                <w:rFonts w:hint="eastAsia" w:ascii="宋体" w:hAnsi="宋体" w:eastAsia="宋体" w:cs="宋体"/>
                <w:i w:val="0"/>
                <w:iCs w:val="0"/>
                <w:color w:val="auto"/>
                <w:sz w:val="21"/>
                <w:szCs w:val="21"/>
                <w:u w:val="none"/>
              </w:rPr>
            </w:pPr>
          </w:p>
        </w:tc>
        <w:tc>
          <w:tcPr>
            <w:tcW w:w="3754" w:type="pct"/>
            <w:noWrap w:val="0"/>
            <w:vAlign w:val="center"/>
          </w:tcPr>
          <w:p w14:paraId="1C3B450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5、三层功能：支持RIP、OSPF、ISIS、BGP等IPv4动态路由协议；</w:t>
            </w:r>
          </w:p>
        </w:tc>
      </w:tr>
      <w:tr w14:paraId="72E8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D27BC8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AB921B2">
            <w:pPr>
              <w:jc w:val="center"/>
              <w:rPr>
                <w:rFonts w:hint="eastAsia" w:ascii="宋体" w:hAnsi="宋体" w:eastAsia="宋体" w:cs="宋体"/>
                <w:i w:val="0"/>
                <w:iCs w:val="0"/>
                <w:color w:val="auto"/>
                <w:sz w:val="21"/>
                <w:szCs w:val="21"/>
                <w:u w:val="none"/>
              </w:rPr>
            </w:pPr>
          </w:p>
        </w:tc>
        <w:tc>
          <w:tcPr>
            <w:tcW w:w="3754" w:type="pct"/>
            <w:noWrap w:val="0"/>
            <w:vAlign w:val="center"/>
          </w:tcPr>
          <w:p w14:paraId="2CDB3D8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7、MPLS:支持MPLS、MCE；支持MPLS VPN；</w:t>
            </w:r>
          </w:p>
        </w:tc>
      </w:tr>
      <w:tr w14:paraId="4FE4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55BC1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C885E4C">
            <w:pPr>
              <w:jc w:val="center"/>
              <w:rPr>
                <w:rFonts w:hint="eastAsia" w:ascii="宋体" w:hAnsi="宋体" w:eastAsia="宋体" w:cs="宋体"/>
                <w:i w:val="0"/>
                <w:iCs w:val="0"/>
                <w:color w:val="auto"/>
                <w:sz w:val="21"/>
                <w:szCs w:val="21"/>
                <w:u w:val="none"/>
              </w:rPr>
            </w:pPr>
          </w:p>
        </w:tc>
        <w:tc>
          <w:tcPr>
            <w:tcW w:w="3754" w:type="pct"/>
            <w:noWrap w:val="0"/>
            <w:vAlign w:val="center"/>
          </w:tcPr>
          <w:p w14:paraId="2876282D">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6、可靠性：支持VRRP；支持跨设备链路聚合技术；</w:t>
            </w:r>
          </w:p>
        </w:tc>
      </w:tr>
      <w:tr w14:paraId="5A9D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16DBAA8">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52EEDDB">
            <w:pPr>
              <w:jc w:val="center"/>
              <w:rPr>
                <w:rFonts w:hint="eastAsia" w:ascii="宋体" w:hAnsi="宋体" w:eastAsia="宋体" w:cs="宋体"/>
                <w:i w:val="0"/>
                <w:iCs w:val="0"/>
                <w:color w:val="auto"/>
                <w:sz w:val="21"/>
                <w:szCs w:val="21"/>
                <w:u w:val="none"/>
              </w:rPr>
            </w:pPr>
          </w:p>
        </w:tc>
        <w:tc>
          <w:tcPr>
            <w:tcW w:w="3754" w:type="pct"/>
            <w:noWrap w:val="0"/>
            <w:vAlign w:val="center"/>
          </w:tcPr>
          <w:p w14:paraId="4298FC1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7、本次实配：本次单台配置冗余电源，冗余风扇；≥24端口万兆光口（万兆光口满配光模块） ≥20个千兆电口，≥2端口40G光口；</w:t>
            </w:r>
          </w:p>
        </w:tc>
      </w:tr>
      <w:tr w14:paraId="3B0D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BF839C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B2ECF0A">
            <w:pPr>
              <w:jc w:val="center"/>
              <w:rPr>
                <w:rFonts w:hint="eastAsia" w:ascii="宋体" w:hAnsi="宋体" w:eastAsia="宋体" w:cs="宋体"/>
                <w:i w:val="0"/>
                <w:iCs w:val="0"/>
                <w:color w:val="auto"/>
                <w:sz w:val="21"/>
                <w:szCs w:val="21"/>
                <w:u w:val="none"/>
              </w:rPr>
            </w:pPr>
          </w:p>
        </w:tc>
        <w:tc>
          <w:tcPr>
            <w:tcW w:w="3754" w:type="pct"/>
            <w:noWrap w:val="0"/>
            <w:vAlign w:val="center"/>
          </w:tcPr>
          <w:p w14:paraId="193852D6">
            <w:pPr>
              <w:keepNext w:val="0"/>
              <w:keepLines w:val="0"/>
              <w:widowControl/>
              <w:suppressLineNumbers w:val="0"/>
              <w:jc w:val="left"/>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★8、提供5年原厂质保，签订合同时提供针对本项目的原厂质保函；</w:t>
            </w:r>
          </w:p>
        </w:tc>
      </w:tr>
      <w:tr w14:paraId="40B6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17861D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942" w:type="pct"/>
            <w:gridSpan w:val="2"/>
            <w:vMerge w:val="restart"/>
            <w:noWrap/>
            <w:vAlign w:val="center"/>
          </w:tcPr>
          <w:p w14:paraId="4D64DA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WAF</w:t>
            </w:r>
          </w:p>
        </w:tc>
        <w:tc>
          <w:tcPr>
            <w:tcW w:w="3754" w:type="pct"/>
            <w:noWrap w:val="0"/>
            <w:vAlign w:val="center"/>
          </w:tcPr>
          <w:p w14:paraId="31E099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1、采用专用国产化硬件架构与专用安全操作系统，硬件设备可以机架安装，产品必须为专业性 WEB 应用防火墙硬件设备；符合信创要求。</w:t>
            </w:r>
          </w:p>
        </w:tc>
      </w:tr>
      <w:tr w14:paraId="46F3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0575D8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9FC2C8C">
            <w:pPr>
              <w:jc w:val="center"/>
              <w:rPr>
                <w:rFonts w:hint="eastAsia" w:ascii="宋体" w:hAnsi="宋体" w:eastAsia="宋体" w:cs="宋体"/>
                <w:i w:val="0"/>
                <w:iCs w:val="0"/>
                <w:color w:val="auto"/>
                <w:sz w:val="21"/>
                <w:szCs w:val="21"/>
                <w:u w:val="none"/>
              </w:rPr>
            </w:pPr>
          </w:p>
        </w:tc>
        <w:tc>
          <w:tcPr>
            <w:tcW w:w="3754" w:type="pct"/>
            <w:noWrap w:val="0"/>
            <w:vAlign w:val="center"/>
          </w:tcPr>
          <w:p w14:paraId="7EBAE467">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2、规格：≤2U,硬盘容量满足不小于6个月日志存储需要，≥1个管理口、≥1个HA口、≥4个千兆电口(带2组bypass)、≥4个千兆光口（满配千兆多模光模块）,冗余电源；</w:t>
            </w:r>
          </w:p>
        </w:tc>
      </w:tr>
      <w:tr w14:paraId="55C6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152105A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11F1251">
            <w:pPr>
              <w:jc w:val="center"/>
              <w:rPr>
                <w:rFonts w:hint="eastAsia" w:ascii="宋体" w:hAnsi="宋体" w:eastAsia="宋体" w:cs="宋体"/>
                <w:i w:val="0"/>
                <w:iCs w:val="0"/>
                <w:color w:val="auto"/>
                <w:sz w:val="21"/>
                <w:szCs w:val="21"/>
                <w:u w:val="none"/>
              </w:rPr>
            </w:pPr>
          </w:p>
        </w:tc>
        <w:tc>
          <w:tcPr>
            <w:tcW w:w="3754" w:type="pct"/>
            <w:noWrap w:val="0"/>
            <w:vAlign w:val="center"/>
          </w:tcPr>
          <w:p w14:paraId="7D7F8E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3、网络层吞吐量≥4G，应用层吞吐量≥1.5G，并发连接数≥200万，HTTP新建连接数≥4万；</w:t>
            </w:r>
          </w:p>
        </w:tc>
      </w:tr>
      <w:tr w14:paraId="3FB8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33FA64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5A850D0">
            <w:pPr>
              <w:jc w:val="center"/>
              <w:rPr>
                <w:rFonts w:hint="eastAsia" w:ascii="宋体" w:hAnsi="宋体" w:eastAsia="宋体" w:cs="宋体"/>
                <w:i w:val="0"/>
                <w:iCs w:val="0"/>
                <w:color w:val="auto"/>
                <w:sz w:val="21"/>
                <w:szCs w:val="21"/>
                <w:u w:val="none"/>
              </w:rPr>
            </w:pPr>
          </w:p>
        </w:tc>
        <w:tc>
          <w:tcPr>
            <w:tcW w:w="3754" w:type="pct"/>
            <w:noWrap w:val="0"/>
            <w:vAlign w:val="center"/>
          </w:tcPr>
          <w:p w14:paraId="0FB5C7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4、无IP纯透明模式串联部署、负载均衡模式部署、反向代理模式部署、旁路监测模式部署；</w:t>
            </w:r>
          </w:p>
        </w:tc>
      </w:tr>
      <w:tr w14:paraId="5172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604879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090BC66">
            <w:pPr>
              <w:jc w:val="center"/>
              <w:rPr>
                <w:rFonts w:hint="eastAsia" w:ascii="宋体" w:hAnsi="宋体" w:eastAsia="宋体" w:cs="宋体"/>
                <w:i w:val="0"/>
                <w:iCs w:val="0"/>
                <w:color w:val="auto"/>
                <w:sz w:val="21"/>
                <w:szCs w:val="21"/>
                <w:u w:val="none"/>
              </w:rPr>
            </w:pPr>
          </w:p>
        </w:tc>
        <w:tc>
          <w:tcPr>
            <w:tcW w:w="3754" w:type="pct"/>
            <w:noWrap/>
            <w:vAlign w:val="center"/>
          </w:tcPr>
          <w:p w14:paraId="2D282A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5、支持链路聚合(Channel)部署，提高链路带宽；</w:t>
            </w:r>
          </w:p>
        </w:tc>
      </w:tr>
      <w:tr w14:paraId="008B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53E362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640D43E">
            <w:pPr>
              <w:jc w:val="center"/>
              <w:rPr>
                <w:rFonts w:hint="eastAsia" w:ascii="宋体" w:hAnsi="宋体" w:eastAsia="宋体" w:cs="宋体"/>
                <w:i w:val="0"/>
                <w:iCs w:val="0"/>
                <w:color w:val="auto"/>
                <w:sz w:val="21"/>
                <w:szCs w:val="21"/>
                <w:u w:val="none"/>
              </w:rPr>
            </w:pPr>
          </w:p>
        </w:tc>
        <w:tc>
          <w:tcPr>
            <w:tcW w:w="3754" w:type="pct"/>
            <w:noWrap w:val="0"/>
            <w:vAlign w:val="center"/>
          </w:tcPr>
          <w:p w14:paraId="6D6D1D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6、支持静态路由，策略路由，ISP路由配置；</w:t>
            </w:r>
          </w:p>
        </w:tc>
      </w:tr>
      <w:tr w14:paraId="7925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2D8699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765E207">
            <w:pPr>
              <w:jc w:val="center"/>
              <w:rPr>
                <w:rFonts w:hint="eastAsia" w:ascii="宋体" w:hAnsi="宋体" w:eastAsia="宋体" w:cs="宋体"/>
                <w:i w:val="0"/>
                <w:iCs w:val="0"/>
                <w:color w:val="auto"/>
                <w:sz w:val="21"/>
                <w:szCs w:val="21"/>
                <w:u w:val="none"/>
              </w:rPr>
            </w:pPr>
          </w:p>
        </w:tc>
        <w:tc>
          <w:tcPr>
            <w:tcW w:w="3754" w:type="pct"/>
            <w:noWrap w:val="0"/>
            <w:vAlign w:val="center"/>
          </w:tcPr>
          <w:p w14:paraId="47AB2D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7、支持双机热备，包括主备、主主负载均衡、连接保护等模式；</w:t>
            </w:r>
          </w:p>
        </w:tc>
      </w:tr>
      <w:tr w14:paraId="4CA5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5BD6AF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ED91186">
            <w:pPr>
              <w:jc w:val="center"/>
              <w:rPr>
                <w:rFonts w:hint="eastAsia" w:ascii="宋体" w:hAnsi="宋体" w:eastAsia="宋体" w:cs="宋体"/>
                <w:i w:val="0"/>
                <w:iCs w:val="0"/>
                <w:color w:val="auto"/>
                <w:sz w:val="21"/>
                <w:szCs w:val="21"/>
                <w:u w:val="none"/>
              </w:rPr>
            </w:pPr>
          </w:p>
        </w:tc>
        <w:tc>
          <w:tcPr>
            <w:tcW w:w="3754" w:type="pct"/>
            <w:noWrap w:val="0"/>
            <w:vAlign w:val="center"/>
          </w:tcPr>
          <w:p w14:paraId="23A418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8、支持两台WAF配置同步，包括全局同步和策略同步两种同步方式</w:t>
            </w:r>
          </w:p>
        </w:tc>
      </w:tr>
      <w:tr w14:paraId="4D6B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DDE501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F315D9D">
            <w:pPr>
              <w:jc w:val="center"/>
              <w:rPr>
                <w:rFonts w:hint="eastAsia" w:ascii="宋体" w:hAnsi="宋体" w:eastAsia="宋体" w:cs="宋体"/>
                <w:i w:val="0"/>
                <w:iCs w:val="0"/>
                <w:color w:val="auto"/>
                <w:sz w:val="21"/>
                <w:szCs w:val="21"/>
                <w:u w:val="none"/>
              </w:rPr>
            </w:pPr>
          </w:p>
        </w:tc>
        <w:tc>
          <w:tcPr>
            <w:tcW w:w="3754" w:type="pct"/>
            <w:noWrap w:val="0"/>
            <w:vAlign w:val="center"/>
          </w:tcPr>
          <w:p w14:paraId="01EB3D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9、支持与防火墙联动；</w:t>
            </w:r>
          </w:p>
        </w:tc>
      </w:tr>
      <w:tr w14:paraId="1A10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15C13CF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E8C1B86">
            <w:pPr>
              <w:jc w:val="center"/>
              <w:rPr>
                <w:rFonts w:hint="eastAsia" w:ascii="宋体" w:hAnsi="宋体" w:eastAsia="宋体" w:cs="宋体"/>
                <w:i w:val="0"/>
                <w:iCs w:val="0"/>
                <w:color w:val="auto"/>
                <w:sz w:val="21"/>
                <w:szCs w:val="21"/>
                <w:u w:val="none"/>
              </w:rPr>
            </w:pPr>
          </w:p>
        </w:tc>
        <w:tc>
          <w:tcPr>
            <w:tcW w:w="3754" w:type="pct"/>
            <w:noWrap w:val="0"/>
            <w:vAlign w:val="center"/>
          </w:tcPr>
          <w:p w14:paraId="209E65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10、支持网络层访问控制，支持基于源IP 地址、目的IP 地址、协议类型及接口区域等条件的访问控制；</w:t>
            </w:r>
          </w:p>
        </w:tc>
      </w:tr>
      <w:tr w14:paraId="3703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7A8963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2CA5702">
            <w:pPr>
              <w:jc w:val="center"/>
              <w:rPr>
                <w:rFonts w:hint="eastAsia" w:ascii="宋体" w:hAnsi="宋体" w:eastAsia="宋体" w:cs="宋体"/>
                <w:i w:val="0"/>
                <w:iCs w:val="0"/>
                <w:color w:val="auto"/>
                <w:sz w:val="21"/>
                <w:szCs w:val="21"/>
                <w:u w:val="none"/>
              </w:rPr>
            </w:pPr>
          </w:p>
        </w:tc>
        <w:tc>
          <w:tcPr>
            <w:tcW w:w="3754" w:type="pct"/>
            <w:noWrap w:val="0"/>
            <w:vAlign w:val="center"/>
          </w:tcPr>
          <w:p w14:paraId="0D2217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11、支持IP黑白名单配置，具备盗链防护功能；支持多重编码检查功能，可对多重的编码均进行安全防御检查；</w:t>
            </w:r>
          </w:p>
        </w:tc>
      </w:tr>
      <w:tr w14:paraId="3066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D1AB7A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8094E29">
            <w:pPr>
              <w:jc w:val="center"/>
              <w:rPr>
                <w:rFonts w:hint="eastAsia" w:ascii="宋体" w:hAnsi="宋体" w:eastAsia="宋体" w:cs="宋体"/>
                <w:i w:val="0"/>
                <w:iCs w:val="0"/>
                <w:color w:val="auto"/>
                <w:sz w:val="21"/>
                <w:szCs w:val="21"/>
                <w:u w:val="none"/>
              </w:rPr>
            </w:pPr>
          </w:p>
        </w:tc>
        <w:tc>
          <w:tcPr>
            <w:tcW w:w="3754" w:type="pct"/>
            <w:noWrap w:val="0"/>
            <w:vAlign w:val="center"/>
          </w:tcPr>
          <w:p w14:paraId="6C58FB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12、支持爬虫攻击防护：包括但不限于内置爬虫对象库，自定义爬虫对象；</w:t>
            </w:r>
          </w:p>
        </w:tc>
      </w:tr>
      <w:tr w14:paraId="3F0F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5D8563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C93A8E2">
            <w:pPr>
              <w:jc w:val="center"/>
              <w:rPr>
                <w:rFonts w:hint="eastAsia" w:ascii="宋体" w:hAnsi="宋体" w:eastAsia="宋体" w:cs="宋体"/>
                <w:i w:val="0"/>
                <w:iCs w:val="0"/>
                <w:color w:val="auto"/>
                <w:sz w:val="21"/>
                <w:szCs w:val="21"/>
                <w:u w:val="none"/>
              </w:rPr>
            </w:pPr>
          </w:p>
        </w:tc>
        <w:tc>
          <w:tcPr>
            <w:tcW w:w="3754" w:type="pct"/>
            <w:noWrap w:val="0"/>
            <w:vAlign w:val="center"/>
          </w:tcPr>
          <w:p w14:paraId="1FEEE0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13、支持对文件的上传下载进行控制；</w:t>
            </w:r>
          </w:p>
        </w:tc>
      </w:tr>
      <w:tr w14:paraId="744C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D1512B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E943C6F">
            <w:pPr>
              <w:jc w:val="center"/>
              <w:rPr>
                <w:rFonts w:hint="eastAsia" w:ascii="宋体" w:hAnsi="宋体" w:eastAsia="宋体" w:cs="宋体"/>
                <w:i w:val="0"/>
                <w:iCs w:val="0"/>
                <w:color w:val="auto"/>
                <w:sz w:val="21"/>
                <w:szCs w:val="21"/>
                <w:u w:val="none"/>
              </w:rPr>
            </w:pPr>
          </w:p>
        </w:tc>
        <w:tc>
          <w:tcPr>
            <w:tcW w:w="3754" w:type="pct"/>
            <w:noWrap w:val="0"/>
            <w:vAlign w:val="center"/>
          </w:tcPr>
          <w:p w14:paraId="38DBC6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15、支持URI例外配置，包括对指定URI地址进行协议合规性检查，防御类型设置，参数设置，上传下载设置；</w:t>
            </w:r>
          </w:p>
        </w:tc>
      </w:tr>
      <w:tr w14:paraId="53F9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4C9944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DA3502C">
            <w:pPr>
              <w:jc w:val="center"/>
              <w:rPr>
                <w:rFonts w:hint="eastAsia" w:ascii="宋体" w:hAnsi="宋体" w:eastAsia="宋体" w:cs="宋体"/>
                <w:i w:val="0"/>
                <w:iCs w:val="0"/>
                <w:color w:val="auto"/>
                <w:sz w:val="21"/>
                <w:szCs w:val="21"/>
                <w:u w:val="none"/>
              </w:rPr>
            </w:pPr>
          </w:p>
        </w:tc>
        <w:tc>
          <w:tcPr>
            <w:tcW w:w="3754" w:type="pct"/>
            <w:noWrap w:val="0"/>
            <w:vAlign w:val="center"/>
          </w:tcPr>
          <w:p w14:paraId="0C679E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16、支持防护动作自定义，包括告警、拒绝、重定向，错误页面等多种防护动作；</w:t>
            </w:r>
          </w:p>
        </w:tc>
      </w:tr>
      <w:tr w14:paraId="68F8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B76DAC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896916C">
            <w:pPr>
              <w:jc w:val="center"/>
              <w:rPr>
                <w:rFonts w:hint="eastAsia" w:ascii="宋体" w:hAnsi="宋体" w:eastAsia="宋体" w:cs="宋体"/>
                <w:i w:val="0"/>
                <w:iCs w:val="0"/>
                <w:color w:val="auto"/>
                <w:sz w:val="21"/>
                <w:szCs w:val="21"/>
                <w:u w:val="none"/>
              </w:rPr>
            </w:pPr>
          </w:p>
        </w:tc>
        <w:tc>
          <w:tcPr>
            <w:tcW w:w="3754" w:type="pct"/>
            <w:noWrap w:val="0"/>
            <w:vAlign w:val="center"/>
          </w:tcPr>
          <w:p w14:paraId="66C4DA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17、支持对HTTP协议合规性进行验证，提供HTTP协议规范化功能；</w:t>
            </w:r>
          </w:p>
        </w:tc>
      </w:tr>
      <w:tr w14:paraId="6137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C8F479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BA96668">
            <w:pPr>
              <w:jc w:val="center"/>
              <w:rPr>
                <w:rFonts w:hint="eastAsia" w:ascii="宋体" w:hAnsi="宋体" w:eastAsia="宋体" w:cs="宋体"/>
                <w:i w:val="0"/>
                <w:iCs w:val="0"/>
                <w:color w:val="auto"/>
                <w:sz w:val="21"/>
                <w:szCs w:val="21"/>
                <w:u w:val="none"/>
              </w:rPr>
            </w:pPr>
          </w:p>
        </w:tc>
        <w:tc>
          <w:tcPr>
            <w:tcW w:w="3754" w:type="pct"/>
            <w:noWrap w:val="0"/>
            <w:vAlign w:val="center"/>
          </w:tcPr>
          <w:p w14:paraId="61C1DC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18、对DDoS流量支持检测清洗和强制防御两种模式；</w:t>
            </w:r>
          </w:p>
        </w:tc>
      </w:tr>
      <w:tr w14:paraId="3E0E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D09A14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741FB2A">
            <w:pPr>
              <w:jc w:val="center"/>
              <w:rPr>
                <w:rFonts w:hint="eastAsia" w:ascii="宋体" w:hAnsi="宋体" w:eastAsia="宋体" w:cs="宋体"/>
                <w:i w:val="0"/>
                <w:iCs w:val="0"/>
                <w:color w:val="auto"/>
                <w:sz w:val="21"/>
                <w:szCs w:val="21"/>
                <w:u w:val="none"/>
              </w:rPr>
            </w:pPr>
          </w:p>
        </w:tc>
        <w:tc>
          <w:tcPr>
            <w:tcW w:w="3754" w:type="pct"/>
            <w:noWrap w:val="0"/>
            <w:vAlign w:val="center"/>
          </w:tcPr>
          <w:p w14:paraId="220694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19、支持SQL注入检测和防护；</w:t>
            </w:r>
          </w:p>
        </w:tc>
      </w:tr>
      <w:tr w14:paraId="3DC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48EC39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18904F5">
            <w:pPr>
              <w:jc w:val="center"/>
              <w:rPr>
                <w:rFonts w:hint="eastAsia" w:ascii="宋体" w:hAnsi="宋体" w:eastAsia="宋体" w:cs="宋体"/>
                <w:i w:val="0"/>
                <w:iCs w:val="0"/>
                <w:color w:val="auto"/>
                <w:sz w:val="21"/>
                <w:szCs w:val="21"/>
                <w:u w:val="none"/>
              </w:rPr>
            </w:pPr>
          </w:p>
        </w:tc>
        <w:tc>
          <w:tcPr>
            <w:tcW w:w="3754" w:type="pct"/>
            <w:noWrap w:val="0"/>
            <w:vAlign w:val="center"/>
          </w:tcPr>
          <w:p w14:paraId="3C378B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20、支持HTTP/HTTPS的DDoS攻击威胁检查；</w:t>
            </w:r>
          </w:p>
        </w:tc>
      </w:tr>
      <w:tr w14:paraId="1975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D8F4BA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5D70282">
            <w:pPr>
              <w:jc w:val="center"/>
              <w:rPr>
                <w:rFonts w:hint="eastAsia" w:ascii="宋体" w:hAnsi="宋体" w:eastAsia="宋体" w:cs="宋体"/>
                <w:i w:val="0"/>
                <w:iCs w:val="0"/>
                <w:color w:val="auto"/>
                <w:sz w:val="21"/>
                <w:szCs w:val="21"/>
                <w:u w:val="none"/>
              </w:rPr>
            </w:pPr>
          </w:p>
        </w:tc>
        <w:tc>
          <w:tcPr>
            <w:tcW w:w="3754" w:type="pct"/>
            <w:noWrap w:val="0"/>
            <w:vAlign w:val="center"/>
          </w:tcPr>
          <w:p w14:paraId="512AD2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21、可对网站文件内容进行篡改防护，当检测到篡改后可以实时恢复篡改内容；</w:t>
            </w:r>
          </w:p>
        </w:tc>
      </w:tr>
      <w:tr w14:paraId="790C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D04B66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0DB05D7">
            <w:pPr>
              <w:jc w:val="center"/>
              <w:rPr>
                <w:rFonts w:hint="eastAsia" w:ascii="宋体" w:hAnsi="宋体" w:eastAsia="宋体" w:cs="宋体"/>
                <w:i w:val="0"/>
                <w:iCs w:val="0"/>
                <w:color w:val="auto"/>
                <w:sz w:val="21"/>
                <w:szCs w:val="21"/>
                <w:u w:val="none"/>
              </w:rPr>
            </w:pPr>
          </w:p>
        </w:tc>
        <w:tc>
          <w:tcPr>
            <w:tcW w:w="3754" w:type="pct"/>
            <w:noWrap w:val="0"/>
            <w:vAlign w:val="center"/>
          </w:tcPr>
          <w:p w14:paraId="6BD476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22、产品具有公安部《计算机信息系统安全专用产品销售许可证》或中国网络安全审查技术与认证中心《网络关键设备和网络安全专用产品安全认证证书》；提供相关证明</w:t>
            </w:r>
          </w:p>
        </w:tc>
      </w:tr>
      <w:tr w14:paraId="75E1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2A981B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BECC685">
            <w:pPr>
              <w:jc w:val="center"/>
              <w:rPr>
                <w:rFonts w:hint="eastAsia" w:ascii="宋体" w:hAnsi="宋体" w:eastAsia="宋体" w:cs="宋体"/>
                <w:i w:val="0"/>
                <w:iCs w:val="0"/>
                <w:color w:val="auto"/>
                <w:sz w:val="21"/>
                <w:szCs w:val="21"/>
                <w:u w:val="none"/>
              </w:rPr>
            </w:pPr>
          </w:p>
        </w:tc>
        <w:tc>
          <w:tcPr>
            <w:tcW w:w="3754" w:type="pct"/>
            <w:noWrap w:val="0"/>
            <w:vAlign w:val="center"/>
          </w:tcPr>
          <w:p w14:paraId="13E7BC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★23、提供5年原厂质保，签订合同时提供针对本项目的原厂质保函</w:t>
            </w:r>
          </w:p>
        </w:tc>
      </w:tr>
      <w:tr w14:paraId="69DB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0F95C43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942" w:type="pct"/>
            <w:gridSpan w:val="2"/>
            <w:vMerge w:val="restart"/>
            <w:noWrap/>
            <w:vAlign w:val="center"/>
          </w:tcPr>
          <w:p w14:paraId="41BC20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网闸</w:t>
            </w:r>
          </w:p>
        </w:tc>
        <w:tc>
          <w:tcPr>
            <w:tcW w:w="3754" w:type="pct"/>
            <w:noWrap w:val="0"/>
            <w:vAlign w:val="center"/>
          </w:tcPr>
          <w:p w14:paraId="6B16D9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1、硬件架构由内端机、外端机、专有隔离硬件三部分组成。内端机和外端机各自具有独立主板、独立总线、独立的存储和运算单元；符合信创要求。</w:t>
            </w:r>
          </w:p>
        </w:tc>
      </w:tr>
      <w:tr w14:paraId="51C1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5DD320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DA9FCA2">
            <w:pPr>
              <w:jc w:val="center"/>
              <w:rPr>
                <w:rFonts w:hint="eastAsia" w:ascii="宋体" w:hAnsi="宋体" w:eastAsia="宋体" w:cs="宋体"/>
                <w:i w:val="0"/>
                <w:iCs w:val="0"/>
                <w:color w:val="auto"/>
                <w:sz w:val="21"/>
                <w:szCs w:val="21"/>
                <w:u w:val="none"/>
              </w:rPr>
            </w:pPr>
          </w:p>
        </w:tc>
        <w:tc>
          <w:tcPr>
            <w:tcW w:w="3754" w:type="pct"/>
            <w:noWrap w:val="0"/>
            <w:vAlign w:val="center"/>
          </w:tcPr>
          <w:p w14:paraId="3BB52D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2、机架式；内外分别配置≥1个HA口、1个管理口、4个千兆电口和4个千兆光口（带4个千兆多模光模块），4个万兆光口（带4个万兆多模光模块）。冗余电源</w:t>
            </w:r>
          </w:p>
        </w:tc>
      </w:tr>
      <w:tr w14:paraId="2E19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5642F4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60BEB72">
            <w:pPr>
              <w:jc w:val="center"/>
              <w:rPr>
                <w:rFonts w:hint="eastAsia" w:ascii="宋体" w:hAnsi="宋体" w:eastAsia="宋体" w:cs="宋体"/>
                <w:i w:val="0"/>
                <w:iCs w:val="0"/>
                <w:color w:val="auto"/>
                <w:sz w:val="21"/>
                <w:szCs w:val="21"/>
                <w:u w:val="none"/>
              </w:rPr>
            </w:pPr>
          </w:p>
        </w:tc>
        <w:tc>
          <w:tcPr>
            <w:tcW w:w="3754" w:type="pct"/>
            <w:noWrap w:val="0"/>
            <w:vAlign w:val="center"/>
          </w:tcPr>
          <w:p w14:paraId="57061E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3、网络吞吐量：≥5Gbps；文件交换≥2Gbps；</w:t>
            </w:r>
          </w:p>
        </w:tc>
      </w:tr>
      <w:tr w14:paraId="4B2C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92BAF9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48D27CF">
            <w:pPr>
              <w:jc w:val="center"/>
              <w:rPr>
                <w:rFonts w:hint="eastAsia" w:ascii="宋体" w:hAnsi="宋体" w:eastAsia="宋体" w:cs="宋体"/>
                <w:i w:val="0"/>
                <w:iCs w:val="0"/>
                <w:color w:val="auto"/>
                <w:sz w:val="21"/>
                <w:szCs w:val="21"/>
                <w:u w:val="none"/>
              </w:rPr>
            </w:pPr>
          </w:p>
        </w:tc>
        <w:tc>
          <w:tcPr>
            <w:tcW w:w="3754" w:type="pct"/>
            <w:noWrap w:val="0"/>
            <w:vAlign w:val="center"/>
          </w:tcPr>
          <w:p w14:paraId="4C615C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4、功能模块：包括但不限于数据库同步、文件交换、数据库访问、邮件访问、安全浏览、安全FTP等功能模块。</w:t>
            </w:r>
          </w:p>
        </w:tc>
      </w:tr>
      <w:tr w14:paraId="2059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20983D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826BF6D">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2594D3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5、安全浏览功能</w:t>
            </w:r>
          </w:p>
          <w:p w14:paraId="1A7AD4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支持IP地址、端口、时间以及基于源用户身份的访问控制策略；</w:t>
            </w:r>
          </w:p>
          <w:p w14:paraId="5B3624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支持http消息头、消息体，上下行方向，命令及关键字的管控，支持允许、阻断、告警三种处理方式；</w:t>
            </w:r>
          </w:p>
        </w:tc>
      </w:tr>
      <w:tr w14:paraId="7472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93CAE0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C931685">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9F282B7">
            <w:pPr>
              <w:jc w:val="left"/>
              <w:rPr>
                <w:rFonts w:hint="eastAsia" w:ascii="宋体" w:hAnsi="宋体" w:eastAsia="宋体" w:cs="宋体"/>
                <w:i w:val="0"/>
                <w:iCs w:val="0"/>
                <w:color w:val="auto"/>
                <w:sz w:val="21"/>
                <w:szCs w:val="21"/>
                <w:u w:val="none"/>
              </w:rPr>
            </w:pPr>
          </w:p>
        </w:tc>
      </w:tr>
      <w:tr w14:paraId="67D0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266AE7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0FA1D04">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592E2F3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6、文件传输功能</w:t>
            </w:r>
          </w:p>
          <w:p w14:paraId="6299A3F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提供基于FTP协议和TFTP协议的文件传输功能；</w:t>
            </w:r>
          </w:p>
          <w:p w14:paraId="1EB78D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支持IP地址、端口、时间以及基于源用户身份的访问控制策略；</w:t>
            </w:r>
          </w:p>
          <w:p w14:paraId="188C8E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支持ftp协议文件深度过滤，可对office、wps、pdf、文本等类型的文件内容中的关键字进行过滤，可对文件类型伪装进行过滤；</w:t>
            </w:r>
          </w:p>
        </w:tc>
      </w:tr>
      <w:tr w14:paraId="0BEC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F615FA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0D72A3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CC8A0CA">
            <w:pPr>
              <w:jc w:val="left"/>
              <w:rPr>
                <w:rFonts w:hint="eastAsia" w:ascii="宋体" w:hAnsi="宋体" w:eastAsia="宋体" w:cs="宋体"/>
                <w:i w:val="0"/>
                <w:iCs w:val="0"/>
                <w:color w:val="auto"/>
                <w:sz w:val="21"/>
                <w:szCs w:val="21"/>
                <w:u w:val="none"/>
              </w:rPr>
            </w:pPr>
          </w:p>
        </w:tc>
      </w:tr>
      <w:tr w14:paraId="4C9C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AB5630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9F95C50">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45BBAC7A">
            <w:pPr>
              <w:jc w:val="left"/>
              <w:rPr>
                <w:rFonts w:hint="eastAsia" w:ascii="宋体" w:hAnsi="宋体" w:eastAsia="宋体" w:cs="宋体"/>
                <w:i w:val="0"/>
                <w:iCs w:val="0"/>
                <w:color w:val="auto"/>
                <w:sz w:val="21"/>
                <w:szCs w:val="21"/>
                <w:u w:val="none"/>
              </w:rPr>
            </w:pPr>
          </w:p>
        </w:tc>
      </w:tr>
      <w:tr w14:paraId="43FD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2" w:type="pct"/>
            <w:vMerge w:val="continue"/>
            <w:noWrap/>
            <w:vAlign w:val="center"/>
          </w:tcPr>
          <w:p w14:paraId="79CBBB7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630A9A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E772C35">
            <w:pPr>
              <w:jc w:val="left"/>
              <w:rPr>
                <w:rFonts w:hint="eastAsia" w:ascii="宋体" w:hAnsi="宋体" w:eastAsia="宋体" w:cs="宋体"/>
                <w:i w:val="0"/>
                <w:iCs w:val="0"/>
                <w:color w:val="auto"/>
                <w:sz w:val="21"/>
                <w:szCs w:val="21"/>
                <w:u w:val="none"/>
              </w:rPr>
            </w:pPr>
          </w:p>
        </w:tc>
      </w:tr>
      <w:tr w14:paraId="7BA4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C9A189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A8FEB33">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242D34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7、数据库功能</w:t>
            </w:r>
          </w:p>
          <w:p w14:paraId="212C02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支持多种主流数据库的安全访问；</w:t>
            </w:r>
          </w:p>
          <w:p w14:paraId="00BF4D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内置数据库安全模块，支持内容过滤引擎，能够对数据库用户名、命令、关键字等内容进行管控，支持允许、阻断、告警三种处理方式；</w:t>
            </w:r>
          </w:p>
        </w:tc>
      </w:tr>
      <w:tr w14:paraId="5441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1D4BF7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E184D0F">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9404D40">
            <w:pPr>
              <w:jc w:val="left"/>
              <w:rPr>
                <w:rFonts w:hint="eastAsia" w:ascii="宋体" w:hAnsi="宋体" w:eastAsia="宋体" w:cs="宋体"/>
                <w:i w:val="0"/>
                <w:iCs w:val="0"/>
                <w:color w:val="auto"/>
                <w:sz w:val="21"/>
                <w:szCs w:val="21"/>
                <w:u w:val="none"/>
              </w:rPr>
            </w:pPr>
          </w:p>
        </w:tc>
      </w:tr>
      <w:tr w14:paraId="5975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2EB8F7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B17774A">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A800803">
            <w:pPr>
              <w:jc w:val="left"/>
              <w:rPr>
                <w:rFonts w:hint="eastAsia" w:ascii="宋体" w:hAnsi="宋体" w:eastAsia="宋体" w:cs="宋体"/>
                <w:i w:val="0"/>
                <w:iCs w:val="0"/>
                <w:color w:val="auto"/>
                <w:sz w:val="21"/>
                <w:szCs w:val="21"/>
                <w:u w:val="none"/>
              </w:rPr>
            </w:pPr>
          </w:p>
        </w:tc>
      </w:tr>
      <w:tr w14:paraId="710F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5F1402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411EDB0">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33E69A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8、系统管理</w:t>
            </w:r>
          </w:p>
          <w:p w14:paraId="37C6BD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支持日志审计功能，支持日志记录查询、删除、导出，日志记录可导出。</w:t>
            </w:r>
          </w:p>
        </w:tc>
      </w:tr>
      <w:tr w14:paraId="6708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F80EF4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8F24B7A">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C1AA67B">
            <w:pPr>
              <w:jc w:val="left"/>
              <w:rPr>
                <w:rFonts w:hint="eastAsia" w:ascii="宋体" w:hAnsi="宋体" w:eastAsia="宋体" w:cs="宋体"/>
                <w:i w:val="0"/>
                <w:iCs w:val="0"/>
                <w:color w:val="auto"/>
                <w:sz w:val="21"/>
                <w:szCs w:val="21"/>
                <w:u w:val="none"/>
              </w:rPr>
            </w:pPr>
          </w:p>
        </w:tc>
      </w:tr>
      <w:tr w14:paraId="2C40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DD8BED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6545F94">
            <w:pPr>
              <w:jc w:val="center"/>
              <w:rPr>
                <w:rFonts w:hint="eastAsia" w:ascii="宋体" w:hAnsi="宋体" w:eastAsia="宋体" w:cs="宋体"/>
                <w:i w:val="0"/>
                <w:iCs w:val="0"/>
                <w:color w:val="auto"/>
                <w:sz w:val="21"/>
                <w:szCs w:val="21"/>
                <w:u w:val="none"/>
              </w:rPr>
            </w:pPr>
          </w:p>
        </w:tc>
        <w:tc>
          <w:tcPr>
            <w:tcW w:w="3754" w:type="pct"/>
            <w:noWrap w:val="0"/>
            <w:vAlign w:val="center"/>
          </w:tcPr>
          <w:p w14:paraId="4CB9CC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9、产品具有公安部《计算机信息系统安全专用产品销售许可证》或中国网络安全审查技术与认证中心《网络关键设备和网络安全专用产品安全认证证书》；提供相关证明</w:t>
            </w:r>
          </w:p>
        </w:tc>
      </w:tr>
      <w:tr w14:paraId="254A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6737C2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F9C22E3">
            <w:pPr>
              <w:jc w:val="center"/>
              <w:rPr>
                <w:rFonts w:hint="eastAsia" w:ascii="宋体" w:hAnsi="宋体" w:eastAsia="宋体" w:cs="宋体"/>
                <w:i w:val="0"/>
                <w:iCs w:val="0"/>
                <w:color w:val="auto"/>
                <w:sz w:val="21"/>
                <w:szCs w:val="21"/>
                <w:u w:val="none"/>
              </w:rPr>
            </w:pPr>
          </w:p>
        </w:tc>
        <w:tc>
          <w:tcPr>
            <w:tcW w:w="3754" w:type="pct"/>
            <w:noWrap w:val="0"/>
            <w:vAlign w:val="center"/>
          </w:tcPr>
          <w:p w14:paraId="520F39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★10、提供5年原厂质保，签订合同时提供针对本项目的原厂质保函</w:t>
            </w:r>
          </w:p>
        </w:tc>
      </w:tr>
      <w:tr w14:paraId="58E1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4DB83DD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942" w:type="pct"/>
            <w:gridSpan w:val="2"/>
            <w:vMerge w:val="restart"/>
            <w:noWrap/>
            <w:vAlign w:val="center"/>
          </w:tcPr>
          <w:p w14:paraId="323010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负载均衡</w:t>
            </w:r>
          </w:p>
        </w:tc>
        <w:tc>
          <w:tcPr>
            <w:tcW w:w="3754" w:type="pct"/>
            <w:noWrap w:val="0"/>
            <w:vAlign w:val="center"/>
          </w:tcPr>
          <w:p w14:paraId="7A1FEF7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1、独立硬件平台，非任何插卡扩展形态的负载均衡设备。信创架构，采用国产CPU和国产操作系统</w:t>
            </w:r>
          </w:p>
        </w:tc>
      </w:tr>
      <w:tr w14:paraId="5002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38E1EB4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0FA8D51">
            <w:pPr>
              <w:jc w:val="center"/>
              <w:rPr>
                <w:rFonts w:hint="eastAsia" w:ascii="宋体" w:hAnsi="宋体" w:eastAsia="宋体" w:cs="宋体"/>
                <w:i w:val="0"/>
                <w:iCs w:val="0"/>
                <w:color w:val="auto"/>
                <w:sz w:val="21"/>
                <w:szCs w:val="21"/>
                <w:u w:val="none"/>
              </w:rPr>
            </w:pPr>
          </w:p>
        </w:tc>
        <w:tc>
          <w:tcPr>
            <w:tcW w:w="3754" w:type="pct"/>
            <w:noWrap w:val="0"/>
            <w:vAlign w:val="center"/>
          </w:tcPr>
          <w:p w14:paraId="3683DA4F">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2、基本要求</w:t>
            </w:r>
          </w:p>
          <w:p w14:paraId="13DFF56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端口：≥4个千兆电口，≥4个千兆光口（含配套光模块），≥4个万兆光口（含配套光模块）；</w:t>
            </w:r>
          </w:p>
          <w:p w14:paraId="4ACCEDAA">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硬盘容量≥6个月日志存储量；</w:t>
            </w:r>
          </w:p>
          <w:p w14:paraId="5E03C2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电源：冗余电源；</w:t>
            </w:r>
          </w:p>
        </w:tc>
      </w:tr>
      <w:tr w14:paraId="2B58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vMerge w:val="continue"/>
            <w:noWrap/>
            <w:vAlign w:val="center"/>
          </w:tcPr>
          <w:p w14:paraId="45C5AA0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8A5EBB7">
            <w:pPr>
              <w:jc w:val="center"/>
              <w:rPr>
                <w:rFonts w:hint="eastAsia" w:ascii="宋体" w:hAnsi="宋体" w:eastAsia="宋体" w:cs="宋体"/>
                <w:i w:val="0"/>
                <w:iCs w:val="0"/>
                <w:color w:val="auto"/>
                <w:sz w:val="21"/>
                <w:szCs w:val="21"/>
                <w:u w:val="none"/>
              </w:rPr>
            </w:pPr>
          </w:p>
        </w:tc>
        <w:tc>
          <w:tcPr>
            <w:tcW w:w="3754" w:type="pct"/>
            <w:noWrap w:val="0"/>
            <w:vAlign w:val="center"/>
          </w:tcPr>
          <w:p w14:paraId="1A254F2A">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3、主要性能</w:t>
            </w:r>
          </w:p>
          <w:p w14:paraId="00451356">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4层吞吐量 ≥10Gbps；</w:t>
            </w:r>
          </w:p>
          <w:p w14:paraId="46C024F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4层并发连接数≥1800W；</w:t>
            </w:r>
          </w:p>
          <w:p w14:paraId="7E08DB14">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4层新建连接数≥10W；</w:t>
            </w:r>
          </w:p>
          <w:p w14:paraId="04341B1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7层新建连接数 ≥7W。</w:t>
            </w:r>
          </w:p>
        </w:tc>
      </w:tr>
      <w:tr w14:paraId="0C9C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6C3E84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CFF9215">
            <w:pPr>
              <w:jc w:val="center"/>
              <w:rPr>
                <w:rFonts w:hint="eastAsia" w:ascii="宋体" w:hAnsi="宋体" w:eastAsia="宋体" w:cs="宋体"/>
                <w:i w:val="0"/>
                <w:iCs w:val="0"/>
                <w:color w:val="auto"/>
                <w:sz w:val="21"/>
                <w:szCs w:val="21"/>
                <w:u w:val="none"/>
              </w:rPr>
            </w:pPr>
          </w:p>
        </w:tc>
        <w:tc>
          <w:tcPr>
            <w:tcW w:w="3754" w:type="pct"/>
            <w:noWrap w:val="0"/>
            <w:vAlign w:val="center"/>
          </w:tcPr>
          <w:p w14:paraId="7441C1A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4、设备同时支持服务器负载均衡、链路负载均衡、全局负载均衡等，无需额外License费用；</w:t>
            </w:r>
          </w:p>
        </w:tc>
      </w:tr>
      <w:tr w14:paraId="26AE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6ACE9D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EEE7230">
            <w:pPr>
              <w:jc w:val="center"/>
              <w:rPr>
                <w:rFonts w:hint="eastAsia" w:ascii="宋体" w:hAnsi="宋体" w:eastAsia="宋体" w:cs="宋体"/>
                <w:i w:val="0"/>
                <w:iCs w:val="0"/>
                <w:color w:val="auto"/>
                <w:sz w:val="21"/>
                <w:szCs w:val="21"/>
                <w:u w:val="none"/>
              </w:rPr>
            </w:pPr>
          </w:p>
        </w:tc>
        <w:tc>
          <w:tcPr>
            <w:tcW w:w="3754" w:type="pct"/>
            <w:noWrap w:val="0"/>
            <w:vAlign w:val="center"/>
          </w:tcPr>
          <w:p w14:paraId="785796E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5、支持串行、旁路部署模式，支持主主/主备/集群等部署模式；</w:t>
            </w:r>
          </w:p>
        </w:tc>
      </w:tr>
      <w:tr w14:paraId="0C10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10529D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F4A3B8F">
            <w:pPr>
              <w:jc w:val="center"/>
              <w:rPr>
                <w:rFonts w:hint="eastAsia" w:ascii="宋体" w:hAnsi="宋体" w:eastAsia="宋体" w:cs="宋体"/>
                <w:i w:val="0"/>
                <w:iCs w:val="0"/>
                <w:color w:val="auto"/>
                <w:sz w:val="21"/>
                <w:szCs w:val="21"/>
                <w:u w:val="none"/>
              </w:rPr>
            </w:pPr>
          </w:p>
        </w:tc>
        <w:tc>
          <w:tcPr>
            <w:tcW w:w="3754" w:type="pct"/>
            <w:noWrap w:val="0"/>
            <w:vAlign w:val="center"/>
          </w:tcPr>
          <w:p w14:paraId="7174649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6、支持四至七层的应用服务器负载均衡，至少支持TCP/ UDP/ HTTP/ HTTPS/ SIP/ SMTP/ FTP/RTSP/DNS等应用协议的负载均衡功能，支持HTTP的内容分类及HTTP报文的头操作。</w:t>
            </w:r>
          </w:p>
        </w:tc>
      </w:tr>
      <w:tr w14:paraId="120B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195E60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275B026">
            <w:pPr>
              <w:jc w:val="center"/>
              <w:rPr>
                <w:rFonts w:hint="eastAsia" w:ascii="宋体" w:hAnsi="宋体" w:eastAsia="宋体" w:cs="宋体"/>
                <w:i w:val="0"/>
                <w:iCs w:val="0"/>
                <w:color w:val="auto"/>
                <w:sz w:val="21"/>
                <w:szCs w:val="21"/>
                <w:u w:val="none"/>
              </w:rPr>
            </w:pPr>
          </w:p>
        </w:tc>
        <w:tc>
          <w:tcPr>
            <w:tcW w:w="3754" w:type="pct"/>
            <w:noWrap w:val="0"/>
            <w:vAlign w:val="center"/>
          </w:tcPr>
          <w:p w14:paraId="472CBA4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7、支持多种均衡算法、比率算法、拓扑算法、备用地址算法、丢包算法、最小连接数算法、最小往返延时算法、最大带宽利用率算法。</w:t>
            </w:r>
          </w:p>
        </w:tc>
      </w:tr>
      <w:tr w14:paraId="4028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52A381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9DE2A63">
            <w:pPr>
              <w:jc w:val="center"/>
              <w:rPr>
                <w:rFonts w:hint="eastAsia" w:ascii="宋体" w:hAnsi="宋体" w:eastAsia="宋体" w:cs="宋体"/>
                <w:i w:val="0"/>
                <w:iCs w:val="0"/>
                <w:color w:val="auto"/>
                <w:sz w:val="21"/>
                <w:szCs w:val="21"/>
                <w:u w:val="none"/>
              </w:rPr>
            </w:pPr>
          </w:p>
        </w:tc>
        <w:tc>
          <w:tcPr>
            <w:tcW w:w="3754" w:type="pct"/>
            <w:noWrap w:val="0"/>
            <w:vAlign w:val="center"/>
          </w:tcPr>
          <w:p w14:paraId="481060E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8、支持主备之间会话同步，配置同步，支持进行HA切换操作（无需重启设备）；</w:t>
            </w:r>
          </w:p>
        </w:tc>
      </w:tr>
      <w:tr w14:paraId="0D7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13EB4E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5B2D4E3">
            <w:pPr>
              <w:jc w:val="center"/>
              <w:rPr>
                <w:rFonts w:hint="eastAsia" w:ascii="宋体" w:hAnsi="宋体" w:eastAsia="宋体" w:cs="宋体"/>
                <w:i w:val="0"/>
                <w:iCs w:val="0"/>
                <w:color w:val="auto"/>
                <w:sz w:val="21"/>
                <w:szCs w:val="21"/>
                <w:u w:val="none"/>
              </w:rPr>
            </w:pPr>
          </w:p>
        </w:tc>
        <w:tc>
          <w:tcPr>
            <w:tcW w:w="3754" w:type="pct"/>
            <w:noWrap w:val="0"/>
            <w:vAlign w:val="center"/>
          </w:tcPr>
          <w:p w14:paraId="11ECE47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9、支持链路过载保护，可基于链路的实时上下行流量阈值保护链路。</w:t>
            </w:r>
          </w:p>
        </w:tc>
      </w:tr>
      <w:tr w14:paraId="6BB9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A0BEAF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CE2505B">
            <w:pPr>
              <w:jc w:val="center"/>
              <w:rPr>
                <w:rFonts w:hint="eastAsia" w:ascii="宋体" w:hAnsi="宋体" w:eastAsia="宋体" w:cs="宋体"/>
                <w:i w:val="0"/>
                <w:iCs w:val="0"/>
                <w:color w:val="auto"/>
                <w:sz w:val="21"/>
                <w:szCs w:val="21"/>
                <w:u w:val="none"/>
              </w:rPr>
            </w:pPr>
          </w:p>
        </w:tc>
        <w:tc>
          <w:tcPr>
            <w:tcW w:w="3754" w:type="pct"/>
            <w:noWrap w:val="0"/>
            <w:vAlign w:val="center"/>
          </w:tcPr>
          <w:p w14:paraId="2D2D3F5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10、提供链路状态与稳定性监测，可展示链路状态、上/下行流量、新建连接、并发连接、链路稳定性检测、应用选录占用分析、线路带宽占用分析。</w:t>
            </w:r>
          </w:p>
        </w:tc>
      </w:tr>
      <w:tr w14:paraId="0140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D4283F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F825B8E">
            <w:pPr>
              <w:jc w:val="center"/>
              <w:rPr>
                <w:rFonts w:hint="eastAsia" w:ascii="宋体" w:hAnsi="宋体" w:eastAsia="宋体" w:cs="宋体"/>
                <w:i w:val="0"/>
                <w:iCs w:val="0"/>
                <w:color w:val="auto"/>
                <w:sz w:val="21"/>
                <w:szCs w:val="21"/>
                <w:u w:val="none"/>
              </w:rPr>
            </w:pPr>
          </w:p>
        </w:tc>
        <w:tc>
          <w:tcPr>
            <w:tcW w:w="3754" w:type="pct"/>
            <w:noWrap w:val="0"/>
            <w:vAlign w:val="center"/>
          </w:tcPr>
          <w:p w14:paraId="635F6EB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11、支持IPV6/IPV4双栈</w:t>
            </w:r>
          </w:p>
        </w:tc>
      </w:tr>
      <w:tr w14:paraId="10A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B1D4F0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1D15480">
            <w:pPr>
              <w:jc w:val="center"/>
              <w:rPr>
                <w:rFonts w:hint="eastAsia" w:ascii="宋体" w:hAnsi="宋体" w:eastAsia="宋体" w:cs="宋体"/>
                <w:i w:val="0"/>
                <w:iCs w:val="0"/>
                <w:color w:val="auto"/>
                <w:sz w:val="21"/>
                <w:szCs w:val="21"/>
                <w:u w:val="none"/>
              </w:rPr>
            </w:pPr>
          </w:p>
        </w:tc>
        <w:tc>
          <w:tcPr>
            <w:tcW w:w="3754" w:type="pct"/>
            <w:noWrap w:val="0"/>
            <w:vAlign w:val="center"/>
          </w:tcPr>
          <w:p w14:paraId="3208C89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12、产品具有公安部《计算机信息系统安全专用产品销售许可证》或中国网络安全审查技术与认证中心《网络关键设备和网络安全专用产品安全认证证书》；提供相关证明</w:t>
            </w:r>
          </w:p>
        </w:tc>
      </w:tr>
      <w:tr w14:paraId="31D6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13AA73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5884B3A">
            <w:pPr>
              <w:jc w:val="center"/>
              <w:rPr>
                <w:rFonts w:hint="eastAsia" w:ascii="宋体" w:hAnsi="宋体" w:eastAsia="宋体" w:cs="宋体"/>
                <w:i w:val="0"/>
                <w:iCs w:val="0"/>
                <w:color w:val="auto"/>
                <w:sz w:val="21"/>
                <w:szCs w:val="21"/>
                <w:u w:val="none"/>
              </w:rPr>
            </w:pPr>
          </w:p>
        </w:tc>
        <w:tc>
          <w:tcPr>
            <w:tcW w:w="3754" w:type="pct"/>
            <w:noWrap w:val="0"/>
            <w:vAlign w:val="center"/>
          </w:tcPr>
          <w:p w14:paraId="1CF7E9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★13、提供5年原厂质保，签订合同时提供针对本项目的原厂质保函；</w:t>
            </w:r>
          </w:p>
        </w:tc>
      </w:tr>
      <w:tr w14:paraId="1900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038DA7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942" w:type="pct"/>
            <w:gridSpan w:val="2"/>
            <w:vMerge w:val="restart"/>
            <w:noWrap w:val="0"/>
            <w:vAlign w:val="center"/>
          </w:tcPr>
          <w:p w14:paraId="2B7D57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前置交换平台数据库服务器</w:t>
            </w:r>
          </w:p>
        </w:tc>
        <w:tc>
          <w:tcPr>
            <w:tcW w:w="3754" w:type="pct"/>
            <w:noWrap w:val="0"/>
            <w:vAlign w:val="center"/>
          </w:tcPr>
          <w:p w14:paraId="52C507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1、信创架构服务器，国产自研品牌；</w:t>
            </w:r>
          </w:p>
        </w:tc>
      </w:tr>
      <w:tr w14:paraId="2F0F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7505AE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C2CED25">
            <w:pPr>
              <w:jc w:val="center"/>
              <w:rPr>
                <w:rFonts w:hint="eastAsia" w:ascii="宋体" w:hAnsi="宋体" w:eastAsia="宋体" w:cs="宋体"/>
                <w:i w:val="0"/>
                <w:iCs w:val="0"/>
                <w:color w:val="auto"/>
                <w:sz w:val="21"/>
                <w:szCs w:val="21"/>
                <w:u w:val="none"/>
              </w:rPr>
            </w:pPr>
          </w:p>
        </w:tc>
        <w:tc>
          <w:tcPr>
            <w:tcW w:w="3754" w:type="pct"/>
            <w:noWrap/>
            <w:vAlign w:val="center"/>
          </w:tcPr>
          <w:p w14:paraId="33FCA9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2、外观：≥2U机架式服务器，标配原厂导轨；</w:t>
            </w:r>
          </w:p>
        </w:tc>
      </w:tr>
      <w:tr w14:paraId="16A6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AB9249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6D85AB6">
            <w:pPr>
              <w:jc w:val="center"/>
              <w:rPr>
                <w:rFonts w:hint="eastAsia" w:ascii="宋体" w:hAnsi="宋体" w:eastAsia="宋体" w:cs="宋体"/>
                <w:i w:val="0"/>
                <w:iCs w:val="0"/>
                <w:color w:val="auto"/>
                <w:sz w:val="21"/>
                <w:szCs w:val="21"/>
                <w:u w:val="none"/>
              </w:rPr>
            </w:pPr>
          </w:p>
        </w:tc>
        <w:tc>
          <w:tcPr>
            <w:tcW w:w="3754" w:type="pct"/>
            <w:noWrap w:val="0"/>
            <w:vAlign w:val="center"/>
          </w:tcPr>
          <w:p w14:paraId="470CA6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3、处理器：配置≥2路C86架构CPU，每颗核数≥32核，频率≥2.7GHZ；所投产品CPU须符合自主可控安全测评要求，提供中国信息安全测评中心官网截图证明；</w:t>
            </w:r>
          </w:p>
        </w:tc>
      </w:tr>
      <w:tr w14:paraId="17D2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1195925">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EE5AA7F">
            <w:pPr>
              <w:jc w:val="center"/>
              <w:rPr>
                <w:rFonts w:hint="eastAsia" w:ascii="宋体" w:hAnsi="宋体" w:eastAsia="宋体" w:cs="宋体"/>
                <w:i w:val="0"/>
                <w:iCs w:val="0"/>
                <w:color w:val="auto"/>
                <w:sz w:val="21"/>
                <w:szCs w:val="21"/>
                <w:u w:val="none"/>
              </w:rPr>
            </w:pPr>
          </w:p>
        </w:tc>
        <w:tc>
          <w:tcPr>
            <w:tcW w:w="3754" w:type="pct"/>
            <w:noWrap w:val="0"/>
            <w:vAlign w:val="center"/>
          </w:tcPr>
          <w:p w14:paraId="6A8E03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4、内存硬盘：内存配置≥512G DDR4内存；硬盘配置≥2×1.92TB SSD系统盘；数据盘：≥4×3.84TB NVME SSD硬盘；</w:t>
            </w:r>
          </w:p>
        </w:tc>
      </w:tr>
      <w:tr w14:paraId="18EC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FB215E8">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7BB52EA">
            <w:pPr>
              <w:jc w:val="center"/>
              <w:rPr>
                <w:rFonts w:hint="eastAsia" w:ascii="宋体" w:hAnsi="宋体" w:eastAsia="宋体" w:cs="宋体"/>
                <w:i w:val="0"/>
                <w:iCs w:val="0"/>
                <w:color w:val="auto"/>
                <w:sz w:val="21"/>
                <w:szCs w:val="21"/>
                <w:u w:val="none"/>
              </w:rPr>
            </w:pPr>
          </w:p>
        </w:tc>
        <w:tc>
          <w:tcPr>
            <w:tcW w:w="3754" w:type="pct"/>
            <w:noWrap w:val="0"/>
            <w:vAlign w:val="center"/>
          </w:tcPr>
          <w:p w14:paraId="72F282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5、硬盘控制器：≥2GB缓存，支持缓存数据保护，且后备保护时间不受限制支持RAID0/1/10/5/6/50/60；</w:t>
            </w:r>
          </w:p>
        </w:tc>
      </w:tr>
      <w:tr w14:paraId="27FE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95CA50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F6F6FBD">
            <w:pPr>
              <w:jc w:val="center"/>
              <w:rPr>
                <w:rFonts w:hint="eastAsia" w:ascii="宋体" w:hAnsi="宋体" w:eastAsia="宋体" w:cs="宋体"/>
                <w:i w:val="0"/>
                <w:iCs w:val="0"/>
                <w:color w:val="auto"/>
                <w:sz w:val="21"/>
                <w:szCs w:val="21"/>
                <w:u w:val="none"/>
              </w:rPr>
            </w:pPr>
          </w:p>
        </w:tc>
        <w:tc>
          <w:tcPr>
            <w:tcW w:w="3754" w:type="pct"/>
            <w:noWrap w:val="0"/>
            <w:vAlign w:val="center"/>
          </w:tcPr>
          <w:p w14:paraId="47B986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6、网卡：≥1×双端口 100Gb 以太网 （光口含模块及网线）；≥2×双端口 10Gb 以太网（光口）；</w:t>
            </w:r>
          </w:p>
        </w:tc>
      </w:tr>
      <w:tr w14:paraId="1E38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F6557D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4110BFB">
            <w:pPr>
              <w:jc w:val="center"/>
              <w:rPr>
                <w:rFonts w:hint="eastAsia" w:ascii="宋体" w:hAnsi="宋体" w:eastAsia="宋体" w:cs="宋体"/>
                <w:i w:val="0"/>
                <w:iCs w:val="0"/>
                <w:color w:val="auto"/>
                <w:sz w:val="21"/>
                <w:szCs w:val="21"/>
                <w:u w:val="none"/>
              </w:rPr>
            </w:pPr>
          </w:p>
        </w:tc>
        <w:tc>
          <w:tcPr>
            <w:tcW w:w="3754" w:type="pct"/>
            <w:noWrap w:val="0"/>
            <w:vAlign w:val="center"/>
          </w:tcPr>
          <w:p w14:paraId="69D148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7、PCIe插槽：支持提供≥10个PCIe 插槽；</w:t>
            </w:r>
          </w:p>
        </w:tc>
      </w:tr>
      <w:tr w14:paraId="1526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769971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822F43D">
            <w:pPr>
              <w:jc w:val="center"/>
              <w:rPr>
                <w:rFonts w:hint="eastAsia" w:ascii="宋体" w:hAnsi="宋体" w:eastAsia="宋体" w:cs="宋体"/>
                <w:i w:val="0"/>
                <w:iCs w:val="0"/>
                <w:color w:val="auto"/>
                <w:sz w:val="21"/>
                <w:szCs w:val="21"/>
                <w:u w:val="none"/>
              </w:rPr>
            </w:pPr>
          </w:p>
        </w:tc>
        <w:tc>
          <w:tcPr>
            <w:tcW w:w="3754" w:type="pct"/>
            <w:noWrap w:val="0"/>
            <w:vAlign w:val="center"/>
          </w:tcPr>
          <w:p w14:paraId="4820B5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8、电源：≥2个冗余电源；</w:t>
            </w:r>
          </w:p>
        </w:tc>
      </w:tr>
      <w:tr w14:paraId="76DF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527363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DC26C49">
            <w:pPr>
              <w:jc w:val="center"/>
              <w:rPr>
                <w:rFonts w:hint="eastAsia" w:ascii="宋体" w:hAnsi="宋体" w:eastAsia="宋体" w:cs="宋体"/>
                <w:i w:val="0"/>
                <w:iCs w:val="0"/>
                <w:color w:val="auto"/>
                <w:sz w:val="21"/>
                <w:szCs w:val="21"/>
                <w:u w:val="none"/>
              </w:rPr>
            </w:pPr>
          </w:p>
        </w:tc>
        <w:tc>
          <w:tcPr>
            <w:tcW w:w="3754" w:type="pct"/>
            <w:noWrap w:val="0"/>
            <w:vAlign w:val="center"/>
          </w:tcPr>
          <w:p w14:paraId="535D19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9、风扇：配置可热插拔冗余风扇；</w:t>
            </w:r>
          </w:p>
        </w:tc>
      </w:tr>
      <w:tr w14:paraId="2EE5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0BFB9F8">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271ABAF">
            <w:pPr>
              <w:jc w:val="center"/>
              <w:rPr>
                <w:rFonts w:hint="eastAsia" w:ascii="宋体" w:hAnsi="宋体" w:eastAsia="宋体" w:cs="宋体"/>
                <w:i w:val="0"/>
                <w:iCs w:val="0"/>
                <w:color w:val="auto"/>
                <w:sz w:val="21"/>
                <w:szCs w:val="21"/>
                <w:u w:val="none"/>
              </w:rPr>
            </w:pPr>
          </w:p>
        </w:tc>
        <w:tc>
          <w:tcPr>
            <w:tcW w:w="3754" w:type="pct"/>
            <w:noWrap w:val="0"/>
            <w:vAlign w:val="center"/>
          </w:tcPr>
          <w:p w14:paraId="1C9D13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10、可实时监控服务器内部关键部件运行状态和温度信息，CPU、内存、硬盘、风扇、电源、扩展；</w:t>
            </w:r>
          </w:p>
        </w:tc>
      </w:tr>
      <w:tr w14:paraId="41D6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C14CAD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DF2EBAD">
            <w:pPr>
              <w:jc w:val="center"/>
              <w:rPr>
                <w:rFonts w:hint="eastAsia" w:ascii="宋体" w:hAnsi="宋体" w:eastAsia="宋体" w:cs="宋体"/>
                <w:i w:val="0"/>
                <w:iCs w:val="0"/>
                <w:color w:val="auto"/>
                <w:sz w:val="21"/>
                <w:szCs w:val="21"/>
                <w:u w:val="none"/>
              </w:rPr>
            </w:pPr>
          </w:p>
        </w:tc>
        <w:tc>
          <w:tcPr>
            <w:tcW w:w="3754" w:type="pct"/>
            <w:noWrap w:val="0"/>
            <w:vAlign w:val="center"/>
          </w:tcPr>
          <w:p w14:paraId="77F928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★11、提供5年原厂质保，签订合同时提供针对本项目的原厂质保函；</w:t>
            </w:r>
          </w:p>
        </w:tc>
      </w:tr>
      <w:tr w14:paraId="7305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634C8B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942" w:type="pct"/>
            <w:gridSpan w:val="2"/>
            <w:vMerge w:val="restart"/>
            <w:noWrap w:val="0"/>
            <w:vAlign w:val="center"/>
          </w:tcPr>
          <w:p w14:paraId="2B2BD5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全民健康信息平台主数据库服务器</w:t>
            </w:r>
          </w:p>
        </w:tc>
        <w:tc>
          <w:tcPr>
            <w:tcW w:w="3754" w:type="pct"/>
            <w:noWrap w:val="0"/>
            <w:vAlign w:val="center"/>
          </w:tcPr>
          <w:p w14:paraId="22A792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1、信创架构服务器，国产自研品牌；</w:t>
            </w:r>
          </w:p>
        </w:tc>
      </w:tr>
      <w:tr w14:paraId="284C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0156E2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50E472E">
            <w:pPr>
              <w:jc w:val="center"/>
              <w:rPr>
                <w:rFonts w:hint="eastAsia" w:ascii="宋体" w:hAnsi="宋体" w:eastAsia="宋体" w:cs="宋体"/>
                <w:i w:val="0"/>
                <w:iCs w:val="0"/>
                <w:color w:val="auto"/>
                <w:sz w:val="21"/>
                <w:szCs w:val="21"/>
                <w:u w:val="none"/>
              </w:rPr>
            </w:pPr>
          </w:p>
        </w:tc>
        <w:tc>
          <w:tcPr>
            <w:tcW w:w="3754" w:type="pct"/>
            <w:noWrap/>
            <w:vAlign w:val="center"/>
          </w:tcPr>
          <w:p w14:paraId="2D2810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2、外观：≥2U机架式服务器，标配原厂导轨；</w:t>
            </w:r>
          </w:p>
        </w:tc>
      </w:tr>
      <w:tr w14:paraId="7531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7D413C68">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E74A665">
            <w:pPr>
              <w:jc w:val="center"/>
              <w:rPr>
                <w:rFonts w:hint="eastAsia" w:ascii="宋体" w:hAnsi="宋体" w:eastAsia="宋体" w:cs="宋体"/>
                <w:i w:val="0"/>
                <w:iCs w:val="0"/>
                <w:color w:val="auto"/>
                <w:sz w:val="21"/>
                <w:szCs w:val="21"/>
                <w:u w:val="none"/>
              </w:rPr>
            </w:pPr>
          </w:p>
        </w:tc>
        <w:tc>
          <w:tcPr>
            <w:tcW w:w="3754" w:type="pct"/>
            <w:noWrap w:val="0"/>
            <w:vAlign w:val="center"/>
          </w:tcPr>
          <w:p w14:paraId="505AED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3、处理器：配置≥2路C86架构CPU，每颗核数≥32核，频率≥2.7GHZ；所投产品CPU须符合自主可控安全测评要求，提供中国信息安全测评中心官网截图证明；</w:t>
            </w:r>
          </w:p>
        </w:tc>
      </w:tr>
      <w:tr w14:paraId="7A11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1EDA85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99B55E1">
            <w:pPr>
              <w:jc w:val="center"/>
              <w:rPr>
                <w:rFonts w:hint="eastAsia" w:ascii="宋体" w:hAnsi="宋体" w:eastAsia="宋体" w:cs="宋体"/>
                <w:i w:val="0"/>
                <w:iCs w:val="0"/>
                <w:color w:val="auto"/>
                <w:sz w:val="21"/>
                <w:szCs w:val="21"/>
                <w:u w:val="none"/>
              </w:rPr>
            </w:pPr>
          </w:p>
        </w:tc>
        <w:tc>
          <w:tcPr>
            <w:tcW w:w="3754" w:type="pct"/>
            <w:noWrap w:val="0"/>
            <w:vAlign w:val="center"/>
          </w:tcPr>
          <w:p w14:paraId="25CAC6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4、内存硬盘：内存配置≥512G DDR4内存；硬盘配置≥2×1.92TB SSD系统盘；数据盘：≥4×3.84TB NVME SSD硬盘；</w:t>
            </w:r>
          </w:p>
        </w:tc>
      </w:tr>
      <w:tr w14:paraId="012B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AE67B6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FD09EB4">
            <w:pPr>
              <w:jc w:val="center"/>
              <w:rPr>
                <w:rFonts w:hint="eastAsia" w:ascii="宋体" w:hAnsi="宋体" w:eastAsia="宋体" w:cs="宋体"/>
                <w:i w:val="0"/>
                <w:iCs w:val="0"/>
                <w:color w:val="auto"/>
                <w:sz w:val="21"/>
                <w:szCs w:val="21"/>
                <w:u w:val="none"/>
              </w:rPr>
            </w:pPr>
          </w:p>
        </w:tc>
        <w:tc>
          <w:tcPr>
            <w:tcW w:w="3754" w:type="pct"/>
            <w:noWrap w:val="0"/>
            <w:vAlign w:val="center"/>
          </w:tcPr>
          <w:p w14:paraId="01C3AC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5、硬盘控制器：≥2GB缓存，支持缓存数据保护，且后备保护时间不受限制支持RAID0/1/10/5/6/50/60；</w:t>
            </w:r>
          </w:p>
        </w:tc>
      </w:tr>
      <w:tr w14:paraId="2A6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60B794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9BDF921">
            <w:pPr>
              <w:jc w:val="center"/>
              <w:rPr>
                <w:rFonts w:hint="eastAsia" w:ascii="宋体" w:hAnsi="宋体" w:eastAsia="宋体" w:cs="宋体"/>
                <w:i w:val="0"/>
                <w:iCs w:val="0"/>
                <w:color w:val="auto"/>
                <w:sz w:val="21"/>
                <w:szCs w:val="21"/>
                <w:u w:val="none"/>
              </w:rPr>
            </w:pPr>
          </w:p>
        </w:tc>
        <w:tc>
          <w:tcPr>
            <w:tcW w:w="3754" w:type="pct"/>
            <w:noWrap w:val="0"/>
            <w:vAlign w:val="center"/>
          </w:tcPr>
          <w:p w14:paraId="25DCF5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6、网卡：≥1×双端口 100Gb 以太网 （光口含模块及网线）；≥2×双端口 10Gb 以太网（光口）；</w:t>
            </w:r>
          </w:p>
        </w:tc>
      </w:tr>
      <w:tr w14:paraId="259B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EDBCD7E">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EBCA11A">
            <w:pPr>
              <w:jc w:val="center"/>
              <w:rPr>
                <w:rFonts w:hint="eastAsia" w:ascii="宋体" w:hAnsi="宋体" w:eastAsia="宋体" w:cs="宋体"/>
                <w:i w:val="0"/>
                <w:iCs w:val="0"/>
                <w:color w:val="auto"/>
                <w:sz w:val="21"/>
                <w:szCs w:val="21"/>
                <w:u w:val="none"/>
              </w:rPr>
            </w:pPr>
          </w:p>
        </w:tc>
        <w:tc>
          <w:tcPr>
            <w:tcW w:w="3754" w:type="pct"/>
            <w:noWrap w:val="0"/>
            <w:vAlign w:val="center"/>
          </w:tcPr>
          <w:p w14:paraId="561660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7、PCIe插槽：支持提供≥10个PCIe 插槽；</w:t>
            </w:r>
          </w:p>
        </w:tc>
      </w:tr>
      <w:tr w14:paraId="535F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F80779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7B01BD9">
            <w:pPr>
              <w:jc w:val="center"/>
              <w:rPr>
                <w:rFonts w:hint="eastAsia" w:ascii="宋体" w:hAnsi="宋体" w:eastAsia="宋体" w:cs="宋体"/>
                <w:i w:val="0"/>
                <w:iCs w:val="0"/>
                <w:color w:val="auto"/>
                <w:sz w:val="21"/>
                <w:szCs w:val="21"/>
                <w:u w:val="none"/>
              </w:rPr>
            </w:pPr>
          </w:p>
        </w:tc>
        <w:tc>
          <w:tcPr>
            <w:tcW w:w="3754" w:type="pct"/>
            <w:noWrap w:val="0"/>
            <w:vAlign w:val="center"/>
          </w:tcPr>
          <w:p w14:paraId="0F52D5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8、电源：≥2个冗余电源；</w:t>
            </w:r>
          </w:p>
        </w:tc>
      </w:tr>
      <w:tr w14:paraId="73F7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07DF94E">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B90637B">
            <w:pPr>
              <w:jc w:val="center"/>
              <w:rPr>
                <w:rFonts w:hint="eastAsia" w:ascii="宋体" w:hAnsi="宋体" w:eastAsia="宋体" w:cs="宋体"/>
                <w:i w:val="0"/>
                <w:iCs w:val="0"/>
                <w:color w:val="auto"/>
                <w:sz w:val="21"/>
                <w:szCs w:val="21"/>
                <w:u w:val="none"/>
              </w:rPr>
            </w:pPr>
          </w:p>
        </w:tc>
        <w:tc>
          <w:tcPr>
            <w:tcW w:w="3754" w:type="pct"/>
            <w:noWrap w:val="0"/>
            <w:vAlign w:val="center"/>
          </w:tcPr>
          <w:p w14:paraId="03E73B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9、风扇：配置可热插拔冗余风扇；</w:t>
            </w:r>
          </w:p>
        </w:tc>
      </w:tr>
      <w:tr w14:paraId="0C02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2" w:type="pct"/>
            <w:vMerge w:val="continue"/>
            <w:noWrap/>
            <w:vAlign w:val="center"/>
          </w:tcPr>
          <w:p w14:paraId="49AC40D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A24EB29">
            <w:pPr>
              <w:jc w:val="center"/>
              <w:rPr>
                <w:rFonts w:hint="eastAsia" w:ascii="宋体" w:hAnsi="宋体" w:eastAsia="宋体" w:cs="宋体"/>
                <w:i w:val="0"/>
                <w:iCs w:val="0"/>
                <w:color w:val="auto"/>
                <w:sz w:val="21"/>
                <w:szCs w:val="21"/>
                <w:u w:val="none"/>
              </w:rPr>
            </w:pPr>
          </w:p>
        </w:tc>
        <w:tc>
          <w:tcPr>
            <w:tcW w:w="3754" w:type="pct"/>
            <w:noWrap w:val="0"/>
            <w:vAlign w:val="center"/>
          </w:tcPr>
          <w:p w14:paraId="088C8C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10、可实时监控服务器内部关键部件运行状态和温度信息，CPU、内存、硬盘、风扇、电源、扩展。</w:t>
            </w:r>
          </w:p>
        </w:tc>
      </w:tr>
      <w:tr w14:paraId="23D2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72F7EC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1858050">
            <w:pPr>
              <w:jc w:val="center"/>
              <w:rPr>
                <w:rFonts w:hint="eastAsia" w:ascii="宋体" w:hAnsi="宋体" w:eastAsia="宋体" w:cs="宋体"/>
                <w:i w:val="0"/>
                <w:iCs w:val="0"/>
                <w:color w:val="auto"/>
                <w:sz w:val="21"/>
                <w:szCs w:val="21"/>
                <w:u w:val="none"/>
              </w:rPr>
            </w:pPr>
          </w:p>
        </w:tc>
        <w:tc>
          <w:tcPr>
            <w:tcW w:w="3754" w:type="pct"/>
            <w:noWrap w:val="0"/>
            <w:vAlign w:val="center"/>
          </w:tcPr>
          <w:p w14:paraId="7A900F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★12、提供5年原厂质保，签订合同时提供针对本项目的原厂质保函；</w:t>
            </w:r>
          </w:p>
        </w:tc>
      </w:tr>
      <w:tr w14:paraId="0880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458B26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942" w:type="pct"/>
            <w:gridSpan w:val="2"/>
            <w:vMerge w:val="restart"/>
            <w:noWrap w:val="0"/>
            <w:vAlign w:val="center"/>
          </w:tcPr>
          <w:p w14:paraId="2EDE2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备集群数据库服务器</w:t>
            </w:r>
          </w:p>
        </w:tc>
        <w:tc>
          <w:tcPr>
            <w:tcW w:w="3754" w:type="pct"/>
            <w:noWrap w:val="0"/>
            <w:vAlign w:val="center"/>
          </w:tcPr>
          <w:p w14:paraId="0A9D45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1、信创架构服务器，国产自研品牌；</w:t>
            </w:r>
          </w:p>
        </w:tc>
      </w:tr>
      <w:tr w14:paraId="3544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061955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9D9C376">
            <w:pPr>
              <w:jc w:val="center"/>
              <w:rPr>
                <w:rFonts w:hint="eastAsia" w:ascii="宋体" w:hAnsi="宋体" w:eastAsia="宋体" w:cs="宋体"/>
                <w:i w:val="0"/>
                <w:iCs w:val="0"/>
                <w:color w:val="auto"/>
                <w:sz w:val="21"/>
                <w:szCs w:val="21"/>
                <w:u w:val="none"/>
              </w:rPr>
            </w:pPr>
          </w:p>
        </w:tc>
        <w:tc>
          <w:tcPr>
            <w:tcW w:w="3754" w:type="pct"/>
            <w:noWrap/>
            <w:vAlign w:val="center"/>
          </w:tcPr>
          <w:p w14:paraId="131691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2、外观：≥2U机架式服务器，标配原厂导轨；</w:t>
            </w:r>
          </w:p>
        </w:tc>
      </w:tr>
      <w:tr w14:paraId="7C80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555450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35B30BC">
            <w:pPr>
              <w:jc w:val="center"/>
              <w:rPr>
                <w:rFonts w:hint="eastAsia" w:ascii="宋体" w:hAnsi="宋体" w:eastAsia="宋体" w:cs="宋体"/>
                <w:i w:val="0"/>
                <w:iCs w:val="0"/>
                <w:color w:val="auto"/>
                <w:sz w:val="21"/>
                <w:szCs w:val="21"/>
                <w:u w:val="none"/>
              </w:rPr>
            </w:pPr>
          </w:p>
        </w:tc>
        <w:tc>
          <w:tcPr>
            <w:tcW w:w="3754" w:type="pct"/>
            <w:noWrap w:val="0"/>
            <w:vAlign w:val="center"/>
          </w:tcPr>
          <w:p w14:paraId="1AD81B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3、处理器：配置≥2路C86架构CPU，每颗核数≥32核，频率≥2.7GHZ；所投产品CPU须符合自主可控安全测评要求，提供中国信息安全测评中心官网截图证明；</w:t>
            </w:r>
          </w:p>
        </w:tc>
      </w:tr>
      <w:tr w14:paraId="22EA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7A2B5C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7B7DA36">
            <w:pPr>
              <w:jc w:val="center"/>
              <w:rPr>
                <w:rFonts w:hint="eastAsia" w:ascii="宋体" w:hAnsi="宋体" w:eastAsia="宋体" w:cs="宋体"/>
                <w:i w:val="0"/>
                <w:iCs w:val="0"/>
                <w:color w:val="auto"/>
                <w:sz w:val="21"/>
                <w:szCs w:val="21"/>
                <w:u w:val="none"/>
              </w:rPr>
            </w:pPr>
          </w:p>
        </w:tc>
        <w:tc>
          <w:tcPr>
            <w:tcW w:w="3754" w:type="pct"/>
            <w:noWrap w:val="0"/>
            <w:vAlign w:val="center"/>
          </w:tcPr>
          <w:p w14:paraId="6ABC05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4、内存硬盘：内存配置≥512G DDR4内存；硬盘配置：≥2×1.92TB SSD系统盘；数据盘：≥8×3.84TB NVME SSD硬盘；</w:t>
            </w:r>
          </w:p>
        </w:tc>
      </w:tr>
      <w:tr w14:paraId="1832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034D43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3EE78F4">
            <w:pPr>
              <w:jc w:val="center"/>
              <w:rPr>
                <w:rFonts w:hint="eastAsia" w:ascii="宋体" w:hAnsi="宋体" w:eastAsia="宋体" w:cs="宋体"/>
                <w:i w:val="0"/>
                <w:iCs w:val="0"/>
                <w:color w:val="auto"/>
                <w:sz w:val="21"/>
                <w:szCs w:val="21"/>
                <w:u w:val="none"/>
              </w:rPr>
            </w:pPr>
          </w:p>
        </w:tc>
        <w:tc>
          <w:tcPr>
            <w:tcW w:w="3754" w:type="pct"/>
            <w:noWrap w:val="0"/>
            <w:vAlign w:val="center"/>
          </w:tcPr>
          <w:p w14:paraId="0E3127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5、硬盘控制器：≥2GB缓存，支持缓存数据保护，且后备保护时间不受限制支持RAID0/1/10/5/6/50/60；</w:t>
            </w:r>
          </w:p>
        </w:tc>
      </w:tr>
      <w:tr w14:paraId="7452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D501C9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48EBA5B">
            <w:pPr>
              <w:jc w:val="center"/>
              <w:rPr>
                <w:rFonts w:hint="eastAsia" w:ascii="宋体" w:hAnsi="宋体" w:eastAsia="宋体" w:cs="宋体"/>
                <w:i w:val="0"/>
                <w:iCs w:val="0"/>
                <w:color w:val="auto"/>
                <w:sz w:val="21"/>
                <w:szCs w:val="21"/>
                <w:u w:val="none"/>
              </w:rPr>
            </w:pPr>
          </w:p>
        </w:tc>
        <w:tc>
          <w:tcPr>
            <w:tcW w:w="3754" w:type="pct"/>
            <w:noWrap w:val="0"/>
            <w:vAlign w:val="center"/>
          </w:tcPr>
          <w:p w14:paraId="07A5DF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6、网卡：≥1×双端口 100Gb 以太网 （光口含模块及网线）；≥2×双端口 10Gb 以太网（光口）；</w:t>
            </w:r>
          </w:p>
        </w:tc>
      </w:tr>
      <w:tr w14:paraId="7683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C8CCB5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802AFE0">
            <w:pPr>
              <w:jc w:val="center"/>
              <w:rPr>
                <w:rFonts w:hint="eastAsia" w:ascii="宋体" w:hAnsi="宋体" w:eastAsia="宋体" w:cs="宋体"/>
                <w:i w:val="0"/>
                <w:iCs w:val="0"/>
                <w:color w:val="auto"/>
                <w:sz w:val="21"/>
                <w:szCs w:val="21"/>
                <w:u w:val="none"/>
              </w:rPr>
            </w:pPr>
          </w:p>
        </w:tc>
        <w:tc>
          <w:tcPr>
            <w:tcW w:w="3754" w:type="pct"/>
            <w:noWrap w:val="0"/>
            <w:vAlign w:val="center"/>
          </w:tcPr>
          <w:p w14:paraId="7B1EF2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7、PCIe插槽：支持提供≥10个PCIe 插槽；</w:t>
            </w:r>
          </w:p>
        </w:tc>
      </w:tr>
      <w:tr w14:paraId="493B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DD17ED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E76A113">
            <w:pPr>
              <w:jc w:val="center"/>
              <w:rPr>
                <w:rFonts w:hint="eastAsia" w:ascii="宋体" w:hAnsi="宋体" w:eastAsia="宋体" w:cs="宋体"/>
                <w:i w:val="0"/>
                <w:iCs w:val="0"/>
                <w:color w:val="auto"/>
                <w:sz w:val="21"/>
                <w:szCs w:val="21"/>
                <w:u w:val="none"/>
              </w:rPr>
            </w:pPr>
          </w:p>
        </w:tc>
        <w:tc>
          <w:tcPr>
            <w:tcW w:w="3754" w:type="pct"/>
            <w:noWrap w:val="0"/>
            <w:vAlign w:val="center"/>
          </w:tcPr>
          <w:p w14:paraId="6E41FF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8、电源：≥2个冗余电源；</w:t>
            </w:r>
          </w:p>
        </w:tc>
      </w:tr>
      <w:tr w14:paraId="4E84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17BD8E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C11FD09">
            <w:pPr>
              <w:jc w:val="center"/>
              <w:rPr>
                <w:rFonts w:hint="eastAsia" w:ascii="宋体" w:hAnsi="宋体" w:eastAsia="宋体" w:cs="宋体"/>
                <w:i w:val="0"/>
                <w:iCs w:val="0"/>
                <w:color w:val="auto"/>
                <w:sz w:val="21"/>
                <w:szCs w:val="21"/>
                <w:u w:val="none"/>
              </w:rPr>
            </w:pPr>
          </w:p>
        </w:tc>
        <w:tc>
          <w:tcPr>
            <w:tcW w:w="3754" w:type="pct"/>
            <w:noWrap w:val="0"/>
            <w:vAlign w:val="center"/>
          </w:tcPr>
          <w:p w14:paraId="5D5F5D9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9、风扇：配置可热插拔冗余风扇；</w:t>
            </w:r>
          </w:p>
        </w:tc>
      </w:tr>
      <w:tr w14:paraId="2650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F00D01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74959D7">
            <w:pPr>
              <w:jc w:val="center"/>
              <w:rPr>
                <w:rFonts w:hint="eastAsia" w:ascii="宋体" w:hAnsi="宋体" w:eastAsia="宋体" w:cs="宋体"/>
                <w:i w:val="0"/>
                <w:iCs w:val="0"/>
                <w:color w:val="auto"/>
                <w:sz w:val="21"/>
                <w:szCs w:val="21"/>
                <w:u w:val="none"/>
              </w:rPr>
            </w:pPr>
          </w:p>
        </w:tc>
        <w:tc>
          <w:tcPr>
            <w:tcW w:w="3754" w:type="pct"/>
            <w:noWrap w:val="0"/>
            <w:vAlign w:val="center"/>
          </w:tcPr>
          <w:p w14:paraId="5D3D47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10、可实现实时监控服务器内部关键部件运行状态和温度信息，CPU、内存、硬盘、风扇、电源、扩展；</w:t>
            </w:r>
          </w:p>
        </w:tc>
      </w:tr>
      <w:tr w14:paraId="78C9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5FEB4A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56B3600">
            <w:pPr>
              <w:jc w:val="center"/>
              <w:rPr>
                <w:rFonts w:hint="eastAsia" w:ascii="宋体" w:hAnsi="宋体" w:eastAsia="宋体" w:cs="宋体"/>
                <w:i w:val="0"/>
                <w:iCs w:val="0"/>
                <w:color w:val="auto"/>
                <w:sz w:val="21"/>
                <w:szCs w:val="21"/>
                <w:u w:val="none"/>
              </w:rPr>
            </w:pPr>
          </w:p>
        </w:tc>
        <w:tc>
          <w:tcPr>
            <w:tcW w:w="3754" w:type="pct"/>
            <w:noWrap w:val="0"/>
            <w:vAlign w:val="center"/>
          </w:tcPr>
          <w:p w14:paraId="20ABFB3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★11、提供5年原厂质保，签订合同时提供针对本项目的原厂质保函；</w:t>
            </w:r>
          </w:p>
        </w:tc>
      </w:tr>
      <w:tr w14:paraId="04EC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635131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429" w:type="pct"/>
            <w:vMerge w:val="restart"/>
            <w:noWrap w:val="0"/>
            <w:vAlign w:val="center"/>
          </w:tcPr>
          <w:p w14:paraId="48B095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数据库软件</w:t>
            </w:r>
          </w:p>
        </w:tc>
        <w:tc>
          <w:tcPr>
            <w:tcW w:w="512" w:type="pct"/>
            <w:vMerge w:val="restart"/>
            <w:noWrap w:val="0"/>
            <w:vAlign w:val="center"/>
          </w:tcPr>
          <w:p w14:paraId="4300EC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数据库核心功能</w:t>
            </w:r>
          </w:p>
        </w:tc>
        <w:tc>
          <w:tcPr>
            <w:tcW w:w="3754" w:type="pct"/>
            <w:noWrap w:val="0"/>
            <w:vAlign w:val="center"/>
          </w:tcPr>
          <w:p w14:paraId="5D5FA147">
            <w:pPr>
              <w:keepNext w:val="0"/>
              <w:keepLines w:val="0"/>
              <w:widowControl/>
              <w:suppressLineNumbers w:val="0"/>
              <w:jc w:val="left"/>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提供国产分布式数据库永久授权许可≥5节点，最终用户为鄞州区卫健局，提供的数据库及配套工具软件产品必须为原厂稳定版本许可产品；提供版本永久升级服务。签订合同时提供上述原厂授权函及服务承诺函。</w:t>
            </w:r>
          </w:p>
        </w:tc>
      </w:tr>
      <w:tr w14:paraId="39FF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6638DA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A3A776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CBA4EA5">
            <w:pPr>
              <w:jc w:val="center"/>
              <w:rPr>
                <w:rFonts w:hint="eastAsia" w:ascii="宋体" w:hAnsi="宋体" w:eastAsia="宋体" w:cs="宋体"/>
                <w:i w:val="0"/>
                <w:iCs w:val="0"/>
                <w:color w:val="auto"/>
                <w:sz w:val="21"/>
                <w:szCs w:val="21"/>
                <w:u w:val="none"/>
              </w:rPr>
            </w:pPr>
          </w:p>
        </w:tc>
        <w:tc>
          <w:tcPr>
            <w:tcW w:w="3754" w:type="pct"/>
            <w:noWrap w:val="0"/>
            <w:vAlign w:val="center"/>
          </w:tcPr>
          <w:p w14:paraId="35E579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2、所投标数据库产品必须为国内自主可控产品，源代码自主度符合自主可控要求。</w:t>
            </w:r>
          </w:p>
        </w:tc>
      </w:tr>
      <w:tr w14:paraId="4BF2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368D4B1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03656B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16FA2CB">
            <w:pPr>
              <w:jc w:val="center"/>
              <w:rPr>
                <w:rFonts w:hint="eastAsia" w:ascii="宋体" w:hAnsi="宋体" w:eastAsia="宋体" w:cs="宋体"/>
                <w:i w:val="0"/>
                <w:iCs w:val="0"/>
                <w:color w:val="auto"/>
                <w:sz w:val="21"/>
                <w:szCs w:val="21"/>
                <w:u w:val="none"/>
              </w:rPr>
            </w:pPr>
          </w:p>
        </w:tc>
        <w:tc>
          <w:tcPr>
            <w:tcW w:w="3754" w:type="pct"/>
            <w:noWrap w:val="0"/>
            <w:vAlign w:val="center"/>
          </w:tcPr>
          <w:p w14:paraId="4222AA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3、基础架构</w:t>
            </w:r>
          </w:p>
          <w:p w14:paraId="7A5C062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业务需求以及硬件资源情况，数据库产品采用原生分布式架构，整体架构实现分布式能力不依赖于中间件实现，支持弹性水平或垂直扩缩容，读写性能可线性扩展伸缩。支持不同组件在不影响业务的情况下在线弹性扩缩容；</w:t>
            </w:r>
          </w:p>
        </w:tc>
      </w:tr>
      <w:tr w14:paraId="3E5F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4D4BC6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BF4DB9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823FF99">
            <w:pPr>
              <w:jc w:val="center"/>
              <w:rPr>
                <w:rFonts w:hint="eastAsia" w:ascii="宋体" w:hAnsi="宋体" w:eastAsia="宋体" w:cs="宋体"/>
                <w:i w:val="0"/>
                <w:iCs w:val="0"/>
                <w:color w:val="auto"/>
                <w:sz w:val="21"/>
                <w:szCs w:val="21"/>
                <w:u w:val="none"/>
              </w:rPr>
            </w:pPr>
          </w:p>
        </w:tc>
        <w:tc>
          <w:tcPr>
            <w:tcW w:w="3754" w:type="pct"/>
            <w:noWrap w:val="0"/>
            <w:vAlign w:val="center"/>
          </w:tcPr>
          <w:p w14:paraId="522B10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4、支持数据分布对应用透明，屏蔽数据分片规则，数据库上的业务应用不需考虑数据分布影响，不会对应用造成侵入。 </w:t>
            </w:r>
          </w:p>
        </w:tc>
      </w:tr>
      <w:tr w14:paraId="2CFE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302" w:type="pct"/>
            <w:vMerge w:val="continue"/>
            <w:noWrap/>
            <w:vAlign w:val="center"/>
          </w:tcPr>
          <w:p w14:paraId="1327699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800A47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3FF62A5">
            <w:pPr>
              <w:jc w:val="center"/>
              <w:rPr>
                <w:rFonts w:hint="eastAsia" w:ascii="宋体" w:hAnsi="宋体" w:eastAsia="宋体" w:cs="宋体"/>
                <w:i w:val="0"/>
                <w:iCs w:val="0"/>
                <w:color w:val="auto"/>
                <w:sz w:val="21"/>
                <w:szCs w:val="21"/>
                <w:u w:val="none"/>
              </w:rPr>
            </w:pPr>
          </w:p>
        </w:tc>
        <w:tc>
          <w:tcPr>
            <w:tcW w:w="3754" w:type="pct"/>
            <w:noWrap w:val="0"/>
            <w:vAlign w:val="center"/>
          </w:tcPr>
          <w:p w14:paraId="15ECC85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5、在线扩容或缩容</w:t>
            </w:r>
          </w:p>
          <w:p w14:paraId="663CDC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支持业务在线扩容，计算资源、数据存储有自动均衡能力，在线扩过程保证数据完整性和一致性，数据库服务可持续提供；能实现数据分布和业务负载自动再均衡，业务流量平稳切换。</w:t>
            </w:r>
          </w:p>
        </w:tc>
      </w:tr>
      <w:tr w14:paraId="3180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7A85580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F1A101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1B2DE89">
            <w:pPr>
              <w:jc w:val="center"/>
              <w:rPr>
                <w:rFonts w:hint="eastAsia" w:ascii="宋体" w:hAnsi="宋体" w:eastAsia="宋体" w:cs="宋体"/>
                <w:i w:val="0"/>
                <w:iCs w:val="0"/>
                <w:color w:val="auto"/>
                <w:sz w:val="21"/>
                <w:szCs w:val="21"/>
                <w:u w:val="none"/>
              </w:rPr>
            </w:pPr>
          </w:p>
        </w:tc>
        <w:tc>
          <w:tcPr>
            <w:tcW w:w="3754" w:type="pct"/>
            <w:noWrap w:val="0"/>
            <w:vAlign w:val="center"/>
          </w:tcPr>
          <w:p w14:paraId="68B0873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6、负载均衡</w:t>
            </w:r>
          </w:p>
          <w:p w14:paraId="161C50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支持集群节点实现负载均衡，无需担心热点问题，可根据业务量进行动态扩展，并进行自动负载均衡。</w:t>
            </w:r>
          </w:p>
        </w:tc>
      </w:tr>
      <w:tr w14:paraId="4F7A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2" w:type="pct"/>
            <w:vMerge w:val="continue"/>
            <w:noWrap/>
            <w:vAlign w:val="center"/>
          </w:tcPr>
          <w:p w14:paraId="2892299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E3DE6A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841D68F">
            <w:pPr>
              <w:jc w:val="center"/>
              <w:rPr>
                <w:rFonts w:hint="eastAsia" w:ascii="宋体" w:hAnsi="宋体" w:eastAsia="宋体" w:cs="宋体"/>
                <w:i w:val="0"/>
                <w:iCs w:val="0"/>
                <w:color w:val="auto"/>
                <w:sz w:val="21"/>
                <w:szCs w:val="21"/>
                <w:u w:val="none"/>
              </w:rPr>
            </w:pPr>
          </w:p>
        </w:tc>
        <w:tc>
          <w:tcPr>
            <w:tcW w:w="3754" w:type="pct"/>
            <w:noWrap w:val="0"/>
            <w:vAlign w:val="center"/>
          </w:tcPr>
          <w:p w14:paraId="152A0B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7、高可用</w:t>
            </w:r>
          </w:p>
          <w:p w14:paraId="2B6D215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根据业务连续性要求，分布式数据库整体架构不能出现单点故障：</w:t>
            </w:r>
          </w:p>
          <w:p w14:paraId="0D53CDA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集群内发生任何单点故障，支持自动切换，并且保证数据无损；</w:t>
            </w:r>
          </w:p>
          <w:p w14:paraId="79DCC3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集群外发生任何集群级故障，支持手动切换到备集群保证业务连续性；</w:t>
            </w:r>
          </w:p>
          <w:p w14:paraId="5C085DB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集群内发生灾难要求RPO=0，RTO&lt;20s；</w:t>
            </w:r>
          </w:p>
          <w:p w14:paraId="7B5D90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支持同城三中心多活，各个数据中心的计算节点均支持应用的读写访问，各个数据中心的存储节点均支持计算节点的读写访问；</w:t>
            </w:r>
          </w:p>
        </w:tc>
      </w:tr>
      <w:tr w14:paraId="3EE3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4A6A7BF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3C21AB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050086F">
            <w:pPr>
              <w:jc w:val="center"/>
              <w:rPr>
                <w:rFonts w:hint="eastAsia" w:ascii="宋体" w:hAnsi="宋体" w:eastAsia="宋体" w:cs="宋体"/>
                <w:i w:val="0"/>
                <w:iCs w:val="0"/>
                <w:color w:val="auto"/>
                <w:sz w:val="21"/>
                <w:szCs w:val="21"/>
                <w:u w:val="none"/>
              </w:rPr>
            </w:pPr>
          </w:p>
        </w:tc>
        <w:tc>
          <w:tcPr>
            <w:tcW w:w="3754" w:type="pct"/>
            <w:noWrap w:val="0"/>
            <w:vAlign w:val="center"/>
          </w:tcPr>
          <w:p w14:paraId="5E38036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8、事务</w:t>
            </w:r>
          </w:p>
          <w:p w14:paraId="5C92AE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满足ACID特性，支持强一致性分布式事务，支持多种事务隔离机制（读已提交、可重复读等），自动提交或回滚，不需要人工干预介入；</w:t>
            </w:r>
          </w:p>
        </w:tc>
      </w:tr>
      <w:tr w14:paraId="0126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4FCC48DE">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BB8556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DF1123B">
            <w:pPr>
              <w:jc w:val="center"/>
              <w:rPr>
                <w:rFonts w:hint="eastAsia" w:ascii="宋体" w:hAnsi="宋体" w:eastAsia="宋体" w:cs="宋体"/>
                <w:i w:val="0"/>
                <w:iCs w:val="0"/>
                <w:color w:val="auto"/>
                <w:sz w:val="21"/>
                <w:szCs w:val="21"/>
                <w:u w:val="none"/>
              </w:rPr>
            </w:pPr>
          </w:p>
        </w:tc>
        <w:tc>
          <w:tcPr>
            <w:tcW w:w="3754" w:type="pct"/>
            <w:noWrap w:val="0"/>
            <w:vAlign w:val="center"/>
          </w:tcPr>
          <w:p w14:paraId="2B31933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9、SQL支持</w:t>
            </w:r>
          </w:p>
          <w:p w14:paraId="223FD1D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支持SQL 92/99/03等标准，包括但不限于DML、DQL、DDL、常用数据库类型、数据库对象和函数等；</w:t>
            </w:r>
          </w:p>
          <w:p w14:paraId="27FB5D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支持字符集 UTF8 / UTF8MB4，支持排序规则区分大小写或者不区分大小写； </w:t>
            </w:r>
          </w:p>
        </w:tc>
      </w:tr>
      <w:tr w14:paraId="40F7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6FE03A69">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00B384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37CB21A">
            <w:pPr>
              <w:jc w:val="center"/>
              <w:rPr>
                <w:rFonts w:hint="eastAsia" w:ascii="宋体" w:hAnsi="宋体" w:eastAsia="宋体" w:cs="宋体"/>
                <w:i w:val="0"/>
                <w:iCs w:val="0"/>
                <w:color w:val="auto"/>
                <w:sz w:val="21"/>
                <w:szCs w:val="21"/>
                <w:u w:val="none"/>
              </w:rPr>
            </w:pPr>
          </w:p>
        </w:tc>
        <w:tc>
          <w:tcPr>
            <w:tcW w:w="3754" w:type="pct"/>
            <w:noWrap w:val="0"/>
            <w:vAlign w:val="center"/>
          </w:tcPr>
          <w:p w14:paraId="09EC14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10、兼容性要求</w:t>
            </w:r>
          </w:p>
          <w:p w14:paraId="278B28F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支持C86、ARM等国产处理器，并提供相关获得互认证书；支持主流国产操作系统提供包括但不限于麒麟、统信操作系统的兼容互认证证明；</w:t>
            </w:r>
          </w:p>
        </w:tc>
      </w:tr>
      <w:tr w14:paraId="6269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F7D7F3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99B00E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7675D01">
            <w:pPr>
              <w:jc w:val="center"/>
              <w:rPr>
                <w:rFonts w:hint="eastAsia" w:ascii="宋体" w:hAnsi="宋体" w:eastAsia="宋体" w:cs="宋体"/>
                <w:i w:val="0"/>
                <w:iCs w:val="0"/>
                <w:color w:val="auto"/>
                <w:sz w:val="21"/>
                <w:szCs w:val="21"/>
                <w:u w:val="none"/>
              </w:rPr>
            </w:pPr>
          </w:p>
        </w:tc>
        <w:tc>
          <w:tcPr>
            <w:tcW w:w="3754" w:type="pct"/>
            <w:noWrap w:val="0"/>
            <w:vAlign w:val="center"/>
          </w:tcPr>
          <w:p w14:paraId="043ABD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11、分区</w:t>
            </w:r>
          </w:p>
          <w:p w14:paraId="5F62F9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支持一级分区表（HASH/LIST/RANGE）及二级分区，可对分区进行管理。</w:t>
            </w:r>
          </w:p>
        </w:tc>
      </w:tr>
      <w:tr w14:paraId="0363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2E7CAB16">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CCEAFA8">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DAD6AE3">
            <w:pPr>
              <w:jc w:val="center"/>
              <w:rPr>
                <w:rFonts w:hint="eastAsia" w:ascii="宋体" w:hAnsi="宋体" w:eastAsia="宋体" w:cs="宋体"/>
                <w:i w:val="0"/>
                <w:iCs w:val="0"/>
                <w:color w:val="auto"/>
                <w:sz w:val="21"/>
                <w:szCs w:val="21"/>
                <w:u w:val="none"/>
              </w:rPr>
            </w:pPr>
          </w:p>
        </w:tc>
        <w:tc>
          <w:tcPr>
            <w:tcW w:w="3754" w:type="pct"/>
            <w:noWrap w:val="0"/>
            <w:vAlign w:val="center"/>
          </w:tcPr>
          <w:p w14:paraId="4CAB163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12、安全</w:t>
            </w:r>
          </w:p>
          <w:p w14:paraId="1164E90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支持数据库审计，可记录应用和用户在数据库内的所有操作，并支持对分布式节点审计日志的集中查询，支持对审计规则进行配置；</w:t>
            </w:r>
          </w:p>
          <w:p w14:paraId="5F471D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支持通讯加密和存储加密，数据加密支持国密算法；</w:t>
            </w:r>
          </w:p>
        </w:tc>
      </w:tr>
      <w:tr w14:paraId="0C0F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0FCD50A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FE556AA">
            <w:pPr>
              <w:jc w:val="center"/>
              <w:rPr>
                <w:rFonts w:hint="eastAsia" w:ascii="宋体" w:hAnsi="宋体" w:eastAsia="宋体" w:cs="宋体"/>
                <w:i w:val="0"/>
                <w:iCs w:val="0"/>
                <w:color w:val="auto"/>
                <w:sz w:val="21"/>
                <w:szCs w:val="21"/>
                <w:u w:val="none"/>
              </w:rPr>
            </w:pPr>
          </w:p>
        </w:tc>
        <w:tc>
          <w:tcPr>
            <w:tcW w:w="512" w:type="pct"/>
            <w:vMerge w:val="restart"/>
            <w:noWrap w:val="0"/>
            <w:vAlign w:val="center"/>
          </w:tcPr>
          <w:p w14:paraId="00AB80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数据库运维管理</w:t>
            </w:r>
          </w:p>
        </w:tc>
        <w:tc>
          <w:tcPr>
            <w:tcW w:w="3754" w:type="pct"/>
            <w:noWrap w:val="0"/>
            <w:vAlign w:val="center"/>
          </w:tcPr>
          <w:p w14:paraId="05CB0C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13、运维</w:t>
            </w:r>
          </w:p>
          <w:p w14:paraId="3C0A63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提供图形化运维管控界面，提供集群监控工具，提供管理控制台统一图形化的手动切换功能，可以对数据库的各项功能进行集中式统一管理。</w:t>
            </w:r>
          </w:p>
        </w:tc>
      </w:tr>
      <w:tr w14:paraId="7100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732104E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1E3B177">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EE4DEA6">
            <w:pPr>
              <w:jc w:val="center"/>
              <w:rPr>
                <w:rFonts w:hint="eastAsia" w:ascii="宋体" w:hAnsi="宋体" w:eastAsia="宋体" w:cs="宋体"/>
                <w:i w:val="0"/>
                <w:iCs w:val="0"/>
                <w:color w:val="auto"/>
                <w:sz w:val="21"/>
                <w:szCs w:val="21"/>
                <w:u w:val="none"/>
              </w:rPr>
            </w:pPr>
          </w:p>
        </w:tc>
        <w:tc>
          <w:tcPr>
            <w:tcW w:w="3754" w:type="pct"/>
            <w:noWrap w:val="0"/>
            <w:vAlign w:val="center"/>
          </w:tcPr>
          <w:p w14:paraId="20268B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14、数据库迁移工具</w:t>
            </w:r>
          </w:p>
          <w:p w14:paraId="39F0BE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包括数据库迁移工具、异构数据库迁移评估工具、数据同步工具。评估工具可输出对应的结果或报告，迁移工具可对迁移结构进行比对和校验，数据同步可支持DDL和DML的同步，支持全量同步和增量同步。</w:t>
            </w:r>
          </w:p>
        </w:tc>
      </w:tr>
      <w:tr w14:paraId="118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BC15D7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C4780C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C4AD684">
            <w:pPr>
              <w:jc w:val="center"/>
              <w:rPr>
                <w:rFonts w:hint="eastAsia" w:ascii="宋体" w:hAnsi="宋体" w:eastAsia="宋体" w:cs="宋体"/>
                <w:i w:val="0"/>
                <w:iCs w:val="0"/>
                <w:color w:val="auto"/>
                <w:sz w:val="21"/>
                <w:szCs w:val="21"/>
                <w:u w:val="none"/>
              </w:rPr>
            </w:pPr>
          </w:p>
        </w:tc>
        <w:tc>
          <w:tcPr>
            <w:tcW w:w="3754" w:type="pct"/>
            <w:noWrap w:val="0"/>
            <w:vAlign w:val="center"/>
          </w:tcPr>
          <w:p w14:paraId="2DEEBC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15、在线版本升级：支持实例间及实例内灰度升级，同时可实现版本回滚，避免重新部署数据库。</w:t>
            </w:r>
          </w:p>
        </w:tc>
      </w:tr>
      <w:tr w14:paraId="696A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9F0FA9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F698728">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52BF354">
            <w:pPr>
              <w:jc w:val="center"/>
              <w:rPr>
                <w:rFonts w:hint="eastAsia" w:ascii="宋体" w:hAnsi="宋体" w:eastAsia="宋体" w:cs="宋体"/>
                <w:i w:val="0"/>
                <w:iCs w:val="0"/>
                <w:color w:val="auto"/>
                <w:sz w:val="21"/>
                <w:szCs w:val="21"/>
                <w:u w:val="none"/>
              </w:rPr>
            </w:pPr>
          </w:p>
        </w:tc>
        <w:tc>
          <w:tcPr>
            <w:tcW w:w="3754" w:type="pct"/>
            <w:noWrap w:val="0"/>
            <w:vAlign w:val="center"/>
          </w:tcPr>
          <w:p w14:paraId="4158FF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16、告警信息：支持告警、告警日志和错误日志。告警策略可配置和定制化，支持机器硬件资源监控告警，及修改告警阈值，可对接短息、邮件等告警方式。</w:t>
            </w:r>
          </w:p>
        </w:tc>
      </w:tr>
      <w:tr w14:paraId="78B5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84E053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675C26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27B5BE8">
            <w:pPr>
              <w:jc w:val="center"/>
              <w:rPr>
                <w:rFonts w:hint="eastAsia" w:ascii="宋体" w:hAnsi="宋体" w:eastAsia="宋体" w:cs="宋体"/>
                <w:i w:val="0"/>
                <w:iCs w:val="0"/>
                <w:color w:val="auto"/>
                <w:sz w:val="21"/>
                <w:szCs w:val="21"/>
                <w:u w:val="none"/>
              </w:rPr>
            </w:pPr>
          </w:p>
        </w:tc>
        <w:tc>
          <w:tcPr>
            <w:tcW w:w="3754" w:type="pct"/>
            <w:noWrap w:val="0"/>
            <w:vAlign w:val="center"/>
          </w:tcPr>
          <w:p w14:paraId="133B1B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17、提供数据库集群运行监控指标，系统指标，数据库指标等</w:t>
            </w:r>
          </w:p>
        </w:tc>
      </w:tr>
      <w:tr w14:paraId="002B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5D2F18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85A98F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262EEA3">
            <w:pPr>
              <w:jc w:val="center"/>
              <w:rPr>
                <w:rFonts w:hint="eastAsia" w:ascii="宋体" w:hAnsi="宋体" w:eastAsia="宋体" w:cs="宋体"/>
                <w:i w:val="0"/>
                <w:iCs w:val="0"/>
                <w:color w:val="auto"/>
                <w:sz w:val="21"/>
                <w:szCs w:val="21"/>
                <w:u w:val="none"/>
              </w:rPr>
            </w:pPr>
          </w:p>
        </w:tc>
        <w:tc>
          <w:tcPr>
            <w:tcW w:w="3754" w:type="pct"/>
            <w:noWrap w:val="0"/>
            <w:vAlign w:val="center"/>
          </w:tcPr>
          <w:p w14:paraId="69F2B9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18、主备数据一致性检测：主备数据一致性检测能做到在线检测主库和备库的表对象和数据是否一致，且不影响应用服务的数据操作。</w:t>
            </w:r>
          </w:p>
        </w:tc>
      </w:tr>
      <w:tr w14:paraId="00EC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619A48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741AC3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521C370">
            <w:pPr>
              <w:jc w:val="center"/>
              <w:rPr>
                <w:rFonts w:hint="eastAsia" w:ascii="宋体" w:hAnsi="宋体" w:eastAsia="宋体" w:cs="宋体"/>
                <w:i w:val="0"/>
                <w:iCs w:val="0"/>
                <w:color w:val="auto"/>
                <w:sz w:val="21"/>
                <w:szCs w:val="21"/>
                <w:u w:val="none"/>
              </w:rPr>
            </w:pPr>
          </w:p>
        </w:tc>
        <w:tc>
          <w:tcPr>
            <w:tcW w:w="3754" w:type="pct"/>
            <w:noWrap w:val="0"/>
            <w:vAlign w:val="center"/>
          </w:tcPr>
          <w:p w14:paraId="2D42B9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19、集群管理：主从例行切换、连接会话管理、主从同步管理、数据迁移、SQL审计、日志分析等。</w:t>
            </w:r>
          </w:p>
        </w:tc>
      </w:tr>
      <w:tr w14:paraId="7C9F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8CF4CC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FF1B007">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E689BE1">
            <w:pPr>
              <w:jc w:val="center"/>
              <w:rPr>
                <w:rFonts w:hint="eastAsia" w:ascii="宋体" w:hAnsi="宋体" w:eastAsia="宋体" w:cs="宋体"/>
                <w:i w:val="0"/>
                <w:iCs w:val="0"/>
                <w:color w:val="auto"/>
                <w:sz w:val="21"/>
                <w:szCs w:val="21"/>
                <w:u w:val="none"/>
              </w:rPr>
            </w:pPr>
          </w:p>
        </w:tc>
        <w:tc>
          <w:tcPr>
            <w:tcW w:w="3754" w:type="pct"/>
            <w:noWrap w:val="0"/>
            <w:vAlign w:val="center"/>
          </w:tcPr>
          <w:p w14:paraId="2AD772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20、资源管理：支持查看集群资源使用情况视图，支持资源自动分配、调度。</w:t>
            </w:r>
          </w:p>
        </w:tc>
      </w:tr>
      <w:tr w14:paraId="22F1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1975161B">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CE5C0DF">
            <w:pPr>
              <w:jc w:val="center"/>
              <w:rPr>
                <w:rFonts w:hint="eastAsia" w:ascii="宋体" w:hAnsi="宋体" w:eastAsia="宋体" w:cs="宋体"/>
                <w:i w:val="0"/>
                <w:iCs w:val="0"/>
                <w:color w:val="auto"/>
                <w:sz w:val="21"/>
                <w:szCs w:val="21"/>
                <w:u w:val="none"/>
              </w:rPr>
            </w:pPr>
          </w:p>
        </w:tc>
        <w:tc>
          <w:tcPr>
            <w:tcW w:w="512" w:type="pct"/>
            <w:vMerge w:val="restart"/>
            <w:noWrap/>
            <w:vAlign w:val="center"/>
          </w:tcPr>
          <w:p w14:paraId="2B9331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数据库服务</w:t>
            </w:r>
          </w:p>
        </w:tc>
        <w:tc>
          <w:tcPr>
            <w:tcW w:w="3754" w:type="pct"/>
            <w:noWrap w:val="0"/>
            <w:vAlign w:val="center"/>
          </w:tcPr>
          <w:p w14:paraId="792D6F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▲21、提供从数据库安装部署完成开始三年内的原厂质保服务，在质保期内提供包含但不限于以下维护服务：版本升级、补丁升级、咨询服务、应急服务、巡检服务、重要日期现场支持服务。</w:t>
            </w:r>
          </w:p>
        </w:tc>
      </w:tr>
      <w:tr w14:paraId="37EB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2" w:type="pct"/>
            <w:vMerge w:val="continue"/>
            <w:noWrap/>
            <w:vAlign w:val="center"/>
          </w:tcPr>
          <w:p w14:paraId="2AA09B9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4C165C4">
            <w:pPr>
              <w:jc w:val="center"/>
              <w:rPr>
                <w:rFonts w:hint="eastAsia" w:ascii="宋体" w:hAnsi="宋体" w:eastAsia="宋体" w:cs="宋体"/>
                <w:i w:val="0"/>
                <w:iCs w:val="0"/>
                <w:color w:val="auto"/>
                <w:sz w:val="21"/>
                <w:szCs w:val="21"/>
                <w:u w:val="none"/>
              </w:rPr>
            </w:pPr>
          </w:p>
        </w:tc>
        <w:tc>
          <w:tcPr>
            <w:tcW w:w="512" w:type="pct"/>
            <w:vMerge w:val="continue"/>
            <w:noWrap/>
            <w:vAlign w:val="center"/>
          </w:tcPr>
          <w:p w14:paraId="646AE800">
            <w:pPr>
              <w:jc w:val="center"/>
              <w:rPr>
                <w:rFonts w:hint="eastAsia" w:ascii="宋体" w:hAnsi="宋体" w:eastAsia="宋体" w:cs="宋体"/>
                <w:i w:val="0"/>
                <w:iCs w:val="0"/>
                <w:color w:val="auto"/>
                <w:sz w:val="21"/>
                <w:szCs w:val="21"/>
                <w:u w:val="none"/>
              </w:rPr>
            </w:pPr>
          </w:p>
        </w:tc>
        <w:tc>
          <w:tcPr>
            <w:tcW w:w="3754" w:type="pct"/>
            <w:noWrap w:val="0"/>
            <w:vAlign w:val="center"/>
          </w:tcPr>
          <w:p w14:paraId="09015F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22、提供从系统上线后开始为期6个月的数据库原厂工程师驻场服务。驻场实施工程师须为所投数据库产品原厂工程师，须具备2年以上的国产分布式数据库运维经验，熟悉数据库运维、调优、备份、问题分析和数据安全、方案设计等；</w:t>
            </w:r>
            <w:r>
              <w:rPr>
                <w:rFonts w:hint="eastAsia" w:ascii="宋体" w:hAnsi="宋体" w:eastAsia="宋体" w:cs="宋体"/>
                <w:b/>
                <w:bCs/>
                <w:i w:val="0"/>
                <w:iCs w:val="0"/>
                <w:color w:val="auto"/>
                <w:kern w:val="0"/>
                <w:sz w:val="21"/>
                <w:szCs w:val="21"/>
                <w:u w:val="none"/>
                <w:lang w:val="en-US" w:eastAsia="zh-CN" w:bidi="ar"/>
              </w:rPr>
              <w:t>人员驻场前提供驻场人员社保证明及相关数据库类认证证书。</w:t>
            </w:r>
          </w:p>
        </w:tc>
      </w:tr>
      <w:tr w14:paraId="1DCE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141D7DD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BCE29B4">
            <w:pPr>
              <w:jc w:val="center"/>
              <w:rPr>
                <w:rFonts w:hint="eastAsia" w:ascii="宋体" w:hAnsi="宋体" w:eastAsia="宋体" w:cs="宋体"/>
                <w:i w:val="0"/>
                <w:iCs w:val="0"/>
                <w:color w:val="auto"/>
                <w:sz w:val="21"/>
                <w:szCs w:val="21"/>
                <w:u w:val="none"/>
              </w:rPr>
            </w:pPr>
          </w:p>
        </w:tc>
        <w:tc>
          <w:tcPr>
            <w:tcW w:w="512" w:type="pct"/>
            <w:vMerge w:val="continue"/>
            <w:noWrap/>
            <w:vAlign w:val="center"/>
          </w:tcPr>
          <w:p w14:paraId="672DAC75">
            <w:pPr>
              <w:jc w:val="center"/>
              <w:rPr>
                <w:rFonts w:hint="eastAsia" w:ascii="宋体" w:hAnsi="宋体" w:eastAsia="宋体" w:cs="宋体"/>
                <w:i w:val="0"/>
                <w:iCs w:val="0"/>
                <w:color w:val="auto"/>
                <w:sz w:val="21"/>
                <w:szCs w:val="21"/>
                <w:u w:val="none"/>
              </w:rPr>
            </w:pPr>
          </w:p>
        </w:tc>
        <w:tc>
          <w:tcPr>
            <w:tcW w:w="3754" w:type="pct"/>
            <w:noWrap w:val="0"/>
            <w:vAlign w:val="center"/>
          </w:tcPr>
          <w:p w14:paraId="015999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数据库原厂商提供的驻场服务内容包含且不限于：日常咨询服务；体系规范服务，包括数据库开发、运维、变更等规范；开发支持服务，包括数据库上线和变更审核、性能优化、业务适配、数据异常恢复等；架构支持服务，包括资源规划、容灾规划、读写分离架构支持等；数据安全服务，包括网络限制、数据库权限管控、数据/日志备份、备份和容灾演练等；</w:t>
            </w:r>
          </w:p>
        </w:tc>
      </w:tr>
      <w:tr w14:paraId="3C3E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2" w:type="pct"/>
            <w:vMerge w:val="continue"/>
            <w:noWrap/>
            <w:vAlign w:val="center"/>
          </w:tcPr>
          <w:p w14:paraId="7649162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09164BC">
            <w:pPr>
              <w:jc w:val="center"/>
              <w:rPr>
                <w:rFonts w:hint="eastAsia" w:ascii="宋体" w:hAnsi="宋体" w:eastAsia="宋体" w:cs="宋体"/>
                <w:i w:val="0"/>
                <w:iCs w:val="0"/>
                <w:color w:val="auto"/>
                <w:sz w:val="21"/>
                <w:szCs w:val="21"/>
                <w:u w:val="none"/>
              </w:rPr>
            </w:pPr>
          </w:p>
        </w:tc>
        <w:tc>
          <w:tcPr>
            <w:tcW w:w="512" w:type="pct"/>
            <w:vMerge w:val="continue"/>
            <w:noWrap/>
            <w:vAlign w:val="center"/>
          </w:tcPr>
          <w:p w14:paraId="5E5AED4F">
            <w:pPr>
              <w:jc w:val="center"/>
              <w:rPr>
                <w:rFonts w:hint="eastAsia" w:ascii="宋体" w:hAnsi="宋体" w:eastAsia="宋体" w:cs="宋体"/>
                <w:i w:val="0"/>
                <w:iCs w:val="0"/>
                <w:color w:val="auto"/>
                <w:sz w:val="21"/>
                <w:szCs w:val="21"/>
                <w:u w:val="none"/>
              </w:rPr>
            </w:pPr>
          </w:p>
        </w:tc>
        <w:tc>
          <w:tcPr>
            <w:tcW w:w="3754" w:type="pct"/>
            <w:noWrap w:val="0"/>
            <w:vAlign w:val="center"/>
          </w:tcPr>
          <w:p w14:paraId="1A09CD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数据库原厂商在本项目质保期内提供7x24小时免费技术支持服务；根据不同事件故障的级别，5分钟内响应采购人的维修维护请求，紧急故障1小时之内提出解决方案，重大问题2小时之内提出解决方案，一般问题2个工作日之内予以解决；要求数据库原厂商在驻场人员和通过远程技术支持方式无法解决时候，按照不同故障级别派出技术人员在约定时间内到达现场处理。对于系统崩溃或系统不能正常运行等紧急问题的，要求数据库原厂商技术人员2小时内抵达并在4小时内解决故障。对于重大问题，要求投标人及数据库原厂商技术人员在4小时内抵达并6小时内解决。对于一般性故障，要求投标人及数据库原厂商在6小时内抵达并在8小时内解决。</w:t>
            </w:r>
          </w:p>
        </w:tc>
      </w:tr>
      <w:tr w14:paraId="09AA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3A449F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942" w:type="pct"/>
            <w:gridSpan w:val="2"/>
            <w:vMerge w:val="restart"/>
            <w:noWrap/>
            <w:vAlign w:val="center"/>
          </w:tcPr>
          <w:p w14:paraId="6D281C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云管平台</w:t>
            </w:r>
          </w:p>
        </w:tc>
        <w:tc>
          <w:tcPr>
            <w:tcW w:w="3754" w:type="pct"/>
            <w:noWrap w:val="0"/>
            <w:vAlign w:val="center"/>
          </w:tcPr>
          <w:p w14:paraId="29A7ED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1、云平台为国产自研产品，具备自主知识产权，提供国家版权局颁发的《计算机软件著作权登记证书》证明</w:t>
            </w:r>
          </w:p>
        </w:tc>
      </w:tr>
      <w:tr w14:paraId="319C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1AE4DE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F9CC462">
            <w:pPr>
              <w:jc w:val="center"/>
              <w:rPr>
                <w:rFonts w:hint="eastAsia" w:ascii="宋体" w:hAnsi="宋体" w:eastAsia="宋体" w:cs="宋体"/>
                <w:i w:val="0"/>
                <w:iCs w:val="0"/>
                <w:color w:val="auto"/>
                <w:sz w:val="21"/>
                <w:szCs w:val="21"/>
                <w:u w:val="none"/>
              </w:rPr>
            </w:pPr>
          </w:p>
        </w:tc>
        <w:tc>
          <w:tcPr>
            <w:tcW w:w="3754" w:type="pct"/>
            <w:noWrap w:val="0"/>
            <w:vAlign w:val="center"/>
          </w:tcPr>
          <w:p w14:paraId="683E0A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▲2、配置≥80颗物理CPU虚拟化软件授权；</w:t>
            </w:r>
          </w:p>
        </w:tc>
      </w:tr>
      <w:tr w14:paraId="6128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76950C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497FC12">
            <w:pPr>
              <w:jc w:val="center"/>
              <w:rPr>
                <w:rFonts w:hint="eastAsia" w:ascii="宋体" w:hAnsi="宋体" w:eastAsia="宋体" w:cs="宋体"/>
                <w:i w:val="0"/>
                <w:iCs w:val="0"/>
                <w:color w:val="auto"/>
                <w:sz w:val="21"/>
                <w:szCs w:val="21"/>
                <w:u w:val="none"/>
              </w:rPr>
            </w:pPr>
          </w:p>
        </w:tc>
        <w:tc>
          <w:tcPr>
            <w:tcW w:w="3754" w:type="pct"/>
            <w:noWrap w:val="0"/>
            <w:vAlign w:val="center"/>
          </w:tcPr>
          <w:p w14:paraId="3D9456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▲3、配置≥120颗物理CPU云管平台授权；</w:t>
            </w:r>
          </w:p>
        </w:tc>
      </w:tr>
      <w:tr w14:paraId="6F1C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E334E6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EFB2DFC">
            <w:pPr>
              <w:jc w:val="center"/>
              <w:rPr>
                <w:rFonts w:hint="eastAsia" w:ascii="宋体" w:hAnsi="宋体" w:eastAsia="宋体" w:cs="宋体"/>
                <w:i w:val="0"/>
                <w:iCs w:val="0"/>
                <w:color w:val="auto"/>
                <w:sz w:val="21"/>
                <w:szCs w:val="21"/>
                <w:u w:val="none"/>
              </w:rPr>
            </w:pPr>
          </w:p>
        </w:tc>
        <w:tc>
          <w:tcPr>
            <w:tcW w:w="3754" w:type="pct"/>
            <w:noWrap w:val="0"/>
            <w:vAlign w:val="center"/>
          </w:tcPr>
          <w:p w14:paraId="05AFBB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▲4、配置≥200台虚拟机容灾备份授权；</w:t>
            </w:r>
          </w:p>
        </w:tc>
      </w:tr>
      <w:tr w14:paraId="0FBC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10283E5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F824CFA">
            <w:pPr>
              <w:jc w:val="center"/>
              <w:rPr>
                <w:rFonts w:hint="eastAsia" w:ascii="宋体" w:hAnsi="宋体" w:eastAsia="宋体" w:cs="宋体"/>
                <w:i w:val="0"/>
                <w:iCs w:val="0"/>
                <w:color w:val="auto"/>
                <w:sz w:val="21"/>
                <w:szCs w:val="21"/>
                <w:u w:val="none"/>
              </w:rPr>
            </w:pPr>
          </w:p>
        </w:tc>
        <w:tc>
          <w:tcPr>
            <w:tcW w:w="3754" w:type="pct"/>
            <w:noWrap w:val="0"/>
            <w:vAlign w:val="center"/>
          </w:tcPr>
          <w:p w14:paraId="3C0609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5、提供计算虚拟化、存储虚拟化、网络虚拟化、虚拟化容灾备份、运营管理和多云及虚拟化平台纳管功能，支持对本次采购的虚拟化系统的纳管。</w:t>
            </w:r>
          </w:p>
        </w:tc>
      </w:tr>
      <w:tr w14:paraId="748C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495D69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4185D7C">
            <w:pPr>
              <w:jc w:val="center"/>
              <w:rPr>
                <w:rFonts w:hint="eastAsia" w:ascii="宋体" w:hAnsi="宋体" w:eastAsia="宋体" w:cs="宋体"/>
                <w:i w:val="0"/>
                <w:iCs w:val="0"/>
                <w:color w:val="auto"/>
                <w:sz w:val="21"/>
                <w:szCs w:val="21"/>
                <w:u w:val="none"/>
              </w:rPr>
            </w:pPr>
          </w:p>
        </w:tc>
        <w:tc>
          <w:tcPr>
            <w:tcW w:w="3754" w:type="pct"/>
            <w:noWrap w:val="0"/>
            <w:vAlign w:val="center"/>
          </w:tcPr>
          <w:p w14:paraId="141851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6、支持主流的ARM/C86架构的物理机，支持国产主流信创操作系统。</w:t>
            </w:r>
          </w:p>
        </w:tc>
      </w:tr>
      <w:tr w14:paraId="7E66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163C08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79BA24E">
            <w:pPr>
              <w:jc w:val="center"/>
              <w:rPr>
                <w:rFonts w:hint="eastAsia" w:ascii="宋体" w:hAnsi="宋体" w:eastAsia="宋体" w:cs="宋体"/>
                <w:i w:val="0"/>
                <w:iCs w:val="0"/>
                <w:color w:val="auto"/>
                <w:sz w:val="21"/>
                <w:szCs w:val="21"/>
                <w:u w:val="none"/>
              </w:rPr>
            </w:pPr>
          </w:p>
        </w:tc>
        <w:tc>
          <w:tcPr>
            <w:tcW w:w="3754" w:type="pct"/>
            <w:noWrap w:val="0"/>
            <w:vAlign w:val="center"/>
          </w:tcPr>
          <w:p w14:paraId="0EE5EA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7、相关算法符合国密要求；如产品未达到国密要求，投标厂商需自行配置符合相关国密算法硬件设备。</w:t>
            </w:r>
          </w:p>
        </w:tc>
      </w:tr>
      <w:tr w14:paraId="2ED6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A016A7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3BB664B">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004CEB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8、云主机管理</w:t>
            </w:r>
          </w:p>
          <w:p w14:paraId="3C1C38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支持采用多种策略创建云主机和批量创建云主机；</w:t>
            </w:r>
          </w:p>
          <w:p w14:paraId="06E8DC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支持创建、停止、启动、重启、关闭电源、删除、暂停、恢复等基本生命周期控制；</w:t>
            </w:r>
          </w:p>
          <w:p w14:paraId="3D9B46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支持云主机的启动顺序调整；</w:t>
            </w:r>
          </w:p>
          <w:p w14:paraId="7336465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支持云资源回收站，当云资源被删除后，将移入回收站，提供恢复和确认销毁；</w:t>
            </w:r>
          </w:p>
          <w:p w14:paraId="14AC93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支持所有主存储类型上的云主机进行在线迁移；</w:t>
            </w:r>
          </w:p>
          <w:p w14:paraId="519C01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支持在线修改云主机CPU/内存配置；</w:t>
            </w:r>
          </w:p>
          <w:p w14:paraId="2878C0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支持动态资源调度，支持以集群为单位监控物理机CPU或内存负载情况；</w:t>
            </w:r>
          </w:p>
          <w:p w14:paraId="4259ACE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支持云主机高可用，当物理机发生故障时，云主机会自动重启；</w:t>
            </w:r>
          </w:p>
        </w:tc>
      </w:tr>
      <w:tr w14:paraId="2FBD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5CD7F1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9CA4568">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08EF305">
            <w:pPr>
              <w:rPr>
                <w:rFonts w:hint="eastAsia" w:ascii="宋体" w:hAnsi="宋体" w:eastAsia="宋体" w:cs="宋体"/>
                <w:i w:val="0"/>
                <w:iCs w:val="0"/>
                <w:color w:val="auto"/>
                <w:sz w:val="21"/>
                <w:szCs w:val="21"/>
                <w:u w:val="none"/>
              </w:rPr>
            </w:pPr>
          </w:p>
        </w:tc>
      </w:tr>
      <w:tr w14:paraId="367C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 w:type="pct"/>
            <w:vMerge w:val="continue"/>
            <w:noWrap/>
            <w:vAlign w:val="center"/>
          </w:tcPr>
          <w:p w14:paraId="7636641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53F618D">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6D6166EE">
            <w:pPr>
              <w:rPr>
                <w:rFonts w:hint="eastAsia" w:ascii="宋体" w:hAnsi="宋体" w:eastAsia="宋体" w:cs="宋体"/>
                <w:i w:val="0"/>
                <w:iCs w:val="0"/>
                <w:color w:val="auto"/>
                <w:sz w:val="21"/>
                <w:szCs w:val="21"/>
                <w:u w:val="none"/>
              </w:rPr>
            </w:pPr>
          </w:p>
        </w:tc>
      </w:tr>
      <w:tr w14:paraId="653C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B251F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E1E5E9F">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C717503">
            <w:pPr>
              <w:rPr>
                <w:rFonts w:hint="eastAsia" w:ascii="宋体" w:hAnsi="宋体" w:eastAsia="宋体" w:cs="宋体"/>
                <w:i w:val="0"/>
                <w:iCs w:val="0"/>
                <w:color w:val="auto"/>
                <w:sz w:val="21"/>
                <w:szCs w:val="21"/>
                <w:u w:val="none"/>
              </w:rPr>
            </w:pPr>
          </w:p>
        </w:tc>
      </w:tr>
      <w:tr w14:paraId="2D39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DE5A35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E1E7C18">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2D204122">
            <w:pPr>
              <w:rPr>
                <w:rFonts w:hint="eastAsia" w:ascii="宋体" w:hAnsi="宋体" w:eastAsia="宋体" w:cs="宋体"/>
                <w:i w:val="0"/>
                <w:iCs w:val="0"/>
                <w:color w:val="auto"/>
                <w:sz w:val="21"/>
                <w:szCs w:val="21"/>
                <w:u w:val="none"/>
              </w:rPr>
            </w:pPr>
          </w:p>
        </w:tc>
      </w:tr>
      <w:tr w14:paraId="5A86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AF73CA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0AA5157">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6B02BE9">
            <w:pPr>
              <w:rPr>
                <w:rFonts w:hint="eastAsia" w:ascii="宋体" w:hAnsi="宋体" w:eastAsia="宋体" w:cs="宋体"/>
                <w:i w:val="0"/>
                <w:iCs w:val="0"/>
                <w:color w:val="auto"/>
                <w:sz w:val="21"/>
                <w:szCs w:val="21"/>
                <w:u w:val="none"/>
              </w:rPr>
            </w:pPr>
          </w:p>
        </w:tc>
      </w:tr>
      <w:tr w14:paraId="7BC8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36F256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2135946">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809BCE1">
            <w:pPr>
              <w:rPr>
                <w:rFonts w:hint="eastAsia" w:ascii="宋体" w:hAnsi="宋体" w:eastAsia="宋体" w:cs="宋体"/>
                <w:i w:val="0"/>
                <w:iCs w:val="0"/>
                <w:color w:val="auto"/>
                <w:sz w:val="21"/>
                <w:szCs w:val="21"/>
                <w:u w:val="none"/>
              </w:rPr>
            </w:pPr>
          </w:p>
        </w:tc>
      </w:tr>
      <w:tr w14:paraId="4214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227B9A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A0CA884">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64527F4C">
            <w:pPr>
              <w:rPr>
                <w:rFonts w:hint="eastAsia" w:ascii="宋体" w:hAnsi="宋体" w:eastAsia="宋体" w:cs="宋体"/>
                <w:i w:val="0"/>
                <w:iCs w:val="0"/>
                <w:color w:val="auto"/>
                <w:sz w:val="21"/>
                <w:szCs w:val="21"/>
                <w:u w:val="none"/>
              </w:rPr>
            </w:pPr>
          </w:p>
        </w:tc>
      </w:tr>
      <w:tr w14:paraId="0A11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02" w:type="pct"/>
            <w:vMerge w:val="continue"/>
            <w:noWrap/>
            <w:vAlign w:val="center"/>
          </w:tcPr>
          <w:p w14:paraId="543331C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09ADC2D">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3E4CA9D">
            <w:pPr>
              <w:rPr>
                <w:rFonts w:hint="eastAsia" w:ascii="宋体" w:hAnsi="宋体" w:eastAsia="宋体" w:cs="宋体"/>
                <w:i w:val="0"/>
                <w:iCs w:val="0"/>
                <w:color w:val="auto"/>
                <w:sz w:val="21"/>
                <w:szCs w:val="21"/>
                <w:u w:val="none"/>
              </w:rPr>
            </w:pPr>
          </w:p>
        </w:tc>
      </w:tr>
      <w:tr w14:paraId="4FC8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2E8ABA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2083B09">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103FCE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9、弹性伸缩</w:t>
            </w:r>
          </w:p>
          <w:p w14:paraId="69D6BE3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支持设置弹性伸缩策略，支持自定义触发条目、触发条件、持续时间、冷却时间、云主机移除策略、每次减少数量的缩容策略和每次增加数量的扩容策略；</w:t>
            </w:r>
          </w:p>
          <w:p w14:paraId="20A2B74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支持根据云主机外部/内部监控条目CPU使用率、内存使用率触发弹性伸缩；</w:t>
            </w:r>
          </w:p>
          <w:p w14:paraId="539EDC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支持弹性伸缩消息通知；</w:t>
            </w:r>
          </w:p>
        </w:tc>
      </w:tr>
      <w:tr w14:paraId="5840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6E2284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B45370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6E6E310">
            <w:pPr>
              <w:rPr>
                <w:rFonts w:hint="eastAsia" w:ascii="宋体" w:hAnsi="宋体" w:eastAsia="宋体" w:cs="宋体"/>
                <w:i w:val="0"/>
                <w:iCs w:val="0"/>
                <w:color w:val="auto"/>
                <w:sz w:val="21"/>
                <w:szCs w:val="21"/>
                <w:u w:val="none"/>
              </w:rPr>
            </w:pPr>
          </w:p>
        </w:tc>
      </w:tr>
      <w:tr w14:paraId="63FC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AB0214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C2166F9">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644D2E3">
            <w:pPr>
              <w:rPr>
                <w:rFonts w:hint="eastAsia" w:ascii="宋体" w:hAnsi="宋体" w:eastAsia="宋体" w:cs="宋体"/>
                <w:i w:val="0"/>
                <w:iCs w:val="0"/>
                <w:color w:val="auto"/>
                <w:sz w:val="21"/>
                <w:szCs w:val="21"/>
                <w:u w:val="none"/>
              </w:rPr>
            </w:pPr>
          </w:p>
        </w:tc>
      </w:tr>
      <w:tr w14:paraId="4307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02" w:type="pct"/>
            <w:vMerge w:val="continue"/>
            <w:noWrap/>
            <w:vAlign w:val="center"/>
          </w:tcPr>
          <w:p w14:paraId="56BDB28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40226A1">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6F9A454">
            <w:pPr>
              <w:rPr>
                <w:rFonts w:hint="eastAsia" w:ascii="宋体" w:hAnsi="宋体" w:eastAsia="宋体" w:cs="宋体"/>
                <w:i w:val="0"/>
                <w:iCs w:val="0"/>
                <w:color w:val="auto"/>
                <w:sz w:val="21"/>
                <w:szCs w:val="21"/>
                <w:u w:val="none"/>
              </w:rPr>
            </w:pPr>
          </w:p>
        </w:tc>
      </w:tr>
      <w:tr w14:paraId="7040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96D5E6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2721FCF">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785752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10、虚拟化</w:t>
            </w:r>
          </w:p>
          <w:p w14:paraId="3776BF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支持对服务器、存储和网络进行虚拟化的功能；</w:t>
            </w:r>
          </w:p>
          <w:p w14:paraId="516C8FE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支持ARM/C86等多种CPU架构体系国产CPU；</w:t>
            </w:r>
          </w:p>
          <w:p w14:paraId="3D056C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网络虚拟化：云平台具备纯软SDN以及SDN控制器外接能力；</w:t>
            </w:r>
          </w:p>
          <w:p w14:paraId="58CD9C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云平台具需要支持安全组、负载均衡、虚拟防火墙、端口转发、虚拟IP、端口镜像；</w:t>
            </w:r>
          </w:p>
          <w:p w14:paraId="24E29F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支持扁平网络和VPC网络多种网络架构；</w:t>
            </w:r>
          </w:p>
        </w:tc>
      </w:tr>
      <w:tr w14:paraId="4CB9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371CFC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AECF00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7F906C1">
            <w:pPr>
              <w:rPr>
                <w:rFonts w:hint="eastAsia" w:ascii="宋体" w:hAnsi="宋体" w:eastAsia="宋体" w:cs="宋体"/>
                <w:i w:val="0"/>
                <w:iCs w:val="0"/>
                <w:color w:val="auto"/>
                <w:sz w:val="21"/>
                <w:szCs w:val="21"/>
                <w:u w:val="none"/>
              </w:rPr>
            </w:pPr>
          </w:p>
        </w:tc>
      </w:tr>
      <w:tr w14:paraId="2738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F4981A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6835E1D">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03A747A">
            <w:pPr>
              <w:rPr>
                <w:rFonts w:hint="eastAsia" w:ascii="宋体" w:hAnsi="宋体" w:eastAsia="宋体" w:cs="宋体"/>
                <w:i w:val="0"/>
                <w:iCs w:val="0"/>
                <w:color w:val="auto"/>
                <w:sz w:val="21"/>
                <w:szCs w:val="21"/>
                <w:u w:val="none"/>
              </w:rPr>
            </w:pPr>
          </w:p>
        </w:tc>
      </w:tr>
      <w:tr w14:paraId="5D1C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D46D64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292AD7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24CA8283">
            <w:pPr>
              <w:rPr>
                <w:rFonts w:hint="eastAsia" w:ascii="宋体" w:hAnsi="宋体" w:eastAsia="宋体" w:cs="宋体"/>
                <w:i w:val="0"/>
                <w:iCs w:val="0"/>
                <w:color w:val="auto"/>
                <w:sz w:val="21"/>
                <w:szCs w:val="21"/>
                <w:u w:val="none"/>
              </w:rPr>
            </w:pPr>
          </w:p>
        </w:tc>
      </w:tr>
      <w:tr w14:paraId="7B95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8246C6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F0EE700">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D11597C">
            <w:pPr>
              <w:rPr>
                <w:rFonts w:hint="eastAsia" w:ascii="宋体" w:hAnsi="宋体" w:eastAsia="宋体" w:cs="宋体"/>
                <w:i w:val="0"/>
                <w:iCs w:val="0"/>
                <w:color w:val="auto"/>
                <w:sz w:val="21"/>
                <w:szCs w:val="21"/>
                <w:u w:val="none"/>
              </w:rPr>
            </w:pPr>
          </w:p>
        </w:tc>
      </w:tr>
      <w:tr w14:paraId="6C2F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A21C8E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171A05D">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E4DB1FB">
            <w:pPr>
              <w:rPr>
                <w:rFonts w:hint="eastAsia" w:ascii="宋体" w:hAnsi="宋体" w:eastAsia="宋体" w:cs="宋体"/>
                <w:i w:val="0"/>
                <w:iCs w:val="0"/>
                <w:color w:val="auto"/>
                <w:sz w:val="21"/>
                <w:szCs w:val="21"/>
                <w:u w:val="none"/>
              </w:rPr>
            </w:pPr>
          </w:p>
        </w:tc>
      </w:tr>
      <w:tr w14:paraId="534D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B168F3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0B97700">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20B75B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11、存储管理</w:t>
            </w:r>
          </w:p>
          <w:p w14:paraId="434BD1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支持对接主流存储，云平台支持对接本地存储、NFS存储、共享存储、分布式存储等后端存储；</w:t>
            </w:r>
          </w:p>
          <w:p w14:paraId="3FE3D54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支持对计算规格或云盘规格进行参数配置，实现不同类型磁盘的属性区分；</w:t>
            </w:r>
          </w:p>
          <w:p w14:paraId="001060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支持云盘规格的创建、启用、停用、全局共享、全局召回、删除；</w:t>
            </w:r>
          </w:p>
        </w:tc>
      </w:tr>
      <w:tr w14:paraId="3CE7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4FCAFB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4484597">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B222D02">
            <w:pPr>
              <w:rPr>
                <w:rFonts w:hint="eastAsia" w:ascii="宋体" w:hAnsi="宋体" w:eastAsia="宋体" w:cs="宋体"/>
                <w:i w:val="0"/>
                <w:iCs w:val="0"/>
                <w:color w:val="auto"/>
                <w:sz w:val="21"/>
                <w:szCs w:val="21"/>
                <w:u w:val="none"/>
              </w:rPr>
            </w:pPr>
          </w:p>
        </w:tc>
      </w:tr>
      <w:tr w14:paraId="53D3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14874E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CAA29E8">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6CE6A1C">
            <w:pPr>
              <w:rPr>
                <w:rFonts w:hint="eastAsia" w:ascii="宋体" w:hAnsi="宋体" w:eastAsia="宋体" w:cs="宋体"/>
                <w:i w:val="0"/>
                <w:iCs w:val="0"/>
                <w:color w:val="auto"/>
                <w:sz w:val="21"/>
                <w:szCs w:val="21"/>
                <w:u w:val="none"/>
              </w:rPr>
            </w:pPr>
          </w:p>
        </w:tc>
      </w:tr>
      <w:tr w14:paraId="1322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9AAE49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8DD0F25">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E07A9A4">
            <w:pPr>
              <w:rPr>
                <w:rFonts w:hint="eastAsia" w:ascii="宋体" w:hAnsi="宋体" w:eastAsia="宋体" w:cs="宋体"/>
                <w:i w:val="0"/>
                <w:iCs w:val="0"/>
                <w:color w:val="auto"/>
                <w:sz w:val="21"/>
                <w:szCs w:val="21"/>
                <w:u w:val="none"/>
              </w:rPr>
            </w:pPr>
          </w:p>
        </w:tc>
      </w:tr>
      <w:tr w14:paraId="6591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9B3156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110A0D7">
            <w:pPr>
              <w:jc w:val="center"/>
              <w:rPr>
                <w:rFonts w:hint="eastAsia" w:ascii="宋体" w:hAnsi="宋体" w:eastAsia="宋体" w:cs="宋体"/>
                <w:i w:val="0"/>
                <w:iCs w:val="0"/>
                <w:color w:val="auto"/>
                <w:sz w:val="21"/>
                <w:szCs w:val="21"/>
                <w:u w:val="none"/>
              </w:rPr>
            </w:pPr>
          </w:p>
        </w:tc>
        <w:tc>
          <w:tcPr>
            <w:tcW w:w="3754" w:type="pct"/>
            <w:noWrap w:val="0"/>
            <w:vAlign w:val="center"/>
          </w:tcPr>
          <w:p w14:paraId="37C084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12、支持云平台从低版本到高版本的无缝升级；</w:t>
            </w:r>
          </w:p>
        </w:tc>
      </w:tr>
      <w:tr w14:paraId="0729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9CBFBC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88EDACD">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55AC7D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13、区域集群管理</w:t>
            </w:r>
          </w:p>
          <w:p w14:paraId="1E8013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支持云平台创建并管理多个区域，每个区域支持创建独立的集群、主存储、网络等资源；</w:t>
            </w:r>
          </w:p>
        </w:tc>
      </w:tr>
      <w:tr w14:paraId="60E6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CCA2D0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B4D4757">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2B420A88">
            <w:pPr>
              <w:rPr>
                <w:rFonts w:hint="eastAsia" w:ascii="宋体" w:hAnsi="宋体" w:eastAsia="宋体" w:cs="宋体"/>
                <w:i w:val="0"/>
                <w:iCs w:val="0"/>
                <w:color w:val="auto"/>
                <w:sz w:val="21"/>
                <w:szCs w:val="21"/>
                <w:u w:val="none"/>
              </w:rPr>
            </w:pPr>
          </w:p>
        </w:tc>
      </w:tr>
      <w:tr w14:paraId="0F1D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C3ED2A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8C9A345">
            <w:pPr>
              <w:jc w:val="center"/>
              <w:rPr>
                <w:rFonts w:hint="eastAsia" w:ascii="宋体" w:hAnsi="宋体" w:eastAsia="宋体" w:cs="宋体"/>
                <w:i w:val="0"/>
                <w:iCs w:val="0"/>
                <w:color w:val="auto"/>
                <w:sz w:val="21"/>
                <w:szCs w:val="21"/>
                <w:u w:val="none"/>
              </w:rPr>
            </w:pPr>
          </w:p>
        </w:tc>
        <w:tc>
          <w:tcPr>
            <w:tcW w:w="3754" w:type="pct"/>
            <w:noWrap w:val="0"/>
            <w:vAlign w:val="center"/>
          </w:tcPr>
          <w:p w14:paraId="339B57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14、支持对集群内管理的云主机实时查看云主机全部CPU使用率、云主机全部内存已用百分比等相关信息。</w:t>
            </w:r>
          </w:p>
        </w:tc>
      </w:tr>
      <w:tr w14:paraId="49BC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7EB408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EDBCF41">
            <w:pPr>
              <w:jc w:val="center"/>
              <w:rPr>
                <w:rFonts w:hint="eastAsia" w:ascii="宋体" w:hAnsi="宋体" w:eastAsia="宋体" w:cs="宋体"/>
                <w:i w:val="0"/>
                <w:iCs w:val="0"/>
                <w:color w:val="auto"/>
                <w:sz w:val="21"/>
                <w:szCs w:val="21"/>
                <w:u w:val="none"/>
              </w:rPr>
            </w:pPr>
          </w:p>
        </w:tc>
        <w:tc>
          <w:tcPr>
            <w:tcW w:w="3754" w:type="pct"/>
            <w:noWrap w:val="0"/>
            <w:vAlign w:val="center"/>
          </w:tcPr>
          <w:p w14:paraId="62F011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15、支持对云主机、路由器、镜像、镜像服务器、系统数据目录、物理机、三层网络、云盘、虚拟IP、主存储、监听器和项目资源等多种监控对象的单个资源或全部资源进行监控；</w:t>
            </w:r>
          </w:p>
        </w:tc>
      </w:tr>
      <w:tr w14:paraId="78B5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688D1E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8E2E027">
            <w:pPr>
              <w:jc w:val="center"/>
              <w:rPr>
                <w:rFonts w:hint="eastAsia" w:ascii="宋体" w:hAnsi="宋体" w:eastAsia="宋体" w:cs="宋体"/>
                <w:i w:val="0"/>
                <w:iCs w:val="0"/>
                <w:color w:val="auto"/>
                <w:sz w:val="21"/>
                <w:szCs w:val="21"/>
                <w:u w:val="none"/>
              </w:rPr>
            </w:pPr>
          </w:p>
        </w:tc>
        <w:tc>
          <w:tcPr>
            <w:tcW w:w="3754" w:type="pct"/>
            <w:noWrap w:val="0"/>
            <w:vAlign w:val="center"/>
          </w:tcPr>
          <w:p w14:paraId="5C0165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16、支持创建报警器自定义报警级别，支持邮件/WEB应用等多种接收端；</w:t>
            </w:r>
          </w:p>
        </w:tc>
      </w:tr>
      <w:tr w14:paraId="23C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ED2028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CA82989">
            <w:pPr>
              <w:jc w:val="center"/>
              <w:rPr>
                <w:rFonts w:hint="eastAsia" w:ascii="宋体" w:hAnsi="宋体" w:eastAsia="宋体" w:cs="宋体"/>
                <w:i w:val="0"/>
                <w:iCs w:val="0"/>
                <w:color w:val="auto"/>
                <w:sz w:val="21"/>
                <w:szCs w:val="21"/>
                <w:u w:val="none"/>
              </w:rPr>
            </w:pPr>
          </w:p>
        </w:tc>
        <w:tc>
          <w:tcPr>
            <w:tcW w:w="3754" w:type="pct"/>
            <w:noWrap w:val="0"/>
            <w:vAlign w:val="center"/>
          </w:tcPr>
          <w:p w14:paraId="6F3F2D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17、支持监控大屏，支持对系统时序数据进行监控，例如云主机内存使用率、物理机CPU使用率等；</w:t>
            </w:r>
          </w:p>
        </w:tc>
      </w:tr>
      <w:tr w14:paraId="439E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27E76F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4A6A1D0">
            <w:pPr>
              <w:jc w:val="center"/>
              <w:rPr>
                <w:rFonts w:hint="eastAsia" w:ascii="宋体" w:hAnsi="宋体" w:eastAsia="宋体" w:cs="宋体"/>
                <w:i w:val="0"/>
                <w:iCs w:val="0"/>
                <w:color w:val="auto"/>
                <w:sz w:val="21"/>
                <w:szCs w:val="21"/>
                <w:u w:val="none"/>
              </w:rPr>
            </w:pPr>
          </w:p>
        </w:tc>
        <w:tc>
          <w:tcPr>
            <w:tcW w:w="3754" w:type="pct"/>
            <w:noWrap w:val="0"/>
            <w:vAlign w:val="center"/>
          </w:tcPr>
          <w:p w14:paraId="5B2215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18、支持动态验证、双因子认证等安全登录方式；</w:t>
            </w:r>
          </w:p>
        </w:tc>
      </w:tr>
      <w:tr w14:paraId="260F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2088EA2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D54197E">
            <w:pPr>
              <w:jc w:val="center"/>
              <w:rPr>
                <w:rFonts w:hint="eastAsia" w:ascii="宋体" w:hAnsi="宋体" w:eastAsia="宋体" w:cs="宋体"/>
                <w:i w:val="0"/>
                <w:iCs w:val="0"/>
                <w:color w:val="auto"/>
                <w:sz w:val="21"/>
                <w:szCs w:val="21"/>
                <w:u w:val="none"/>
              </w:rPr>
            </w:pPr>
          </w:p>
        </w:tc>
        <w:tc>
          <w:tcPr>
            <w:tcW w:w="3754" w:type="pct"/>
            <w:noWrap w:val="0"/>
            <w:vAlign w:val="center"/>
          </w:tcPr>
          <w:p w14:paraId="774BA0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19、支持计算、网络和存储等资源编排，部署包含云硬盘、云网络、安全组的虚拟机。动态监测云资源使用和运行负荷情况，包括云平台物理机数量、云区数量、开通资源情况、云平台告警事件等整体情况监测</w:t>
            </w:r>
          </w:p>
        </w:tc>
      </w:tr>
      <w:tr w14:paraId="33CC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B74A84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49CC2C1">
            <w:pPr>
              <w:jc w:val="center"/>
              <w:rPr>
                <w:rFonts w:hint="eastAsia" w:ascii="宋体" w:hAnsi="宋体" w:eastAsia="宋体" w:cs="宋体"/>
                <w:i w:val="0"/>
                <w:iCs w:val="0"/>
                <w:color w:val="auto"/>
                <w:sz w:val="21"/>
                <w:szCs w:val="21"/>
                <w:u w:val="none"/>
              </w:rPr>
            </w:pPr>
          </w:p>
        </w:tc>
        <w:tc>
          <w:tcPr>
            <w:tcW w:w="3754" w:type="pct"/>
            <w:noWrap w:val="0"/>
            <w:vAlign w:val="center"/>
          </w:tcPr>
          <w:p w14:paraId="1C9B98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20、支持多云纳管，支持多租户分配资源定义管理边界。实现对异构资源环境统一管理，支持对主流的私有云和虚拟化平台进行统一的管理。</w:t>
            </w:r>
          </w:p>
        </w:tc>
      </w:tr>
      <w:tr w14:paraId="5719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5E76FB4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F607D12">
            <w:pPr>
              <w:jc w:val="center"/>
              <w:rPr>
                <w:rFonts w:hint="eastAsia" w:ascii="宋体" w:hAnsi="宋体" w:eastAsia="宋体" w:cs="宋体"/>
                <w:i w:val="0"/>
                <w:iCs w:val="0"/>
                <w:color w:val="auto"/>
                <w:sz w:val="21"/>
                <w:szCs w:val="21"/>
                <w:u w:val="none"/>
              </w:rPr>
            </w:pPr>
          </w:p>
        </w:tc>
        <w:tc>
          <w:tcPr>
            <w:tcW w:w="3754" w:type="pct"/>
            <w:noWrap w:val="0"/>
            <w:vAlign w:val="center"/>
          </w:tcPr>
          <w:p w14:paraId="61C861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21、支持虚拟化站点间异地容灾功能，提供虚拟机粒度的异地容灾方案，不依赖存储本身，可在生产站点发生灾难时，迅速恢复并接管业务，支持容灾故障切换、重新保护、容灾演练等功能；</w:t>
            </w:r>
          </w:p>
        </w:tc>
      </w:tr>
      <w:tr w14:paraId="0729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76CB3F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01C0DC0">
            <w:pPr>
              <w:jc w:val="center"/>
              <w:rPr>
                <w:rFonts w:hint="eastAsia" w:ascii="宋体" w:hAnsi="宋体" w:eastAsia="宋体" w:cs="宋体"/>
                <w:i w:val="0"/>
                <w:iCs w:val="0"/>
                <w:color w:val="auto"/>
                <w:sz w:val="21"/>
                <w:szCs w:val="21"/>
                <w:u w:val="none"/>
              </w:rPr>
            </w:pPr>
          </w:p>
        </w:tc>
        <w:tc>
          <w:tcPr>
            <w:tcW w:w="3754" w:type="pct"/>
            <w:noWrap w:val="0"/>
            <w:vAlign w:val="center"/>
          </w:tcPr>
          <w:p w14:paraId="2C5BD9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22、支持虚拟机备份，支持周期性备份和批量备份功能，备份策略可细化到分钟级，支持恢复过程中对虚拟机进行配置。</w:t>
            </w:r>
          </w:p>
        </w:tc>
      </w:tr>
      <w:tr w14:paraId="47BD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B6BBC6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B407A82">
            <w:pPr>
              <w:jc w:val="center"/>
              <w:rPr>
                <w:rFonts w:hint="eastAsia" w:ascii="宋体" w:hAnsi="宋体" w:eastAsia="宋体" w:cs="宋体"/>
                <w:i w:val="0"/>
                <w:iCs w:val="0"/>
                <w:color w:val="auto"/>
                <w:sz w:val="21"/>
                <w:szCs w:val="21"/>
                <w:u w:val="none"/>
              </w:rPr>
            </w:pPr>
          </w:p>
        </w:tc>
        <w:tc>
          <w:tcPr>
            <w:tcW w:w="3754" w:type="pct"/>
            <w:noWrap w:val="0"/>
            <w:vAlign w:val="center"/>
          </w:tcPr>
          <w:p w14:paraId="1ECE26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23、具备租户管理、VPC网络管理、镜像库管理、工单审批、计量计费等基础管理能力；</w:t>
            </w:r>
          </w:p>
        </w:tc>
      </w:tr>
      <w:tr w14:paraId="05EC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9DCD04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7921CC9">
            <w:pPr>
              <w:jc w:val="center"/>
              <w:rPr>
                <w:rFonts w:hint="eastAsia" w:ascii="宋体" w:hAnsi="宋体" w:eastAsia="宋体" w:cs="宋体"/>
                <w:i w:val="0"/>
                <w:iCs w:val="0"/>
                <w:color w:val="auto"/>
                <w:sz w:val="21"/>
                <w:szCs w:val="21"/>
                <w:u w:val="none"/>
              </w:rPr>
            </w:pPr>
          </w:p>
        </w:tc>
        <w:tc>
          <w:tcPr>
            <w:tcW w:w="3754" w:type="pct"/>
            <w:noWrap w:val="0"/>
            <w:vAlign w:val="center"/>
          </w:tcPr>
          <w:p w14:paraId="030291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24、支持多租户管理。可以支持租户的创建、删除、修改、查询、重置密码等操作；</w:t>
            </w:r>
          </w:p>
        </w:tc>
      </w:tr>
      <w:tr w14:paraId="3BB6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69B6DC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17E3B40">
            <w:pPr>
              <w:jc w:val="center"/>
              <w:rPr>
                <w:rFonts w:hint="eastAsia" w:ascii="宋体" w:hAnsi="宋体" w:eastAsia="宋体" w:cs="宋体"/>
                <w:i w:val="0"/>
                <w:iCs w:val="0"/>
                <w:color w:val="auto"/>
                <w:sz w:val="21"/>
                <w:szCs w:val="21"/>
                <w:u w:val="none"/>
              </w:rPr>
            </w:pPr>
          </w:p>
        </w:tc>
        <w:tc>
          <w:tcPr>
            <w:tcW w:w="3754" w:type="pct"/>
            <w:noWrap w:val="0"/>
            <w:vAlign w:val="center"/>
          </w:tcPr>
          <w:p w14:paraId="194216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25、支持配额管理，系统管理员可根据用户业务需求情况向各组织划分资源的配额，可设置的配额类型包括云主机台数、虚拟CPU总核数、内存总容量、存储池容量等；</w:t>
            </w:r>
          </w:p>
        </w:tc>
      </w:tr>
      <w:tr w14:paraId="4792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8B96CC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6AC9DFA">
            <w:pPr>
              <w:jc w:val="center"/>
              <w:rPr>
                <w:rFonts w:hint="eastAsia" w:ascii="宋体" w:hAnsi="宋体" w:eastAsia="宋体" w:cs="宋体"/>
                <w:i w:val="0"/>
                <w:iCs w:val="0"/>
                <w:color w:val="auto"/>
                <w:sz w:val="21"/>
                <w:szCs w:val="21"/>
                <w:u w:val="none"/>
              </w:rPr>
            </w:pPr>
          </w:p>
        </w:tc>
        <w:tc>
          <w:tcPr>
            <w:tcW w:w="3754" w:type="pct"/>
            <w:noWrap w:val="0"/>
            <w:vAlign w:val="center"/>
          </w:tcPr>
          <w:p w14:paraId="39BA46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26、支持服务工单，通过自助形式的工单申请流程。</w:t>
            </w:r>
          </w:p>
        </w:tc>
      </w:tr>
      <w:tr w14:paraId="40D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135DDF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9F02E93">
            <w:pPr>
              <w:jc w:val="center"/>
              <w:rPr>
                <w:rFonts w:hint="eastAsia" w:ascii="宋体" w:hAnsi="宋体" w:eastAsia="宋体" w:cs="宋体"/>
                <w:i w:val="0"/>
                <w:iCs w:val="0"/>
                <w:color w:val="auto"/>
                <w:sz w:val="21"/>
                <w:szCs w:val="21"/>
                <w:u w:val="none"/>
              </w:rPr>
            </w:pPr>
          </w:p>
        </w:tc>
        <w:tc>
          <w:tcPr>
            <w:tcW w:w="3754" w:type="pct"/>
            <w:noWrap w:val="0"/>
            <w:vAlign w:val="center"/>
          </w:tcPr>
          <w:p w14:paraId="3EE82C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★27、提供5年原厂服务，签订合同时提供针对本项目的原厂质保函；</w:t>
            </w:r>
          </w:p>
        </w:tc>
      </w:tr>
      <w:tr w14:paraId="611F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302" w:type="pct"/>
            <w:noWrap/>
            <w:vAlign w:val="center"/>
          </w:tcPr>
          <w:p w14:paraId="2D5E3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942" w:type="pct"/>
            <w:gridSpan w:val="2"/>
            <w:noWrap/>
            <w:vAlign w:val="center"/>
          </w:tcPr>
          <w:p w14:paraId="3C176C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操作系统软件</w:t>
            </w:r>
          </w:p>
        </w:tc>
        <w:tc>
          <w:tcPr>
            <w:tcW w:w="3754" w:type="pct"/>
            <w:noWrap w:val="0"/>
            <w:vAlign w:val="center"/>
          </w:tcPr>
          <w:p w14:paraId="161B263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1、所投服务器操作系统须符合自主可控安全测评要求，提供中国信息安全测评中心官网截图证明。</w:t>
            </w:r>
          </w:p>
          <w:p w14:paraId="127BF5A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2、提供C86、ARM架构国产处理器兼容互认证明；</w:t>
            </w:r>
          </w:p>
          <w:p w14:paraId="764990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3、提供主流国产数据库系统的兼容互认证证明；</w:t>
            </w:r>
          </w:p>
          <w:p w14:paraId="62CC52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4、提供原厂服务，签订合同时提供原厂质保函，操作系统授权最终用户为鄞州区卫健局；</w:t>
            </w:r>
          </w:p>
        </w:tc>
      </w:tr>
      <w:tr w14:paraId="7E7B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1D89D0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942" w:type="pct"/>
            <w:gridSpan w:val="2"/>
            <w:vMerge w:val="restart"/>
            <w:noWrap/>
            <w:vAlign w:val="center"/>
          </w:tcPr>
          <w:p w14:paraId="73B35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IDC核心交换机</w:t>
            </w:r>
          </w:p>
        </w:tc>
        <w:tc>
          <w:tcPr>
            <w:tcW w:w="3754" w:type="pct"/>
            <w:noWrap w:val="0"/>
            <w:vAlign w:val="center"/>
          </w:tcPr>
          <w:p w14:paraId="1388AD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1、采用国产芯片，自主可控</w:t>
            </w:r>
          </w:p>
        </w:tc>
      </w:tr>
      <w:tr w14:paraId="1149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438CD34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C9FEA01">
            <w:pPr>
              <w:jc w:val="center"/>
              <w:rPr>
                <w:rFonts w:hint="eastAsia" w:ascii="宋体" w:hAnsi="宋体" w:eastAsia="宋体" w:cs="宋体"/>
                <w:i w:val="0"/>
                <w:iCs w:val="0"/>
                <w:color w:val="auto"/>
                <w:sz w:val="21"/>
                <w:szCs w:val="21"/>
                <w:u w:val="none"/>
              </w:rPr>
            </w:pPr>
          </w:p>
        </w:tc>
        <w:tc>
          <w:tcPr>
            <w:tcW w:w="3754" w:type="pct"/>
            <w:noWrap w:val="0"/>
            <w:vAlign w:val="center"/>
          </w:tcPr>
          <w:p w14:paraId="6CACE5B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2、整机性能</w:t>
            </w:r>
          </w:p>
          <w:p w14:paraId="0BFBD5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交换容量≥76Tbps，官网有两个指标的，以小的为准；</w:t>
            </w:r>
          </w:p>
          <w:p w14:paraId="314A21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包转发率≥57600Mpps，官网有两个指标的，以小的为准；</w:t>
            </w:r>
          </w:p>
        </w:tc>
      </w:tr>
      <w:tr w14:paraId="6FF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2B7F624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B57394A">
            <w:pPr>
              <w:jc w:val="center"/>
              <w:rPr>
                <w:rFonts w:hint="eastAsia" w:ascii="宋体" w:hAnsi="宋体" w:eastAsia="宋体" w:cs="宋体"/>
                <w:i w:val="0"/>
                <w:iCs w:val="0"/>
                <w:color w:val="auto"/>
                <w:sz w:val="21"/>
                <w:szCs w:val="21"/>
                <w:u w:val="none"/>
              </w:rPr>
            </w:pPr>
          </w:p>
        </w:tc>
        <w:tc>
          <w:tcPr>
            <w:tcW w:w="3754" w:type="pct"/>
            <w:noWrap w:val="0"/>
            <w:vAlign w:val="center"/>
          </w:tcPr>
          <w:p w14:paraId="2E5E96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3、槽位要求</w:t>
            </w:r>
          </w:p>
          <w:p w14:paraId="5A42D4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业务插槽数≥6个，主控槽数≥2,满足1+1冗余；</w:t>
            </w:r>
          </w:p>
          <w:p w14:paraId="0848F7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支持100G接口，单板密度≥8个；  </w:t>
            </w:r>
          </w:p>
        </w:tc>
      </w:tr>
      <w:tr w14:paraId="3B2B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06591CD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10E8505">
            <w:pPr>
              <w:jc w:val="center"/>
              <w:rPr>
                <w:rFonts w:hint="eastAsia" w:ascii="宋体" w:hAnsi="宋体" w:eastAsia="宋体" w:cs="宋体"/>
                <w:i w:val="0"/>
                <w:iCs w:val="0"/>
                <w:color w:val="auto"/>
                <w:sz w:val="21"/>
                <w:szCs w:val="21"/>
                <w:u w:val="none"/>
              </w:rPr>
            </w:pPr>
          </w:p>
        </w:tc>
        <w:tc>
          <w:tcPr>
            <w:tcW w:w="3754" w:type="pct"/>
            <w:noWrap w:val="0"/>
            <w:vAlign w:val="center"/>
          </w:tcPr>
          <w:p w14:paraId="2295B1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4、路由协议</w:t>
            </w:r>
          </w:p>
          <w:p w14:paraId="0904E36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支持IPv6，支持静态路由、支持RIPv1/v2，OSPFv2，BGPv4+ for IPV6；ISISv6，支持等价路由，路由策略，策略路由，支持IPv4和IPv6双协议栈；</w:t>
            </w:r>
          </w:p>
        </w:tc>
      </w:tr>
      <w:tr w14:paraId="608B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02" w:type="pct"/>
            <w:vMerge w:val="continue"/>
            <w:noWrap/>
            <w:vAlign w:val="center"/>
          </w:tcPr>
          <w:p w14:paraId="191C9AB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E7B3BAB">
            <w:pPr>
              <w:jc w:val="center"/>
              <w:rPr>
                <w:rFonts w:hint="eastAsia" w:ascii="宋体" w:hAnsi="宋体" w:eastAsia="宋体" w:cs="宋体"/>
                <w:i w:val="0"/>
                <w:iCs w:val="0"/>
                <w:color w:val="auto"/>
                <w:sz w:val="21"/>
                <w:szCs w:val="21"/>
                <w:u w:val="none"/>
              </w:rPr>
            </w:pPr>
          </w:p>
        </w:tc>
        <w:tc>
          <w:tcPr>
            <w:tcW w:w="3754" w:type="pct"/>
            <w:noWrap w:val="0"/>
            <w:vAlign w:val="center"/>
          </w:tcPr>
          <w:p w14:paraId="730D01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5、虚拟化</w:t>
            </w:r>
          </w:p>
          <w:p w14:paraId="0E9641C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虚拟化（N:1）：支持虚拟化技术，具有协同工作、统一管理和不间断维护功能；</w:t>
            </w:r>
          </w:p>
        </w:tc>
      </w:tr>
      <w:tr w14:paraId="10DA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vMerge w:val="continue"/>
            <w:noWrap/>
            <w:vAlign w:val="center"/>
          </w:tcPr>
          <w:p w14:paraId="08E9565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42C25CE">
            <w:pPr>
              <w:jc w:val="center"/>
              <w:rPr>
                <w:rFonts w:hint="eastAsia" w:ascii="宋体" w:hAnsi="宋体" w:eastAsia="宋体" w:cs="宋体"/>
                <w:i w:val="0"/>
                <w:iCs w:val="0"/>
                <w:color w:val="auto"/>
                <w:sz w:val="21"/>
                <w:szCs w:val="21"/>
                <w:u w:val="none"/>
              </w:rPr>
            </w:pPr>
          </w:p>
        </w:tc>
        <w:tc>
          <w:tcPr>
            <w:tcW w:w="3754" w:type="pct"/>
            <w:noWrap w:val="0"/>
            <w:vAlign w:val="center"/>
          </w:tcPr>
          <w:p w14:paraId="2515D8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6、访问控制</w:t>
            </w:r>
          </w:p>
          <w:p w14:paraId="44BE1B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支持基于第二层、第三层和第四层的ACL；</w:t>
            </w:r>
          </w:p>
          <w:p w14:paraId="5CC03C5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支持VLAN ACL和IPv6 ACL；</w:t>
            </w:r>
          </w:p>
          <w:p w14:paraId="44D5DE2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支持出方向ACL，以便于灵活实现QoS；</w:t>
            </w:r>
          </w:p>
          <w:p w14:paraId="4CA4E7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支持IEEE 802.1和Portal方式用户认证；</w:t>
            </w:r>
          </w:p>
        </w:tc>
      </w:tr>
      <w:tr w14:paraId="01A6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9E92F2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255D8B9">
            <w:pPr>
              <w:jc w:val="center"/>
              <w:rPr>
                <w:rFonts w:hint="eastAsia" w:ascii="宋体" w:hAnsi="宋体" w:eastAsia="宋体" w:cs="宋体"/>
                <w:i w:val="0"/>
                <w:iCs w:val="0"/>
                <w:color w:val="auto"/>
                <w:sz w:val="21"/>
                <w:szCs w:val="21"/>
                <w:u w:val="none"/>
              </w:rPr>
            </w:pPr>
          </w:p>
        </w:tc>
        <w:tc>
          <w:tcPr>
            <w:tcW w:w="3754" w:type="pct"/>
            <w:noWrap w:val="0"/>
            <w:vAlign w:val="center"/>
          </w:tcPr>
          <w:p w14:paraId="021432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7、支持VxLAN 网关；</w:t>
            </w:r>
          </w:p>
        </w:tc>
      </w:tr>
      <w:tr w14:paraId="41F1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70A3C4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BFAEACB">
            <w:pPr>
              <w:jc w:val="center"/>
              <w:rPr>
                <w:rFonts w:hint="eastAsia" w:ascii="宋体" w:hAnsi="宋体" w:eastAsia="宋体" w:cs="宋体"/>
                <w:i w:val="0"/>
                <w:iCs w:val="0"/>
                <w:color w:val="auto"/>
                <w:sz w:val="21"/>
                <w:szCs w:val="21"/>
                <w:u w:val="none"/>
              </w:rPr>
            </w:pPr>
          </w:p>
        </w:tc>
        <w:tc>
          <w:tcPr>
            <w:tcW w:w="3754" w:type="pct"/>
            <w:noWrap w:val="0"/>
            <w:vAlign w:val="center"/>
          </w:tcPr>
          <w:p w14:paraId="7973F1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8、MACsec技术：支持MACsec技术，鉴别数据源的密码技术，保护信息完整并提供再保护和保密服务；</w:t>
            </w:r>
          </w:p>
        </w:tc>
      </w:tr>
      <w:tr w14:paraId="17E7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6A7829D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87074ED">
            <w:pPr>
              <w:jc w:val="center"/>
              <w:rPr>
                <w:rFonts w:hint="eastAsia" w:ascii="宋体" w:hAnsi="宋体" w:eastAsia="宋体" w:cs="宋体"/>
                <w:i w:val="0"/>
                <w:iCs w:val="0"/>
                <w:color w:val="auto"/>
                <w:sz w:val="21"/>
                <w:szCs w:val="21"/>
                <w:u w:val="none"/>
              </w:rPr>
            </w:pPr>
          </w:p>
        </w:tc>
        <w:tc>
          <w:tcPr>
            <w:tcW w:w="3754" w:type="pct"/>
            <w:noWrap w:val="0"/>
            <w:vAlign w:val="center"/>
          </w:tcPr>
          <w:p w14:paraId="65636A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9、可靠性</w:t>
            </w:r>
          </w:p>
          <w:p w14:paraId="11F3281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支持主控，电源风扇冗余；</w:t>
            </w:r>
          </w:p>
          <w:p w14:paraId="200A4F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支持所有单板支持热插拔；</w:t>
            </w:r>
          </w:p>
          <w:p w14:paraId="28E7B5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支持RRPP、ERPS、RPR；</w:t>
            </w:r>
          </w:p>
        </w:tc>
      </w:tr>
      <w:tr w14:paraId="0F0E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0B832C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F3DBC51">
            <w:pPr>
              <w:jc w:val="center"/>
              <w:rPr>
                <w:rFonts w:hint="eastAsia" w:ascii="宋体" w:hAnsi="宋体" w:eastAsia="宋体" w:cs="宋体"/>
                <w:i w:val="0"/>
                <w:iCs w:val="0"/>
                <w:color w:val="auto"/>
                <w:sz w:val="21"/>
                <w:szCs w:val="21"/>
                <w:u w:val="none"/>
              </w:rPr>
            </w:pPr>
          </w:p>
        </w:tc>
        <w:tc>
          <w:tcPr>
            <w:tcW w:w="3754" w:type="pct"/>
            <w:noWrap w:val="0"/>
            <w:vAlign w:val="center"/>
          </w:tcPr>
          <w:p w14:paraId="3E4270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10、支持全面的安全防护功能，具备四到七层的安全防护、负载均衡特性、并具备安全资源虚拟化等特性； </w:t>
            </w:r>
          </w:p>
        </w:tc>
      </w:tr>
      <w:tr w14:paraId="4426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C00E3A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518633B">
            <w:pPr>
              <w:jc w:val="center"/>
              <w:rPr>
                <w:rFonts w:hint="eastAsia" w:ascii="宋体" w:hAnsi="宋体" w:eastAsia="宋体" w:cs="宋体"/>
                <w:i w:val="0"/>
                <w:iCs w:val="0"/>
                <w:color w:val="auto"/>
                <w:sz w:val="21"/>
                <w:szCs w:val="21"/>
                <w:u w:val="none"/>
              </w:rPr>
            </w:pPr>
          </w:p>
        </w:tc>
        <w:tc>
          <w:tcPr>
            <w:tcW w:w="3754" w:type="pct"/>
            <w:noWrap w:val="0"/>
            <w:vAlign w:val="center"/>
          </w:tcPr>
          <w:p w14:paraId="2B7235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11、支持通过图形化界面实现设备配置及命令下发和版本智能升级。</w:t>
            </w:r>
          </w:p>
        </w:tc>
      </w:tr>
      <w:tr w14:paraId="4F0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14D6792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130A3CB">
            <w:pPr>
              <w:jc w:val="center"/>
              <w:rPr>
                <w:rFonts w:hint="eastAsia" w:ascii="宋体" w:hAnsi="宋体" w:eastAsia="宋体" w:cs="宋体"/>
                <w:i w:val="0"/>
                <w:iCs w:val="0"/>
                <w:color w:val="auto"/>
                <w:sz w:val="21"/>
                <w:szCs w:val="21"/>
                <w:u w:val="none"/>
              </w:rPr>
            </w:pPr>
          </w:p>
        </w:tc>
        <w:tc>
          <w:tcPr>
            <w:tcW w:w="3754" w:type="pct"/>
            <w:noWrap w:val="0"/>
            <w:vAlign w:val="center"/>
          </w:tcPr>
          <w:p w14:paraId="085647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12、配置要求</w:t>
            </w:r>
          </w:p>
          <w:p w14:paraId="3F0E05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配置双主控、双电源、2块交换网板，≥48端口万兆光接口，2根SFP+电缆3M，8对万兆多模光模块，4对40公里单模万兆模块；</w:t>
            </w:r>
          </w:p>
        </w:tc>
      </w:tr>
      <w:tr w14:paraId="583F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75B3B5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9A5E251">
            <w:pPr>
              <w:jc w:val="center"/>
              <w:rPr>
                <w:rFonts w:hint="eastAsia" w:ascii="宋体" w:hAnsi="宋体" w:eastAsia="宋体" w:cs="宋体"/>
                <w:i w:val="0"/>
                <w:iCs w:val="0"/>
                <w:color w:val="auto"/>
                <w:sz w:val="21"/>
                <w:szCs w:val="21"/>
                <w:u w:val="none"/>
              </w:rPr>
            </w:pPr>
          </w:p>
        </w:tc>
        <w:tc>
          <w:tcPr>
            <w:tcW w:w="3754" w:type="pct"/>
            <w:noWrap w:val="0"/>
            <w:vAlign w:val="center"/>
          </w:tcPr>
          <w:p w14:paraId="72216E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★13、提供5年原厂质保，签订合同时提供针对本项目的原厂质保函</w:t>
            </w:r>
          </w:p>
        </w:tc>
      </w:tr>
      <w:tr w14:paraId="1E9A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257266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942" w:type="pct"/>
            <w:gridSpan w:val="2"/>
            <w:vMerge w:val="restart"/>
            <w:noWrap w:val="0"/>
            <w:vAlign w:val="center"/>
          </w:tcPr>
          <w:p w14:paraId="49A7F7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服务器区汇聚交换机</w:t>
            </w:r>
          </w:p>
        </w:tc>
        <w:tc>
          <w:tcPr>
            <w:tcW w:w="3754" w:type="pct"/>
            <w:noWrap w:val="0"/>
            <w:vAlign w:val="center"/>
          </w:tcPr>
          <w:p w14:paraId="17C616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1、采用国产芯片，自主可控；</w:t>
            </w:r>
          </w:p>
        </w:tc>
      </w:tr>
      <w:tr w14:paraId="30AF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A1966F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52EAD24">
            <w:pPr>
              <w:jc w:val="center"/>
              <w:rPr>
                <w:rFonts w:hint="eastAsia" w:ascii="宋体" w:hAnsi="宋体" w:eastAsia="宋体" w:cs="宋体"/>
                <w:i w:val="0"/>
                <w:iCs w:val="0"/>
                <w:color w:val="auto"/>
                <w:sz w:val="21"/>
                <w:szCs w:val="21"/>
                <w:u w:val="none"/>
              </w:rPr>
            </w:pPr>
          </w:p>
        </w:tc>
        <w:tc>
          <w:tcPr>
            <w:tcW w:w="3754" w:type="pct"/>
            <w:noWrap w:val="0"/>
            <w:vAlign w:val="center"/>
          </w:tcPr>
          <w:p w14:paraId="7399B6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2、交换容量≥4.8Tbps，以官网所列最低参数为准；</w:t>
            </w:r>
          </w:p>
        </w:tc>
      </w:tr>
      <w:tr w14:paraId="52B8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A989B0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D92F05E">
            <w:pPr>
              <w:jc w:val="center"/>
              <w:rPr>
                <w:rFonts w:hint="eastAsia" w:ascii="宋体" w:hAnsi="宋体" w:eastAsia="宋体" w:cs="宋体"/>
                <w:i w:val="0"/>
                <w:iCs w:val="0"/>
                <w:color w:val="auto"/>
                <w:sz w:val="21"/>
                <w:szCs w:val="21"/>
                <w:u w:val="none"/>
              </w:rPr>
            </w:pPr>
          </w:p>
        </w:tc>
        <w:tc>
          <w:tcPr>
            <w:tcW w:w="3754" w:type="pct"/>
            <w:noWrap/>
            <w:vAlign w:val="center"/>
          </w:tcPr>
          <w:p w14:paraId="5D1D4A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3、转发性能≥2000Mpps，以官网所列最低参数为准；</w:t>
            </w:r>
          </w:p>
        </w:tc>
      </w:tr>
      <w:tr w14:paraId="5CF7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792CD7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FCCFD1C">
            <w:pPr>
              <w:jc w:val="center"/>
              <w:rPr>
                <w:rFonts w:hint="eastAsia" w:ascii="宋体" w:hAnsi="宋体" w:eastAsia="宋体" w:cs="宋体"/>
                <w:i w:val="0"/>
                <w:iCs w:val="0"/>
                <w:color w:val="auto"/>
                <w:sz w:val="21"/>
                <w:szCs w:val="21"/>
                <w:u w:val="none"/>
              </w:rPr>
            </w:pPr>
          </w:p>
        </w:tc>
        <w:tc>
          <w:tcPr>
            <w:tcW w:w="3754" w:type="pct"/>
            <w:noWrap w:val="0"/>
            <w:vAlign w:val="center"/>
          </w:tcPr>
          <w:p w14:paraId="1FF82E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4、固定端口：配置100G 光口端口数量≥8个，10G光口≥48个；</w:t>
            </w:r>
          </w:p>
        </w:tc>
      </w:tr>
      <w:tr w14:paraId="0679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E81C7E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C84D896">
            <w:pPr>
              <w:jc w:val="center"/>
              <w:rPr>
                <w:rFonts w:hint="eastAsia" w:ascii="宋体" w:hAnsi="宋体" w:eastAsia="宋体" w:cs="宋体"/>
                <w:i w:val="0"/>
                <w:iCs w:val="0"/>
                <w:color w:val="auto"/>
                <w:sz w:val="21"/>
                <w:szCs w:val="21"/>
                <w:u w:val="none"/>
              </w:rPr>
            </w:pPr>
          </w:p>
        </w:tc>
        <w:tc>
          <w:tcPr>
            <w:tcW w:w="3754" w:type="pct"/>
            <w:noWrap/>
            <w:vAlign w:val="center"/>
          </w:tcPr>
          <w:p w14:paraId="1A8788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5、整机最大IPV4路由表≥768K，整机最大MAC地址表≥704K；</w:t>
            </w:r>
          </w:p>
        </w:tc>
      </w:tr>
      <w:tr w14:paraId="7CB1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4C232D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761E866">
            <w:pPr>
              <w:jc w:val="center"/>
              <w:rPr>
                <w:rFonts w:hint="eastAsia" w:ascii="宋体" w:hAnsi="宋体" w:eastAsia="宋体" w:cs="宋体"/>
                <w:i w:val="0"/>
                <w:iCs w:val="0"/>
                <w:color w:val="auto"/>
                <w:sz w:val="21"/>
                <w:szCs w:val="21"/>
                <w:u w:val="none"/>
              </w:rPr>
            </w:pPr>
          </w:p>
        </w:tc>
        <w:tc>
          <w:tcPr>
            <w:tcW w:w="3754" w:type="pct"/>
            <w:noWrap w:val="0"/>
            <w:vAlign w:val="center"/>
          </w:tcPr>
          <w:p w14:paraId="501BFA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6、VLAN：支持基于端口、基于协议、基于MAC的VLAN；支持QinQ和灵活QinQ；</w:t>
            </w:r>
          </w:p>
        </w:tc>
      </w:tr>
      <w:tr w14:paraId="10B3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386C216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1AC9D30">
            <w:pPr>
              <w:jc w:val="center"/>
              <w:rPr>
                <w:rFonts w:hint="eastAsia" w:ascii="宋体" w:hAnsi="宋体" w:eastAsia="宋体" w:cs="宋体"/>
                <w:i w:val="0"/>
                <w:iCs w:val="0"/>
                <w:color w:val="auto"/>
                <w:sz w:val="21"/>
                <w:szCs w:val="21"/>
                <w:u w:val="none"/>
              </w:rPr>
            </w:pPr>
          </w:p>
        </w:tc>
        <w:tc>
          <w:tcPr>
            <w:tcW w:w="3754" w:type="pct"/>
            <w:noWrap w:val="0"/>
            <w:vAlign w:val="center"/>
          </w:tcPr>
          <w:p w14:paraId="4462C7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8、二层功能：</w:t>
            </w:r>
          </w:p>
          <w:p w14:paraId="66DB1E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支持基于端口、基于协议、基于MAC的VLAN；</w:t>
            </w:r>
          </w:p>
          <w:p w14:paraId="628343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支持动态MAC、静态MAC和黑洞MAC表项；</w:t>
            </w:r>
          </w:p>
        </w:tc>
      </w:tr>
      <w:tr w14:paraId="55A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7D750E2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844C132">
            <w:pPr>
              <w:jc w:val="center"/>
              <w:rPr>
                <w:rFonts w:hint="eastAsia" w:ascii="宋体" w:hAnsi="宋体" w:eastAsia="宋体" w:cs="宋体"/>
                <w:i w:val="0"/>
                <w:iCs w:val="0"/>
                <w:color w:val="auto"/>
                <w:sz w:val="21"/>
                <w:szCs w:val="21"/>
                <w:u w:val="none"/>
              </w:rPr>
            </w:pPr>
          </w:p>
        </w:tc>
        <w:tc>
          <w:tcPr>
            <w:tcW w:w="3754" w:type="pct"/>
            <w:noWrap w:val="0"/>
            <w:vAlign w:val="center"/>
          </w:tcPr>
          <w:p w14:paraId="1090373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9、三层功能</w:t>
            </w:r>
          </w:p>
          <w:p w14:paraId="19FA76C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支持RIP、OSPF、ISIS、BGP等IPv4动态路由协议；</w:t>
            </w:r>
          </w:p>
          <w:p w14:paraId="3B9915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支持RIPng、OSPFv3、ISISv6、BGP4+等IPv6动态路由协议；</w:t>
            </w:r>
          </w:p>
        </w:tc>
      </w:tr>
      <w:tr w14:paraId="355F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7E5EB85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CE119D0">
            <w:pPr>
              <w:jc w:val="center"/>
              <w:rPr>
                <w:rFonts w:hint="eastAsia" w:ascii="宋体" w:hAnsi="宋体" w:eastAsia="宋体" w:cs="宋体"/>
                <w:i w:val="0"/>
                <w:iCs w:val="0"/>
                <w:color w:val="auto"/>
                <w:sz w:val="21"/>
                <w:szCs w:val="21"/>
                <w:u w:val="none"/>
              </w:rPr>
            </w:pPr>
          </w:p>
        </w:tc>
        <w:tc>
          <w:tcPr>
            <w:tcW w:w="3754" w:type="pct"/>
            <w:noWrap w:val="0"/>
            <w:vAlign w:val="center"/>
          </w:tcPr>
          <w:p w14:paraId="670283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10、可靠性</w:t>
            </w:r>
          </w:p>
          <w:p w14:paraId="3C643B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支持VRRP；</w:t>
            </w:r>
          </w:p>
          <w:p w14:paraId="753025A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支持跨设备链路聚合技术；</w:t>
            </w:r>
          </w:p>
        </w:tc>
      </w:tr>
      <w:tr w14:paraId="3FEA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45E603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3356E0B">
            <w:pPr>
              <w:jc w:val="center"/>
              <w:rPr>
                <w:rFonts w:hint="eastAsia" w:ascii="宋体" w:hAnsi="宋体" w:eastAsia="宋体" w:cs="宋体"/>
                <w:i w:val="0"/>
                <w:iCs w:val="0"/>
                <w:color w:val="auto"/>
                <w:sz w:val="21"/>
                <w:szCs w:val="21"/>
                <w:u w:val="none"/>
              </w:rPr>
            </w:pPr>
          </w:p>
        </w:tc>
        <w:tc>
          <w:tcPr>
            <w:tcW w:w="3754" w:type="pct"/>
            <w:noWrap w:val="0"/>
            <w:vAlign w:val="center"/>
          </w:tcPr>
          <w:p w14:paraId="07F362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11、本次实配：单台配置双电源，冗余风扇，40G光缆2对带模块及万兆多模模块各2个；</w:t>
            </w:r>
          </w:p>
        </w:tc>
      </w:tr>
      <w:tr w14:paraId="3A83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E7AFC55">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A31E94A">
            <w:pPr>
              <w:jc w:val="center"/>
              <w:rPr>
                <w:rFonts w:hint="eastAsia" w:ascii="宋体" w:hAnsi="宋体" w:eastAsia="宋体" w:cs="宋体"/>
                <w:i w:val="0"/>
                <w:iCs w:val="0"/>
                <w:color w:val="auto"/>
                <w:sz w:val="21"/>
                <w:szCs w:val="21"/>
                <w:u w:val="none"/>
              </w:rPr>
            </w:pPr>
          </w:p>
        </w:tc>
        <w:tc>
          <w:tcPr>
            <w:tcW w:w="3754" w:type="pct"/>
            <w:noWrap w:val="0"/>
            <w:vAlign w:val="center"/>
          </w:tcPr>
          <w:p w14:paraId="280E6E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★12、提供5年原厂质保，签订合同时提供针对本项目的原厂质保函</w:t>
            </w:r>
          </w:p>
        </w:tc>
      </w:tr>
      <w:tr w14:paraId="5931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2DCB2D1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429" w:type="pct"/>
            <w:vMerge w:val="restart"/>
            <w:noWrap w:val="0"/>
            <w:vAlign w:val="center"/>
          </w:tcPr>
          <w:p w14:paraId="7A1E06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超融合服务器（容灾备份）</w:t>
            </w:r>
          </w:p>
        </w:tc>
        <w:tc>
          <w:tcPr>
            <w:tcW w:w="512" w:type="pct"/>
            <w:vMerge w:val="restart"/>
            <w:noWrap w:val="0"/>
            <w:vAlign w:val="center"/>
          </w:tcPr>
          <w:p w14:paraId="6FC5A2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（一）超融合硬件设备</w:t>
            </w:r>
          </w:p>
        </w:tc>
        <w:tc>
          <w:tcPr>
            <w:tcW w:w="3754" w:type="pct"/>
            <w:noWrap w:val="0"/>
            <w:vAlign w:val="center"/>
          </w:tcPr>
          <w:p w14:paraId="4B6EF0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1、设备外形：硬件设备采用机架式服务器，适用于通用机房环境，支持标准机柜</w:t>
            </w:r>
          </w:p>
        </w:tc>
      </w:tr>
      <w:tr w14:paraId="1AF5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DCDF25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F07750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61B5DED">
            <w:pPr>
              <w:jc w:val="center"/>
              <w:rPr>
                <w:rFonts w:hint="eastAsia" w:ascii="宋体" w:hAnsi="宋体" w:eastAsia="宋体" w:cs="宋体"/>
                <w:i w:val="0"/>
                <w:iCs w:val="0"/>
                <w:color w:val="auto"/>
                <w:sz w:val="21"/>
                <w:szCs w:val="21"/>
                <w:u w:val="none"/>
              </w:rPr>
            </w:pPr>
          </w:p>
        </w:tc>
        <w:tc>
          <w:tcPr>
            <w:tcW w:w="3754" w:type="pct"/>
            <w:noWrap w:val="0"/>
            <w:vAlign w:val="center"/>
          </w:tcPr>
          <w:p w14:paraId="4B3B41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2、信创架构服务器，国产自研品牌</w:t>
            </w:r>
          </w:p>
        </w:tc>
      </w:tr>
      <w:tr w14:paraId="21B0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439D91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868D1B1">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FE07B30">
            <w:pPr>
              <w:jc w:val="center"/>
              <w:rPr>
                <w:rFonts w:hint="eastAsia" w:ascii="宋体" w:hAnsi="宋体" w:eastAsia="宋体" w:cs="宋体"/>
                <w:i w:val="0"/>
                <w:iCs w:val="0"/>
                <w:color w:val="auto"/>
                <w:sz w:val="21"/>
                <w:szCs w:val="21"/>
                <w:u w:val="none"/>
              </w:rPr>
            </w:pPr>
          </w:p>
        </w:tc>
        <w:tc>
          <w:tcPr>
            <w:tcW w:w="3754" w:type="pct"/>
            <w:noWrap w:val="0"/>
            <w:vAlign w:val="center"/>
          </w:tcPr>
          <w:p w14:paraId="56B62C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★3、本次配置4节点服务器</w:t>
            </w:r>
          </w:p>
        </w:tc>
      </w:tr>
      <w:tr w14:paraId="3836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3938E8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380799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7C17BE1">
            <w:pPr>
              <w:jc w:val="center"/>
              <w:rPr>
                <w:rFonts w:hint="eastAsia" w:ascii="宋体" w:hAnsi="宋体" w:eastAsia="宋体" w:cs="宋体"/>
                <w:i w:val="0"/>
                <w:iCs w:val="0"/>
                <w:color w:val="auto"/>
                <w:sz w:val="21"/>
                <w:szCs w:val="21"/>
                <w:u w:val="none"/>
              </w:rPr>
            </w:pPr>
          </w:p>
        </w:tc>
        <w:tc>
          <w:tcPr>
            <w:tcW w:w="3754" w:type="pct"/>
            <w:noWrap w:val="0"/>
            <w:vAlign w:val="center"/>
          </w:tcPr>
          <w:p w14:paraId="788D32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以下为单节点配置：</w:t>
            </w:r>
          </w:p>
        </w:tc>
      </w:tr>
      <w:tr w14:paraId="302B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68F892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7C8139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46B9892">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66038B4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（1）处理器：配置≥2路C86架构CPU，每颗核数≥32核，频率≥2.7GHZ；所投产品CPU须符合自主可控安全测评要求，提供中国信息安全测评中心官网截图证明</w:t>
            </w:r>
          </w:p>
          <w:p w14:paraId="11F822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（2）内存硬盘：内存配置≥512G DDR4内存；硬盘配置：≥2×480GB SSD系统盘；数据盘：≥2×3.84TB NVME SSD硬盘；容量盘：8块16T SATA硬盘；</w:t>
            </w:r>
          </w:p>
          <w:p w14:paraId="18ACD02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（3）硬盘控制器：≥2GB缓存，支持缓存数据保护，且后备保护时间不受限制支持RAID0/1/10/5/6/50/60；</w:t>
            </w:r>
          </w:p>
          <w:p w14:paraId="137EF7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（4）PCIe插槽：支持提供≥10个PCIe 插槽</w:t>
            </w:r>
          </w:p>
          <w:p w14:paraId="08D5896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（5）电源：≥2个热插拔冗余电源</w:t>
            </w:r>
          </w:p>
          <w:p w14:paraId="7E348A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（6）风扇：配置可热插拔冗余风扇</w:t>
            </w:r>
          </w:p>
          <w:p w14:paraId="6A4849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（7）本次每节点配置：≥2个万兆网口含模块+2个千兆电口，采用国产网络芯片；千兆管理网接口≥2个，存储网接口≥2个（含多模光模块），业务网接口≥2个（含多模光模块）</w:t>
            </w:r>
          </w:p>
        </w:tc>
      </w:tr>
      <w:tr w14:paraId="007B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9AB6BFC">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45BA7A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2E8B719">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47E18599">
            <w:pPr>
              <w:jc w:val="left"/>
              <w:rPr>
                <w:rFonts w:hint="eastAsia" w:ascii="宋体" w:hAnsi="宋体" w:eastAsia="宋体" w:cs="宋体"/>
                <w:i w:val="0"/>
                <w:iCs w:val="0"/>
                <w:color w:val="auto"/>
                <w:sz w:val="21"/>
                <w:szCs w:val="21"/>
                <w:u w:val="none"/>
              </w:rPr>
            </w:pPr>
          </w:p>
        </w:tc>
      </w:tr>
      <w:tr w14:paraId="4764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31D667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053997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F1400D3">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81F53F5">
            <w:pPr>
              <w:jc w:val="left"/>
              <w:rPr>
                <w:rFonts w:hint="eastAsia" w:ascii="宋体" w:hAnsi="宋体" w:eastAsia="宋体" w:cs="宋体"/>
                <w:i w:val="0"/>
                <w:iCs w:val="0"/>
                <w:color w:val="auto"/>
                <w:sz w:val="21"/>
                <w:szCs w:val="21"/>
                <w:u w:val="none"/>
              </w:rPr>
            </w:pPr>
          </w:p>
        </w:tc>
      </w:tr>
      <w:tr w14:paraId="483A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DC4EE8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AF2A8A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C0851DB">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C0B42D9">
            <w:pPr>
              <w:jc w:val="left"/>
              <w:rPr>
                <w:rFonts w:hint="eastAsia" w:ascii="宋体" w:hAnsi="宋体" w:eastAsia="宋体" w:cs="宋体"/>
                <w:i w:val="0"/>
                <w:iCs w:val="0"/>
                <w:color w:val="auto"/>
                <w:sz w:val="21"/>
                <w:szCs w:val="21"/>
                <w:u w:val="none"/>
              </w:rPr>
            </w:pPr>
          </w:p>
        </w:tc>
      </w:tr>
      <w:tr w14:paraId="43EC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230528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B311C8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F90B160">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6B10873C">
            <w:pPr>
              <w:jc w:val="left"/>
              <w:rPr>
                <w:rFonts w:hint="eastAsia" w:ascii="宋体" w:hAnsi="宋体" w:eastAsia="宋体" w:cs="宋体"/>
                <w:i w:val="0"/>
                <w:iCs w:val="0"/>
                <w:color w:val="auto"/>
                <w:sz w:val="21"/>
                <w:szCs w:val="21"/>
                <w:u w:val="none"/>
              </w:rPr>
            </w:pPr>
          </w:p>
        </w:tc>
      </w:tr>
      <w:tr w14:paraId="6439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FF5803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67DDCB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BF9040A">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5F8F360">
            <w:pPr>
              <w:jc w:val="left"/>
              <w:rPr>
                <w:rFonts w:hint="eastAsia" w:ascii="宋体" w:hAnsi="宋体" w:eastAsia="宋体" w:cs="宋体"/>
                <w:i w:val="0"/>
                <w:iCs w:val="0"/>
                <w:color w:val="auto"/>
                <w:sz w:val="21"/>
                <w:szCs w:val="21"/>
                <w:u w:val="none"/>
              </w:rPr>
            </w:pPr>
          </w:p>
        </w:tc>
      </w:tr>
      <w:tr w14:paraId="08F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020B409">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148FB28">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0D32472">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6F426BF">
            <w:pPr>
              <w:jc w:val="left"/>
              <w:rPr>
                <w:rFonts w:hint="eastAsia" w:ascii="宋体" w:hAnsi="宋体" w:eastAsia="宋体" w:cs="宋体"/>
                <w:i w:val="0"/>
                <w:iCs w:val="0"/>
                <w:color w:val="auto"/>
                <w:sz w:val="21"/>
                <w:szCs w:val="21"/>
                <w:u w:val="none"/>
              </w:rPr>
            </w:pPr>
          </w:p>
        </w:tc>
      </w:tr>
      <w:tr w14:paraId="37E5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FB4C8E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124AC2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7B396E6">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7C39457">
            <w:pPr>
              <w:jc w:val="left"/>
              <w:rPr>
                <w:rFonts w:hint="eastAsia" w:ascii="宋体" w:hAnsi="宋体" w:eastAsia="宋体" w:cs="宋体"/>
                <w:i w:val="0"/>
                <w:iCs w:val="0"/>
                <w:color w:val="auto"/>
                <w:sz w:val="21"/>
                <w:szCs w:val="21"/>
                <w:u w:val="none"/>
              </w:rPr>
            </w:pPr>
          </w:p>
        </w:tc>
      </w:tr>
      <w:tr w14:paraId="56B5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168BC0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C60B72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24027D0">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ACB15DD">
            <w:pPr>
              <w:jc w:val="left"/>
              <w:rPr>
                <w:rFonts w:hint="eastAsia" w:ascii="宋体" w:hAnsi="宋体" w:eastAsia="宋体" w:cs="宋体"/>
                <w:i w:val="0"/>
                <w:iCs w:val="0"/>
                <w:color w:val="auto"/>
                <w:sz w:val="21"/>
                <w:szCs w:val="21"/>
                <w:u w:val="none"/>
              </w:rPr>
            </w:pPr>
          </w:p>
        </w:tc>
      </w:tr>
      <w:tr w14:paraId="6588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A8CDAB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D6C611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AB0ECD5">
            <w:pPr>
              <w:jc w:val="center"/>
              <w:rPr>
                <w:rFonts w:hint="eastAsia" w:ascii="宋体" w:hAnsi="宋体" w:eastAsia="宋体" w:cs="宋体"/>
                <w:i w:val="0"/>
                <w:iCs w:val="0"/>
                <w:color w:val="auto"/>
                <w:sz w:val="21"/>
                <w:szCs w:val="21"/>
                <w:u w:val="none"/>
              </w:rPr>
            </w:pPr>
          </w:p>
        </w:tc>
        <w:tc>
          <w:tcPr>
            <w:tcW w:w="3754" w:type="pct"/>
            <w:noWrap w:val="0"/>
            <w:vAlign w:val="center"/>
          </w:tcPr>
          <w:p w14:paraId="5C9857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★4、提供5年原厂质保，签订合同时提供针对本项目的原厂质保函</w:t>
            </w:r>
          </w:p>
        </w:tc>
      </w:tr>
      <w:tr w14:paraId="1FCF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BA034D6">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8C368C1">
            <w:pPr>
              <w:jc w:val="center"/>
              <w:rPr>
                <w:rFonts w:hint="eastAsia" w:ascii="宋体" w:hAnsi="宋体" w:eastAsia="宋体" w:cs="宋体"/>
                <w:i w:val="0"/>
                <w:iCs w:val="0"/>
                <w:color w:val="auto"/>
                <w:sz w:val="21"/>
                <w:szCs w:val="21"/>
                <w:u w:val="none"/>
              </w:rPr>
            </w:pPr>
          </w:p>
        </w:tc>
        <w:tc>
          <w:tcPr>
            <w:tcW w:w="512" w:type="pct"/>
            <w:vMerge w:val="restart"/>
            <w:noWrap w:val="0"/>
            <w:vAlign w:val="center"/>
          </w:tcPr>
          <w:p w14:paraId="2BE160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（二）超融合软件</w:t>
            </w:r>
          </w:p>
        </w:tc>
        <w:tc>
          <w:tcPr>
            <w:tcW w:w="3754" w:type="pct"/>
            <w:noWrap w:val="0"/>
            <w:vAlign w:val="center"/>
          </w:tcPr>
          <w:p w14:paraId="403FE26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1、虚拟化软件采用裸金属架构，支持标准的C86架构平台和ARM架构平台；支持接入本次云管理平台统一化管理，运维等。</w:t>
            </w:r>
          </w:p>
        </w:tc>
      </w:tr>
      <w:tr w14:paraId="3465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DBF811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0CFA0E8">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E4C32B6">
            <w:pPr>
              <w:jc w:val="center"/>
              <w:rPr>
                <w:rFonts w:hint="eastAsia" w:ascii="宋体" w:hAnsi="宋体" w:eastAsia="宋体" w:cs="宋体"/>
                <w:i w:val="0"/>
                <w:iCs w:val="0"/>
                <w:color w:val="auto"/>
                <w:sz w:val="21"/>
                <w:szCs w:val="21"/>
                <w:u w:val="none"/>
              </w:rPr>
            </w:pPr>
          </w:p>
        </w:tc>
        <w:tc>
          <w:tcPr>
            <w:tcW w:w="3754" w:type="pct"/>
            <w:noWrap w:val="0"/>
            <w:vAlign w:val="center"/>
          </w:tcPr>
          <w:p w14:paraId="38CFEC9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2、兼容主流信创操作系统，包括但不限于麒麟、统信等品牌，提供兼容性证明；</w:t>
            </w:r>
          </w:p>
        </w:tc>
      </w:tr>
      <w:tr w14:paraId="4F43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2B6CEC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332112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21E9DA8">
            <w:pPr>
              <w:jc w:val="center"/>
              <w:rPr>
                <w:rFonts w:hint="eastAsia" w:ascii="宋体" w:hAnsi="宋体" w:eastAsia="宋体" w:cs="宋体"/>
                <w:i w:val="0"/>
                <w:iCs w:val="0"/>
                <w:color w:val="auto"/>
                <w:sz w:val="21"/>
                <w:szCs w:val="21"/>
                <w:u w:val="none"/>
              </w:rPr>
            </w:pPr>
          </w:p>
        </w:tc>
        <w:tc>
          <w:tcPr>
            <w:tcW w:w="3754" w:type="pct"/>
            <w:noWrap w:val="0"/>
            <w:vAlign w:val="center"/>
          </w:tcPr>
          <w:p w14:paraId="3FB8F07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3、兼容主流信创数据库，包括但不限于达梦、人大金仓，提供兼容性证明；</w:t>
            </w:r>
          </w:p>
        </w:tc>
      </w:tr>
      <w:tr w14:paraId="6B8B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C66678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CF8245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E85B8BD">
            <w:pPr>
              <w:jc w:val="center"/>
              <w:rPr>
                <w:rFonts w:hint="eastAsia" w:ascii="宋体" w:hAnsi="宋体" w:eastAsia="宋体" w:cs="宋体"/>
                <w:i w:val="0"/>
                <w:iCs w:val="0"/>
                <w:color w:val="auto"/>
                <w:sz w:val="21"/>
                <w:szCs w:val="21"/>
                <w:u w:val="none"/>
              </w:rPr>
            </w:pPr>
          </w:p>
        </w:tc>
        <w:tc>
          <w:tcPr>
            <w:tcW w:w="3754" w:type="pct"/>
            <w:noWrap w:val="0"/>
            <w:vAlign w:val="center"/>
          </w:tcPr>
          <w:p w14:paraId="68929AC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4、最少只需3个节点集群即可同时提供虚拟化、分布式块、对象、文件存储服务</w:t>
            </w:r>
            <w:r>
              <w:rPr>
                <w:rFonts w:hint="eastAsia" w:ascii="宋体" w:hAnsi="宋体" w:eastAsia="宋体" w:cs="宋体"/>
                <w:b/>
                <w:bCs/>
                <w:i w:val="0"/>
                <w:iCs w:val="0"/>
                <w:color w:val="auto"/>
                <w:kern w:val="0"/>
                <w:sz w:val="21"/>
                <w:szCs w:val="21"/>
                <w:u w:val="none"/>
                <w:lang w:val="en-US" w:eastAsia="zh-CN" w:bidi="ar"/>
              </w:rPr>
              <w:t>。</w:t>
            </w:r>
          </w:p>
        </w:tc>
      </w:tr>
      <w:tr w14:paraId="29C1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4DF8E0E">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224B381">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60419D2">
            <w:pPr>
              <w:jc w:val="center"/>
              <w:rPr>
                <w:rFonts w:hint="eastAsia" w:ascii="宋体" w:hAnsi="宋体" w:eastAsia="宋体" w:cs="宋体"/>
                <w:i w:val="0"/>
                <w:iCs w:val="0"/>
                <w:color w:val="auto"/>
                <w:sz w:val="21"/>
                <w:szCs w:val="21"/>
                <w:u w:val="none"/>
              </w:rPr>
            </w:pPr>
          </w:p>
        </w:tc>
        <w:tc>
          <w:tcPr>
            <w:tcW w:w="3754" w:type="pct"/>
            <w:noWrap w:val="0"/>
            <w:vAlign w:val="center"/>
          </w:tcPr>
          <w:p w14:paraId="3FABD11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5、能直观展示虚拟化资源池的健康度、告警、资源使用情况等，同时展示内容支持用户自定义。</w:t>
            </w:r>
          </w:p>
        </w:tc>
      </w:tr>
      <w:tr w14:paraId="5A16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8CBE3C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DE5439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DBEBEB8">
            <w:pPr>
              <w:jc w:val="center"/>
              <w:rPr>
                <w:rFonts w:hint="eastAsia" w:ascii="宋体" w:hAnsi="宋体" w:eastAsia="宋体" w:cs="宋体"/>
                <w:i w:val="0"/>
                <w:iCs w:val="0"/>
                <w:color w:val="auto"/>
                <w:sz w:val="21"/>
                <w:szCs w:val="21"/>
                <w:u w:val="none"/>
              </w:rPr>
            </w:pPr>
          </w:p>
        </w:tc>
        <w:tc>
          <w:tcPr>
            <w:tcW w:w="3754" w:type="pct"/>
            <w:noWrap w:val="0"/>
            <w:vAlign w:val="center"/>
          </w:tcPr>
          <w:p w14:paraId="5ACD4B6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6、虚机还原：支持使用还原虚拟机到指定还原点状态，基于备份功能，虚机误删不影响还原功能。</w:t>
            </w:r>
          </w:p>
        </w:tc>
      </w:tr>
      <w:tr w14:paraId="3474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D029B6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7BC7D4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0305ADE">
            <w:pPr>
              <w:jc w:val="center"/>
              <w:rPr>
                <w:rFonts w:hint="eastAsia" w:ascii="宋体" w:hAnsi="宋体" w:eastAsia="宋体" w:cs="宋体"/>
                <w:i w:val="0"/>
                <w:iCs w:val="0"/>
                <w:color w:val="auto"/>
                <w:sz w:val="21"/>
                <w:szCs w:val="21"/>
                <w:u w:val="none"/>
              </w:rPr>
            </w:pPr>
          </w:p>
        </w:tc>
        <w:tc>
          <w:tcPr>
            <w:tcW w:w="3754" w:type="pct"/>
            <w:noWrap w:val="0"/>
            <w:vAlign w:val="center"/>
          </w:tcPr>
          <w:p w14:paraId="0A59909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7、支持使用分析后端存储上的无效镜像文件，并提供清理和释放存储空间能力</w:t>
            </w:r>
            <w:r>
              <w:rPr>
                <w:rFonts w:hint="eastAsia" w:ascii="宋体" w:hAnsi="宋体" w:eastAsia="宋体" w:cs="宋体"/>
                <w:b/>
                <w:bCs/>
                <w:i w:val="0"/>
                <w:iCs w:val="0"/>
                <w:color w:val="auto"/>
                <w:kern w:val="0"/>
                <w:sz w:val="21"/>
                <w:szCs w:val="21"/>
                <w:u w:val="none"/>
                <w:lang w:val="en-US" w:eastAsia="zh-CN" w:bidi="ar"/>
              </w:rPr>
              <w:t>。</w:t>
            </w:r>
          </w:p>
        </w:tc>
      </w:tr>
      <w:tr w14:paraId="4849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B17901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59059D7">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A268EB5">
            <w:pPr>
              <w:jc w:val="center"/>
              <w:rPr>
                <w:rFonts w:hint="eastAsia" w:ascii="宋体" w:hAnsi="宋体" w:eastAsia="宋体" w:cs="宋体"/>
                <w:i w:val="0"/>
                <w:iCs w:val="0"/>
                <w:color w:val="auto"/>
                <w:sz w:val="21"/>
                <w:szCs w:val="21"/>
                <w:u w:val="none"/>
              </w:rPr>
            </w:pPr>
          </w:p>
        </w:tc>
        <w:tc>
          <w:tcPr>
            <w:tcW w:w="3754" w:type="pct"/>
            <w:noWrap w:val="0"/>
            <w:vAlign w:val="center"/>
          </w:tcPr>
          <w:p w14:paraId="3EFEE60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8、支持快速查看、启动、删除、批量启动和批量删除长时间未使用且处于关闭状态的虚拟机，进行资源利用率统计。</w:t>
            </w:r>
          </w:p>
        </w:tc>
      </w:tr>
      <w:tr w14:paraId="3BD2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B7E304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A45B23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A6C6DF4">
            <w:pPr>
              <w:jc w:val="center"/>
              <w:rPr>
                <w:rFonts w:hint="eastAsia" w:ascii="宋体" w:hAnsi="宋体" w:eastAsia="宋体" w:cs="宋体"/>
                <w:i w:val="0"/>
                <w:iCs w:val="0"/>
                <w:color w:val="auto"/>
                <w:sz w:val="21"/>
                <w:szCs w:val="21"/>
                <w:u w:val="none"/>
              </w:rPr>
            </w:pPr>
          </w:p>
        </w:tc>
        <w:tc>
          <w:tcPr>
            <w:tcW w:w="3754" w:type="pct"/>
            <w:noWrap w:val="0"/>
            <w:vAlign w:val="center"/>
          </w:tcPr>
          <w:p w14:paraId="3F12EE0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9、超融合管理平台内置在线迁移工具，支持业界主流的操作系统、虚拟化平台，提升被迁移业务平台的普适性、降低业务上云的难度，降低运维工作量</w:t>
            </w:r>
          </w:p>
        </w:tc>
      </w:tr>
      <w:tr w14:paraId="35D4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E44C5C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1AB9AFC">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FA5DE20">
            <w:pPr>
              <w:jc w:val="center"/>
              <w:rPr>
                <w:rFonts w:hint="eastAsia" w:ascii="宋体" w:hAnsi="宋体" w:eastAsia="宋体" w:cs="宋体"/>
                <w:i w:val="0"/>
                <w:iCs w:val="0"/>
                <w:color w:val="auto"/>
                <w:sz w:val="21"/>
                <w:szCs w:val="21"/>
                <w:u w:val="none"/>
              </w:rPr>
            </w:pPr>
          </w:p>
        </w:tc>
        <w:tc>
          <w:tcPr>
            <w:tcW w:w="3754" w:type="pct"/>
            <w:noWrap w:val="0"/>
            <w:vAlign w:val="center"/>
          </w:tcPr>
          <w:p w14:paraId="4C1A9CC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10、支持批量修改虚拟机的配置参数。</w:t>
            </w:r>
          </w:p>
        </w:tc>
      </w:tr>
      <w:tr w14:paraId="4706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46128C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324C10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E29C3CC">
            <w:pPr>
              <w:jc w:val="center"/>
              <w:rPr>
                <w:rFonts w:hint="eastAsia" w:ascii="宋体" w:hAnsi="宋体" w:eastAsia="宋体" w:cs="宋体"/>
                <w:i w:val="0"/>
                <w:iCs w:val="0"/>
                <w:color w:val="auto"/>
                <w:sz w:val="21"/>
                <w:szCs w:val="21"/>
                <w:u w:val="none"/>
              </w:rPr>
            </w:pPr>
          </w:p>
        </w:tc>
        <w:tc>
          <w:tcPr>
            <w:tcW w:w="3754" w:type="pct"/>
            <w:noWrap w:val="0"/>
            <w:vAlign w:val="center"/>
          </w:tcPr>
          <w:p w14:paraId="45E0D81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11、支持多个副本的容错机制，副本数量可基于存储池灵活设置；</w:t>
            </w:r>
          </w:p>
        </w:tc>
      </w:tr>
      <w:tr w14:paraId="121A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6930B8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D40A75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683D3F72">
            <w:pPr>
              <w:jc w:val="center"/>
              <w:rPr>
                <w:rFonts w:hint="eastAsia" w:ascii="宋体" w:hAnsi="宋体" w:eastAsia="宋体" w:cs="宋体"/>
                <w:i w:val="0"/>
                <w:iCs w:val="0"/>
                <w:color w:val="auto"/>
                <w:sz w:val="21"/>
                <w:szCs w:val="21"/>
                <w:u w:val="none"/>
              </w:rPr>
            </w:pPr>
          </w:p>
        </w:tc>
        <w:tc>
          <w:tcPr>
            <w:tcW w:w="3754" w:type="pct"/>
            <w:noWrap w:val="0"/>
            <w:vAlign w:val="center"/>
          </w:tcPr>
          <w:p w14:paraId="6BAD7F6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12、磁盘或者节点故障之后无需人工干预，数据在集群内硬盘的剩余空间中自动重构，所有硬盘并发重构，提升重构效率</w:t>
            </w:r>
            <w:r>
              <w:rPr>
                <w:rFonts w:hint="eastAsia" w:ascii="宋体" w:hAnsi="宋体" w:eastAsia="宋体" w:cs="宋体"/>
                <w:b/>
                <w:bCs/>
                <w:i w:val="0"/>
                <w:iCs w:val="0"/>
                <w:color w:val="auto"/>
                <w:kern w:val="0"/>
                <w:sz w:val="21"/>
                <w:szCs w:val="21"/>
                <w:u w:val="none"/>
                <w:lang w:val="en-US" w:eastAsia="zh-CN" w:bidi="ar"/>
              </w:rPr>
              <w:t>。</w:t>
            </w:r>
          </w:p>
        </w:tc>
      </w:tr>
      <w:tr w14:paraId="2247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AC3CA1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41B47378">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DAC892B">
            <w:pPr>
              <w:jc w:val="center"/>
              <w:rPr>
                <w:rFonts w:hint="eastAsia" w:ascii="宋体" w:hAnsi="宋体" w:eastAsia="宋体" w:cs="宋体"/>
                <w:i w:val="0"/>
                <w:iCs w:val="0"/>
                <w:color w:val="auto"/>
                <w:sz w:val="21"/>
                <w:szCs w:val="21"/>
                <w:u w:val="none"/>
              </w:rPr>
            </w:pPr>
          </w:p>
        </w:tc>
        <w:tc>
          <w:tcPr>
            <w:tcW w:w="3754" w:type="pct"/>
            <w:noWrap w:val="0"/>
            <w:vAlign w:val="center"/>
          </w:tcPr>
          <w:p w14:paraId="624666F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13、支持系统从低版本到高版本的无缝升级，支持任意跨多版本升级</w:t>
            </w:r>
          </w:p>
        </w:tc>
      </w:tr>
      <w:tr w14:paraId="03E7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4D682F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4C770A4">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1941D61">
            <w:pPr>
              <w:jc w:val="center"/>
              <w:rPr>
                <w:rFonts w:hint="eastAsia" w:ascii="宋体" w:hAnsi="宋体" w:eastAsia="宋体" w:cs="宋体"/>
                <w:i w:val="0"/>
                <w:iCs w:val="0"/>
                <w:color w:val="auto"/>
                <w:sz w:val="21"/>
                <w:szCs w:val="21"/>
                <w:u w:val="none"/>
              </w:rPr>
            </w:pPr>
          </w:p>
        </w:tc>
        <w:tc>
          <w:tcPr>
            <w:tcW w:w="3754" w:type="pct"/>
            <w:noWrap w:val="0"/>
            <w:vAlign w:val="center"/>
          </w:tcPr>
          <w:p w14:paraId="3EAE6DE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14、要求超融合平台提供故障切换能力，当组件发生故障时，不影响整个集群正常运行，保证业务连续性；当整个节点故障的情况下，支持整个节点的热插拔硬件替换。</w:t>
            </w:r>
          </w:p>
        </w:tc>
      </w:tr>
      <w:tr w14:paraId="7ADE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02" w:type="pct"/>
            <w:vMerge w:val="continue"/>
            <w:noWrap/>
            <w:vAlign w:val="center"/>
          </w:tcPr>
          <w:p w14:paraId="5449E69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2D0D0BB">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4B7A0FA">
            <w:pPr>
              <w:jc w:val="center"/>
              <w:rPr>
                <w:rFonts w:hint="eastAsia" w:ascii="宋体" w:hAnsi="宋体" w:eastAsia="宋体" w:cs="宋体"/>
                <w:i w:val="0"/>
                <w:iCs w:val="0"/>
                <w:color w:val="auto"/>
                <w:sz w:val="21"/>
                <w:szCs w:val="21"/>
                <w:u w:val="none"/>
              </w:rPr>
            </w:pPr>
          </w:p>
        </w:tc>
        <w:tc>
          <w:tcPr>
            <w:tcW w:w="3754" w:type="pct"/>
            <w:noWrap w:val="0"/>
            <w:vAlign w:val="center"/>
          </w:tcPr>
          <w:p w14:paraId="5F1BACA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15、支持动态资源调度功能通过迁移虚拟机达到各个节点上资源负载的平衡；</w:t>
            </w:r>
          </w:p>
        </w:tc>
      </w:tr>
      <w:tr w14:paraId="0D02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B31822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A7FEBB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7B306EA">
            <w:pPr>
              <w:jc w:val="center"/>
              <w:rPr>
                <w:rFonts w:hint="eastAsia" w:ascii="宋体" w:hAnsi="宋体" w:eastAsia="宋体" w:cs="宋体"/>
                <w:i w:val="0"/>
                <w:iCs w:val="0"/>
                <w:color w:val="auto"/>
                <w:sz w:val="21"/>
                <w:szCs w:val="21"/>
                <w:u w:val="none"/>
              </w:rPr>
            </w:pPr>
          </w:p>
        </w:tc>
        <w:tc>
          <w:tcPr>
            <w:tcW w:w="3754" w:type="pct"/>
            <w:noWrap w:val="0"/>
            <w:vAlign w:val="center"/>
          </w:tcPr>
          <w:p w14:paraId="51FB8E6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16、支持灵活定义定时增量及全量备份，备份间隔可指定小时、天、周，支持配置保留备份天数；</w:t>
            </w:r>
          </w:p>
        </w:tc>
      </w:tr>
      <w:tr w14:paraId="083C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8D047F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483713A">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CAAEB0B">
            <w:pPr>
              <w:jc w:val="center"/>
              <w:rPr>
                <w:rFonts w:hint="eastAsia" w:ascii="宋体" w:hAnsi="宋体" w:eastAsia="宋体" w:cs="宋体"/>
                <w:i w:val="0"/>
                <w:iCs w:val="0"/>
                <w:color w:val="auto"/>
                <w:sz w:val="21"/>
                <w:szCs w:val="21"/>
                <w:u w:val="none"/>
              </w:rPr>
            </w:pPr>
          </w:p>
        </w:tc>
        <w:tc>
          <w:tcPr>
            <w:tcW w:w="3754" w:type="pct"/>
            <w:noWrap w:val="0"/>
            <w:vAlign w:val="center"/>
          </w:tcPr>
          <w:p w14:paraId="2A89FA4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17、支持虚拟机快照策略，可按月\周\天\小时\分钟等周期设置定时快照，提供快照策略任务记录</w:t>
            </w:r>
          </w:p>
        </w:tc>
      </w:tr>
      <w:tr w14:paraId="4E8E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BCC8111">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27A3C96">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0B1A656">
            <w:pPr>
              <w:jc w:val="center"/>
              <w:rPr>
                <w:rFonts w:hint="eastAsia" w:ascii="宋体" w:hAnsi="宋体" w:eastAsia="宋体" w:cs="宋体"/>
                <w:i w:val="0"/>
                <w:iCs w:val="0"/>
                <w:color w:val="auto"/>
                <w:sz w:val="21"/>
                <w:szCs w:val="21"/>
                <w:u w:val="none"/>
              </w:rPr>
            </w:pPr>
          </w:p>
        </w:tc>
        <w:tc>
          <w:tcPr>
            <w:tcW w:w="3754" w:type="pct"/>
            <w:noWrap w:val="0"/>
            <w:vAlign w:val="center"/>
          </w:tcPr>
          <w:p w14:paraId="16744DE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▲18、本次配置不小于8颗物理CPU授权</w:t>
            </w:r>
          </w:p>
        </w:tc>
      </w:tr>
      <w:tr w14:paraId="3C03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BD765B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326D714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54D5491">
            <w:pPr>
              <w:jc w:val="center"/>
              <w:rPr>
                <w:rFonts w:hint="eastAsia" w:ascii="宋体" w:hAnsi="宋体" w:eastAsia="宋体" w:cs="宋体"/>
                <w:i w:val="0"/>
                <w:iCs w:val="0"/>
                <w:color w:val="auto"/>
                <w:sz w:val="21"/>
                <w:szCs w:val="21"/>
                <w:u w:val="none"/>
              </w:rPr>
            </w:pPr>
          </w:p>
        </w:tc>
        <w:tc>
          <w:tcPr>
            <w:tcW w:w="3754" w:type="pct"/>
            <w:noWrap w:val="0"/>
            <w:vAlign w:val="center"/>
          </w:tcPr>
          <w:p w14:paraId="156B713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★19、提供5年原厂质保，签订合同时提供针对本项目的原厂质保函</w:t>
            </w:r>
          </w:p>
        </w:tc>
      </w:tr>
      <w:tr w14:paraId="3E46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637B93C1">
            <w:pPr>
              <w:jc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21</w:t>
            </w:r>
          </w:p>
        </w:tc>
        <w:tc>
          <w:tcPr>
            <w:tcW w:w="942" w:type="pct"/>
            <w:gridSpan w:val="2"/>
            <w:vMerge w:val="restart"/>
            <w:noWrap w:val="0"/>
            <w:vAlign w:val="center"/>
          </w:tcPr>
          <w:p w14:paraId="0544030B">
            <w:pPr>
              <w:jc w:val="center"/>
              <w:rPr>
                <w:rFonts w:hint="eastAsia" w:ascii="宋体" w:hAnsi="宋体" w:eastAsia="宋体" w:cs="宋体"/>
                <w:i w:val="0"/>
                <w:iCs w:val="0"/>
                <w:color w:val="auto"/>
                <w:sz w:val="21"/>
                <w:szCs w:val="21"/>
                <w:u w:val="none"/>
              </w:rPr>
            </w:pPr>
          </w:p>
          <w:p w14:paraId="443FE1EF">
            <w:pPr>
              <w:jc w:val="center"/>
              <w:rPr>
                <w:rFonts w:hint="eastAsia" w:ascii="宋体" w:hAnsi="宋体" w:eastAsia="宋体" w:cs="宋体"/>
                <w:i w:val="0"/>
                <w:iCs w:val="0"/>
                <w:color w:val="auto"/>
                <w:kern w:val="2"/>
                <w:sz w:val="21"/>
                <w:szCs w:val="21"/>
                <w:u w:val="none"/>
                <w:lang w:val="en-US" w:eastAsia="zh-CN" w:bidi="ar-SA"/>
              </w:rPr>
            </w:pPr>
          </w:p>
          <w:p w14:paraId="3619A40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容灾备份交换机</w:t>
            </w:r>
          </w:p>
        </w:tc>
        <w:tc>
          <w:tcPr>
            <w:tcW w:w="3754" w:type="pct"/>
            <w:noWrap w:val="0"/>
            <w:vAlign w:val="center"/>
          </w:tcPr>
          <w:p w14:paraId="050BD93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1、交换容量≥4.8Tbps，以官网所列最低参数为准；</w:t>
            </w:r>
          </w:p>
        </w:tc>
      </w:tr>
      <w:tr w14:paraId="2A5A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F36EAC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2459081">
            <w:pPr>
              <w:jc w:val="center"/>
              <w:rPr>
                <w:rFonts w:hint="eastAsia" w:ascii="宋体" w:hAnsi="宋体" w:eastAsia="宋体" w:cs="宋体"/>
                <w:i w:val="0"/>
                <w:iCs w:val="0"/>
                <w:color w:val="auto"/>
                <w:sz w:val="21"/>
                <w:szCs w:val="21"/>
                <w:u w:val="none"/>
              </w:rPr>
            </w:pPr>
          </w:p>
        </w:tc>
        <w:tc>
          <w:tcPr>
            <w:tcW w:w="3754" w:type="pct"/>
            <w:noWrap w:val="0"/>
            <w:vAlign w:val="center"/>
          </w:tcPr>
          <w:p w14:paraId="616CF23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2、转发性能≥2000Mpps,以官网所列最低参数为准；</w:t>
            </w:r>
          </w:p>
        </w:tc>
      </w:tr>
      <w:tr w14:paraId="567D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93B691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8670C13">
            <w:pPr>
              <w:jc w:val="center"/>
              <w:rPr>
                <w:rFonts w:hint="eastAsia" w:ascii="宋体" w:hAnsi="宋体" w:eastAsia="宋体" w:cs="宋体"/>
                <w:i w:val="0"/>
                <w:iCs w:val="0"/>
                <w:color w:val="auto"/>
                <w:sz w:val="21"/>
                <w:szCs w:val="21"/>
                <w:u w:val="none"/>
              </w:rPr>
            </w:pPr>
          </w:p>
        </w:tc>
        <w:tc>
          <w:tcPr>
            <w:tcW w:w="3754" w:type="pct"/>
            <w:noWrap w:val="0"/>
            <w:vAlign w:val="center"/>
          </w:tcPr>
          <w:p w14:paraId="182AB0DC">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3、VLAN：支持基于端口、基于协议、基于MAC的VLAN；支持QinQ和灵活QinQ；</w:t>
            </w:r>
          </w:p>
        </w:tc>
      </w:tr>
      <w:tr w14:paraId="79B9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5240E0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3557DB2">
            <w:pPr>
              <w:jc w:val="center"/>
              <w:rPr>
                <w:rFonts w:hint="eastAsia" w:ascii="宋体" w:hAnsi="宋体" w:eastAsia="宋体" w:cs="宋体"/>
                <w:i w:val="0"/>
                <w:iCs w:val="0"/>
                <w:color w:val="auto"/>
                <w:sz w:val="21"/>
                <w:szCs w:val="21"/>
                <w:u w:val="none"/>
              </w:rPr>
            </w:pPr>
          </w:p>
        </w:tc>
        <w:tc>
          <w:tcPr>
            <w:tcW w:w="3754" w:type="pct"/>
            <w:noWrap w:val="0"/>
            <w:vAlign w:val="center"/>
          </w:tcPr>
          <w:p w14:paraId="6DAD6706">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4、二层功能：支持基于端口、基于协议、基于MAC的VLAN；支持动态MAC、静态MAC和黑洞MAC表项；</w:t>
            </w:r>
          </w:p>
        </w:tc>
      </w:tr>
      <w:tr w14:paraId="7C75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98D020E">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E45C9A0">
            <w:pPr>
              <w:jc w:val="center"/>
              <w:rPr>
                <w:rFonts w:hint="eastAsia" w:ascii="宋体" w:hAnsi="宋体" w:eastAsia="宋体" w:cs="宋体"/>
                <w:i w:val="0"/>
                <w:iCs w:val="0"/>
                <w:color w:val="auto"/>
                <w:sz w:val="21"/>
                <w:szCs w:val="21"/>
                <w:u w:val="none"/>
              </w:rPr>
            </w:pPr>
          </w:p>
        </w:tc>
        <w:tc>
          <w:tcPr>
            <w:tcW w:w="3754" w:type="pct"/>
            <w:noWrap w:val="0"/>
            <w:vAlign w:val="center"/>
          </w:tcPr>
          <w:p w14:paraId="59627DEF">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5、三层功能：支持RIP、OSPF、ISIS、BGP等IPv4动态路由协议；</w:t>
            </w:r>
          </w:p>
        </w:tc>
      </w:tr>
      <w:tr w14:paraId="3C29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833059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DBEC8EB">
            <w:pPr>
              <w:jc w:val="center"/>
              <w:rPr>
                <w:rFonts w:hint="eastAsia" w:ascii="宋体" w:hAnsi="宋体" w:eastAsia="宋体" w:cs="宋体"/>
                <w:i w:val="0"/>
                <w:iCs w:val="0"/>
                <w:color w:val="auto"/>
                <w:sz w:val="21"/>
                <w:szCs w:val="21"/>
                <w:u w:val="none"/>
              </w:rPr>
            </w:pPr>
          </w:p>
        </w:tc>
        <w:tc>
          <w:tcPr>
            <w:tcW w:w="3754" w:type="pct"/>
            <w:noWrap w:val="0"/>
            <w:vAlign w:val="center"/>
          </w:tcPr>
          <w:p w14:paraId="2DC39C05">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7、MPLS:支持MPLS、MCE；支持MPLS VPN；</w:t>
            </w:r>
          </w:p>
        </w:tc>
      </w:tr>
      <w:tr w14:paraId="18EB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ED560F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CEE3395">
            <w:pPr>
              <w:jc w:val="center"/>
              <w:rPr>
                <w:rFonts w:hint="eastAsia" w:ascii="宋体" w:hAnsi="宋体" w:eastAsia="宋体" w:cs="宋体"/>
                <w:i w:val="0"/>
                <w:iCs w:val="0"/>
                <w:color w:val="auto"/>
                <w:sz w:val="21"/>
                <w:szCs w:val="21"/>
                <w:u w:val="none"/>
              </w:rPr>
            </w:pPr>
          </w:p>
        </w:tc>
        <w:tc>
          <w:tcPr>
            <w:tcW w:w="3754" w:type="pct"/>
            <w:noWrap w:val="0"/>
            <w:vAlign w:val="center"/>
          </w:tcPr>
          <w:p w14:paraId="76040824">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6、可靠性：支持VRRP；支持跨设备链路聚合技术；</w:t>
            </w:r>
          </w:p>
        </w:tc>
      </w:tr>
      <w:tr w14:paraId="1C9F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208C2A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74EC002">
            <w:pPr>
              <w:jc w:val="center"/>
              <w:rPr>
                <w:rFonts w:hint="eastAsia" w:ascii="宋体" w:hAnsi="宋体" w:eastAsia="宋体" w:cs="宋体"/>
                <w:i w:val="0"/>
                <w:iCs w:val="0"/>
                <w:color w:val="auto"/>
                <w:sz w:val="21"/>
                <w:szCs w:val="21"/>
                <w:u w:val="none"/>
              </w:rPr>
            </w:pPr>
          </w:p>
        </w:tc>
        <w:tc>
          <w:tcPr>
            <w:tcW w:w="3754" w:type="pct"/>
            <w:noWrap w:val="0"/>
            <w:vAlign w:val="center"/>
          </w:tcPr>
          <w:p w14:paraId="68FAFDB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7、本次实配：本次单台配置冗余电源，冗余风扇；≥24端口万兆光口（万兆光口满配光模块） ≥20个千兆电口，≥2端口40G光口；</w:t>
            </w:r>
          </w:p>
        </w:tc>
      </w:tr>
      <w:tr w14:paraId="1FED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881FA1E">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9BCA5E1">
            <w:pPr>
              <w:jc w:val="center"/>
              <w:rPr>
                <w:rFonts w:hint="eastAsia" w:ascii="宋体" w:hAnsi="宋体" w:eastAsia="宋体" w:cs="宋体"/>
                <w:i w:val="0"/>
                <w:iCs w:val="0"/>
                <w:color w:val="auto"/>
                <w:sz w:val="21"/>
                <w:szCs w:val="21"/>
                <w:u w:val="none"/>
              </w:rPr>
            </w:pPr>
          </w:p>
        </w:tc>
        <w:tc>
          <w:tcPr>
            <w:tcW w:w="3754" w:type="pct"/>
            <w:noWrap w:val="0"/>
            <w:vAlign w:val="center"/>
          </w:tcPr>
          <w:p w14:paraId="0CA24265">
            <w:pPr>
              <w:keepNext w:val="0"/>
              <w:keepLines w:val="0"/>
              <w:widowControl/>
              <w:suppressLineNumbers w:val="0"/>
              <w:jc w:val="left"/>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★8、提供5年原厂质保，签订合同时提供针对本项目的原厂质保函；</w:t>
            </w:r>
          </w:p>
        </w:tc>
      </w:tr>
      <w:tr w14:paraId="658E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noWrap/>
            <w:vAlign w:val="center"/>
          </w:tcPr>
          <w:p w14:paraId="7C9FC0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942" w:type="pct"/>
            <w:gridSpan w:val="2"/>
            <w:noWrap w:val="0"/>
            <w:vAlign w:val="center"/>
          </w:tcPr>
          <w:p w14:paraId="6E329F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机柜租赁</w:t>
            </w:r>
          </w:p>
        </w:tc>
        <w:tc>
          <w:tcPr>
            <w:tcW w:w="3754" w:type="pct"/>
            <w:noWrap w:val="0"/>
            <w:vAlign w:val="center"/>
          </w:tcPr>
          <w:p w14:paraId="31E69B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1、规格：42U服务器机柜；</w:t>
            </w:r>
          </w:p>
          <w:p w14:paraId="3DD0D3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2、功率：平均每机柜额定功率不少于5KW，部分机柜功率需要定制到6-7KW；</w:t>
            </w:r>
          </w:p>
          <w:p w14:paraId="38A2481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★3、租赁期：租赁期为3年。</w:t>
            </w:r>
          </w:p>
          <w:p w14:paraId="7494B2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4、所在第三方IDC机房环境需要满足本项目等保和商用密码评测对物理环境安全的需要。</w:t>
            </w:r>
          </w:p>
        </w:tc>
      </w:tr>
      <w:tr w14:paraId="6470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noWrap/>
            <w:vAlign w:val="center"/>
          </w:tcPr>
          <w:p w14:paraId="13F4CA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942" w:type="pct"/>
            <w:gridSpan w:val="2"/>
            <w:noWrap w:val="0"/>
            <w:vAlign w:val="center"/>
          </w:tcPr>
          <w:p w14:paraId="5DA2CA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新链路租赁</w:t>
            </w:r>
          </w:p>
        </w:tc>
        <w:tc>
          <w:tcPr>
            <w:tcW w:w="3754" w:type="pct"/>
            <w:noWrap w:val="0"/>
            <w:vAlign w:val="center"/>
          </w:tcPr>
          <w:p w14:paraId="7F8163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1、2两条裸光纤，从卫健局1楼机房至第三方IDC机房；</w:t>
            </w:r>
          </w:p>
          <w:p w14:paraId="5032F5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2、带与专网接入的设备适配的40公里万兆光模块一对；</w:t>
            </w:r>
          </w:p>
          <w:p w14:paraId="1C3B33D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3、租赁期为1年。</w:t>
            </w:r>
          </w:p>
        </w:tc>
      </w:tr>
      <w:tr w14:paraId="2768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18F785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942" w:type="pct"/>
            <w:gridSpan w:val="2"/>
            <w:vMerge w:val="restart"/>
            <w:noWrap w:val="0"/>
            <w:vAlign w:val="center"/>
          </w:tcPr>
          <w:p w14:paraId="789248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杀毒软件</w:t>
            </w:r>
          </w:p>
        </w:tc>
        <w:tc>
          <w:tcPr>
            <w:tcW w:w="3754" w:type="pct"/>
            <w:noWrap w:val="0"/>
            <w:vAlign w:val="center"/>
          </w:tcPr>
          <w:p w14:paraId="692B89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1、国产服务器杀毒软件，符合信创要求，兼容C86和Arm架构的CPU，兼容麒麟、统信等国产操作系统。</w:t>
            </w:r>
          </w:p>
        </w:tc>
      </w:tr>
      <w:tr w14:paraId="593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4FB54C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54A2BB2">
            <w:pPr>
              <w:jc w:val="center"/>
              <w:rPr>
                <w:rFonts w:hint="eastAsia" w:ascii="宋体" w:hAnsi="宋体" w:eastAsia="宋体" w:cs="宋体"/>
                <w:i w:val="0"/>
                <w:iCs w:val="0"/>
                <w:color w:val="auto"/>
                <w:sz w:val="21"/>
                <w:szCs w:val="21"/>
                <w:u w:val="none"/>
              </w:rPr>
            </w:pPr>
          </w:p>
        </w:tc>
        <w:tc>
          <w:tcPr>
            <w:tcW w:w="3754" w:type="pct"/>
            <w:noWrap w:val="0"/>
            <w:vAlign w:val="center"/>
          </w:tcPr>
          <w:p w14:paraId="0D8CE1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▲2、本次配置200个服务器虚拟机授权，带防病毒+安全基线功能，5年病毒库升级服务。</w:t>
            </w:r>
          </w:p>
        </w:tc>
      </w:tr>
      <w:tr w14:paraId="70F9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095A312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0176569">
            <w:pPr>
              <w:jc w:val="center"/>
              <w:rPr>
                <w:rFonts w:hint="eastAsia" w:ascii="宋体" w:hAnsi="宋体" w:eastAsia="宋体" w:cs="宋体"/>
                <w:i w:val="0"/>
                <w:iCs w:val="0"/>
                <w:color w:val="auto"/>
                <w:sz w:val="21"/>
                <w:szCs w:val="21"/>
                <w:u w:val="none"/>
              </w:rPr>
            </w:pPr>
          </w:p>
        </w:tc>
        <w:tc>
          <w:tcPr>
            <w:tcW w:w="3754" w:type="pct"/>
            <w:noWrap/>
            <w:vAlign w:val="center"/>
          </w:tcPr>
          <w:p w14:paraId="04DC66C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3、需支持一套管控中心统一管理，包括有代理、无代理部署模式统一管理；物理服务器、虚拟服务器统一管理；Windows、Linux、信创操作系统统一管理；私有云、公有云、容器环境统一管理。</w:t>
            </w:r>
          </w:p>
        </w:tc>
      </w:tr>
      <w:tr w14:paraId="4D6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328DACA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09DCA8E">
            <w:pPr>
              <w:jc w:val="center"/>
              <w:rPr>
                <w:rFonts w:hint="eastAsia" w:ascii="宋体" w:hAnsi="宋体" w:eastAsia="宋体" w:cs="宋体"/>
                <w:i w:val="0"/>
                <w:iCs w:val="0"/>
                <w:color w:val="auto"/>
                <w:sz w:val="21"/>
                <w:szCs w:val="21"/>
                <w:u w:val="none"/>
              </w:rPr>
            </w:pPr>
          </w:p>
        </w:tc>
        <w:tc>
          <w:tcPr>
            <w:tcW w:w="3754" w:type="pct"/>
            <w:noWrap w:val="0"/>
            <w:vAlign w:val="center"/>
          </w:tcPr>
          <w:p w14:paraId="1202D0B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4、病毒查杀</w:t>
            </w:r>
          </w:p>
          <w:p w14:paraId="7115668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采用主动的方式进行自动化病毒查杀；</w:t>
            </w:r>
          </w:p>
          <w:p w14:paraId="5707DBF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病毒文件自动隔离、自动删除、修复、监控多种处理方式。支持病毒查杀的结果生成报告。提供防护策略控制可避免启动风暴和查杀风暴。支持对终端内部文件进行全盘扫描、快速扫描，自定义扫描三种扫描能力；</w:t>
            </w:r>
          </w:p>
          <w:p w14:paraId="17B077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支持对压缩文件内的恶意文件扫描，包括但不限于对Arj、bzip2、Lzh、Tar、Zip、Rar4等压缩文件格式类型查杀防护；</w:t>
            </w:r>
          </w:p>
          <w:p w14:paraId="6F31C8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当文件被执行、修改、访问时，反病毒引擎对相应文件进行扫描，并根据需要进行隔离操作；</w:t>
            </w:r>
          </w:p>
          <w:p w14:paraId="589CFB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支持病毒自动隔离备份功能，能自动将病毒文件隔离到本地隔离区，同时支持从客户端恢复隔离文件；</w:t>
            </w:r>
          </w:p>
        </w:tc>
      </w:tr>
      <w:tr w14:paraId="21BC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3DAFC27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68C9EBD">
            <w:pPr>
              <w:jc w:val="center"/>
              <w:rPr>
                <w:rFonts w:hint="eastAsia" w:ascii="宋体" w:hAnsi="宋体" w:eastAsia="宋体" w:cs="宋体"/>
                <w:i w:val="0"/>
                <w:iCs w:val="0"/>
                <w:color w:val="auto"/>
                <w:sz w:val="21"/>
                <w:szCs w:val="21"/>
                <w:u w:val="none"/>
              </w:rPr>
            </w:pPr>
          </w:p>
        </w:tc>
        <w:tc>
          <w:tcPr>
            <w:tcW w:w="3754" w:type="pct"/>
            <w:noWrap w:val="0"/>
            <w:vAlign w:val="center"/>
          </w:tcPr>
          <w:p w14:paraId="64F92A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5、风险发现</w:t>
            </w:r>
          </w:p>
          <w:p w14:paraId="6F2242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提供风险发现功能，通过风险扫描功能对服务器的弱口令风险、webshell、安全补丁、漏洞风险，系统配置风险进行检测，发现服务器上的风险异常。</w:t>
            </w:r>
          </w:p>
        </w:tc>
      </w:tr>
      <w:tr w14:paraId="2498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1E2E199">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F51D8D0">
            <w:pPr>
              <w:jc w:val="center"/>
              <w:rPr>
                <w:rFonts w:hint="eastAsia" w:ascii="宋体" w:hAnsi="宋体" w:eastAsia="宋体" w:cs="宋体"/>
                <w:i w:val="0"/>
                <w:iCs w:val="0"/>
                <w:color w:val="auto"/>
                <w:sz w:val="21"/>
                <w:szCs w:val="21"/>
                <w:u w:val="none"/>
              </w:rPr>
            </w:pPr>
          </w:p>
        </w:tc>
        <w:tc>
          <w:tcPr>
            <w:tcW w:w="3754" w:type="pct"/>
            <w:noWrap w:val="0"/>
            <w:vAlign w:val="center"/>
          </w:tcPr>
          <w:p w14:paraId="06EB10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6、支持对终端进行分组及批量分组，不同分组设置不同的策略；</w:t>
            </w:r>
          </w:p>
        </w:tc>
      </w:tr>
      <w:tr w14:paraId="641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142A20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6590AB0">
            <w:pPr>
              <w:jc w:val="center"/>
              <w:rPr>
                <w:rFonts w:hint="eastAsia" w:ascii="宋体" w:hAnsi="宋体" w:eastAsia="宋体" w:cs="宋体"/>
                <w:i w:val="0"/>
                <w:iCs w:val="0"/>
                <w:color w:val="auto"/>
                <w:sz w:val="21"/>
                <w:szCs w:val="21"/>
                <w:u w:val="none"/>
              </w:rPr>
            </w:pPr>
          </w:p>
        </w:tc>
        <w:tc>
          <w:tcPr>
            <w:tcW w:w="3754" w:type="pct"/>
            <w:noWrap w:val="0"/>
            <w:vAlign w:val="center"/>
          </w:tcPr>
          <w:p w14:paraId="6C151D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7、支持在线升级、离线升级，定时推送升级；</w:t>
            </w:r>
          </w:p>
        </w:tc>
      </w:tr>
      <w:tr w14:paraId="7726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02" w:type="pct"/>
            <w:vMerge w:val="continue"/>
            <w:noWrap/>
            <w:vAlign w:val="center"/>
          </w:tcPr>
          <w:p w14:paraId="081EEDF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4FF1638">
            <w:pPr>
              <w:jc w:val="center"/>
              <w:rPr>
                <w:rFonts w:hint="eastAsia" w:ascii="宋体" w:hAnsi="宋体" w:eastAsia="宋体" w:cs="宋体"/>
                <w:i w:val="0"/>
                <w:iCs w:val="0"/>
                <w:color w:val="auto"/>
                <w:sz w:val="21"/>
                <w:szCs w:val="21"/>
                <w:u w:val="none"/>
              </w:rPr>
            </w:pPr>
          </w:p>
        </w:tc>
        <w:tc>
          <w:tcPr>
            <w:tcW w:w="3754" w:type="pct"/>
            <w:noWrap w:val="0"/>
            <w:vAlign w:val="center"/>
          </w:tcPr>
          <w:p w14:paraId="61A49D8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8、系统加固</w:t>
            </w:r>
          </w:p>
          <w:p w14:paraId="2482DF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应用程序控制功能，可基于黑白名单方式对授信/风险程序进行控制。当主机完整性发生变化时，提供报警以及追踪痕迹功能。支持提供系统补丁管理功能，针对扫描、识别的漏洞风险，可提供漏洞修复建议；</w:t>
            </w:r>
          </w:p>
          <w:p w14:paraId="5A9F308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提供安全基线检查功能，支持等保二级、等保三级基线检查、支持系统配置与服务核查、支持账户安全、应用配置检查；</w:t>
            </w:r>
          </w:p>
          <w:p w14:paraId="47A6D3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提供弱口令扫描功能、支持系统弱口令扫描、支持应用弱口令扫描，支持扫描频率设置、支持密码显隐功能；</w:t>
            </w:r>
          </w:p>
        </w:tc>
      </w:tr>
      <w:tr w14:paraId="50CA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D4A298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695A345">
            <w:pPr>
              <w:jc w:val="center"/>
              <w:rPr>
                <w:rFonts w:hint="eastAsia" w:ascii="宋体" w:hAnsi="宋体" w:eastAsia="宋体" w:cs="宋体"/>
                <w:i w:val="0"/>
                <w:iCs w:val="0"/>
                <w:color w:val="auto"/>
                <w:sz w:val="21"/>
                <w:szCs w:val="21"/>
                <w:u w:val="none"/>
              </w:rPr>
            </w:pPr>
          </w:p>
        </w:tc>
        <w:tc>
          <w:tcPr>
            <w:tcW w:w="3754" w:type="pct"/>
            <w:noWrap w:val="0"/>
            <w:vAlign w:val="center"/>
          </w:tcPr>
          <w:p w14:paraId="5D7802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9、支持多租户的管理模式，可根据实际需求建立多个租户，并对每个租户灵活分配授权；</w:t>
            </w:r>
          </w:p>
        </w:tc>
      </w:tr>
      <w:tr w14:paraId="56A0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A95E2D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94DD154">
            <w:pPr>
              <w:jc w:val="center"/>
              <w:rPr>
                <w:rFonts w:hint="eastAsia" w:ascii="宋体" w:hAnsi="宋体" w:eastAsia="宋体" w:cs="宋体"/>
                <w:i w:val="0"/>
                <w:iCs w:val="0"/>
                <w:color w:val="auto"/>
                <w:sz w:val="21"/>
                <w:szCs w:val="21"/>
                <w:u w:val="none"/>
              </w:rPr>
            </w:pPr>
          </w:p>
        </w:tc>
        <w:tc>
          <w:tcPr>
            <w:tcW w:w="3754" w:type="pct"/>
            <w:noWrap w:val="0"/>
            <w:vAlign w:val="center"/>
          </w:tcPr>
          <w:p w14:paraId="65FED1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10、支持日志查询与操作员日志审计功能；</w:t>
            </w:r>
          </w:p>
        </w:tc>
      </w:tr>
      <w:tr w14:paraId="5D51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6FA51A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CF2DB39">
            <w:pPr>
              <w:jc w:val="center"/>
              <w:rPr>
                <w:rFonts w:hint="eastAsia" w:ascii="宋体" w:hAnsi="宋体" w:eastAsia="宋体" w:cs="宋体"/>
                <w:i w:val="0"/>
                <w:iCs w:val="0"/>
                <w:color w:val="auto"/>
                <w:sz w:val="21"/>
                <w:szCs w:val="21"/>
                <w:u w:val="none"/>
              </w:rPr>
            </w:pPr>
          </w:p>
        </w:tc>
        <w:tc>
          <w:tcPr>
            <w:tcW w:w="3754" w:type="pct"/>
            <w:noWrap w:val="0"/>
            <w:vAlign w:val="center"/>
          </w:tcPr>
          <w:p w14:paraId="17136E77">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★11、提供5年原厂服务，签订合同时提供针对本项目的原厂质保函</w:t>
            </w:r>
          </w:p>
        </w:tc>
      </w:tr>
      <w:tr w14:paraId="2602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09CCE4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942" w:type="pct"/>
            <w:gridSpan w:val="2"/>
            <w:vMerge w:val="restart"/>
            <w:noWrap/>
            <w:vAlign w:val="center"/>
          </w:tcPr>
          <w:p w14:paraId="166ABF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IDC出口防火墙</w:t>
            </w:r>
          </w:p>
        </w:tc>
        <w:tc>
          <w:tcPr>
            <w:tcW w:w="3754" w:type="pct"/>
            <w:noWrap w:val="0"/>
            <w:vAlign w:val="center"/>
          </w:tcPr>
          <w:p w14:paraId="637C3E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1、产品由专用的国产化硬件平台、国产化安全操作系统及功能软件构成，产品符合信创要求；提供相关证明材料；</w:t>
            </w:r>
          </w:p>
        </w:tc>
      </w:tr>
      <w:tr w14:paraId="78C1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66D059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B363D40">
            <w:pPr>
              <w:jc w:val="center"/>
              <w:rPr>
                <w:rFonts w:hint="eastAsia" w:ascii="宋体" w:hAnsi="宋体" w:eastAsia="宋体" w:cs="宋体"/>
                <w:i w:val="0"/>
                <w:iCs w:val="0"/>
                <w:color w:val="auto"/>
                <w:sz w:val="21"/>
                <w:szCs w:val="21"/>
                <w:u w:val="none"/>
              </w:rPr>
            </w:pPr>
          </w:p>
        </w:tc>
        <w:tc>
          <w:tcPr>
            <w:tcW w:w="3754" w:type="pct"/>
            <w:noWrap w:val="0"/>
            <w:vAlign w:val="center"/>
          </w:tcPr>
          <w:p w14:paraId="4A9E598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2、规格：≤2U，机架式安装</w:t>
            </w:r>
          </w:p>
        </w:tc>
      </w:tr>
      <w:tr w14:paraId="4026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16A4C8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E2100C7">
            <w:pPr>
              <w:jc w:val="center"/>
              <w:rPr>
                <w:rFonts w:hint="eastAsia" w:ascii="宋体" w:hAnsi="宋体" w:eastAsia="宋体" w:cs="宋体"/>
                <w:i w:val="0"/>
                <w:iCs w:val="0"/>
                <w:color w:val="auto"/>
                <w:sz w:val="21"/>
                <w:szCs w:val="21"/>
                <w:u w:val="none"/>
              </w:rPr>
            </w:pPr>
          </w:p>
        </w:tc>
        <w:tc>
          <w:tcPr>
            <w:tcW w:w="3754" w:type="pct"/>
            <w:noWrap w:val="0"/>
            <w:vAlign w:val="center"/>
          </w:tcPr>
          <w:p w14:paraId="32CB6544">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3、配置不少于1个管理口、1个HA口、4个千兆电口、4个千兆光口（满配千兆多模模块）和6个万兆光口（满配万兆多模模块）；日志存储时间不少于6个月。</w:t>
            </w:r>
          </w:p>
        </w:tc>
      </w:tr>
      <w:tr w14:paraId="5755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2AC5178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75BF147">
            <w:pPr>
              <w:jc w:val="center"/>
              <w:rPr>
                <w:rFonts w:hint="eastAsia" w:ascii="宋体" w:hAnsi="宋体" w:eastAsia="宋体" w:cs="宋体"/>
                <w:i w:val="0"/>
                <w:iCs w:val="0"/>
                <w:color w:val="auto"/>
                <w:sz w:val="21"/>
                <w:szCs w:val="21"/>
                <w:u w:val="none"/>
              </w:rPr>
            </w:pPr>
          </w:p>
        </w:tc>
        <w:tc>
          <w:tcPr>
            <w:tcW w:w="3754" w:type="pct"/>
            <w:noWrap w:val="0"/>
            <w:vAlign w:val="center"/>
          </w:tcPr>
          <w:p w14:paraId="4AAA6DE9">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4、网络层吞吐量(双向)： IPv4：≥40Gbps，IPv6：≥40Gbps。 应用层吞吐量（单向）： IPv4：≥20Gbps，IPv6：≥20Gbps。 TCP新建连接速率： IPv4：≥250万/秒，IPv6：≥250万/秒。 TCP并发连接数： IPv4：≥3000万，IPv6：≥3000万。</w:t>
            </w:r>
          </w:p>
        </w:tc>
      </w:tr>
      <w:tr w14:paraId="456D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1AA1A2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ABF233E">
            <w:pPr>
              <w:jc w:val="center"/>
              <w:rPr>
                <w:rFonts w:hint="eastAsia" w:ascii="宋体" w:hAnsi="宋体" w:eastAsia="宋体" w:cs="宋体"/>
                <w:i w:val="0"/>
                <w:iCs w:val="0"/>
                <w:color w:val="auto"/>
                <w:sz w:val="21"/>
                <w:szCs w:val="21"/>
                <w:u w:val="none"/>
              </w:rPr>
            </w:pPr>
          </w:p>
        </w:tc>
        <w:tc>
          <w:tcPr>
            <w:tcW w:w="3754" w:type="pct"/>
            <w:noWrap w:val="0"/>
            <w:vAlign w:val="center"/>
          </w:tcPr>
          <w:p w14:paraId="6AC2939D">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5、包含入侵防御、防病毒、应用识别、行为审计、流量控制等功能,含5年应用特征库升级许可，配置5年IPS入侵防御、AV防病毒。</w:t>
            </w:r>
          </w:p>
        </w:tc>
      </w:tr>
      <w:tr w14:paraId="119D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2" w:type="pct"/>
            <w:vMerge w:val="continue"/>
            <w:noWrap/>
            <w:vAlign w:val="center"/>
          </w:tcPr>
          <w:p w14:paraId="060BB5F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2AA2CDD">
            <w:pPr>
              <w:jc w:val="center"/>
              <w:rPr>
                <w:rFonts w:hint="eastAsia" w:ascii="宋体" w:hAnsi="宋体" w:eastAsia="宋体" w:cs="宋体"/>
                <w:i w:val="0"/>
                <w:iCs w:val="0"/>
                <w:color w:val="auto"/>
                <w:sz w:val="21"/>
                <w:szCs w:val="21"/>
                <w:u w:val="none"/>
              </w:rPr>
            </w:pPr>
          </w:p>
        </w:tc>
        <w:tc>
          <w:tcPr>
            <w:tcW w:w="3754" w:type="pct"/>
            <w:noWrap w:val="0"/>
            <w:vAlign w:val="center"/>
          </w:tcPr>
          <w:p w14:paraId="3DB387A4">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6、网络接入</w:t>
            </w:r>
          </w:p>
          <w:p w14:paraId="7AB6AE66">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支持路由、交换、虚拟线、Listening、混合工作模式；</w:t>
            </w:r>
          </w:p>
          <w:p w14:paraId="12C6F058">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支持一对一SNAT、多对一SNAT、一对一DNAT、双向NAT、NoNAT等多种转换方式；支持源IP转换同一性；</w:t>
            </w:r>
          </w:p>
          <w:p w14:paraId="0186C834">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支持手动和LACP链路聚合，可根据源/目的MAC、源/目的IP、源/目的端口、五元组、端口轮询等条件提供多种链路负载算法；</w:t>
            </w:r>
          </w:p>
          <w:p w14:paraId="60CAF29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支持IPv4/IPv6双栈工作模式；</w:t>
            </w:r>
          </w:p>
        </w:tc>
      </w:tr>
      <w:tr w14:paraId="227C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5176E3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6CAE556">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519A31D8">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7、访问控制</w:t>
            </w:r>
          </w:p>
          <w:p w14:paraId="72A98399">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支持一体化安全策略配置，可以通过一条策略实现五元组、源MAC、源地区、目的地区、域名、应用、服务、时间、URL过滤、邮件安全、数据过滤、文件过滤、审计等功能配置；</w:t>
            </w:r>
          </w:p>
          <w:p w14:paraId="69D16708">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支持域名控制，支持对多级域名进行控制，域名对象支持通配符；</w:t>
            </w:r>
          </w:p>
          <w:p w14:paraId="6873DC29">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提供策略分析功能，支持策略命中分析、策略冗余分析、策略冲突检查、策略包含分析；</w:t>
            </w:r>
          </w:p>
          <w:p w14:paraId="35ED7776">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访问控制策略执行动作支持允许、禁止及认证，对符合条件的流量进行Web认证；</w:t>
            </w:r>
          </w:p>
        </w:tc>
      </w:tr>
      <w:tr w14:paraId="2DC5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483BFB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EF093F4">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4AA45DD">
            <w:pPr>
              <w:jc w:val="left"/>
              <w:rPr>
                <w:rFonts w:hint="eastAsia" w:ascii="宋体" w:hAnsi="宋体" w:eastAsia="宋体" w:cs="宋体"/>
                <w:i w:val="0"/>
                <w:iCs w:val="0"/>
                <w:color w:val="auto"/>
                <w:sz w:val="21"/>
                <w:szCs w:val="21"/>
                <w:u w:val="none"/>
              </w:rPr>
            </w:pPr>
          </w:p>
        </w:tc>
      </w:tr>
      <w:tr w14:paraId="5F68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B196EF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58C71C8">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C9BB062">
            <w:pPr>
              <w:jc w:val="left"/>
              <w:rPr>
                <w:rFonts w:hint="eastAsia" w:ascii="宋体" w:hAnsi="宋体" w:eastAsia="宋体" w:cs="宋体"/>
                <w:i w:val="0"/>
                <w:iCs w:val="0"/>
                <w:color w:val="auto"/>
                <w:sz w:val="21"/>
                <w:szCs w:val="21"/>
                <w:u w:val="none"/>
              </w:rPr>
            </w:pPr>
          </w:p>
        </w:tc>
      </w:tr>
      <w:tr w14:paraId="3B53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BEF38B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38C73BE">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285A6B76">
            <w:pPr>
              <w:jc w:val="left"/>
              <w:rPr>
                <w:rFonts w:hint="eastAsia" w:ascii="宋体" w:hAnsi="宋体" w:eastAsia="宋体" w:cs="宋体"/>
                <w:i w:val="0"/>
                <w:iCs w:val="0"/>
                <w:color w:val="auto"/>
                <w:sz w:val="21"/>
                <w:szCs w:val="21"/>
                <w:u w:val="none"/>
              </w:rPr>
            </w:pPr>
          </w:p>
        </w:tc>
      </w:tr>
      <w:tr w14:paraId="22E2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02" w:type="pct"/>
            <w:vMerge w:val="continue"/>
            <w:noWrap/>
            <w:vAlign w:val="center"/>
          </w:tcPr>
          <w:p w14:paraId="1D63752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309B6B5">
            <w:pPr>
              <w:jc w:val="center"/>
              <w:rPr>
                <w:rFonts w:hint="eastAsia" w:ascii="宋体" w:hAnsi="宋体" w:eastAsia="宋体" w:cs="宋体"/>
                <w:i w:val="0"/>
                <w:iCs w:val="0"/>
                <w:color w:val="auto"/>
                <w:sz w:val="21"/>
                <w:szCs w:val="21"/>
                <w:u w:val="none"/>
              </w:rPr>
            </w:pPr>
          </w:p>
        </w:tc>
        <w:tc>
          <w:tcPr>
            <w:tcW w:w="3754" w:type="pct"/>
            <w:noWrap w:val="0"/>
            <w:vAlign w:val="center"/>
          </w:tcPr>
          <w:p w14:paraId="33E77C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8、安全防护</w:t>
            </w:r>
          </w:p>
          <w:p w14:paraId="55A9BCE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内置行为分析功能，对异常行为进行告警；支持行为分析监控展示，可展示不同行为分析策略的实时数据和基线数据趋势；</w:t>
            </w:r>
          </w:p>
          <w:p w14:paraId="6E7170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支持针对IP、ICMP、TCP、UDP、DNS、HTTP、NTP等协议进行DDOS防护；支持预定义和自定义策略模板；</w:t>
            </w:r>
          </w:p>
          <w:p w14:paraId="6AB451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支持NTP DDOS防护；</w:t>
            </w:r>
          </w:p>
          <w:p w14:paraId="7CFEFC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内置邮件安全防护功能，支持邮件过滤、邮箱防暴力破解、邮件泛洪攻击防护、邮件黑、白名单检测；</w:t>
            </w:r>
          </w:p>
        </w:tc>
      </w:tr>
      <w:tr w14:paraId="7D92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vMerge w:val="continue"/>
            <w:noWrap/>
            <w:vAlign w:val="center"/>
          </w:tcPr>
          <w:p w14:paraId="6911740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243D27F">
            <w:pPr>
              <w:jc w:val="center"/>
              <w:rPr>
                <w:rFonts w:hint="eastAsia" w:ascii="宋体" w:hAnsi="宋体" w:eastAsia="宋体" w:cs="宋体"/>
                <w:i w:val="0"/>
                <w:iCs w:val="0"/>
                <w:color w:val="auto"/>
                <w:sz w:val="21"/>
                <w:szCs w:val="21"/>
                <w:u w:val="none"/>
              </w:rPr>
            </w:pPr>
          </w:p>
        </w:tc>
        <w:tc>
          <w:tcPr>
            <w:tcW w:w="3754" w:type="pct"/>
            <w:noWrap w:val="0"/>
            <w:vAlign w:val="center"/>
          </w:tcPr>
          <w:p w14:paraId="577271A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9、系统管理</w:t>
            </w:r>
          </w:p>
          <w:p w14:paraId="1C8973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支持独立审计策略，支持审计白名单；</w:t>
            </w:r>
          </w:p>
          <w:p w14:paraId="293E9F2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支持在一台物理设备上划分出相互独立的虚拟系统，可根据连接配额及连接新建速率为每个虚拟系统分配资源，实配不少于24个虚拟防火墙授权；</w:t>
            </w:r>
          </w:p>
          <w:p w14:paraId="5B817F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支持在WEB界面进行网络诊断，支持PING、TRACEROUTE、TCP、HTTP、DNS诊断方式；</w:t>
            </w:r>
          </w:p>
        </w:tc>
      </w:tr>
      <w:tr w14:paraId="12B3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36A81B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59BD910">
            <w:pPr>
              <w:jc w:val="center"/>
              <w:rPr>
                <w:rFonts w:hint="eastAsia" w:ascii="宋体" w:hAnsi="宋体" w:eastAsia="宋体" w:cs="宋体"/>
                <w:i w:val="0"/>
                <w:iCs w:val="0"/>
                <w:color w:val="auto"/>
                <w:sz w:val="21"/>
                <w:szCs w:val="21"/>
                <w:u w:val="none"/>
              </w:rPr>
            </w:pPr>
          </w:p>
        </w:tc>
        <w:tc>
          <w:tcPr>
            <w:tcW w:w="3754" w:type="pct"/>
            <w:noWrap w:val="0"/>
            <w:vAlign w:val="center"/>
          </w:tcPr>
          <w:p w14:paraId="35B56D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10、产品具有公安部《计算机信息系统安全专用产品销售许可证》或中国网络安全审查技术与认证中心《网络关键设备和网络安全专用产品安全认证证书》；提供相关证明</w:t>
            </w:r>
          </w:p>
        </w:tc>
      </w:tr>
      <w:tr w14:paraId="5E56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C2D82E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97A5D94">
            <w:pPr>
              <w:jc w:val="center"/>
              <w:rPr>
                <w:rFonts w:hint="eastAsia" w:ascii="宋体" w:hAnsi="宋体" w:eastAsia="宋体" w:cs="宋体"/>
                <w:i w:val="0"/>
                <w:iCs w:val="0"/>
                <w:color w:val="auto"/>
                <w:sz w:val="21"/>
                <w:szCs w:val="21"/>
                <w:u w:val="none"/>
              </w:rPr>
            </w:pPr>
          </w:p>
        </w:tc>
        <w:tc>
          <w:tcPr>
            <w:tcW w:w="3754" w:type="pct"/>
            <w:noWrap w:val="0"/>
            <w:vAlign w:val="center"/>
          </w:tcPr>
          <w:p w14:paraId="2FE052F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★11、提供5年原厂质保，签订合同时提供针对本项目的原厂质保函；</w:t>
            </w:r>
          </w:p>
        </w:tc>
      </w:tr>
      <w:tr w14:paraId="5849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restart"/>
            <w:noWrap/>
            <w:vAlign w:val="center"/>
          </w:tcPr>
          <w:p w14:paraId="5D9318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942" w:type="pct"/>
            <w:gridSpan w:val="2"/>
            <w:vMerge w:val="restart"/>
            <w:noWrap w:val="0"/>
            <w:vAlign w:val="center"/>
          </w:tcPr>
          <w:p w14:paraId="44728F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运维系统</w:t>
            </w:r>
          </w:p>
        </w:tc>
        <w:tc>
          <w:tcPr>
            <w:tcW w:w="3754" w:type="pct"/>
            <w:noWrap w:val="0"/>
            <w:vAlign w:val="center"/>
          </w:tcPr>
          <w:p w14:paraId="2EA94E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1、基础运维</w:t>
            </w:r>
          </w:p>
          <w:p w14:paraId="7092D6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支持运维任务模板化管理，包括作业模板、作业概览、常规做业、定时作业、执行历史功能。</w:t>
            </w:r>
          </w:p>
        </w:tc>
      </w:tr>
      <w:tr w14:paraId="7055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5D413467">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2B45BED">
            <w:pPr>
              <w:jc w:val="center"/>
              <w:rPr>
                <w:rFonts w:hint="eastAsia" w:ascii="宋体" w:hAnsi="宋体" w:eastAsia="宋体" w:cs="宋体"/>
                <w:i w:val="0"/>
                <w:iCs w:val="0"/>
                <w:color w:val="auto"/>
                <w:sz w:val="21"/>
                <w:szCs w:val="21"/>
                <w:u w:val="none"/>
              </w:rPr>
            </w:pPr>
          </w:p>
        </w:tc>
        <w:tc>
          <w:tcPr>
            <w:tcW w:w="3754" w:type="pct"/>
            <w:noWrap w:val="0"/>
            <w:vAlign w:val="center"/>
          </w:tcPr>
          <w:p w14:paraId="684F7C3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2、配置管理</w:t>
            </w:r>
          </w:p>
          <w:p w14:paraId="1B2AD84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设备和接口字段的增删改查；提供设备模版的增删改查；提供设备类别、厂商、凭证、接口、软件系统等相关相关属性的增删改查。提供各种运维场景的配置数据服务，包括模型配置自定义管理，模型关联关系配置，可视化业务以及跨云管理。</w:t>
            </w:r>
          </w:p>
        </w:tc>
      </w:tr>
      <w:tr w14:paraId="0CCA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2A4DD32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A00D236">
            <w:pPr>
              <w:jc w:val="center"/>
              <w:rPr>
                <w:rFonts w:hint="eastAsia" w:ascii="宋体" w:hAnsi="宋体" w:eastAsia="宋体" w:cs="宋体"/>
                <w:i w:val="0"/>
                <w:iCs w:val="0"/>
                <w:color w:val="auto"/>
                <w:sz w:val="21"/>
                <w:szCs w:val="21"/>
                <w:u w:val="none"/>
              </w:rPr>
            </w:pPr>
          </w:p>
        </w:tc>
        <w:tc>
          <w:tcPr>
            <w:tcW w:w="3754" w:type="pct"/>
            <w:noWrap w:val="0"/>
            <w:vAlign w:val="center"/>
          </w:tcPr>
          <w:p w14:paraId="638081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3、设备资产管理</w:t>
            </w:r>
          </w:p>
          <w:p w14:paraId="0CA3D8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提供设备管理，设备监测、资产盘点等功能，展示设备拓扑、设备资产状态、设备运行状态，可通过大屏展示设备资产总体情况、运行数据、报警数据等内容。</w:t>
            </w:r>
          </w:p>
        </w:tc>
      </w:tr>
      <w:tr w14:paraId="2BB2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02" w:type="pct"/>
            <w:vMerge w:val="continue"/>
            <w:noWrap/>
            <w:vAlign w:val="center"/>
          </w:tcPr>
          <w:p w14:paraId="7E8CEB4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A56FC87">
            <w:pPr>
              <w:jc w:val="center"/>
              <w:rPr>
                <w:rFonts w:hint="eastAsia" w:ascii="宋体" w:hAnsi="宋体" w:eastAsia="宋体" w:cs="宋体"/>
                <w:i w:val="0"/>
                <w:iCs w:val="0"/>
                <w:color w:val="auto"/>
                <w:sz w:val="21"/>
                <w:szCs w:val="21"/>
                <w:u w:val="none"/>
              </w:rPr>
            </w:pPr>
          </w:p>
        </w:tc>
        <w:tc>
          <w:tcPr>
            <w:tcW w:w="3754" w:type="pct"/>
            <w:noWrap w:val="0"/>
            <w:vAlign w:val="center"/>
          </w:tcPr>
          <w:p w14:paraId="0B452BB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4、监控与告警</w:t>
            </w:r>
          </w:p>
          <w:p w14:paraId="13AEF5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自定义巡检计划，包括巡检周期、巡检范围，构建巡检规则，根据预设的要求进行数据采集，可以通过监控数据与图表趋势呈现资源的运行以及使用情况。可根据监控数据设置告警，如告警策略触发，发送信息提醒，支持以人为调度的形式执行各类运维处理事件。</w:t>
            </w:r>
          </w:p>
          <w:p w14:paraId="5ED3F7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提供告警消息列表，集中展示平台所有告警消息的告警状态、告警内容、处理状态、告警时间等信息，用户可进行手动处理告警信息。</w:t>
            </w:r>
          </w:p>
        </w:tc>
      </w:tr>
      <w:tr w14:paraId="6B89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67725E4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50656D7">
            <w:pPr>
              <w:jc w:val="center"/>
              <w:rPr>
                <w:rFonts w:hint="eastAsia" w:ascii="宋体" w:hAnsi="宋体" w:eastAsia="宋体" w:cs="宋体"/>
                <w:i w:val="0"/>
                <w:iCs w:val="0"/>
                <w:color w:val="auto"/>
                <w:sz w:val="21"/>
                <w:szCs w:val="21"/>
                <w:u w:val="none"/>
              </w:rPr>
            </w:pPr>
          </w:p>
        </w:tc>
        <w:tc>
          <w:tcPr>
            <w:tcW w:w="3754" w:type="pct"/>
            <w:noWrap w:val="0"/>
            <w:vAlign w:val="center"/>
          </w:tcPr>
          <w:p w14:paraId="0288BC0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5、自服务平台</w:t>
            </w:r>
          </w:p>
          <w:p w14:paraId="474CEE3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提供查询流程工单、处理审批工单，支持查看历史工单。提供资源申请工单、维修申请工单发起、审批、修改、删除、查询等功能，提供移动端和PC端功能。</w:t>
            </w:r>
          </w:p>
        </w:tc>
      </w:tr>
      <w:tr w14:paraId="2EC2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680243A9">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3F4B735">
            <w:pPr>
              <w:jc w:val="center"/>
              <w:rPr>
                <w:rFonts w:hint="eastAsia" w:ascii="宋体" w:hAnsi="宋体" w:eastAsia="宋体" w:cs="宋体"/>
                <w:i w:val="0"/>
                <w:iCs w:val="0"/>
                <w:color w:val="auto"/>
                <w:sz w:val="21"/>
                <w:szCs w:val="21"/>
                <w:u w:val="none"/>
              </w:rPr>
            </w:pPr>
          </w:p>
        </w:tc>
        <w:tc>
          <w:tcPr>
            <w:tcW w:w="3754" w:type="pct"/>
            <w:noWrap w:val="0"/>
            <w:vAlign w:val="center"/>
          </w:tcPr>
          <w:p w14:paraId="2B80AE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6、运维对接</w:t>
            </w:r>
          </w:p>
          <w:p w14:paraId="33FAF9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本次运维系统需要对接卫健一楼机房和IDC机房现有的机房内设备管理系统，实现相关设备运维信息的采集；</w:t>
            </w:r>
          </w:p>
          <w:p w14:paraId="6D4514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支持对接UPS、温湿度等机房环控设备；</w:t>
            </w:r>
          </w:p>
        </w:tc>
      </w:tr>
      <w:tr w14:paraId="5012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7987E3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95185D0">
            <w:pPr>
              <w:jc w:val="center"/>
              <w:rPr>
                <w:rFonts w:hint="eastAsia" w:ascii="宋体" w:hAnsi="宋体" w:eastAsia="宋体" w:cs="宋体"/>
                <w:i w:val="0"/>
                <w:iCs w:val="0"/>
                <w:color w:val="auto"/>
                <w:sz w:val="21"/>
                <w:szCs w:val="21"/>
                <w:u w:val="none"/>
              </w:rPr>
            </w:pPr>
          </w:p>
        </w:tc>
        <w:tc>
          <w:tcPr>
            <w:tcW w:w="3754" w:type="pct"/>
            <w:noWrap w:val="0"/>
            <w:vAlign w:val="center"/>
          </w:tcPr>
          <w:p w14:paraId="294390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★7、提供5年原厂服务，签订合同时提供针对本项目的原厂质保函；</w:t>
            </w:r>
          </w:p>
        </w:tc>
      </w:tr>
      <w:tr w14:paraId="4DDB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28863E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942" w:type="pct"/>
            <w:gridSpan w:val="2"/>
            <w:vMerge w:val="restart"/>
            <w:noWrap w:val="0"/>
            <w:vAlign w:val="center"/>
          </w:tcPr>
          <w:p w14:paraId="1716EF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国密服务器密码机</w:t>
            </w:r>
          </w:p>
        </w:tc>
        <w:tc>
          <w:tcPr>
            <w:tcW w:w="3754" w:type="pct"/>
            <w:noWrap w:val="0"/>
            <w:vAlign w:val="center"/>
          </w:tcPr>
          <w:p w14:paraId="466D06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1、产品需为国家密码管理局认证合格的密码产品，而非加密软件密码模块，配置国产操作系统、国产芯片。产品具备商用密码产品认证证书，提供相关证明。</w:t>
            </w:r>
          </w:p>
        </w:tc>
      </w:tr>
      <w:tr w14:paraId="39D1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E8CE3B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A6EBFA2">
            <w:pPr>
              <w:jc w:val="center"/>
              <w:rPr>
                <w:rFonts w:hint="eastAsia" w:ascii="宋体" w:hAnsi="宋体" w:eastAsia="宋体" w:cs="宋体"/>
                <w:i w:val="0"/>
                <w:iCs w:val="0"/>
                <w:color w:val="auto"/>
                <w:sz w:val="21"/>
                <w:szCs w:val="21"/>
                <w:u w:val="none"/>
              </w:rPr>
            </w:pPr>
          </w:p>
        </w:tc>
        <w:tc>
          <w:tcPr>
            <w:tcW w:w="3754" w:type="pct"/>
            <w:noWrap w:val="0"/>
            <w:vAlign w:val="center"/>
          </w:tcPr>
          <w:p w14:paraId="476741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2、硬件要求：≥1个管理口，≥1个HA口，≥4个千兆电口；冗余电源；</w:t>
            </w:r>
          </w:p>
        </w:tc>
      </w:tr>
      <w:tr w14:paraId="514C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2" w:type="pct"/>
            <w:vMerge w:val="continue"/>
            <w:noWrap/>
            <w:vAlign w:val="center"/>
          </w:tcPr>
          <w:p w14:paraId="0407C51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88479AC">
            <w:pPr>
              <w:jc w:val="center"/>
              <w:rPr>
                <w:rFonts w:hint="eastAsia" w:ascii="宋体" w:hAnsi="宋体" w:eastAsia="宋体" w:cs="宋体"/>
                <w:i w:val="0"/>
                <w:iCs w:val="0"/>
                <w:color w:val="auto"/>
                <w:sz w:val="21"/>
                <w:szCs w:val="21"/>
                <w:u w:val="none"/>
              </w:rPr>
            </w:pPr>
          </w:p>
        </w:tc>
        <w:tc>
          <w:tcPr>
            <w:tcW w:w="3754" w:type="pct"/>
            <w:noWrap w:val="0"/>
            <w:vAlign w:val="center"/>
          </w:tcPr>
          <w:p w14:paraId="4A670A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3、性能要求</w:t>
            </w:r>
          </w:p>
          <w:p w14:paraId="279236D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国密算法： SM2 算法最大密钥生成速率：≥14000对/秒 ，SM2 算法最大签名速率：≥12000次/秒 ，SM2 算法最大验签速率：≥8000次/秒 ；SM3 算法完整性校验最大吞吐率≥800Mbps ；SM4 算法加解密最大吞吐率：≥1200Mbps；</w:t>
            </w:r>
          </w:p>
          <w:p w14:paraId="04ABD80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国际算法： RSA 算法最大密钥生成速率≥200对/秒 1024 位 ，RSA 算法最大签名速率：≥110000次/秒 1024 位 ；RSA 算法最大验签速率：≥1125000次/秒 ；SHA1 算法加解密最大吞吐率：≥13500Mbps ；SHA2 算法加解密最大吞吐率：≥13500Mbps ；DES 算法加解密最大吞吐率：≥11500Mbps ；3DES 算法加解密最大吞吐率：≥1800Mbps； AES 算法加解密最大吞吐率：≥16000Mbps。</w:t>
            </w:r>
          </w:p>
        </w:tc>
      </w:tr>
      <w:tr w14:paraId="5CF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02" w:type="pct"/>
            <w:vMerge w:val="continue"/>
            <w:noWrap/>
            <w:vAlign w:val="center"/>
          </w:tcPr>
          <w:p w14:paraId="5D311F7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D612D99">
            <w:pPr>
              <w:jc w:val="center"/>
              <w:rPr>
                <w:rFonts w:hint="eastAsia" w:ascii="宋体" w:hAnsi="宋体" w:eastAsia="宋体" w:cs="宋体"/>
                <w:i w:val="0"/>
                <w:iCs w:val="0"/>
                <w:color w:val="auto"/>
                <w:sz w:val="21"/>
                <w:szCs w:val="21"/>
                <w:u w:val="none"/>
              </w:rPr>
            </w:pPr>
          </w:p>
        </w:tc>
        <w:tc>
          <w:tcPr>
            <w:tcW w:w="3754" w:type="pct"/>
            <w:noWrap w:val="0"/>
            <w:vAlign w:val="center"/>
          </w:tcPr>
          <w:p w14:paraId="167890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4、功能要求</w:t>
            </w:r>
          </w:p>
          <w:p w14:paraId="67B8F8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通过数字签名可以保证信息传输的完整性、对发送者进行源认证以及防抵赖支持；</w:t>
            </w:r>
          </w:p>
          <w:p w14:paraId="27DD7D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支持三层密钥结构：管理密钥、用户密钥/设备密钥/密钥加密密钥、会话密钥；</w:t>
            </w:r>
          </w:p>
          <w:p w14:paraId="7305507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采用由国家密码管理局批准使用的物理噪声源发生器芯片生成随机数；</w:t>
            </w:r>
          </w:p>
          <w:p w14:paraId="7081ED5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符合GM/T 0018-2012《密码设备应用接口规范》标准；</w:t>
            </w:r>
          </w:p>
          <w:p w14:paraId="6E0D525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支持密钥的全生命周期管理：密钥的生成、存储、使用、备份、恢复、删除、销毁等功能；</w:t>
            </w:r>
          </w:p>
        </w:tc>
      </w:tr>
      <w:tr w14:paraId="4698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B31F3D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2D67351">
            <w:pPr>
              <w:jc w:val="center"/>
              <w:rPr>
                <w:rFonts w:hint="eastAsia" w:ascii="宋体" w:hAnsi="宋体" w:eastAsia="宋体" w:cs="宋体"/>
                <w:i w:val="0"/>
                <w:iCs w:val="0"/>
                <w:color w:val="auto"/>
                <w:sz w:val="21"/>
                <w:szCs w:val="21"/>
                <w:u w:val="none"/>
              </w:rPr>
            </w:pPr>
          </w:p>
        </w:tc>
        <w:tc>
          <w:tcPr>
            <w:tcW w:w="3754" w:type="pct"/>
            <w:noWrap w:val="0"/>
            <w:vAlign w:val="center"/>
          </w:tcPr>
          <w:p w14:paraId="6442A1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★5、提供5年原厂质保，签订合同时提供针对本项目的原厂质保函；</w:t>
            </w:r>
          </w:p>
        </w:tc>
      </w:tr>
      <w:tr w14:paraId="4A74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noWrap/>
            <w:vAlign w:val="center"/>
          </w:tcPr>
          <w:p w14:paraId="6D29C9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942" w:type="pct"/>
            <w:gridSpan w:val="2"/>
            <w:noWrap w:val="0"/>
            <w:vAlign w:val="center"/>
          </w:tcPr>
          <w:p w14:paraId="0A7C47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国密浏览器</w:t>
            </w:r>
          </w:p>
        </w:tc>
        <w:tc>
          <w:tcPr>
            <w:tcW w:w="3754" w:type="pct"/>
            <w:noWrap w:val="0"/>
            <w:vAlign w:val="center"/>
          </w:tcPr>
          <w:p w14:paraId="6F139A6B">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1、支持国密算法</w:t>
            </w:r>
            <w:r>
              <w:rPr>
                <w:rFonts w:hint="eastAsia" w:ascii="宋体" w:hAnsi="宋体" w:eastAsia="宋体" w:cs="宋体"/>
                <w:b w:val="0"/>
                <w:bCs w:val="0"/>
                <w:i w:val="0"/>
                <w:iCs w:val="0"/>
                <w:color w:val="auto"/>
                <w:kern w:val="0"/>
                <w:sz w:val="21"/>
                <w:szCs w:val="21"/>
                <w:u w:val="none"/>
                <w:lang w:val="en-US" w:eastAsia="zh-CN" w:bidi="ar"/>
              </w:rPr>
              <w:t>的浏览器，符合国家密码管理局要求；</w:t>
            </w:r>
          </w:p>
          <w:p w14:paraId="1BB3D87E">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2、能够解析国密算法，实现基于国密的SSL安全链路的建立；</w:t>
            </w:r>
          </w:p>
          <w:p w14:paraId="5FA97D5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3、提供5年原厂质保；</w:t>
            </w:r>
          </w:p>
        </w:tc>
      </w:tr>
      <w:tr w14:paraId="519F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noWrap/>
            <w:vAlign w:val="center"/>
          </w:tcPr>
          <w:p w14:paraId="5A42DB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942" w:type="pct"/>
            <w:gridSpan w:val="2"/>
            <w:noWrap/>
            <w:vAlign w:val="center"/>
          </w:tcPr>
          <w:p w14:paraId="4D8D88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国密门禁系统</w:t>
            </w:r>
          </w:p>
        </w:tc>
        <w:tc>
          <w:tcPr>
            <w:tcW w:w="3754" w:type="pct"/>
            <w:noWrap w:val="0"/>
            <w:vAlign w:val="center"/>
          </w:tcPr>
          <w:p w14:paraId="4124AE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1、国密算法的人脸+指纹+刷卡门禁一体机，带管理系统；</w:t>
            </w:r>
          </w:p>
          <w:p w14:paraId="2438E0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2、配置10张国密卡；</w:t>
            </w:r>
          </w:p>
          <w:p w14:paraId="006BF33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3、5年质保；</w:t>
            </w:r>
          </w:p>
          <w:p w14:paraId="538EED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4、带安装所需要的所有配件；</w:t>
            </w:r>
          </w:p>
        </w:tc>
      </w:tr>
      <w:tr w14:paraId="2F9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1BB074A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w:t>
            </w:r>
          </w:p>
        </w:tc>
        <w:tc>
          <w:tcPr>
            <w:tcW w:w="942" w:type="pct"/>
            <w:gridSpan w:val="2"/>
            <w:vMerge w:val="restart"/>
            <w:noWrap/>
            <w:vAlign w:val="center"/>
          </w:tcPr>
          <w:p w14:paraId="78E00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SSL VPN安全网关</w:t>
            </w:r>
          </w:p>
        </w:tc>
        <w:tc>
          <w:tcPr>
            <w:tcW w:w="3754" w:type="pct"/>
            <w:noWrap w:val="0"/>
            <w:vAlign w:val="center"/>
          </w:tcPr>
          <w:p w14:paraId="77FE29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1、国产操作系统，国产处理器，符合信创要求；</w:t>
            </w:r>
          </w:p>
        </w:tc>
      </w:tr>
      <w:tr w14:paraId="2EA1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ABE2E3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6607FFD">
            <w:pPr>
              <w:jc w:val="center"/>
              <w:rPr>
                <w:rFonts w:hint="eastAsia" w:ascii="宋体" w:hAnsi="宋体" w:eastAsia="宋体" w:cs="宋体"/>
                <w:i w:val="0"/>
                <w:iCs w:val="0"/>
                <w:color w:val="auto"/>
                <w:sz w:val="21"/>
                <w:szCs w:val="21"/>
                <w:u w:val="none"/>
              </w:rPr>
            </w:pPr>
          </w:p>
        </w:tc>
        <w:tc>
          <w:tcPr>
            <w:tcW w:w="3754" w:type="pct"/>
            <w:noWrap w:val="0"/>
            <w:vAlign w:val="center"/>
          </w:tcPr>
          <w:p w14:paraId="62D50C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2、国密 SSL VPN最大理论吞吐率≥1Gbps ；国密 SSL VPN最大理论并发用户数：≥1200；配置200个SSL VPN的客户端并发许可</w:t>
            </w:r>
          </w:p>
        </w:tc>
      </w:tr>
      <w:tr w14:paraId="6BF4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FBA736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0A7E3FE">
            <w:pPr>
              <w:jc w:val="center"/>
              <w:rPr>
                <w:rFonts w:hint="eastAsia" w:ascii="宋体" w:hAnsi="宋体" w:eastAsia="宋体" w:cs="宋体"/>
                <w:i w:val="0"/>
                <w:iCs w:val="0"/>
                <w:color w:val="auto"/>
                <w:sz w:val="21"/>
                <w:szCs w:val="21"/>
                <w:u w:val="none"/>
              </w:rPr>
            </w:pPr>
          </w:p>
        </w:tc>
        <w:tc>
          <w:tcPr>
            <w:tcW w:w="3754" w:type="pct"/>
            <w:noWrap w:val="0"/>
            <w:vAlign w:val="center"/>
          </w:tcPr>
          <w:p w14:paraId="42D7BA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3、接口 ≥6千兆电口+4千兆光口；</w:t>
            </w:r>
          </w:p>
        </w:tc>
      </w:tr>
      <w:tr w14:paraId="7E77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vMerge w:val="continue"/>
            <w:noWrap/>
            <w:vAlign w:val="center"/>
          </w:tcPr>
          <w:p w14:paraId="2CAC758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8569857">
            <w:pPr>
              <w:jc w:val="center"/>
              <w:rPr>
                <w:rFonts w:hint="eastAsia" w:ascii="宋体" w:hAnsi="宋体" w:eastAsia="宋体" w:cs="宋体"/>
                <w:i w:val="0"/>
                <w:iCs w:val="0"/>
                <w:color w:val="auto"/>
                <w:sz w:val="21"/>
                <w:szCs w:val="21"/>
                <w:u w:val="none"/>
              </w:rPr>
            </w:pPr>
          </w:p>
        </w:tc>
        <w:tc>
          <w:tcPr>
            <w:tcW w:w="3754" w:type="pct"/>
            <w:noWrap w:val="0"/>
            <w:vAlign w:val="center"/>
          </w:tcPr>
          <w:p w14:paraId="096F4C3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4、SSL VPN</w:t>
            </w:r>
          </w:p>
          <w:p w14:paraId="20AD5E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支持AES、DES、3DES、RC4、MD5、SHA1、RSA等多种算法；</w:t>
            </w:r>
          </w:p>
          <w:p w14:paraId="1826A8D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支持国家商密专用的SM2、SM3、SM4算法；</w:t>
            </w:r>
          </w:p>
          <w:p w14:paraId="7BA88C0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支持国密、国际算法切换；</w:t>
            </w:r>
          </w:p>
          <w:p w14:paraId="728579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支持高效流压缩算法；</w:t>
            </w:r>
          </w:p>
        </w:tc>
      </w:tr>
      <w:tr w14:paraId="711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A158C3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9E00C91">
            <w:pPr>
              <w:jc w:val="center"/>
              <w:rPr>
                <w:rFonts w:hint="eastAsia" w:ascii="宋体" w:hAnsi="宋体" w:eastAsia="宋体" w:cs="宋体"/>
                <w:i w:val="0"/>
                <w:iCs w:val="0"/>
                <w:color w:val="auto"/>
                <w:sz w:val="21"/>
                <w:szCs w:val="21"/>
                <w:u w:val="none"/>
              </w:rPr>
            </w:pPr>
          </w:p>
        </w:tc>
        <w:tc>
          <w:tcPr>
            <w:tcW w:w="3754" w:type="pct"/>
            <w:noWrap w:val="0"/>
            <w:vAlign w:val="center"/>
          </w:tcPr>
          <w:p w14:paraId="474A35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5、支持会话功能，能够实时监控在线用户的登录时间、登录IP、在线时间、访问流量，登录设备等多种信息；</w:t>
            </w:r>
          </w:p>
        </w:tc>
      </w:tr>
      <w:tr w14:paraId="3B57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5DC0243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38E59F9">
            <w:pPr>
              <w:jc w:val="center"/>
              <w:rPr>
                <w:rFonts w:hint="eastAsia" w:ascii="宋体" w:hAnsi="宋体" w:eastAsia="宋体" w:cs="宋体"/>
                <w:i w:val="0"/>
                <w:iCs w:val="0"/>
                <w:color w:val="auto"/>
                <w:sz w:val="21"/>
                <w:szCs w:val="21"/>
                <w:u w:val="none"/>
              </w:rPr>
            </w:pPr>
          </w:p>
        </w:tc>
        <w:tc>
          <w:tcPr>
            <w:tcW w:w="3754" w:type="pct"/>
            <w:noWrap w:val="0"/>
            <w:vAlign w:val="center"/>
          </w:tcPr>
          <w:p w14:paraId="1B06B5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产品具有公安部《计算机信息系统安全专用产品销售许可证》或中国网络安全审查技术与认证中心《网络关键设备和网络安全专用产品安全认证证书》；产品具备国家密码管理局（商用密码产品认证证书），以上证书提供相关证明</w:t>
            </w:r>
          </w:p>
        </w:tc>
      </w:tr>
      <w:tr w14:paraId="4DDE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813481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96124C3">
            <w:pPr>
              <w:jc w:val="center"/>
              <w:rPr>
                <w:rFonts w:hint="eastAsia" w:ascii="宋体" w:hAnsi="宋体" w:eastAsia="宋体" w:cs="宋体"/>
                <w:i w:val="0"/>
                <w:iCs w:val="0"/>
                <w:color w:val="auto"/>
                <w:sz w:val="21"/>
                <w:szCs w:val="21"/>
                <w:u w:val="none"/>
              </w:rPr>
            </w:pPr>
          </w:p>
        </w:tc>
        <w:tc>
          <w:tcPr>
            <w:tcW w:w="3754" w:type="pct"/>
            <w:noWrap w:val="0"/>
            <w:vAlign w:val="center"/>
          </w:tcPr>
          <w:p w14:paraId="702A7D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★7、提供5年原厂质保，签订合同时提供针对本项目的原厂质保函</w:t>
            </w:r>
          </w:p>
        </w:tc>
      </w:tr>
      <w:tr w14:paraId="5C15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5BA2BEE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31</w:t>
            </w:r>
          </w:p>
        </w:tc>
        <w:tc>
          <w:tcPr>
            <w:tcW w:w="942" w:type="pct"/>
            <w:gridSpan w:val="2"/>
            <w:vMerge w:val="restart"/>
            <w:noWrap/>
            <w:vAlign w:val="center"/>
          </w:tcPr>
          <w:p w14:paraId="51516D7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国密IPSEC/SSL VPN综合网关</w:t>
            </w:r>
          </w:p>
        </w:tc>
        <w:tc>
          <w:tcPr>
            <w:tcW w:w="3754" w:type="pct"/>
            <w:noWrap w:val="0"/>
            <w:vAlign w:val="center"/>
          </w:tcPr>
          <w:p w14:paraId="6C9164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1、≤2U机箱，机架式安装</w:t>
            </w:r>
          </w:p>
        </w:tc>
      </w:tr>
      <w:tr w14:paraId="3409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630103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19C3458">
            <w:pPr>
              <w:jc w:val="center"/>
              <w:rPr>
                <w:rFonts w:hint="eastAsia" w:ascii="宋体" w:hAnsi="宋体" w:eastAsia="宋体" w:cs="宋体"/>
                <w:i w:val="0"/>
                <w:iCs w:val="0"/>
                <w:color w:val="auto"/>
                <w:sz w:val="21"/>
                <w:szCs w:val="21"/>
                <w:u w:val="none"/>
              </w:rPr>
            </w:pPr>
          </w:p>
        </w:tc>
        <w:tc>
          <w:tcPr>
            <w:tcW w:w="3754" w:type="pct"/>
            <w:noWrap w:val="0"/>
            <w:vAlign w:val="center"/>
          </w:tcPr>
          <w:p w14:paraId="52E7FE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2、规格：≥4千兆光口（配模块），≥4千兆电口，冗余电源；</w:t>
            </w:r>
          </w:p>
        </w:tc>
      </w:tr>
      <w:tr w14:paraId="6CF1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2ECB096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DD624B5">
            <w:pPr>
              <w:jc w:val="center"/>
              <w:rPr>
                <w:rFonts w:hint="eastAsia" w:ascii="宋体" w:hAnsi="宋体" w:eastAsia="宋体" w:cs="宋体"/>
                <w:i w:val="0"/>
                <w:iCs w:val="0"/>
                <w:color w:val="auto"/>
                <w:sz w:val="21"/>
                <w:szCs w:val="21"/>
                <w:u w:val="none"/>
              </w:rPr>
            </w:pPr>
          </w:p>
        </w:tc>
        <w:tc>
          <w:tcPr>
            <w:tcW w:w="3754" w:type="pct"/>
            <w:noWrap w:val="0"/>
            <w:vAlign w:val="center"/>
          </w:tcPr>
          <w:p w14:paraId="4269CF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3、国密IPSEC最大吞吐率≥400Mbps;最大隧道数≥5000条；每秒新建隧道数≥25条；加解密时延≤0.3ms；国密 SSL VPN最大并发用户数：≥1000；本次配置≥100个SSL并发用户许可。</w:t>
            </w:r>
          </w:p>
        </w:tc>
      </w:tr>
      <w:tr w14:paraId="1038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FFE01F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BA3DA6D">
            <w:pPr>
              <w:jc w:val="center"/>
              <w:rPr>
                <w:rFonts w:hint="eastAsia" w:ascii="宋体" w:hAnsi="宋体" w:eastAsia="宋体" w:cs="宋体"/>
                <w:i w:val="0"/>
                <w:iCs w:val="0"/>
                <w:color w:val="auto"/>
                <w:sz w:val="21"/>
                <w:szCs w:val="21"/>
                <w:u w:val="none"/>
              </w:rPr>
            </w:pPr>
          </w:p>
        </w:tc>
        <w:tc>
          <w:tcPr>
            <w:tcW w:w="3754" w:type="pct"/>
            <w:noWrap w:val="0"/>
            <w:vAlign w:val="center"/>
          </w:tcPr>
          <w:p w14:paraId="44BBD0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4、支持SSL、IPSec使用一套用户认证，用户管理；支持管理员分级分权管理，根据不同管理可以管理不同的功能模块；支持基于用户、用户组、用户角色进行授权；</w:t>
            </w:r>
          </w:p>
        </w:tc>
      </w:tr>
      <w:tr w14:paraId="7364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125D76C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FA942FF">
            <w:pPr>
              <w:jc w:val="center"/>
              <w:rPr>
                <w:rFonts w:hint="eastAsia" w:ascii="宋体" w:hAnsi="宋体" w:eastAsia="宋体" w:cs="宋体"/>
                <w:i w:val="0"/>
                <w:iCs w:val="0"/>
                <w:color w:val="auto"/>
                <w:sz w:val="21"/>
                <w:szCs w:val="21"/>
                <w:u w:val="none"/>
              </w:rPr>
            </w:pPr>
          </w:p>
        </w:tc>
        <w:tc>
          <w:tcPr>
            <w:tcW w:w="3754" w:type="pct"/>
            <w:noWrap w:val="0"/>
            <w:vAlign w:val="center"/>
          </w:tcPr>
          <w:p w14:paraId="0B345D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5、支持静态用户名口令、数字证书、短信、人脸识别认证方式；支持两种或两种以上组合认证方式；</w:t>
            </w:r>
          </w:p>
        </w:tc>
      </w:tr>
      <w:tr w14:paraId="6CED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73E9921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ADC23DD">
            <w:pPr>
              <w:jc w:val="center"/>
              <w:rPr>
                <w:rFonts w:hint="eastAsia" w:ascii="宋体" w:hAnsi="宋体" w:eastAsia="宋体" w:cs="宋体"/>
                <w:i w:val="0"/>
                <w:iCs w:val="0"/>
                <w:color w:val="auto"/>
                <w:sz w:val="21"/>
                <w:szCs w:val="21"/>
                <w:u w:val="none"/>
              </w:rPr>
            </w:pPr>
          </w:p>
        </w:tc>
        <w:tc>
          <w:tcPr>
            <w:tcW w:w="3754" w:type="pct"/>
            <w:noWrap w:val="0"/>
            <w:vAlign w:val="center"/>
          </w:tcPr>
          <w:p w14:paraId="3897C9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内置CA，可以对证书进行生成、签发、废弃操作；支持国际、国密算法证书；支持DER/PEM/PKCS12等多种证书编码；支持导入多个第三方CA根证书和CRL列表，可以对不同的CA用户证书进行身份认证；支持通过OCSP/LDAP等协议对CA证书进行在线认证；支持使用RADIUS、TACACS/TACACS+、LDAP、域认证第三方安全认证方式</w:t>
            </w:r>
          </w:p>
        </w:tc>
      </w:tr>
      <w:tr w14:paraId="69D5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2" w:type="pct"/>
            <w:vMerge w:val="continue"/>
            <w:noWrap/>
            <w:vAlign w:val="center"/>
          </w:tcPr>
          <w:p w14:paraId="546D0E7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84AD19B">
            <w:pPr>
              <w:jc w:val="center"/>
              <w:rPr>
                <w:rFonts w:hint="eastAsia" w:ascii="宋体" w:hAnsi="宋体" w:eastAsia="宋体" w:cs="宋体"/>
                <w:i w:val="0"/>
                <w:iCs w:val="0"/>
                <w:color w:val="auto"/>
                <w:sz w:val="21"/>
                <w:szCs w:val="21"/>
                <w:u w:val="none"/>
              </w:rPr>
            </w:pPr>
          </w:p>
        </w:tc>
        <w:tc>
          <w:tcPr>
            <w:tcW w:w="3754" w:type="pct"/>
            <w:noWrap w:val="0"/>
            <w:vAlign w:val="center"/>
          </w:tcPr>
          <w:p w14:paraId="7BA2293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7、IPSecVPN</w:t>
            </w:r>
          </w:p>
          <w:p w14:paraId="7B9B2B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支持DES、3DES、AES、MD5、SHA1、DH GROUP1/2/5、RSA 1024/2048等加密算法；</w:t>
            </w:r>
          </w:p>
          <w:p w14:paraId="4303EC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支持国家商密专用的SM2、SM3、SM4算法；</w:t>
            </w:r>
          </w:p>
          <w:p w14:paraId="4F71C5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支持国密、国际算法切换；</w:t>
            </w:r>
          </w:p>
          <w:p w14:paraId="48C632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支持虚拟路由、隧道转发；</w:t>
            </w:r>
          </w:p>
          <w:p w14:paraId="6AEC73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支持使用标准的X.509证书建立隧道；</w:t>
            </w:r>
          </w:p>
          <w:p w14:paraId="65398E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支持多机多隧道的负载均衡和备份；</w:t>
            </w:r>
          </w:p>
        </w:tc>
      </w:tr>
      <w:tr w14:paraId="6FB1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171BD5E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B7D0D1D">
            <w:pPr>
              <w:jc w:val="center"/>
              <w:rPr>
                <w:rFonts w:hint="eastAsia" w:ascii="宋体" w:hAnsi="宋体" w:eastAsia="宋体" w:cs="宋体"/>
                <w:i w:val="0"/>
                <w:iCs w:val="0"/>
                <w:color w:val="auto"/>
                <w:sz w:val="21"/>
                <w:szCs w:val="21"/>
                <w:u w:val="none"/>
              </w:rPr>
            </w:pPr>
          </w:p>
        </w:tc>
        <w:tc>
          <w:tcPr>
            <w:tcW w:w="3754" w:type="pct"/>
            <w:noWrap w:val="0"/>
            <w:vAlign w:val="center"/>
          </w:tcPr>
          <w:p w14:paraId="0EB25E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8、SSL VPN</w:t>
            </w:r>
          </w:p>
          <w:p w14:paraId="457D421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支持AES、DES、3DES、RC4、MD5、SHA1、RSA等多种算法；</w:t>
            </w:r>
          </w:p>
          <w:p w14:paraId="77EAA83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支持国家商密专用的SM2、SM3、SM4算法；</w:t>
            </w:r>
          </w:p>
          <w:p w14:paraId="185250D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支持国密、国际算法切换；</w:t>
            </w:r>
          </w:p>
          <w:p w14:paraId="7BF5FD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支持高效流压缩算法；</w:t>
            </w:r>
          </w:p>
        </w:tc>
      </w:tr>
      <w:tr w14:paraId="23B3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8C6143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2A76677">
            <w:pPr>
              <w:jc w:val="center"/>
              <w:rPr>
                <w:rFonts w:hint="eastAsia" w:ascii="宋体" w:hAnsi="宋体" w:eastAsia="宋体" w:cs="宋体"/>
                <w:i w:val="0"/>
                <w:iCs w:val="0"/>
                <w:color w:val="auto"/>
                <w:sz w:val="21"/>
                <w:szCs w:val="21"/>
                <w:u w:val="none"/>
              </w:rPr>
            </w:pPr>
          </w:p>
        </w:tc>
        <w:tc>
          <w:tcPr>
            <w:tcW w:w="3754" w:type="pct"/>
            <w:noWrap w:val="0"/>
            <w:vAlign w:val="center"/>
          </w:tcPr>
          <w:p w14:paraId="6577C0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9、产品具备国家密码管理局（商用密码产品认证证书）。</w:t>
            </w:r>
          </w:p>
        </w:tc>
      </w:tr>
      <w:tr w14:paraId="3AC0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12484F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F3D077B">
            <w:pPr>
              <w:jc w:val="center"/>
              <w:rPr>
                <w:rFonts w:hint="eastAsia" w:ascii="宋体" w:hAnsi="宋体" w:eastAsia="宋体" w:cs="宋体"/>
                <w:i w:val="0"/>
                <w:iCs w:val="0"/>
                <w:color w:val="auto"/>
                <w:sz w:val="21"/>
                <w:szCs w:val="21"/>
                <w:u w:val="none"/>
              </w:rPr>
            </w:pPr>
          </w:p>
        </w:tc>
        <w:tc>
          <w:tcPr>
            <w:tcW w:w="3754" w:type="pct"/>
            <w:noWrap w:val="0"/>
            <w:vAlign w:val="center"/>
          </w:tcPr>
          <w:p w14:paraId="170110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10、产品具有公安部《计算机信息系统安全专用产品销售许可证》或中国网络安全审查技术与认证中心《网络关键设备和网络安全专用产品安全认证证书》；提供相关证明</w:t>
            </w:r>
          </w:p>
        </w:tc>
      </w:tr>
      <w:tr w14:paraId="69B7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57A12D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BD2C018">
            <w:pPr>
              <w:jc w:val="center"/>
              <w:rPr>
                <w:rFonts w:hint="eastAsia" w:ascii="宋体" w:hAnsi="宋体" w:eastAsia="宋体" w:cs="宋体"/>
                <w:i w:val="0"/>
                <w:iCs w:val="0"/>
                <w:color w:val="auto"/>
                <w:sz w:val="21"/>
                <w:szCs w:val="21"/>
                <w:u w:val="none"/>
              </w:rPr>
            </w:pPr>
          </w:p>
        </w:tc>
        <w:tc>
          <w:tcPr>
            <w:tcW w:w="3754" w:type="pct"/>
            <w:noWrap w:val="0"/>
            <w:vAlign w:val="center"/>
          </w:tcPr>
          <w:p w14:paraId="2A02E221">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★11、提供5年原厂质保，签订合同时提供针对本项目的原厂质保函；</w:t>
            </w:r>
          </w:p>
        </w:tc>
      </w:tr>
      <w:tr w14:paraId="0346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noWrap/>
            <w:vAlign w:val="center"/>
          </w:tcPr>
          <w:p w14:paraId="5F7EEF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942" w:type="pct"/>
            <w:gridSpan w:val="2"/>
            <w:noWrap w:val="0"/>
            <w:vAlign w:val="center"/>
          </w:tcPr>
          <w:p w14:paraId="4FA402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国密视频监控系统</w:t>
            </w:r>
          </w:p>
        </w:tc>
        <w:tc>
          <w:tcPr>
            <w:tcW w:w="3754" w:type="pct"/>
            <w:noWrap w:val="0"/>
            <w:vAlign w:val="center"/>
          </w:tcPr>
          <w:p w14:paraId="1EDCB32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1、国产品牌,符合国密要求；</w:t>
            </w:r>
          </w:p>
          <w:p w14:paraId="156130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2、配置5个≥400万像素半球；</w:t>
            </w:r>
          </w:p>
          <w:p w14:paraId="135CAD9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3、国密硬盘录像机:不少于12盘位，配置不少于10个6T SATA硬盘。</w:t>
            </w:r>
          </w:p>
          <w:p w14:paraId="3E46D96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4、配置配套的网络线、电源线及与视频监控系统相关的辅材。</w:t>
            </w:r>
          </w:p>
          <w:p w14:paraId="7CEDA0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5、5年原厂维保</w:t>
            </w:r>
          </w:p>
        </w:tc>
      </w:tr>
      <w:tr w14:paraId="58D2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noWrap/>
            <w:vAlign w:val="center"/>
          </w:tcPr>
          <w:p w14:paraId="574C3F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942" w:type="pct"/>
            <w:gridSpan w:val="2"/>
            <w:noWrap w:val="0"/>
            <w:vAlign w:val="center"/>
          </w:tcPr>
          <w:p w14:paraId="6B7B28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智能密码钥匙</w:t>
            </w:r>
          </w:p>
        </w:tc>
        <w:tc>
          <w:tcPr>
            <w:tcW w:w="3754" w:type="pct"/>
            <w:noWrap w:val="0"/>
            <w:vAlign w:val="center"/>
          </w:tcPr>
          <w:p w14:paraId="63DAB21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符合国密要求。采用符合国家密码管理局认可的算法及相关芯片。</w:t>
            </w:r>
          </w:p>
          <w:p w14:paraId="29C848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性能：SM1加解密≥1.48Mbps，SM4加解密≥1.75Mbps，SM2密钥对生成≥4次/秒，SM2解密≥90次/秒，SM2签名≥120次/秒；</w:t>
            </w:r>
          </w:p>
          <w:p w14:paraId="69FD8F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3、可擦写次数≥10万次</w:t>
            </w:r>
          </w:p>
          <w:p w14:paraId="6A2481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4、5年质保</w:t>
            </w:r>
          </w:p>
        </w:tc>
      </w:tr>
      <w:tr w14:paraId="12E0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noWrap/>
            <w:vAlign w:val="center"/>
          </w:tcPr>
          <w:p w14:paraId="11FEB7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942" w:type="pct"/>
            <w:gridSpan w:val="2"/>
            <w:noWrap w:val="0"/>
            <w:vAlign w:val="center"/>
          </w:tcPr>
          <w:p w14:paraId="0BFC5B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个人数字证书</w:t>
            </w:r>
          </w:p>
        </w:tc>
        <w:tc>
          <w:tcPr>
            <w:tcW w:w="3754" w:type="pct"/>
            <w:noWrap w:val="0"/>
            <w:vAlign w:val="center"/>
          </w:tcPr>
          <w:p w14:paraId="549561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符合国密要求的个人数字证书。</w:t>
            </w:r>
          </w:p>
        </w:tc>
      </w:tr>
      <w:tr w14:paraId="4F0F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0D53D3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942" w:type="pct"/>
            <w:gridSpan w:val="2"/>
            <w:vMerge w:val="restart"/>
            <w:noWrap w:val="0"/>
            <w:vAlign w:val="center"/>
          </w:tcPr>
          <w:p w14:paraId="3B08B9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公卫网核心交换机</w:t>
            </w:r>
          </w:p>
        </w:tc>
        <w:tc>
          <w:tcPr>
            <w:tcW w:w="3754" w:type="pct"/>
            <w:noWrap w:val="0"/>
            <w:vAlign w:val="center"/>
          </w:tcPr>
          <w:p w14:paraId="54AFBC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1、采用国产芯片</w:t>
            </w:r>
          </w:p>
        </w:tc>
      </w:tr>
      <w:tr w14:paraId="4D02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2" w:type="pct"/>
            <w:vMerge w:val="continue"/>
            <w:noWrap/>
            <w:vAlign w:val="center"/>
          </w:tcPr>
          <w:p w14:paraId="258F421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75E75FD">
            <w:pPr>
              <w:jc w:val="center"/>
              <w:rPr>
                <w:rFonts w:hint="eastAsia" w:ascii="宋体" w:hAnsi="宋体" w:eastAsia="宋体" w:cs="宋体"/>
                <w:i w:val="0"/>
                <w:iCs w:val="0"/>
                <w:color w:val="auto"/>
                <w:sz w:val="21"/>
                <w:szCs w:val="21"/>
                <w:u w:val="none"/>
              </w:rPr>
            </w:pPr>
          </w:p>
        </w:tc>
        <w:tc>
          <w:tcPr>
            <w:tcW w:w="3754" w:type="pct"/>
            <w:noWrap w:val="0"/>
            <w:vAlign w:val="center"/>
          </w:tcPr>
          <w:p w14:paraId="5777EDE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2、业务插槽数≥</w:t>
            </w:r>
            <w:r>
              <w:rPr>
                <w:rFonts w:ascii="Calibri" w:hAnsi="Calibri" w:eastAsia="宋体" w:cs="Calibri"/>
                <w:i w:val="0"/>
                <w:iCs w:val="0"/>
                <w:color w:val="auto"/>
                <w:kern w:val="0"/>
                <w:sz w:val="21"/>
                <w:szCs w:val="21"/>
                <w:u w:val="none"/>
                <w:lang w:val="en-US" w:eastAsia="zh-CN" w:bidi="ar"/>
              </w:rPr>
              <w:t>6</w:t>
            </w:r>
          </w:p>
        </w:tc>
      </w:tr>
      <w:tr w14:paraId="3B70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7708D7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3029055">
            <w:pPr>
              <w:jc w:val="center"/>
              <w:rPr>
                <w:rFonts w:hint="eastAsia" w:ascii="宋体" w:hAnsi="宋体" w:eastAsia="宋体" w:cs="宋体"/>
                <w:i w:val="0"/>
                <w:iCs w:val="0"/>
                <w:color w:val="auto"/>
                <w:sz w:val="21"/>
                <w:szCs w:val="21"/>
                <w:u w:val="none"/>
              </w:rPr>
            </w:pPr>
          </w:p>
        </w:tc>
        <w:tc>
          <w:tcPr>
            <w:tcW w:w="3754" w:type="pct"/>
            <w:noWrap w:val="0"/>
            <w:vAlign w:val="center"/>
          </w:tcPr>
          <w:p w14:paraId="7D37831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3、交换容量≥430Tbps，官网有两个指标的，以小的为准；</w:t>
            </w:r>
          </w:p>
        </w:tc>
      </w:tr>
      <w:tr w14:paraId="39AD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A21E5C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99A967E">
            <w:pPr>
              <w:jc w:val="center"/>
              <w:rPr>
                <w:rFonts w:hint="eastAsia" w:ascii="宋体" w:hAnsi="宋体" w:eastAsia="宋体" w:cs="宋体"/>
                <w:i w:val="0"/>
                <w:iCs w:val="0"/>
                <w:color w:val="auto"/>
                <w:sz w:val="21"/>
                <w:szCs w:val="21"/>
                <w:u w:val="none"/>
              </w:rPr>
            </w:pPr>
          </w:p>
        </w:tc>
        <w:tc>
          <w:tcPr>
            <w:tcW w:w="3754" w:type="pct"/>
            <w:noWrap w:val="0"/>
            <w:vAlign w:val="center"/>
          </w:tcPr>
          <w:p w14:paraId="7D0177C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4、转发能力≥172800Mpps，官网有两个指标的，以小的为准；</w:t>
            </w:r>
          </w:p>
        </w:tc>
      </w:tr>
      <w:tr w14:paraId="044B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83812E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FC4BF39">
            <w:pPr>
              <w:jc w:val="center"/>
              <w:rPr>
                <w:rFonts w:hint="eastAsia" w:ascii="宋体" w:hAnsi="宋体" w:eastAsia="宋体" w:cs="宋体"/>
                <w:i w:val="0"/>
                <w:iCs w:val="0"/>
                <w:color w:val="auto"/>
                <w:sz w:val="21"/>
                <w:szCs w:val="21"/>
                <w:u w:val="none"/>
              </w:rPr>
            </w:pPr>
          </w:p>
        </w:tc>
        <w:tc>
          <w:tcPr>
            <w:tcW w:w="3754" w:type="pct"/>
            <w:noWrap w:val="0"/>
            <w:vAlign w:val="center"/>
          </w:tcPr>
          <w:p w14:paraId="4EC51E5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5、交换网模块≥4</w:t>
            </w:r>
          </w:p>
        </w:tc>
      </w:tr>
      <w:tr w14:paraId="7C75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41A0D9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D0C54F8">
            <w:pPr>
              <w:jc w:val="center"/>
              <w:rPr>
                <w:rFonts w:hint="eastAsia" w:ascii="宋体" w:hAnsi="宋体" w:eastAsia="宋体" w:cs="宋体"/>
                <w:i w:val="0"/>
                <w:iCs w:val="0"/>
                <w:color w:val="auto"/>
                <w:sz w:val="21"/>
                <w:szCs w:val="21"/>
                <w:u w:val="none"/>
              </w:rPr>
            </w:pPr>
          </w:p>
        </w:tc>
        <w:tc>
          <w:tcPr>
            <w:tcW w:w="3754" w:type="pct"/>
            <w:noWrap w:val="0"/>
            <w:vAlign w:val="center"/>
          </w:tcPr>
          <w:p w14:paraId="2C9B590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6、冗余设计采用冗余主控、电源、风扇设计，主控交换卡、电源、接口模块、风扇、网板等关键部件可热插拔</w:t>
            </w:r>
          </w:p>
        </w:tc>
      </w:tr>
      <w:tr w14:paraId="3ECE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38E9F9E">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DD28559">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1265CDC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7、接口要求</w:t>
            </w:r>
          </w:p>
          <w:p w14:paraId="5A04512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支持防火墙、IPS、LB等多种安全业务板卡；</w:t>
            </w:r>
          </w:p>
          <w:p w14:paraId="1DFBB27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单槽位万兆电端口密度≥48，单槽位100G端口密度≥ 36 ；</w:t>
            </w:r>
          </w:p>
        </w:tc>
      </w:tr>
      <w:tr w14:paraId="7896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E3DA14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A25324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F3EF7A6">
            <w:pPr>
              <w:jc w:val="both"/>
              <w:rPr>
                <w:rFonts w:hint="eastAsia" w:ascii="宋体" w:hAnsi="宋体" w:eastAsia="宋体" w:cs="宋体"/>
                <w:i w:val="0"/>
                <w:iCs w:val="0"/>
                <w:color w:val="auto"/>
                <w:sz w:val="21"/>
                <w:szCs w:val="21"/>
                <w:u w:val="none"/>
              </w:rPr>
            </w:pPr>
          </w:p>
        </w:tc>
      </w:tr>
      <w:tr w14:paraId="1149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95F341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AEB6BD3">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205633E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8、IPv4 FIB表项≥3M，IPv6 FIB表项≥1M ，ARP表项≥272K </w:t>
            </w:r>
          </w:p>
        </w:tc>
      </w:tr>
      <w:tr w14:paraId="20B1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 w:type="pct"/>
            <w:vMerge w:val="continue"/>
            <w:noWrap/>
            <w:vAlign w:val="center"/>
          </w:tcPr>
          <w:p w14:paraId="12828737">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D7EA0B2">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08C88E6E">
            <w:pPr>
              <w:jc w:val="both"/>
              <w:rPr>
                <w:rFonts w:hint="eastAsia" w:ascii="宋体" w:hAnsi="宋体" w:eastAsia="宋体" w:cs="宋体"/>
                <w:i w:val="0"/>
                <w:iCs w:val="0"/>
                <w:color w:val="auto"/>
                <w:sz w:val="21"/>
                <w:szCs w:val="21"/>
                <w:u w:val="none"/>
              </w:rPr>
            </w:pPr>
          </w:p>
        </w:tc>
      </w:tr>
      <w:tr w14:paraId="0976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929BA9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1F07B71">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35D62B13">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9、虚拟化：</w:t>
            </w:r>
          </w:p>
          <w:p w14:paraId="173C8CB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支持多虚一技术；</w:t>
            </w:r>
          </w:p>
        </w:tc>
      </w:tr>
      <w:tr w14:paraId="7717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77C457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247EE5E">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F07B5BB">
            <w:pPr>
              <w:jc w:val="both"/>
              <w:rPr>
                <w:rFonts w:hint="eastAsia" w:ascii="宋体" w:hAnsi="宋体" w:eastAsia="宋体" w:cs="宋体"/>
                <w:i w:val="0"/>
                <w:iCs w:val="0"/>
                <w:color w:val="auto"/>
                <w:sz w:val="21"/>
                <w:szCs w:val="21"/>
                <w:u w:val="none"/>
              </w:rPr>
            </w:pPr>
          </w:p>
        </w:tc>
      </w:tr>
      <w:tr w14:paraId="4633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 w:type="pct"/>
            <w:vMerge w:val="continue"/>
            <w:noWrap/>
            <w:vAlign w:val="center"/>
          </w:tcPr>
          <w:p w14:paraId="389AA29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AAC22B6">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3BFE6620">
            <w:pPr>
              <w:jc w:val="both"/>
              <w:rPr>
                <w:rFonts w:hint="eastAsia" w:ascii="宋体" w:hAnsi="宋体" w:eastAsia="宋体" w:cs="宋体"/>
                <w:i w:val="0"/>
                <w:iCs w:val="0"/>
                <w:color w:val="auto"/>
                <w:sz w:val="21"/>
                <w:szCs w:val="21"/>
                <w:u w:val="none"/>
              </w:rPr>
            </w:pPr>
          </w:p>
        </w:tc>
      </w:tr>
      <w:tr w14:paraId="63EB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2" w:type="pct"/>
            <w:vMerge w:val="continue"/>
            <w:noWrap/>
            <w:vAlign w:val="center"/>
          </w:tcPr>
          <w:p w14:paraId="4664193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66D92F2">
            <w:pPr>
              <w:jc w:val="center"/>
              <w:rPr>
                <w:rFonts w:hint="eastAsia" w:ascii="宋体" w:hAnsi="宋体" w:eastAsia="宋体" w:cs="宋体"/>
                <w:i w:val="0"/>
                <w:iCs w:val="0"/>
                <w:color w:val="auto"/>
                <w:sz w:val="21"/>
                <w:szCs w:val="21"/>
                <w:u w:val="none"/>
              </w:rPr>
            </w:pPr>
          </w:p>
        </w:tc>
        <w:tc>
          <w:tcPr>
            <w:tcW w:w="3754" w:type="pct"/>
            <w:noWrap w:val="0"/>
            <w:vAlign w:val="center"/>
          </w:tcPr>
          <w:p w14:paraId="04DA370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10、支持 </w:t>
            </w:r>
            <w:r>
              <w:rPr>
                <w:rFonts w:ascii="Calibri" w:hAnsi="Calibri" w:eastAsia="宋体" w:cs="Calibri"/>
                <w:i w:val="0"/>
                <w:iCs w:val="0"/>
                <w:color w:val="auto"/>
                <w:kern w:val="0"/>
                <w:sz w:val="21"/>
                <w:szCs w:val="21"/>
                <w:u w:val="none"/>
                <w:lang w:val="en-US" w:eastAsia="zh-CN" w:bidi="ar"/>
              </w:rPr>
              <w:t xml:space="preserve">INT </w:t>
            </w:r>
            <w:r>
              <w:rPr>
                <w:rFonts w:hint="eastAsia" w:ascii="宋体" w:hAnsi="宋体" w:eastAsia="宋体" w:cs="宋体"/>
                <w:i w:val="0"/>
                <w:iCs w:val="0"/>
                <w:color w:val="auto"/>
                <w:kern w:val="0"/>
                <w:sz w:val="21"/>
                <w:szCs w:val="21"/>
                <w:u w:val="none"/>
                <w:lang w:val="en-US" w:eastAsia="zh-CN" w:bidi="ar"/>
              </w:rPr>
              <w:t>流量可视化功能；</w:t>
            </w:r>
          </w:p>
        </w:tc>
      </w:tr>
      <w:tr w14:paraId="304C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2" w:type="pct"/>
            <w:vMerge w:val="continue"/>
            <w:noWrap/>
            <w:vAlign w:val="center"/>
          </w:tcPr>
          <w:p w14:paraId="038C4B7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E3C9CEB">
            <w:pPr>
              <w:jc w:val="center"/>
              <w:rPr>
                <w:rFonts w:hint="eastAsia" w:ascii="宋体" w:hAnsi="宋体" w:eastAsia="宋体" w:cs="宋体"/>
                <w:i w:val="0"/>
                <w:iCs w:val="0"/>
                <w:color w:val="auto"/>
                <w:sz w:val="21"/>
                <w:szCs w:val="21"/>
                <w:u w:val="none"/>
              </w:rPr>
            </w:pPr>
          </w:p>
        </w:tc>
        <w:tc>
          <w:tcPr>
            <w:tcW w:w="3754" w:type="pct"/>
            <w:noWrap w:val="0"/>
            <w:vAlign w:val="center"/>
          </w:tcPr>
          <w:p w14:paraId="109E33E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11、Macsec；支持</w:t>
            </w:r>
            <w:r>
              <w:rPr>
                <w:rFonts w:ascii="Calibri" w:hAnsi="Calibri" w:eastAsia="宋体" w:cs="Calibri"/>
                <w:i w:val="0"/>
                <w:iCs w:val="0"/>
                <w:color w:val="auto"/>
                <w:kern w:val="0"/>
                <w:sz w:val="21"/>
                <w:szCs w:val="21"/>
                <w:u w:val="none"/>
                <w:lang w:val="en-US" w:eastAsia="zh-CN" w:bidi="ar"/>
              </w:rPr>
              <w:t>IEEE 802.1ae</w:t>
            </w:r>
            <w:r>
              <w:rPr>
                <w:rFonts w:hint="eastAsia" w:ascii="宋体" w:hAnsi="宋体" w:eastAsia="宋体" w:cs="宋体"/>
                <w:i w:val="0"/>
                <w:iCs w:val="0"/>
                <w:color w:val="auto"/>
                <w:kern w:val="0"/>
                <w:sz w:val="21"/>
                <w:szCs w:val="21"/>
                <w:u w:val="none"/>
                <w:lang w:val="en-US" w:eastAsia="zh-CN" w:bidi="ar"/>
              </w:rPr>
              <w:t>（</w:t>
            </w:r>
            <w:r>
              <w:rPr>
                <w:rFonts w:ascii="Calibri" w:hAnsi="Calibri" w:eastAsia="宋体" w:cs="Calibri"/>
                <w:i w:val="0"/>
                <w:iCs w:val="0"/>
                <w:color w:val="auto"/>
                <w:kern w:val="0"/>
                <w:sz w:val="21"/>
                <w:szCs w:val="21"/>
                <w:u w:val="none"/>
                <w:lang w:val="en-US" w:eastAsia="zh-CN" w:bidi="ar"/>
              </w:rPr>
              <w:t>Macsec</w:t>
            </w:r>
            <w:r>
              <w:rPr>
                <w:rFonts w:hint="eastAsia" w:ascii="宋体" w:hAnsi="宋体" w:eastAsia="宋体" w:cs="宋体"/>
                <w:i w:val="0"/>
                <w:iCs w:val="0"/>
                <w:color w:val="auto"/>
                <w:kern w:val="0"/>
                <w:sz w:val="21"/>
                <w:szCs w:val="21"/>
                <w:u w:val="none"/>
                <w:lang w:val="en-US" w:eastAsia="zh-CN" w:bidi="ar"/>
              </w:rPr>
              <w:t>）介质访问控制安全技术；</w:t>
            </w:r>
          </w:p>
        </w:tc>
      </w:tr>
      <w:tr w14:paraId="3F4A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8FBFCD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E4EFDA1">
            <w:pPr>
              <w:jc w:val="center"/>
              <w:rPr>
                <w:rFonts w:hint="eastAsia" w:ascii="宋体" w:hAnsi="宋体" w:eastAsia="宋体" w:cs="宋体"/>
                <w:i w:val="0"/>
                <w:iCs w:val="0"/>
                <w:color w:val="auto"/>
                <w:sz w:val="21"/>
                <w:szCs w:val="21"/>
                <w:u w:val="none"/>
              </w:rPr>
            </w:pPr>
          </w:p>
        </w:tc>
        <w:tc>
          <w:tcPr>
            <w:tcW w:w="3754" w:type="pct"/>
            <w:noWrap w:val="0"/>
            <w:vAlign w:val="center"/>
          </w:tcPr>
          <w:p w14:paraId="6F9ADF8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12、支持通过图形化界面设备配置和版本智能升级。</w:t>
            </w:r>
          </w:p>
        </w:tc>
      </w:tr>
      <w:tr w14:paraId="4B44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2" w:type="pct"/>
            <w:vMerge w:val="continue"/>
            <w:noWrap/>
            <w:vAlign w:val="center"/>
          </w:tcPr>
          <w:p w14:paraId="4542461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B6F136D">
            <w:pPr>
              <w:jc w:val="center"/>
              <w:rPr>
                <w:rFonts w:hint="eastAsia" w:ascii="宋体" w:hAnsi="宋体" w:eastAsia="宋体" w:cs="宋体"/>
                <w:i w:val="0"/>
                <w:iCs w:val="0"/>
                <w:color w:val="auto"/>
                <w:sz w:val="21"/>
                <w:szCs w:val="21"/>
                <w:u w:val="none"/>
              </w:rPr>
            </w:pPr>
          </w:p>
        </w:tc>
        <w:tc>
          <w:tcPr>
            <w:tcW w:w="3754" w:type="pct"/>
            <w:noWrap w:val="0"/>
            <w:vAlign w:val="center"/>
          </w:tcPr>
          <w:p w14:paraId="3F5846D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13、支持</w:t>
            </w:r>
            <w:r>
              <w:rPr>
                <w:rFonts w:ascii="Calibri" w:hAnsi="Calibri" w:eastAsia="宋体" w:cs="Calibri"/>
                <w:i w:val="0"/>
                <w:iCs w:val="0"/>
                <w:color w:val="auto"/>
                <w:kern w:val="0"/>
                <w:sz w:val="21"/>
                <w:szCs w:val="21"/>
                <w:u w:val="none"/>
                <w:lang w:val="en-US" w:eastAsia="zh-CN" w:bidi="ar"/>
              </w:rPr>
              <w:t xml:space="preserve">VxLAN </w:t>
            </w:r>
            <w:r>
              <w:rPr>
                <w:rFonts w:hint="eastAsia" w:ascii="宋体" w:hAnsi="宋体" w:eastAsia="宋体" w:cs="宋体"/>
                <w:i w:val="0"/>
                <w:iCs w:val="0"/>
                <w:color w:val="auto"/>
                <w:kern w:val="0"/>
                <w:sz w:val="21"/>
                <w:szCs w:val="21"/>
                <w:u w:val="none"/>
                <w:lang w:val="en-US" w:eastAsia="zh-CN" w:bidi="ar"/>
              </w:rPr>
              <w:t>网关，支持基于</w:t>
            </w:r>
            <w:r>
              <w:rPr>
                <w:rFonts w:ascii="Calibri" w:hAnsi="Calibri" w:eastAsia="宋体" w:cs="Calibri"/>
                <w:i w:val="0"/>
                <w:iCs w:val="0"/>
                <w:color w:val="auto"/>
                <w:kern w:val="0"/>
                <w:sz w:val="21"/>
                <w:szCs w:val="21"/>
                <w:u w:val="none"/>
                <w:lang w:val="en-US" w:eastAsia="zh-CN" w:bidi="ar"/>
              </w:rPr>
              <w:t>IPv4/IPv6</w:t>
            </w:r>
            <w:r>
              <w:rPr>
                <w:rFonts w:hint="eastAsia" w:ascii="宋体" w:hAnsi="宋体" w:eastAsia="宋体" w:cs="宋体"/>
                <w:i w:val="0"/>
                <w:iCs w:val="0"/>
                <w:color w:val="auto"/>
                <w:kern w:val="0"/>
                <w:sz w:val="21"/>
                <w:szCs w:val="21"/>
                <w:u w:val="none"/>
                <w:lang w:val="en-US" w:eastAsia="zh-CN" w:bidi="ar"/>
              </w:rPr>
              <w:t>的</w:t>
            </w:r>
            <w:r>
              <w:rPr>
                <w:rFonts w:ascii="Calibri" w:hAnsi="Calibri" w:eastAsia="宋体" w:cs="Calibri"/>
                <w:i w:val="0"/>
                <w:iCs w:val="0"/>
                <w:color w:val="auto"/>
                <w:kern w:val="0"/>
                <w:sz w:val="21"/>
                <w:szCs w:val="21"/>
                <w:u w:val="none"/>
                <w:lang w:val="en-US" w:eastAsia="zh-CN" w:bidi="ar"/>
              </w:rPr>
              <w:t>VxLAN</w:t>
            </w:r>
            <w:r>
              <w:rPr>
                <w:rFonts w:hint="eastAsia" w:ascii="宋体" w:hAnsi="宋体" w:eastAsia="宋体" w:cs="宋体"/>
                <w:i w:val="0"/>
                <w:iCs w:val="0"/>
                <w:color w:val="auto"/>
                <w:kern w:val="0"/>
                <w:sz w:val="21"/>
                <w:szCs w:val="21"/>
                <w:u w:val="none"/>
                <w:lang w:val="en-US" w:eastAsia="zh-CN" w:bidi="ar"/>
              </w:rPr>
              <w:t>二三层互通</w:t>
            </w:r>
          </w:p>
        </w:tc>
      </w:tr>
      <w:tr w14:paraId="2534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B9CC92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40F070E">
            <w:pPr>
              <w:jc w:val="center"/>
              <w:rPr>
                <w:rFonts w:hint="eastAsia" w:ascii="宋体" w:hAnsi="宋体" w:eastAsia="宋体" w:cs="宋体"/>
                <w:i w:val="0"/>
                <w:iCs w:val="0"/>
                <w:color w:val="auto"/>
                <w:sz w:val="21"/>
                <w:szCs w:val="21"/>
                <w:u w:val="none"/>
              </w:rPr>
            </w:pPr>
          </w:p>
        </w:tc>
        <w:tc>
          <w:tcPr>
            <w:tcW w:w="3754" w:type="pct"/>
            <w:noWrap w:val="0"/>
            <w:vAlign w:val="center"/>
          </w:tcPr>
          <w:p w14:paraId="349AD1A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14、实际配置：双主控、四交换网板、双电源模块，≥48端口万兆以太网光接口业务板，≥36个40G光端口，2根40G光缆带模块，光缆5M；</w:t>
            </w:r>
          </w:p>
        </w:tc>
      </w:tr>
      <w:tr w14:paraId="3A58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E193D3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C90CE68">
            <w:pPr>
              <w:jc w:val="center"/>
              <w:rPr>
                <w:rFonts w:hint="eastAsia" w:ascii="宋体" w:hAnsi="宋体" w:eastAsia="宋体" w:cs="宋体"/>
                <w:i w:val="0"/>
                <w:iCs w:val="0"/>
                <w:color w:val="auto"/>
                <w:sz w:val="21"/>
                <w:szCs w:val="21"/>
                <w:u w:val="none"/>
              </w:rPr>
            </w:pPr>
          </w:p>
        </w:tc>
        <w:tc>
          <w:tcPr>
            <w:tcW w:w="3754" w:type="pct"/>
            <w:noWrap w:val="0"/>
            <w:vAlign w:val="center"/>
          </w:tcPr>
          <w:p w14:paraId="726D015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★15、提供5年原厂质保，签订合同时提供针对本项目的原厂质保函</w:t>
            </w:r>
          </w:p>
        </w:tc>
      </w:tr>
      <w:tr w14:paraId="3288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64D8ED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942" w:type="pct"/>
            <w:gridSpan w:val="2"/>
            <w:vMerge w:val="restart"/>
            <w:noWrap w:val="0"/>
            <w:vAlign w:val="center"/>
          </w:tcPr>
          <w:p w14:paraId="08668E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公卫网防火墙</w:t>
            </w:r>
          </w:p>
        </w:tc>
        <w:tc>
          <w:tcPr>
            <w:tcW w:w="3754" w:type="pct"/>
            <w:noWrap w:val="0"/>
            <w:vAlign w:val="center"/>
          </w:tcPr>
          <w:p w14:paraId="40604E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1、产品由专用的国产化硬件平台、国产化安全操作系统及功能软件构成，产品符合信创要求；提供相关证明材料；</w:t>
            </w:r>
          </w:p>
        </w:tc>
      </w:tr>
      <w:tr w14:paraId="1FD8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ADEAEA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004C8B2">
            <w:pPr>
              <w:jc w:val="center"/>
              <w:rPr>
                <w:rFonts w:hint="eastAsia" w:ascii="宋体" w:hAnsi="宋体" w:eastAsia="宋体" w:cs="宋体"/>
                <w:i w:val="0"/>
                <w:iCs w:val="0"/>
                <w:color w:val="auto"/>
                <w:sz w:val="21"/>
                <w:szCs w:val="21"/>
                <w:u w:val="none"/>
              </w:rPr>
            </w:pPr>
          </w:p>
        </w:tc>
        <w:tc>
          <w:tcPr>
            <w:tcW w:w="3754" w:type="pct"/>
            <w:noWrap w:val="0"/>
            <w:vAlign w:val="center"/>
          </w:tcPr>
          <w:p w14:paraId="7848A24C">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2、规格：≤2U，机架式安装</w:t>
            </w:r>
          </w:p>
        </w:tc>
      </w:tr>
      <w:tr w14:paraId="2B9B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6320F0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AE98A45">
            <w:pPr>
              <w:jc w:val="center"/>
              <w:rPr>
                <w:rFonts w:hint="eastAsia" w:ascii="宋体" w:hAnsi="宋体" w:eastAsia="宋体" w:cs="宋体"/>
                <w:i w:val="0"/>
                <w:iCs w:val="0"/>
                <w:color w:val="auto"/>
                <w:sz w:val="21"/>
                <w:szCs w:val="21"/>
                <w:u w:val="none"/>
              </w:rPr>
            </w:pPr>
          </w:p>
        </w:tc>
        <w:tc>
          <w:tcPr>
            <w:tcW w:w="3754" w:type="pct"/>
            <w:noWrap w:val="0"/>
            <w:vAlign w:val="center"/>
          </w:tcPr>
          <w:p w14:paraId="585D3F41">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3、配置不少于1个管理口、1个HA口、4个千兆电口、4个千兆光口（满配千兆多模模块）和6个万兆光口（满配万兆多模模块）；日志存储时间不少于6个月。</w:t>
            </w:r>
          </w:p>
        </w:tc>
      </w:tr>
      <w:tr w14:paraId="4A4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613B61A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7769724">
            <w:pPr>
              <w:jc w:val="center"/>
              <w:rPr>
                <w:rFonts w:hint="eastAsia" w:ascii="宋体" w:hAnsi="宋体" w:eastAsia="宋体" w:cs="宋体"/>
                <w:i w:val="0"/>
                <w:iCs w:val="0"/>
                <w:color w:val="auto"/>
                <w:sz w:val="21"/>
                <w:szCs w:val="21"/>
                <w:u w:val="none"/>
              </w:rPr>
            </w:pPr>
          </w:p>
        </w:tc>
        <w:tc>
          <w:tcPr>
            <w:tcW w:w="3754" w:type="pct"/>
            <w:noWrap w:val="0"/>
            <w:vAlign w:val="center"/>
          </w:tcPr>
          <w:p w14:paraId="3026F7E5">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4、网络层吞吐量(双向)： IPv4：≥40Gbps，IPv6：≥40Gbps。 应用层吞吐量（单向）： IPv4：≥20Gbps，IPv6：≥20Gbps。 TCP新建连接速率： IPv4：≥250万/秒，IPv6：≥250万/秒。 TCP并发连接数： IPv4：≥3000万，IPv6：≥3000万。</w:t>
            </w:r>
          </w:p>
        </w:tc>
      </w:tr>
      <w:tr w14:paraId="18EE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F1A0C69">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F1690BF">
            <w:pPr>
              <w:jc w:val="center"/>
              <w:rPr>
                <w:rFonts w:hint="eastAsia" w:ascii="宋体" w:hAnsi="宋体" w:eastAsia="宋体" w:cs="宋体"/>
                <w:i w:val="0"/>
                <w:iCs w:val="0"/>
                <w:color w:val="auto"/>
                <w:sz w:val="21"/>
                <w:szCs w:val="21"/>
                <w:u w:val="none"/>
              </w:rPr>
            </w:pPr>
          </w:p>
        </w:tc>
        <w:tc>
          <w:tcPr>
            <w:tcW w:w="3754" w:type="pct"/>
            <w:noWrap w:val="0"/>
            <w:vAlign w:val="center"/>
          </w:tcPr>
          <w:p w14:paraId="00A9B327">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5、包含应用识别功能，含5年应用特征库升级许可，配置5年IPS入侵防御、AV防病毒。</w:t>
            </w:r>
          </w:p>
        </w:tc>
      </w:tr>
      <w:tr w14:paraId="0B7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2" w:type="pct"/>
            <w:vMerge w:val="continue"/>
            <w:noWrap/>
            <w:vAlign w:val="center"/>
          </w:tcPr>
          <w:p w14:paraId="3D687AF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3BDBA7C">
            <w:pPr>
              <w:jc w:val="center"/>
              <w:rPr>
                <w:rFonts w:hint="eastAsia" w:ascii="宋体" w:hAnsi="宋体" w:eastAsia="宋体" w:cs="宋体"/>
                <w:i w:val="0"/>
                <w:iCs w:val="0"/>
                <w:color w:val="auto"/>
                <w:sz w:val="21"/>
                <w:szCs w:val="21"/>
                <w:u w:val="none"/>
              </w:rPr>
            </w:pPr>
          </w:p>
        </w:tc>
        <w:tc>
          <w:tcPr>
            <w:tcW w:w="3754" w:type="pct"/>
            <w:noWrap w:val="0"/>
            <w:vAlign w:val="center"/>
          </w:tcPr>
          <w:p w14:paraId="4A618240">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6、网络接入</w:t>
            </w:r>
          </w:p>
          <w:p w14:paraId="336A8972">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支持路由、交换、虚拟线、Listening、混合工作模式；</w:t>
            </w:r>
          </w:p>
          <w:p w14:paraId="3EAF6A31">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支持一对一SNAT、多对一SNAT、一对一DNAT、双向NAT、NoNAT等多种转换方式；支持源IP转换同一性；</w:t>
            </w:r>
          </w:p>
          <w:p w14:paraId="68CF810A">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支持手动和LACP链路聚合，可根据源/目的MAC、源/目的IP、源/目的端口、五元组、端口轮询等条件提供多种链路负载算法；</w:t>
            </w:r>
          </w:p>
          <w:p w14:paraId="44D37DDB">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支持IPv4/IPv6双栈工作模式；</w:t>
            </w:r>
          </w:p>
        </w:tc>
      </w:tr>
      <w:tr w14:paraId="4BA0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530465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3E23502">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00134CCE">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7、访问控制</w:t>
            </w:r>
          </w:p>
          <w:p w14:paraId="4E3EE993">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支持一体化安全策略配置，可以通过一条策略实现五元组、源MAC、源地区、目的地区、域名、应用、服务、时间、长连接、并发会话、WEB认证、URL过滤、邮件安全、数据过滤、文件过滤、审计等功能配置；</w:t>
            </w:r>
          </w:p>
          <w:p w14:paraId="0DE7848D">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支持域名控制，支持对多级域名进行控制，域名对象支持通配符</w:t>
            </w:r>
          </w:p>
          <w:p w14:paraId="674BFA58">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提供策略分析功能，支持策略命中分析、策略冗余分析、策略冲突检查、策略包含分析；</w:t>
            </w:r>
          </w:p>
          <w:p w14:paraId="63557B5C">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访问控制策略执行动作支持允许、禁止及认证，对符合条件的流量进行Web认证；</w:t>
            </w:r>
          </w:p>
        </w:tc>
      </w:tr>
      <w:tr w14:paraId="7878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941010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7042DC6">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1B7388A">
            <w:pPr>
              <w:jc w:val="left"/>
              <w:rPr>
                <w:rFonts w:hint="eastAsia" w:ascii="宋体" w:hAnsi="宋体" w:eastAsia="宋体" w:cs="宋体"/>
                <w:i w:val="0"/>
                <w:iCs w:val="0"/>
                <w:color w:val="auto"/>
                <w:sz w:val="21"/>
                <w:szCs w:val="21"/>
                <w:u w:val="none"/>
              </w:rPr>
            </w:pPr>
          </w:p>
        </w:tc>
      </w:tr>
      <w:tr w14:paraId="26DE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01CAEC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516324A">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FC567E5">
            <w:pPr>
              <w:jc w:val="left"/>
              <w:rPr>
                <w:rFonts w:hint="eastAsia" w:ascii="宋体" w:hAnsi="宋体" w:eastAsia="宋体" w:cs="宋体"/>
                <w:i w:val="0"/>
                <w:iCs w:val="0"/>
                <w:color w:val="auto"/>
                <w:sz w:val="21"/>
                <w:szCs w:val="21"/>
                <w:u w:val="none"/>
              </w:rPr>
            </w:pPr>
          </w:p>
        </w:tc>
      </w:tr>
      <w:tr w14:paraId="0579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FE64FE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6CF3C27">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D8B83D8">
            <w:pPr>
              <w:jc w:val="left"/>
              <w:rPr>
                <w:rFonts w:hint="eastAsia" w:ascii="宋体" w:hAnsi="宋体" w:eastAsia="宋体" w:cs="宋体"/>
                <w:i w:val="0"/>
                <w:iCs w:val="0"/>
                <w:color w:val="auto"/>
                <w:sz w:val="21"/>
                <w:szCs w:val="21"/>
                <w:u w:val="none"/>
              </w:rPr>
            </w:pPr>
          </w:p>
        </w:tc>
      </w:tr>
      <w:tr w14:paraId="00DB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02" w:type="pct"/>
            <w:vMerge w:val="continue"/>
            <w:noWrap/>
            <w:vAlign w:val="center"/>
          </w:tcPr>
          <w:p w14:paraId="6929F83E">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50CD594">
            <w:pPr>
              <w:jc w:val="center"/>
              <w:rPr>
                <w:rFonts w:hint="eastAsia" w:ascii="宋体" w:hAnsi="宋体" w:eastAsia="宋体" w:cs="宋体"/>
                <w:i w:val="0"/>
                <w:iCs w:val="0"/>
                <w:color w:val="auto"/>
                <w:sz w:val="21"/>
                <w:szCs w:val="21"/>
                <w:u w:val="none"/>
              </w:rPr>
            </w:pPr>
          </w:p>
        </w:tc>
        <w:tc>
          <w:tcPr>
            <w:tcW w:w="3754" w:type="pct"/>
            <w:noWrap w:val="0"/>
            <w:vAlign w:val="center"/>
          </w:tcPr>
          <w:p w14:paraId="2AAED7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8、安全防护</w:t>
            </w:r>
          </w:p>
          <w:p w14:paraId="51D690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内置行为分析功能，对异常行为进行告警；支持行为分析监控展示，可展示不同行为分析策略的实时数据和基线数据趋势；</w:t>
            </w:r>
          </w:p>
          <w:p w14:paraId="02192C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支持针对IP、ICMP、TCP、UDP、DNS、HTTP、NTP等协议进行DDOS防护；支持预定义和自定义策略模板；</w:t>
            </w:r>
          </w:p>
          <w:p w14:paraId="1C253C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支持NTP DDOS防护；</w:t>
            </w:r>
          </w:p>
          <w:p w14:paraId="2BC2A2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内置邮件安全防护功能，支持邮件过滤、邮箱防暴力破解、邮件泛洪攻击防护、邮件黑、白名单检测；</w:t>
            </w:r>
          </w:p>
        </w:tc>
      </w:tr>
      <w:tr w14:paraId="442C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vMerge w:val="continue"/>
            <w:noWrap/>
            <w:vAlign w:val="center"/>
          </w:tcPr>
          <w:p w14:paraId="1F9B8475">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0DCE0CC">
            <w:pPr>
              <w:jc w:val="center"/>
              <w:rPr>
                <w:rFonts w:hint="eastAsia" w:ascii="宋体" w:hAnsi="宋体" w:eastAsia="宋体" w:cs="宋体"/>
                <w:i w:val="0"/>
                <w:iCs w:val="0"/>
                <w:color w:val="auto"/>
                <w:sz w:val="21"/>
                <w:szCs w:val="21"/>
                <w:u w:val="none"/>
              </w:rPr>
            </w:pPr>
          </w:p>
        </w:tc>
        <w:tc>
          <w:tcPr>
            <w:tcW w:w="3754" w:type="pct"/>
            <w:noWrap w:val="0"/>
            <w:vAlign w:val="center"/>
          </w:tcPr>
          <w:p w14:paraId="5D3D95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9、系统管理</w:t>
            </w:r>
          </w:p>
          <w:p w14:paraId="3E6E59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支持独立审计策略，支持审计白名单；</w:t>
            </w:r>
          </w:p>
          <w:p w14:paraId="37FDBDB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支持在一台物理设备上划分出相互独立的虚拟系统，可根据连接配额及连接新建速率为每个虚拟系统分配资源，实配不少于24个虚拟防火墙授权；</w:t>
            </w:r>
          </w:p>
          <w:p w14:paraId="3D7EA38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支持在WEB界面进行网络诊断，支持PING、TRACEROUTE、TCP、HTTP、DNS诊断方式；</w:t>
            </w:r>
          </w:p>
        </w:tc>
      </w:tr>
      <w:tr w14:paraId="1BD4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43AC0D1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E39697A">
            <w:pPr>
              <w:jc w:val="center"/>
              <w:rPr>
                <w:rFonts w:hint="eastAsia" w:ascii="宋体" w:hAnsi="宋体" w:eastAsia="宋体" w:cs="宋体"/>
                <w:i w:val="0"/>
                <w:iCs w:val="0"/>
                <w:color w:val="auto"/>
                <w:sz w:val="21"/>
                <w:szCs w:val="21"/>
                <w:u w:val="none"/>
              </w:rPr>
            </w:pPr>
          </w:p>
        </w:tc>
        <w:tc>
          <w:tcPr>
            <w:tcW w:w="3754" w:type="pct"/>
            <w:noWrap w:val="0"/>
            <w:vAlign w:val="center"/>
          </w:tcPr>
          <w:p w14:paraId="58A687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10、产品具有公安部《计算机信息系统安全专用产品销售许可证》或中国网络安全审查技术与认证中心《网络关键设备和网络安全专用产品安全认证证书》；提供相关证明</w:t>
            </w:r>
          </w:p>
        </w:tc>
      </w:tr>
      <w:tr w14:paraId="7B42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8247D2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393CF38">
            <w:pPr>
              <w:jc w:val="center"/>
              <w:rPr>
                <w:rFonts w:hint="eastAsia" w:ascii="宋体" w:hAnsi="宋体" w:eastAsia="宋体" w:cs="宋体"/>
                <w:i w:val="0"/>
                <w:iCs w:val="0"/>
                <w:color w:val="auto"/>
                <w:sz w:val="21"/>
                <w:szCs w:val="21"/>
                <w:u w:val="none"/>
              </w:rPr>
            </w:pPr>
          </w:p>
        </w:tc>
        <w:tc>
          <w:tcPr>
            <w:tcW w:w="3754" w:type="pct"/>
            <w:noWrap w:val="0"/>
            <w:vAlign w:val="center"/>
          </w:tcPr>
          <w:p w14:paraId="65A444E5">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★11、提供5年原厂质保，签订合同时提供针对本项目的原厂质保函；</w:t>
            </w:r>
          </w:p>
        </w:tc>
      </w:tr>
      <w:tr w14:paraId="1C8F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7DB14A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942" w:type="pct"/>
            <w:gridSpan w:val="2"/>
            <w:vMerge w:val="restart"/>
            <w:noWrap w:val="0"/>
            <w:vAlign w:val="center"/>
          </w:tcPr>
          <w:p w14:paraId="186D4B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准入设备</w:t>
            </w:r>
          </w:p>
        </w:tc>
        <w:tc>
          <w:tcPr>
            <w:tcW w:w="3754" w:type="pct"/>
            <w:noWrap w:val="0"/>
            <w:vAlign w:val="center"/>
          </w:tcPr>
          <w:p w14:paraId="3E155F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1、全信创架构；采用专用硬件架构与专用安全操作系统，硬件设备可以机架安装</w:t>
            </w:r>
          </w:p>
        </w:tc>
      </w:tr>
      <w:tr w14:paraId="2304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1CDCEF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D0A0A91">
            <w:pPr>
              <w:jc w:val="center"/>
              <w:rPr>
                <w:rFonts w:hint="eastAsia" w:ascii="宋体" w:hAnsi="宋体" w:eastAsia="宋体" w:cs="宋体"/>
                <w:i w:val="0"/>
                <w:iCs w:val="0"/>
                <w:color w:val="auto"/>
                <w:sz w:val="21"/>
                <w:szCs w:val="21"/>
                <w:u w:val="none"/>
              </w:rPr>
            </w:pPr>
          </w:p>
        </w:tc>
        <w:tc>
          <w:tcPr>
            <w:tcW w:w="3754" w:type="pct"/>
            <w:noWrap w:val="0"/>
            <w:vAlign w:val="center"/>
          </w:tcPr>
          <w:p w14:paraId="160FEC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2、配置≥4个千兆电口；≥2个千兆光口</w:t>
            </w:r>
          </w:p>
        </w:tc>
      </w:tr>
      <w:tr w14:paraId="1993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CAC7A6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BA3D8AB">
            <w:pPr>
              <w:jc w:val="center"/>
              <w:rPr>
                <w:rFonts w:hint="eastAsia" w:ascii="宋体" w:hAnsi="宋体" w:eastAsia="宋体" w:cs="宋体"/>
                <w:i w:val="0"/>
                <w:iCs w:val="0"/>
                <w:color w:val="auto"/>
                <w:sz w:val="21"/>
                <w:szCs w:val="21"/>
                <w:u w:val="none"/>
              </w:rPr>
            </w:pPr>
          </w:p>
        </w:tc>
        <w:tc>
          <w:tcPr>
            <w:tcW w:w="3754" w:type="pct"/>
            <w:noWrap w:val="0"/>
            <w:vAlign w:val="center"/>
          </w:tcPr>
          <w:p w14:paraId="5ADC6E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3、支持ByPass，每秒事务数目（TPS）：≥800(次/秒)；最大吞吐量：≥300Mbps，最大并发连接数：≥500（条）；授权终端数≥500个；</w:t>
            </w:r>
          </w:p>
        </w:tc>
      </w:tr>
      <w:tr w14:paraId="0D38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1BE05259">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97149F7">
            <w:pPr>
              <w:jc w:val="center"/>
              <w:rPr>
                <w:rFonts w:hint="eastAsia" w:ascii="宋体" w:hAnsi="宋体" w:eastAsia="宋体" w:cs="宋体"/>
                <w:i w:val="0"/>
                <w:iCs w:val="0"/>
                <w:color w:val="auto"/>
                <w:sz w:val="21"/>
                <w:szCs w:val="21"/>
                <w:u w:val="none"/>
              </w:rPr>
            </w:pPr>
          </w:p>
        </w:tc>
        <w:tc>
          <w:tcPr>
            <w:tcW w:w="3754" w:type="pct"/>
            <w:noWrap w:val="0"/>
            <w:vAlign w:val="center"/>
          </w:tcPr>
          <w:p w14:paraId="4A51CB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4、支持多种灵活的部署方式，无需改变网络结构，部署方式包括但不限于独立部署、热备部署、探针式部署、集群部署。支持旁路或串联部署；</w:t>
            </w:r>
          </w:p>
        </w:tc>
      </w:tr>
      <w:tr w14:paraId="3C54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830DC8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2946501">
            <w:pPr>
              <w:jc w:val="center"/>
              <w:rPr>
                <w:rFonts w:hint="eastAsia" w:ascii="宋体" w:hAnsi="宋体" w:eastAsia="宋体" w:cs="宋体"/>
                <w:i w:val="0"/>
                <w:iCs w:val="0"/>
                <w:color w:val="auto"/>
                <w:sz w:val="21"/>
                <w:szCs w:val="21"/>
                <w:u w:val="none"/>
              </w:rPr>
            </w:pPr>
          </w:p>
        </w:tc>
        <w:tc>
          <w:tcPr>
            <w:tcW w:w="3754" w:type="pct"/>
            <w:noWrap w:val="0"/>
            <w:vAlign w:val="center"/>
          </w:tcPr>
          <w:p w14:paraId="0DE762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5、具备单机模式下的系统逃生工具，在准入设备故障时进行自动或手动方式逃生；</w:t>
            </w:r>
          </w:p>
        </w:tc>
      </w:tr>
      <w:tr w14:paraId="64D9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22DBC4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671B121">
            <w:pPr>
              <w:jc w:val="center"/>
              <w:rPr>
                <w:rFonts w:hint="eastAsia" w:ascii="宋体" w:hAnsi="宋体" w:eastAsia="宋体" w:cs="宋体"/>
                <w:i w:val="0"/>
                <w:iCs w:val="0"/>
                <w:color w:val="auto"/>
                <w:sz w:val="21"/>
                <w:szCs w:val="21"/>
                <w:u w:val="none"/>
              </w:rPr>
            </w:pPr>
          </w:p>
        </w:tc>
        <w:tc>
          <w:tcPr>
            <w:tcW w:w="3754" w:type="pct"/>
            <w:noWrap w:val="0"/>
            <w:vAlign w:val="center"/>
          </w:tcPr>
          <w:p w14:paraId="67DE4B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6、支持802.1X、Portal、透明网关、策略路由等多种准入模式选择，单设备情况下可进行混合准入模式应用；</w:t>
            </w:r>
          </w:p>
        </w:tc>
      </w:tr>
      <w:tr w14:paraId="4228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1454B97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2AACF1E">
            <w:pPr>
              <w:jc w:val="center"/>
              <w:rPr>
                <w:rFonts w:hint="eastAsia" w:ascii="宋体" w:hAnsi="宋体" w:eastAsia="宋体" w:cs="宋体"/>
                <w:i w:val="0"/>
                <w:iCs w:val="0"/>
                <w:color w:val="auto"/>
                <w:sz w:val="21"/>
                <w:szCs w:val="21"/>
                <w:u w:val="none"/>
              </w:rPr>
            </w:pPr>
          </w:p>
        </w:tc>
        <w:tc>
          <w:tcPr>
            <w:tcW w:w="3754" w:type="pct"/>
            <w:noWrap w:val="0"/>
            <w:vAlign w:val="center"/>
          </w:tcPr>
          <w:p w14:paraId="342B54B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7、支持安全客户端（Agent）、安全控件、无客户端等多种模式；提供Windows、linux及国产信创操作系统兼容，兼容主流浏览器及国产信创浏览器；</w:t>
            </w:r>
          </w:p>
        </w:tc>
      </w:tr>
      <w:tr w14:paraId="14C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CF7438D">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6CA6471">
            <w:pPr>
              <w:jc w:val="center"/>
              <w:rPr>
                <w:rFonts w:hint="eastAsia" w:ascii="宋体" w:hAnsi="宋体" w:eastAsia="宋体" w:cs="宋体"/>
                <w:i w:val="0"/>
                <w:iCs w:val="0"/>
                <w:color w:val="auto"/>
                <w:sz w:val="21"/>
                <w:szCs w:val="21"/>
                <w:u w:val="none"/>
              </w:rPr>
            </w:pPr>
          </w:p>
        </w:tc>
        <w:tc>
          <w:tcPr>
            <w:tcW w:w="3754" w:type="pct"/>
            <w:noWrap w:val="0"/>
            <w:vAlign w:val="center"/>
          </w:tcPr>
          <w:p w14:paraId="255D10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8、支持用户名密码、Ukey、指纹等认证方式，支持与AD域、LDAP、Email联动；</w:t>
            </w:r>
          </w:p>
        </w:tc>
      </w:tr>
      <w:tr w14:paraId="1FE5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DBFC77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4481885">
            <w:pPr>
              <w:jc w:val="center"/>
              <w:rPr>
                <w:rFonts w:hint="eastAsia" w:ascii="宋体" w:hAnsi="宋体" w:eastAsia="宋体" w:cs="宋体"/>
                <w:i w:val="0"/>
                <w:iCs w:val="0"/>
                <w:color w:val="auto"/>
                <w:sz w:val="21"/>
                <w:szCs w:val="21"/>
                <w:u w:val="none"/>
              </w:rPr>
            </w:pPr>
          </w:p>
        </w:tc>
        <w:tc>
          <w:tcPr>
            <w:tcW w:w="3754" w:type="pct"/>
            <w:noWrap w:val="0"/>
            <w:vAlign w:val="center"/>
          </w:tcPr>
          <w:p w14:paraId="4F10A2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9、支持信息绑定认证，可检查入网终端IP、终端MAC、用户名、交换机IP、交换机端口、终端硬件ID等多要素信息；</w:t>
            </w:r>
          </w:p>
        </w:tc>
      </w:tr>
      <w:tr w14:paraId="2435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94C517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BE05BBF">
            <w:pPr>
              <w:jc w:val="center"/>
              <w:rPr>
                <w:rFonts w:hint="eastAsia" w:ascii="宋体" w:hAnsi="宋体" w:eastAsia="宋体" w:cs="宋体"/>
                <w:i w:val="0"/>
                <w:iCs w:val="0"/>
                <w:color w:val="auto"/>
                <w:sz w:val="21"/>
                <w:szCs w:val="21"/>
                <w:u w:val="none"/>
              </w:rPr>
            </w:pPr>
          </w:p>
        </w:tc>
        <w:tc>
          <w:tcPr>
            <w:tcW w:w="3754" w:type="pct"/>
            <w:noWrap w:val="0"/>
            <w:vAlign w:val="center"/>
          </w:tcPr>
          <w:p w14:paraId="21E46A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10、支持准入设备黑/白名单管理，可根据所应用的不同准入模式，设置黑/白名单终端IP、MAC、协议、端口、VLAN号等信息，以便针对该名单中设备进行入网控制；</w:t>
            </w:r>
          </w:p>
        </w:tc>
      </w:tr>
      <w:tr w14:paraId="5969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798CBB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8C6398D">
            <w:pPr>
              <w:jc w:val="center"/>
              <w:rPr>
                <w:rFonts w:hint="eastAsia" w:ascii="宋体" w:hAnsi="宋体" w:eastAsia="宋体" w:cs="宋体"/>
                <w:i w:val="0"/>
                <w:iCs w:val="0"/>
                <w:color w:val="auto"/>
                <w:sz w:val="21"/>
                <w:szCs w:val="21"/>
                <w:u w:val="none"/>
              </w:rPr>
            </w:pPr>
          </w:p>
        </w:tc>
        <w:tc>
          <w:tcPr>
            <w:tcW w:w="3754" w:type="pct"/>
            <w:noWrap w:val="0"/>
            <w:vAlign w:val="center"/>
          </w:tcPr>
          <w:p w14:paraId="474B39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11、支持入网终端健康检查；</w:t>
            </w:r>
          </w:p>
        </w:tc>
      </w:tr>
      <w:tr w14:paraId="0659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2AE08C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A69F793">
            <w:pPr>
              <w:jc w:val="center"/>
              <w:rPr>
                <w:rFonts w:hint="eastAsia" w:ascii="宋体" w:hAnsi="宋体" w:eastAsia="宋体" w:cs="宋体"/>
                <w:i w:val="0"/>
                <w:iCs w:val="0"/>
                <w:color w:val="auto"/>
                <w:sz w:val="21"/>
                <w:szCs w:val="21"/>
                <w:u w:val="none"/>
              </w:rPr>
            </w:pPr>
          </w:p>
        </w:tc>
        <w:tc>
          <w:tcPr>
            <w:tcW w:w="3754" w:type="pct"/>
            <w:noWrap w:val="0"/>
            <w:vAlign w:val="center"/>
          </w:tcPr>
          <w:p w14:paraId="61D860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12、支持终端非法外联监控，可通过多种方式检测主机违规外联行为，给予违规处理方式，并信息提示；</w:t>
            </w:r>
          </w:p>
        </w:tc>
      </w:tr>
      <w:tr w14:paraId="502E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546A3E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FB7250F">
            <w:pPr>
              <w:jc w:val="center"/>
              <w:rPr>
                <w:rFonts w:hint="eastAsia" w:ascii="宋体" w:hAnsi="宋体" w:eastAsia="宋体" w:cs="宋体"/>
                <w:i w:val="0"/>
                <w:iCs w:val="0"/>
                <w:color w:val="auto"/>
                <w:sz w:val="21"/>
                <w:szCs w:val="21"/>
                <w:u w:val="none"/>
              </w:rPr>
            </w:pPr>
          </w:p>
        </w:tc>
        <w:tc>
          <w:tcPr>
            <w:tcW w:w="3754" w:type="pct"/>
            <w:noWrap w:val="0"/>
            <w:vAlign w:val="center"/>
          </w:tcPr>
          <w:p w14:paraId="17286F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13、支持终端接口外设监控，可对终端所有接口外设实施启停用控制；</w:t>
            </w:r>
          </w:p>
        </w:tc>
      </w:tr>
      <w:tr w14:paraId="22C1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2" w:type="pct"/>
            <w:vMerge w:val="continue"/>
            <w:noWrap/>
            <w:vAlign w:val="center"/>
          </w:tcPr>
          <w:p w14:paraId="224A6B37">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6122C1A">
            <w:pPr>
              <w:jc w:val="center"/>
              <w:rPr>
                <w:rFonts w:hint="eastAsia" w:ascii="宋体" w:hAnsi="宋体" w:eastAsia="宋体" w:cs="宋体"/>
                <w:i w:val="0"/>
                <w:iCs w:val="0"/>
                <w:color w:val="auto"/>
                <w:sz w:val="21"/>
                <w:szCs w:val="21"/>
                <w:u w:val="none"/>
              </w:rPr>
            </w:pPr>
          </w:p>
        </w:tc>
        <w:tc>
          <w:tcPr>
            <w:tcW w:w="3754" w:type="pct"/>
            <w:noWrap w:val="0"/>
            <w:vAlign w:val="center"/>
          </w:tcPr>
          <w:p w14:paraId="537C803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14、支持入网资产管理功能，可添加、修改、删除资产信息；</w:t>
            </w:r>
          </w:p>
        </w:tc>
      </w:tr>
      <w:tr w14:paraId="69E8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2E23265">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56392EA">
            <w:pPr>
              <w:jc w:val="center"/>
              <w:rPr>
                <w:rFonts w:hint="eastAsia" w:ascii="宋体" w:hAnsi="宋体" w:eastAsia="宋体" w:cs="宋体"/>
                <w:i w:val="0"/>
                <w:iCs w:val="0"/>
                <w:color w:val="auto"/>
                <w:sz w:val="21"/>
                <w:szCs w:val="21"/>
                <w:u w:val="none"/>
              </w:rPr>
            </w:pPr>
          </w:p>
        </w:tc>
        <w:tc>
          <w:tcPr>
            <w:tcW w:w="3754" w:type="pct"/>
            <w:noWrap w:val="0"/>
            <w:vAlign w:val="center"/>
          </w:tcPr>
          <w:p w14:paraId="07161B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15、支持资产发现功能，可扫描发现连接设备信息，包括：终端IP、终端MAC、终端网卡供应商、终端VLAN、交换机端口、交换机IP、绑定用户等信息；</w:t>
            </w:r>
          </w:p>
        </w:tc>
      </w:tr>
      <w:tr w14:paraId="1F43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D00300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C079424">
            <w:pPr>
              <w:jc w:val="center"/>
              <w:rPr>
                <w:rFonts w:hint="eastAsia" w:ascii="宋体" w:hAnsi="宋体" w:eastAsia="宋体" w:cs="宋体"/>
                <w:i w:val="0"/>
                <w:iCs w:val="0"/>
                <w:color w:val="auto"/>
                <w:sz w:val="21"/>
                <w:szCs w:val="21"/>
                <w:u w:val="none"/>
              </w:rPr>
            </w:pPr>
          </w:p>
        </w:tc>
        <w:tc>
          <w:tcPr>
            <w:tcW w:w="3754" w:type="pct"/>
            <w:noWrap w:val="0"/>
            <w:vAlign w:val="center"/>
          </w:tcPr>
          <w:p w14:paraId="2CF0DF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16、支持网络设备管理，可添加、修改、删除网络设备，记录网络设备信息，并可点选查看设备信息；</w:t>
            </w:r>
          </w:p>
        </w:tc>
      </w:tr>
      <w:tr w14:paraId="6E35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050E2F8">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F154817">
            <w:pPr>
              <w:jc w:val="center"/>
              <w:rPr>
                <w:rFonts w:hint="eastAsia" w:ascii="宋体" w:hAnsi="宋体" w:eastAsia="宋体" w:cs="宋体"/>
                <w:i w:val="0"/>
                <w:iCs w:val="0"/>
                <w:color w:val="auto"/>
                <w:sz w:val="21"/>
                <w:szCs w:val="21"/>
                <w:u w:val="none"/>
              </w:rPr>
            </w:pPr>
          </w:p>
        </w:tc>
        <w:tc>
          <w:tcPr>
            <w:tcW w:w="3754" w:type="pct"/>
            <w:noWrap w:val="0"/>
            <w:vAlign w:val="center"/>
          </w:tcPr>
          <w:p w14:paraId="5824540A">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17、具备补丁统一下发到终端功能；</w:t>
            </w:r>
          </w:p>
        </w:tc>
      </w:tr>
      <w:tr w14:paraId="523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F81A88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7CC2D06">
            <w:pPr>
              <w:jc w:val="center"/>
              <w:rPr>
                <w:rFonts w:hint="eastAsia" w:ascii="宋体" w:hAnsi="宋体" w:eastAsia="宋体" w:cs="宋体"/>
                <w:i w:val="0"/>
                <w:iCs w:val="0"/>
                <w:color w:val="auto"/>
                <w:sz w:val="21"/>
                <w:szCs w:val="21"/>
                <w:u w:val="none"/>
              </w:rPr>
            </w:pPr>
          </w:p>
        </w:tc>
        <w:tc>
          <w:tcPr>
            <w:tcW w:w="3754" w:type="pct"/>
            <w:noWrap w:val="0"/>
            <w:vAlign w:val="center"/>
          </w:tcPr>
          <w:p w14:paraId="3134A5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18、产品具有公安部《计算机信息系统安全专用产品销售许可证》或中国网络安全审查技术与认证中心《网络关键设备和网络安全专用产品安全认证证书》；提供相关证明；</w:t>
            </w:r>
          </w:p>
        </w:tc>
      </w:tr>
      <w:tr w14:paraId="149B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54E933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39DD3FA">
            <w:pPr>
              <w:jc w:val="center"/>
              <w:rPr>
                <w:rFonts w:hint="eastAsia" w:ascii="宋体" w:hAnsi="宋体" w:eastAsia="宋体" w:cs="宋体"/>
                <w:i w:val="0"/>
                <w:iCs w:val="0"/>
                <w:color w:val="auto"/>
                <w:sz w:val="21"/>
                <w:szCs w:val="21"/>
                <w:u w:val="none"/>
              </w:rPr>
            </w:pPr>
          </w:p>
        </w:tc>
        <w:tc>
          <w:tcPr>
            <w:tcW w:w="3754" w:type="pct"/>
            <w:noWrap w:val="0"/>
            <w:vAlign w:val="center"/>
          </w:tcPr>
          <w:p w14:paraId="773C3B38">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★19、提供5年原厂质保，签订合同时提供针对本项目的原厂质保函；</w:t>
            </w:r>
          </w:p>
        </w:tc>
      </w:tr>
      <w:tr w14:paraId="5B02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22099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942" w:type="pct"/>
            <w:gridSpan w:val="2"/>
            <w:vMerge w:val="restart"/>
            <w:noWrap w:val="0"/>
            <w:vAlign w:val="center"/>
          </w:tcPr>
          <w:p w14:paraId="510498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外网防火墙</w:t>
            </w:r>
          </w:p>
        </w:tc>
        <w:tc>
          <w:tcPr>
            <w:tcW w:w="3754" w:type="pct"/>
            <w:noWrap w:val="0"/>
            <w:vAlign w:val="center"/>
          </w:tcPr>
          <w:p w14:paraId="757D16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1、产品由专用的国产化硬件平台、国产化安全操作系统及功能软件构成，产品符合信创要求；提供相关证明材料；</w:t>
            </w:r>
          </w:p>
        </w:tc>
      </w:tr>
      <w:tr w14:paraId="55B9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A41000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6F3A193">
            <w:pPr>
              <w:jc w:val="center"/>
              <w:rPr>
                <w:rFonts w:hint="eastAsia" w:ascii="宋体" w:hAnsi="宋体" w:eastAsia="宋体" w:cs="宋体"/>
                <w:i w:val="0"/>
                <w:iCs w:val="0"/>
                <w:color w:val="auto"/>
                <w:sz w:val="21"/>
                <w:szCs w:val="21"/>
                <w:u w:val="none"/>
              </w:rPr>
            </w:pPr>
          </w:p>
        </w:tc>
        <w:tc>
          <w:tcPr>
            <w:tcW w:w="3754" w:type="pct"/>
            <w:noWrap w:val="0"/>
            <w:vAlign w:val="center"/>
          </w:tcPr>
          <w:p w14:paraId="06256AF0">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2、规格：≤2U</w:t>
            </w:r>
          </w:p>
        </w:tc>
      </w:tr>
      <w:tr w14:paraId="108F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02" w:type="pct"/>
            <w:vMerge w:val="continue"/>
            <w:noWrap/>
            <w:vAlign w:val="center"/>
          </w:tcPr>
          <w:p w14:paraId="3155950F">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7409036">
            <w:pPr>
              <w:jc w:val="center"/>
              <w:rPr>
                <w:rFonts w:hint="eastAsia" w:ascii="宋体" w:hAnsi="宋体" w:eastAsia="宋体" w:cs="宋体"/>
                <w:i w:val="0"/>
                <w:iCs w:val="0"/>
                <w:color w:val="auto"/>
                <w:sz w:val="21"/>
                <w:szCs w:val="21"/>
                <w:u w:val="none"/>
              </w:rPr>
            </w:pPr>
          </w:p>
        </w:tc>
        <w:tc>
          <w:tcPr>
            <w:tcW w:w="3754" w:type="pct"/>
            <w:noWrap w:val="0"/>
            <w:vAlign w:val="center"/>
          </w:tcPr>
          <w:p w14:paraId="0804F8C6">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3、配置不少于1个管理口、1个HA口、4个千兆电口、4个千兆光口（满配千兆多模模块）和4个万兆光口（满配万兆多模模块）；日志存储时间不少于6个月。</w:t>
            </w:r>
          </w:p>
        </w:tc>
      </w:tr>
      <w:tr w14:paraId="362C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1D79ACA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459B5A0">
            <w:pPr>
              <w:jc w:val="center"/>
              <w:rPr>
                <w:rFonts w:hint="eastAsia" w:ascii="宋体" w:hAnsi="宋体" w:eastAsia="宋体" w:cs="宋体"/>
                <w:i w:val="0"/>
                <w:iCs w:val="0"/>
                <w:color w:val="auto"/>
                <w:sz w:val="21"/>
                <w:szCs w:val="21"/>
                <w:u w:val="none"/>
              </w:rPr>
            </w:pPr>
          </w:p>
        </w:tc>
        <w:tc>
          <w:tcPr>
            <w:tcW w:w="3754" w:type="pct"/>
            <w:noWrap w:val="0"/>
            <w:vAlign w:val="center"/>
          </w:tcPr>
          <w:p w14:paraId="337F9FAF">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4、性能</w:t>
            </w:r>
          </w:p>
          <w:p w14:paraId="464ABB33">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网络层吞吐量(双向)： IPv4：≥10Gbps，IPv6：≥10Gbps。 应用层吞吐量（单向）： IPv4：≥2Gbps，IPv6：≥2Gbps。 TCP新建连接速率： IPv4：≥10万/秒，IPv6：≥10万/秒。 最大并发连接数： ≥600万。</w:t>
            </w:r>
          </w:p>
        </w:tc>
      </w:tr>
      <w:tr w14:paraId="69EB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ED0B4C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87DBB1B">
            <w:pPr>
              <w:jc w:val="center"/>
              <w:rPr>
                <w:rFonts w:hint="eastAsia" w:ascii="宋体" w:hAnsi="宋体" w:eastAsia="宋体" w:cs="宋体"/>
                <w:i w:val="0"/>
                <w:iCs w:val="0"/>
                <w:color w:val="auto"/>
                <w:sz w:val="21"/>
                <w:szCs w:val="21"/>
                <w:u w:val="none"/>
              </w:rPr>
            </w:pPr>
          </w:p>
        </w:tc>
        <w:tc>
          <w:tcPr>
            <w:tcW w:w="3754" w:type="pct"/>
            <w:noWrap w:val="0"/>
            <w:vAlign w:val="center"/>
          </w:tcPr>
          <w:p w14:paraId="14623D78">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i w:val="0"/>
                <w:iCs w:val="0"/>
                <w:color w:val="auto"/>
                <w:kern w:val="0"/>
                <w:sz w:val="21"/>
                <w:szCs w:val="21"/>
                <w:u w:val="none"/>
                <w:lang w:val="en-US" w:eastAsia="zh-CN" w:bidi="ar"/>
              </w:rPr>
              <w:t>5、配置5年入侵防御、防病毒、应用识别、URL特征库升级服务</w:t>
            </w:r>
          </w:p>
        </w:tc>
      </w:tr>
      <w:tr w14:paraId="7AA4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02" w:type="pct"/>
            <w:vMerge w:val="continue"/>
            <w:noWrap/>
            <w:vAlign w:val="center"/>
          </w:tcPr>
          <w:p w14:paraId="25094607">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E4F1560">
            <w:pPr>
              <w:jc w:val="center"/>
              <w:rPr>
                <w:rFonts w:hint="eastAsia" w:ascii="宋体" w:hAnsi="宋体" w:eastAsia="宋体" w:cs="宋体"/>
                <w:i w:val="0"/>
                <w:iCs w:val="0"/>
                <w:color w:val="auto"/>
                <w:sz w:val="21"/>
                <w:szCs w:val="21"/>
                <w:u w:val="none"/>
              </w:rPr>
            </w:pPr>
          </w:p>
        </w:tc>
        <w:tc>
          <w:tcPr>
            <w:tcW w:w="3754" w:type="pct"/>
            <w:noWrap w:val="0"/>
            <w:vAlign w:val="center"/>
          </w:tcPr>
          <w:p w14:paraId="1E269837">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6、网络接入</w:t>
            </w:r>
          </w:p>
          <w:p w14:paraId="5CA364C6">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支持路由、交换、虚拟线、Listening、混合工作模式；</w:t>
            </w:r>
          </w:p>
          <w:p w14:paraId="21A8BDCF">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支持一对一SNAT、多对一SNAT、一对一DNAT、双向NAT、NoNAT等多种转换方式；支持源IP转换同一性；</w:t>
            </w:r>
          </w:p>
          <w:p w14:paraId="50E09605">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支持手动和LACP链路聚合，可根据源/目的MAC、源/目的IP、源/目的端口、五元组、端口轮询等条件提供多种链路负载算法。；</w:t>
            </w:r>
          </w:p>
        </w:tc>
      </w:tr>
      <w:tr w14:paraId="0A7F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2AB4B48">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D676701">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16176E09">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7、访问控制</w:t>
            </w:r>
          </w:p>
          <w:p w14:paraId="0FD89B31">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支持一体化安全策略配置，可以通过一条策略实现五元组、源MAC、源地区、目的地区、域名、应用、服务、时间、长连接、并发会话、WEB认证、URL过滤、邮件安全、数据过滤、文件过滤、审计等功能配置；</w:t>
            </w:r>
          </w:p>
          <w:p w14:paraId="6E6D2E99">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支持域名控制，支持对多级域名进行控制，域名对象支持通配符</w:t>
            </w:r>
          </w:p>
          <w:p w14:paraId="526855DD">
            <w:pPr>
              <w:keepNext w:val="0"/>
              <w:keepLines w:val="0"/>
              <w:widowControl/>
              <w:suppressLineNumbers w:val="0"/>
              <w:jc w:val="left"/>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提供策略分析功能，支持策略命中分析、策略冗余分析、策略冲突检查、策略包含分析；</w:t>
            </w:r>
          </w:p>
          <w:p w14:paraId="01F7BFBF">
            <w:pPr>
              <w:keepNext w:val="0"/>
              <w:keepLines w:val="0"/>
              <w:widowControl/>
              <w:suppressLineNumbers w:val="0"/>
              <w:jc w:val="left"/>
              <w:textAlignment w:val="center"/>
              <w:rPr>
                <w:rFonts w:ascii="宋体" w:hAnsi="宋体" w:eastAsia="宋体" w:cs="宋体"/>
                <w:i w:val="0"/>
                <w:iCs w:val="0"/>
                <w:color w:val="auto"/>
                <w:sz w:val="21"/>
                <w:szCs w:val="21"/>
                <w:u w:val="none"/>
              </w:rPr>
            </w:pPr>
            <w:r>
              <w:rPr>
                <w:rFonts w:ascii="宋体" w:hAnsi="宋体" w:eastAsia="宋体" w:cs="宋体"/>
                <w:i w:val="0"/>
                <w:iCs w:val="0"/>
                <w:color w:val="auto"/>
                <w:kern w:val="0"/>
                <w:sz w:val="21"/>
                <w:szCs w:val="21"/>
                <w:u w:val="none"/>
                <w:lang w:val="en-US" w:eastAsia="zh-CN" w:bidi="ar"/>
              </w:rPr>
              <w:t>访问控制策略执行动作支持允许、禁止及认证，对符合条件的流量进行Web认证；</w:t>
            </w:r>
          </w:p>
        </w:tc>
      </w:tr>
      <w:tr w14:paraId="5097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6D10B75">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EF5CA63">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1344F68A">
            <w:pPr>
              <w:jc w:val="left"/>
              <w:rPr>
                <w:rFonts w:hint="eastAsia" w:ascii="宋体" w:hAnsi="宋体" w:eastAsia="宋体" w:cs="宋体"/>
                <w:i w:val="0"/>
                <w:iCs w:val="0"/>
                <w:color w:val="auto"/>
                <w:sz w:val="21"/>
                <w:szCs w:val="21"/>
                <w:u w:val="none"/>
              </w:rPr>
            </w:pPr>
          </w:p>
        </w:tc>
      </w:tr>
      <w:tr w14:paraId="7693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73C318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8C54D82">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853983E">
            <w:pPr>
              <w:jc w:val="left"/>
              <w:rPr>
                <w:rFonts w:hint="eastAsia" w:ascii="宋体" w:hAnsi="宋体" w:eastAsia="宋体" w:cs="宋体"/>
                <w:i w:val="0"/>
                <w:iCs w:val="0"/>
                <w:color w:val="auto"/>
                <w:sz w:val="21"/>
                <w:szCs w:val="21"/>
                <w:u w:val="none"/>
              </w:rPr>
            </w:pPr>
          </w:p>
        </w:tc>
      </w:tr>
      <w:tr w14:paraId="4F65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8D65BD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99BA1FC">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729EAC5E">
            <w:pPr>
              <w:jc w:val="left"/>
              <w:rPr>
                <w:rFonts w:hint="eastAsia" w:ascii="宋体" w:hAnsi="宋体" w:eastAsia="宋体" w:cs="宋体"/>
                <w:i w:val="0"/>
                <w:iCs w:val="0"/>
                <w:color w:val="auto"/>
                <w:sz w:val="21"/>
                <w:szCs w:val="21"/>
                <w:u w:val="none"/>
              </w:rPr>
            </w:pPr>
          </w:p>
        </w:tc>
      </w:tr>
      <w:tr w14:paraId="69B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02" w:type="pct"/>
            <w:vMerge w:val="continue"/>
            <w:noWrap/>
            <w:vAlign w:val="center"/>
          </w:tcPr>
          <w:p w14:paraId="38955F2E">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163AA3C">
            <w:pPr>
              <w:jc w:val="center"/>
              <w:rPr>
                <w:rFonts w:hint="eastAsia" w:ascii="宋体" w:hAnsi="宋体" w:eastAsia="宋体" w:cs="宋体"/>
                <w:i w:val="0"/>
                <w:iCs w:val="0"/>
                <w:color w:val="auto"/>
                <w:sz w:val="21"/>
                <w:szCs w:val="21"/>
                <w:u w:val="none"/>
              </w:rPr>
            </w:pPr>
          </w:p>
        </w:tc>
        <w:tc>
          <w:tcPr>
            <w:tcW w:w="3754" w:type="pct"/>
            <w:noWrap w:val="0"/>
            <w:vAlign w:val="center"/>
          </w:tcPr>
          <w:p w14:paraId="33560D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8、安全防护</w:t>
            </w:r>
          </w:p>
          <w:p w14:paraId="08988D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内置行为分析功能，对异常行为进行告警；支持行为分析监控展示，可展示不同行为分析策略的实时数据和基线数据趋势；</w:t>
            </w:r>
          </w:p>
          <w:p w14:paraId="0275985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支持针对IP、ICMP、TCP、UDP、DNS、HTTP、NTP等协议进行DDOS防护；支持预定义和自定义策略模板；</w:t>
            </w:r>
          </w:p>
          <w:p w14:paraId="65D0959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支持NTP DDOS防护；</w:t>
            </w:r>
          </w:p>
          <w:p w14:paraId="75AEAD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内置邮件安全防护功能，支持邮件过滤、邮箱防暴力破解、邮件泛洪攻击防护、邮件黑、白名单检测；</w:t>
            </w:r>
          </w:p>
        </w:tc>
      </w:tr>
      <w:tr w14:paraId="30A2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02" w:type="pct"/>
            <w:vMerge w:val="continue"/>
            <w:noWrap/>
            <w:vAlign w:val="center"/>
          </w:tcPr>
          <w:p w14:paraId="45DFB7C5">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77BEDDF">
            <w:pPr>
              <w:jc w:val="center"/>
              <w:rPr>
                <w:rFonts w:hint="eastAsia" w:ascii="宋体" w:hAnsi="宋体" w:eastAsia="宋体" w:cs="宋体"/>
                <w:i w:val="0"/>
                <w:iCs w:val="0"/>
                <w:color w:val="auto"/>
                <w:sz w:val="21"/>
                <w:szCs w:val="21"/>
                <w:u w:val="none"/>
              </w:rPr>
            </w:pPr>
          </w:p>
        </w:tc>
        <w:tc>
          <w:tcPr>
            <w:tcW w:w="3754" w:type="pct"/>
            <w:noWrap w:val="0"/>
            <w:vAlign w:val="center"/>
          </w:tcPr>
          <w:p w14:paraId="78BABB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9、系统管理</w:t>
            </w:r>
          </w:p>
          <w:p w14:paraId="6B570C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支持独立审计策略，支持审计白名单；</w:t>
            </w:r>
          </w:p>
          <w:p w14:paraId="50C0A17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支持在一台物理设备上划分出相互独立的虚拟系统，可根据连接配额及连接新建速率为每个虚拟系统分配资源，实配不少于24个虚拟防火墙授权；</w:t>
            </w:r>
          </w:p>
          <w:p w14:paraId="5733CA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支持在WEB界面进行网络诊断，支持PING、TRACEROUTE、TCP、HTTP、DNS诊断方式；</w:t>
            </w:r>
          </w:p>
        </w:tc>
      </w:tr>
      <w:tr w14:paraId="5E92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A2C732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A8584A1">
            <w:pPr>
              <w:jc w:val="center"/>
              <w:rPr>
                <w:rFonts w:hint="eastAsia" w:ascii="宋体" w:hAnsi="宋体" w:eastAsia="宋体" w:cs="宋体"/>
                <w:i w:val="0"/>
                <w:iCs w:val="0"/>
                <w:color w:val="auto"/>
                <w:sz w:val="21"/>
                <w:szCs w:val="21"/>
                <w:u w:val="none"/>
              </w:rPr>
            </w:pPr>
          </w:p>
        </w:tc>
        <w:tc>
          <w:tcPr>
            <w:tcW w:w="3754" w:type="pct"/>
            <w:noWrap w:val="0"/>
            <w:vAlign w:val="center"/>
          </w:tcPr>
          <w:p w14:paraId="2389FD5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10、产品具有公安部《计算机信息系统安全专用产品销售许可证》或中国网络安全审查技术与认证中心《网络关键设备和网络安全专用产品安全认证证书》；提供相关证明</w:t>
            </w:r>
          </w:p>
        </w:tc>
      </w:tr>
      <w:tr w14:paraId="1042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1DF440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3733887">
            <w:pPr>
              <w:jc w:val="center"/>
              <w:rPr>
                <w:rFonts w:hint="eastAsia" w:ascii="宋体" w:hAnsi="宋体" w:eastAsia="宋体" w:cs="宋体"/>
                <w:i w:val="0"/>
                <w:iCs w:val="0"/>
                <w:color w:val="auto"/>
                <w:sz w:val="21"/>
                <w:szCs w:val="21"/>
                <w:u w:val="none"/>
              </w:rPr>
            </w:pPr>
          </w:p>
        </w:tc>
        <w:tc>
          <w:tcPr>
            <w:tcW w:w="3754" w:type="pct"/>
            <w:noWrap w:val="0"/>
            <w:vAlign w:val="center"/>
          </w:tcPr>
          <w:p w14:paraId="7143C358">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★11、提供5年原厂质保，签订合同时提供针对本项目的原厂质保函；</w:t>
            </w:r>
          </w:p>
        </w:tc>
      </w:tr>
      <w:tr w14:paraId="3FF8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2BD336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942" w:type="pct"/>
            <w:gridSpan w:val="2"/>
            <w:vMerge w:val="restart"/>
            <w:noWrap/>
            <w:vAlign w:val="center"/>
          </w:tcPr>
          <w:p w14:paraId="210634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IPS</w:t>
            </w:r>
          </w:p>
        </w:tc>
        <w:tc>
          <w:tcPr>
            <w:tcW w:w="3754" w:type="pct"/>
            <w:noWrap w:val="0"/>
            <w:vAlign w:val="center"/>
          </w:tcPr>
          <w:p w14:paraId="015A20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1、产品采用国产化硬件平台、国产化安全操作系统，符合信创要求。</w:t>
            </w:r>
          </w:p>
        </w:tc>
      </w:tr>
      <w:tr w14:paraId="50C9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35AF1E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9393733">
            <w:pPr>
              <w:jc w:val="center"/>
              <w:rPr>
                <w:rFonts w:hint="eastAsia" w:ascii="宋体" w:hAnsi="宋体" w:eastAsia="宋体" w:cs="宋体"/>
                <w:i w:val="0"/>
                <w:iCs w:val="0"/>
                <w:color w:val="auto"/>
                <w:sz w:val="21"/>
                <w:szCs w:val="21"/>
                <w:u w:val="none"/>
              </w:rPr>
            </w:pPr>
          </w:p>
        </w:tc>
        <w:tc>
          <w:tcPr>
            <w:tcW w:w="3754" w:type="pct"/>
            <w:noWrap w:val="0"/>
            <w:vAlign w:val="center"/>
          </w:tcPr>
          <w:p w14:paraId="5A0E2B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2、配置≥8个万兆光口，≥8个千兆电口；日志存储时间不少于6个月。</w:t>
            </w:r>
          </w:p>
        </w:tc>
      </w:tr>
      <w:tr w14:paraId="5727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957247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63CD933">
            <w:pPr>
              <w:jc w:val="center"/>
              <w:rPr>
                <w:rFonts w:hint="eastAsia" w:ascii="宋体" w:hAnsi="宋体" w:eastAsia="宋体" w:cs="宋体"/>
                <w:i w:val="0"/>
                <w:iCs w:val="0"/>
                <w:color w:val="auto"/>
                <w:sz w:val="21"/>
                <w:szCs w:val="21"/>
                <w:u w:val="none"/>
              </w:rPr>
            </w:pPr>
          </w:p>
        </w:tc>
        <w:tc>
          <w:tcPr>
            <w:tcW w:w="3754" w:type="pct"/>
            <w:noWrap w:val="0"/>
            <w:vAlign w:val="center"/>
          </w:tcPr>
          <w:p w14:paraId="394F36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3、入侵防御设备同时实现入侵防御和入侵检测的功能；配置5年IPS特征库和检测库升级服务。</w:t>
            </w:r>
          </w:p>
        </w:tc>
      </w:tr>
      <w:tr w14:paraId="0DE9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7E5B13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4247F24">
            <w:pPr>
              <w:jc w:val="center"/>
              <w:rPr>
                <w:rFonts w:hint="eastAsia" w:ascii="宋体" w:hAnsi="宋体" w:eastAsia="宋体" w:cs="宋体"/>
                <w:i w:val="0"/>
                <w:iCs w:val="0"/>
                <w:color w:val="auto"/>
                <w:sz w:val="21"/>
                <w:szCs w:val="21"/>
                <w:u w:val="none"/>
              </w:rPr>
            </w:pPr>
          </w:p>
        </w:tc>
        <w:tc>
          <w:tcPr>
            <w:tcW w:w="3754" w:type="pct"/>
            <w:noWrap w:val="0"/>
            <w:vAlign w:val="center"/>
          </w:tcPr>
          <w:p w14:paraId="396FD7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4、满检速率：≥19Gbps。 TCP并发连接数：≥500万。</w:t>
            </w:r>
          </w:p>
        </w:tc>
      </w:tr>
      <w:tr w14:paraId="234E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0D75697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361A0B7">
            <w:pPr>
              <w:jc w:val="center"/>
              <w:rPr>
                <w:rFonts w:hint="eastAsia" w:ascii="宋体" w:hAnsi="宋体" w:eastAsia="宋体" w:cs="宋体"/>
                <w:i w:val="0"/>
                <w:iCs w:val="0"/>
                <w:color w:val="auto"/>
                <w:sz w:val="21"/>
                <w:szCs w:val="21"/>
                <w:u w:val="none"/>
              </w:rPr>
            </w:pPr>
          </w:p>
        </w:tc>
        <w:tc>
          <w:tcPr>
            <w:tcW w:w="3754" w:type="pct"/>
            <w:noWrap w:val="0"/>
            <w:vAlign w:val="center"/>
          </w:tcPr>
          <w:p w14:paraId="3F3BF6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5、支持能够检测和防护包括扫描探测、暴力猜解、拒绝服务攻击、后门控制、溢出攻击、代码执行、非授权访问、注入攻击、URL跳转、跨站攻击、WebShell、浏览器劫持、文件漏洞攻击等以上网络攻击事件。</w:t>
            </w:r>
          </w:p>
        </w:tc>
      </w:tr>
      <w:tr w14:paraId="1E0B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A659E4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5ED337D">
            <w:pPr>
              <w:jc w:val="center"/>
              <w:rPr>
                <w:rFonts w:hint="eastAsia" w:ascii="宋体" w:hAnsi="宋体" w:eastAsia="宋体" w:cs="宋体"/>
                <w:i w:val="0"/>
                <w:iCs w:val="0"/>
                <w:color w:val="auto"/>
                <w:sz w:val="21"/>
                <w:szCs w:val="21"/>
                <w:u w:val="none"/>
              </w:rPr>
            </w:pPr>
          </w:p>
        </w:tc>
        <w:tc>
          <w:tcPr>
            <w:tcW w:w="3754" w:type="pct"/>
            <w:noWrap w:val="0"/>
            <w:vAlign w:val="center"/>
          </w:tcPr>
          <w:p w14:paraId="4E92BA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6、支持对多种应用类型进行攻击检测和防护，包括WEB应用、文件传输、邮件、数据库、远程访问、远程过程调用等多种业务。并对规则可设置相应警告、阻断动作。</w:t>
            </w:r>
          </w:p>
        </w:tc>
      </w:tr>
      <w:tr w14:paraId="2A4A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284AD70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FB9ED26">
            <w:pPr>
              <w:jc w:val="center"/>
              <w:rPr>
                <w:rFonts w:hint="eastAsia" w:ascii="宋体" w:hAnsi="宋体" w:eastAsia="宋体" w:cs="宋体"/>
                <w:i w:val="0"/>
                <w:iCs w:val="0"/>
                <w:color w:val="auto"/>
                <w:sz w:val="21"/>
                <w:szCs w:val="21"/>
                <w:u w:val="none"/>
              </w:rPr>
            </w:pPr>
          </w:p>
        </w:tc>
        <w:tc>
          <w:tcPr>
            <w:tcW w:w="3754" w:type="pct"/>
            <w:noWrap w:val="0"/>
            <w:vAlign w:val="center"/>
          </w:tcPr>
          <w:p w14:paraId="2A5084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7、支持对SMTP、POP3、IMAP、FTP、TELNET、LDAP、RDP、MSSQL、DB2、REDIS、POSTGRESQL、HTTP等服务的弱口令登录行为检测防护。</w:t>
            </w:r>
          </w:p>
        </w:tc>
      </w:tr>
      <w:tr w14:paraId="36B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5B2254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A78EC2D">
            <w:pPr>
              <w:jc w:val="center"/>
              <w:rPr>
                <w:rFonts w:hint="eastAsia" w:ascii="宋体" w:hAnsi="宋体" w:eastAsia="宋体" w:cs="宋体"/>
                <w:i w:val="0"/>
                <w:iCs w:val="0"/>
                <w:color w:val="auto"/>
                <w:sz w:val="21"/>
                <w:szCs w:val="21"/>
                <w:u w:val="none"/>
              </w:rPr>
            </w:pPr>
          </w:p>
        </w:tc>
        <w:tc>
          <w:tcPr>
            <w:tcW w:w="3754" w:type="pct"/>
            <w:noWrap w:val="0"/>
            <w:vAlign w:val="center"/>
          </w:tcPr>
          <w:p w14:paraId="119CB8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8、支持针对邮件、文件、远程访问、数据库、WEB应用等协议类型进行暴力破解检测和防护。</w:t>
            </w:r>
          </w:p>
        </w:tc>
      </w:tr>
      <w:tr w14:paraId="6238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75B793A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AFCB012">
            <w:pPr>
              <w:jc w:val="center"/>
              <w:rPr>
                <w:rFonts w:hint="eastAsia" w:ascii="宋体" w:hAnsi="宋体" w:eastAsia="宋体" w:cs="宋体"/>
                <w:i w:val="0"/>
                <w:iCs w:val="0"/>
                <w:color w:val="auto"/>
                <w:sz w:val="21"/>
                <w:szCs w:val="21"/>
                <w:u w:val="none"/>
              </w:rPr>
            </w:pPr>
          </w:p>
        </w:tc>
        <w:tc>
          <w:tcPr>
            <w:tcW w:w="3754" w:type="pct"/>
            <w:noWrap w:val="0"/>
            <w:vAlign w:val="center"/>
          </w:tcPr>
          <w:p w14:paraId="7B66265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9、支持基于不同安全区域告警SYN Flood、UDP  Flood、ICMP  Flood、IP  Flood、Frag Flood、DNS Flood、HTTP Flood、NTP Query Flood 、NTP Reply Flood 和SIP Flood 的攻击。</w:t>
            </w:r>
          </w:p>
        </w:tc>
      </w:tr>
      <w:tr w14:paraId="2DCD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7217F6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980DB77">
            <w:pPr>
              <w:jc w:val="center"/>
              <w:rPr>
                <w:rFonts w:hint="eastAsia" w:ascii="宋体" w:hAnsi="宋体" w:eastAsia="宋体" w:cs="宋体"/>
                <w:i w:val="0"/>
                <w:iCs w:val="0"/>
                <w:color w:val="auto"/>
                <w:sz w:val="21"/>
                <w:szCs w:val="21"/>
                <w:u w:val="none"/>
              </w:rPr>
            </w:pPr>
          </w:p>
        </w:tc>
        <w:tc>
          <w:tcPr>
            <w:tcW w:w="3754" w:type="pct"/>
            <w:noWrap w:val="0"/>
            <w:vAlign w:val="center"/>
          </w:tcPr>
          <w:p w14:paraId="27AC4F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10产品具有公安部《计算机信息系统安全专用产品销售许可证》或中国网络安全审查技术与认证中心《网络关键设备和网络安全专用产品安全认证证书》；提供相关证明</w:t>
            </w:r>
          </w:p>
        </w:tc>
      </w:tr>
      <w:tr w14:paraId="6F7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27D722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DE58BCF">
            <w:pPr>
              <w:jc w:val="center"/>
              <w:rPr>
                <w:rFonts w:hint="eastAsia" w:ascii="宋体" w:hAnsi="宋体" w:eastAsia="宋体" w:cs="宋体"/>
                <w:i w:val="0"/>
                <w:iCs w:val="0"/>
                <w:color w:val="auto"/>
                <w:sz w:val="21"/>
                <w:szCs w:val="21"/>
                <w:u w:val="none"/>
              </w:rPr>
            </w:pPr>
          </w:p>
        </w:tc>
        <w:tc>
          <w:tcPr>
            <w:tcW w:w="3754" w:type="pct"/>
            <w:noWrap w:val="0"/>
            <w:vAlign w:val="center"/>
          </w:tcPr>
          <w:p w14:paraId="7EEFE93C">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★11、提供5年原厂质保，签订合同时提供针对本项目的原厂质保函；</w:t>
            </w:r>
          </w:p>
        </w:tc>
      </w:tr>
      <w:tr w14:paraId="4D35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7C49A05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942" w:type="pct"/>
            <w:gridSpan w:val="2"/>
            <w:vMerge w:val="restart"/>
            <w:noWrap/>
            <w:vAlign w:val="center"/>
          </w:tcPr>
          <w:p w14:paraId="120659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AI训练服务器</w:t>
            </w:r>
          </w:p>
        </w:tc>
        <w:tc>
          <w:tcPr>
            <w:tcW w:w="3754" w:type="pct"/>
            <w:noWrap w:val="0"/>
            <w:vAlign w:val="center"/>
          </w:tcPr>
          <w:p w14:paraId="4B03D4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1、规格：机架式服务器，不超过4U。</w:t>
            </w:r>
          </w:p>
        </w:tc>
      </w:tr>
      <w:tr w14:paraId="4F75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F5D54A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5D881DC">
            <w:pPr>
              <w:jc w:val="center"/>
              <w:rPr>
                <w:rFonts w:hint="eastAsia" w:ascii="宋体" w:hAnsi="宋体" w:eastAsia="宋体" w:cs="宋体"/>
                <w:i w:val="0"/>
                <w:iCs w:val="0"/>
                <w:color w:val="auto"/>
                <w:sz w:val="21"/>
                <w:szCs w:val="21"/>
                <w:u w:val="none"/>
              </w:rPr>
            </w:pPr>
          </w:p>
        </w:tc>
        <w:tc>
          <w:tcPr>
            <w:tcW w:w="3754" w:type="pct"/>
            <w:noWrap w:val="0"/>
            <w:vAlign w:val="center"/>
          </w:tcPr>
          <w:p w14:paraId="2C73A3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2、CPU：单节点服务器配置4颗ARM架构CPU，单颗基准频率≥2.6GHz ，单颗≥48物理核；所投产品CPU须符合自主可控安全测评要求，提供中国信息安全测评中心官网截图证明。</w:t>
            </w:r>
          </w:p>
        </w:tc>
      </w:tr>
      <w:tr w14:paraId="3C56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0277583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A409152">
            <w:pPr>
              <w:jc w:val="center"/>
              <w:rPr>
                <w:rFonts w:hint="eastAsia" w:ascii="宋体" w:hAnsi="宋体" w:eastAsia="宋体" w:cs="宋体"/>
                <w:i w:val="0"/>
                <w:iCs w:val="0"/>
                <w:color w:val="auto"/>
                <w:sz w:val="21"/>
                <w:szCs w:val="21"/>
                <w:u w:val="none"/>
              </w:rPr>
            </w:pPr>
          </w:p>
        </w:tc>
        <w:tc>
          <w:tcPr>
            <w:tcW w:w="3754" w:type="pct"/>
            <w:noWrap w:val="0"/>
            <w:vAlign w:val="center"/>
          </w:tcPr>
          <w:p w14:paraId="14128AB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▲3、AI芯片</w:t>
            </w:r>
          </w:p>
          <w:p w14:paraId="5D5F8A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单节点服务器配置8颗国产化AI芯片；</w:t>
            </w:r>
          </w:p>
          <w:p w14:paraId="43C6B72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每颗AI芯片配置如下：</w:t>
            </w:r>
          </w:p>
          <w:p w14:paraId="61F0E9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单颗AI处理器提供不低于64GB HBM，速度不低于1.6TB/S；</w:t>
            </w:r>
          </w:p>
          <w:p w14:paraId="5788EC7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单颗AI处理器FP16算力 ≥ 313TFLOPS；</w:t>
            </w:r>
          </w:p>
          <w:p w14:paraId="073E40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支持AI处理器直出200G 网口；</w:t>
            </w:r>
          </w:p>
        </w:tc>
      </w:tr>
      <w:tr w14:paraId="3C41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7AEB50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01CC8D3">
            <w:pPr>
              <w:jc w:val="center"/>
              <w:rPr>
                <w:rFonts w:hint="eastAsia" w:ascii="宋体" w:hAnsi="宋体" w:eastAsia="宋体" w:cs="宋体"/>
                <w:i w:val="0"/>
                <w:iCs w:val="0"/>
                <w:color w:val="auto"/>
                <w:sz w:val="21"/>
                <w:szCs w:val="21"/>
                <w:u w:val="none"/>
              </w:rPr>
            </w:pPr>
          </w:p>
        </w:tc>
        <w:tc>
          <w:tcPr>
            <w:tcW w:w="3754" w:type="pct"/>
            <w:noWrap w:val="0"/>
            <w:vAlign w:val="center"/>
          </w:tcPr>
          <w:p w14:paraId="447A3F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4、内存硬盘：内存≥32×32GB DDR4；硬盘：≥2×960G SSD，2×3.84T NVME SSD；</w:t>
            </w:r>
          </w:p>
        </w:tc>
      </w:tr>
      <w:tr w14:paraId="09DE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1E58C90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0DEE53E">
            <w:pPr>
              <w:jc w:val="center"/>
              <w:rPr>
                <w:rFonts w:hint="eastAsia" w:ascii="宋体" w:hAnsi="宋体" w:eastAsia="宋体" w:cs="宋体"/>
                <w:i w:val="0"/>
                <w:iCs w:val="0"/>
                <w:color w:val="auto"/>
                <w:sz w:val="21"/>
                <w:szCs w:val="21"/>
                <w:u w:val="none"/>
              </w:rPr>
            </w:pPr>
          </w:p>
        </w:tc>
        <w:tc>
          <w:tcPr>
            <w:tcW w:w="3754" w:type="pct"/>
            <w:noWrap w:val="0"/>
            <w:vAlign w:val="center"/>
          </w:tcPr>
          <w:p w14:paraId="366122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5、网卡：≥双口25G×2网卡，≥4×GE电口，≥8个200GE RoCE 高速接口</w:t>
            </w:r>
          </w:p>
        </w:tc>
      </w:tr>
      <w:tr w14:paraId="1E99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B0FDCF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3A35AD5">
            <w:pPr>
              <w:jc w:val="center"/>
              <w:rPr>
                <w:rFonts w:hint="eastAsia" w:ascii="宋体" w:hAnsi="宋体" w:eastAsia="宋体" w:cs="宋体"/>
                <w:i w:val="0"/>
                <w:iCs w:val="0"/>
                <w:color w:val="auto"/>
                <w:sz w:val="21"/>
                <w:szCs w:val="21"/>
                <w:u w:val="none"/>
              </w:rPr>
            </w:pPr>
          </w:p>
        </w:tc>
        <w:tc>
          <w:tcPr>
            <w:tcW w:w="3754" w:type="pct"/>
            <w:noWrap w:val="0"/>
            <w:vAlign w:val="center"/>
          </w:tcPr>
          <w:p w14:paraId="784BEA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6、硬盘控制器：≥2GB缓存，支持缓存数据保护，且后备保护时间不受限制支持RAID0/1/10/5/6/50/60；</w:t>
            </w:r>
          </w:p>
        </w:tc>
      </w:tr>
      <w:tr w14:paraId="5B25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DB8ECC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3F20B44">
            <w:pPr>
              <w:jc w:val="center"/>
              <w:rPr>
                <w:rFonts w:hint="eastAsia" w:ascii="宋体" w:hAnsi="宋体" w:eastAsia="宋体" w:cs="宋体"/>
                <w:i w:val="0"/>
                <w:iCs w:val="0"/>
                <w:color w:val="auto"/>
                <w:sz w:val="21"/>
                <w:szCs w:val="21"/>
                <w:u w:val="none"/>
              </w:rPr>
            </w:pPr>
          </w:p>
        </w:tc>
        <w:tc>
          <w:tcPr>
            <w:tcW w:w="3754" w:type="pct"/>
            <w:noWrap w:val="0"/>
            <w:vAlign w:val="center"/>
          </w:tcPr>
          <w:p w14:paraId="5FF29DA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7、电源：2+2冗余电源；</w:t>
            </w:r>
          </w:p>
        </w:tc>
      </w:tr>
      <w:tr w14:paraId="24B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2CD464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C77F344">
            <w:pPr>
              <w:jc w:val="center"/>
              <w:rPr>
                <w:rFonts w:hint="eastAsia" w:ascii="宋体" w:hAnsi="宋体" w:eastAsia="宋体" w:cs="宋体"/>
                <w:i w:val="0"/>
                <w:iCs w:val="0"/>
                <w:color w:val="auto"/>
                <w:sz w:val="21"/>
                <w:szCs w:val="21"/>
                <w:u w:val="none"/>
              </w:rPr>
            </w:pPr>
          </w:p>
        </w:tc>
        <w:tc>
          <w:tcPr>
            <w:tcW w:w="3754" w:type="pct"/>
            <w:noWrap w:val="0"/>
            <w:vAlign w:val="center"/>
          </w:tcPr>
          <w:p w14:paraId="219CD5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8、风扇：配置可热插拔冗余风扇</w:t>
            </w:r>
          </w:p>
        </w:tc>
      </w:tr>
      <w:tr w14:paraId="4C46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682B89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121D53E">
            <w:pPr>
              <w:jc w:val="center"/>
              <w:rPr>
                <w:rFonts w:hint="eastAsia" w:ascii="宋体" w:hAnsi="宋体" w:eastAsia="宋体" w:cs="宋体"/>
                <w:i w:val="0"/>
                <w:iCs w:val="0"/>
                <w:color w:val="auto"/>
                <w:sz w:val="21"/>
                <w:szCs w:val="21"/>
                <w:u w:val="none"/>
              </w:rPr>
            </w:pPr>
          </w:p>
        </w:tc>
        <w:tc>
          <w:tcPr>
            <w:tcW w:w="3754" w:type="pct"/>
            <w:noWrap w:val="0"/>
            <w:vAlign w:val="center"/>
          </w:tcPr>
          <w:p w14:paraId="7B9957D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9、配置国产化操作系统</w:t>
            </w:r>
          </w:p>
        </w:tc>
      </w:tr>
      <w:tr w14:paraId="10DD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1F55B2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485E7C3">
            <w:pPr>
              <w:jc w:val="center"/>
              <w:rPr>
                <w:rFonts w:hint="eastAsia" w:ascii="宋体" w:hAnsi="宋体" w:eastAsia="宋体" w:cs="宋体"/>
                <w:i w:val="0"/>
                <w:iCs w:val="0"/>
                <w:color w:val="auto"/>
                <w:sz w:val="21"/>
                <w:szCs w:val="21"/>
                <w:u w:val="none"/>
              </w:rPr>
            </w:pPr>
          </w:p>
        </w:tc>
        <w:tc>
          <w:tcPr>
            <w:tcW w:w="3754" w:type="pct"/>
            <w:noWrap w:val="0"/>
            <w:vAlign w:val="center"/>
          </w:tcPr>
          <w:p w14:paraId="2FC6AF70">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★10、提供5年原厂质保，签订合同时提供针对本项目的原厂质保函；</w:t>
            </w:r>
          </w:p>
        </w:tc>
      </w:tr>
      <w:tr w14:paraId="3DAE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restart"/>
            <w:noWrap/>
            <w:vAlign w:val="center"/>
          </w:tcPr>
          <w:p w14:paraId="0AE0FF3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41</w:t>
            </w:r>
          </w:p>
        </w:tc>
        <w:tc>
          <w:tcPr>
            <w:tcW w:w="942" w:type="pct"/>
            <w:gridSpan w:val="2"/>
            <w:vMerge w:val="restart"/>
            <w:noWrap/>
            <w:vAlign w:val="center"/>
          </w:tcPr>
          <w:p w14:paraId="2E5DA0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AI推理服务器</w:t>
            </w:r>
          </w:p>
        </w:tc>
        <w:tc>
          <w:tcPr>
            <w:tcW w:w="3754" w:type="pct"/>
            <w:noWrap w:val="0"/>
            <w:vAlign w:val="center"/>
          </w:tcPr>
          <w:p w14:paraId="36B2C95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w:t>
            </w:r>
          </w:p>
          <w:p w14:paraId="00E1D5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机架式服务器，不超过4U。</w:t>
            </w:r>
          </w:p>
        </w:tc>
      </w:tr>
      <w:tr w14:paraId="4CC5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0C0E94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B454F4B">
            <w:pPr>
              <w:jc w:val="center"/>
              <w:rPr>
                <w:rFonts w:hint="eastAsia" w:ascii="宋体" w:hAnsi="宋体" w:eastAsia="宋体" w:cs="宋体"/>
                <w:i w:val="0"/>
                <w:iCs w:val="0"/>
                <w:color w:val="auto"/>
                <w:sz w:val="21"/>
                <w:szCs w:val="21"/>
                <w:u w:val="none"/>
              </w:rPr>
            </w:pPr>
          </w:p>
        </w:tc>
        <w:tc>
          <w:tcPr>
            <w:tcW w:w="3754" w:type="pct"/>
            <w:noWrap w:val="0"/>
            <w:vAlign w:val="center"/>
          </w:tcPr>
          <w:p w14:paraId="04E31A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2、CPU：单节点服务器配置4颗ARM架构CPU，单颗基准频率 ≥ 2.6GHz，单颗≥48物理核；所投产品CPU须符合自主可控安全测评要求，提供中国信息安全测评中心官网截图证明。</w:t>
            </w:r>
          </w:p>
        </w:tc>
      </w:tr>
      <w:tr w14:paraId="1D6D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02" w:type="pct"/>
            <w:vMerge w:val="continue"/>
            <w:noWrap/>
            <w:vAlign w:val="center"/>
          </w:tcPr>
          <w:p w14:paraId="7F948EC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82A5348">
            <w:pPr>
              <w:jc w:val="center"/>
              <w:rPr>
                <w:rFonts w:hint="eastAsia" w:ascii="宋体" w:hAnsi="宋体" w:eastAsia="宋体" w:cs="宋体"/>
                <w:i w:val="0"/>
                <w:iCs w:val="0"/>
                <w:color w:val="auto"/>
                <w:sz w:val="21"/>
                <w:szCs w:val="21"/>
                <w:u w:val="none"/>
              </w:rPr>
            </w:pPr>
          </w:p>
        </w:tc>
        <w:tc>
          <w:tcPr>
            <w:tcW w:w="3754" w:type="pct"/>
            <w:noWrap w:val="0"/>
            <w:vAlign w:val="center"/>
          </w:tcPr>
          <w:p w14:paraId="12E903B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▲3、AI处理器</w:t>
            </w:r>
          </w:p>
          <w:p w14:paraId="2C28801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单节点服务器配置8颗国产化AI芯片；</w:t>
            </w:r>
          </w:p>
          <w:p w14:paraId="709472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每颗AI芯片配置如下：</w:t>
            </w:r>
          </w:p>
          <w:p w14:paraId="420DAF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单颗AI处理器FP16算力 ≥ 280TFLOPS，提供≥32GB HBM，速度≥800GB/S；</w:t>
            </w:r>
          </w:p>
          <w:p w14:paraId="6ED477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AI处理器支持直出≥200G 网口；</w:t>
            </w:r>
          </w:p>
        </w:tc>
      </w:tr>
      <w:tr w14:paraId="4199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FC1AC5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E0738FF">
            <w:pPr>
              <w:jc w:val="center"/>
              <w:rPr>
                <w:rFonts w:hint="eastAsia" w:ascii="宋体" w:hAnsi="宋体" w:eastAsia="宋体" w:cs="宋体"/>
                <w:i w:val="0"/>
                <w:iCs w:val="0"/>
                <w:color w:val="auto"/>
                <w:sz w:val="21"/>
                <w:szCs w:val="21"/>
                <w:u w:val="none"/>
              </w:rPr>
            </w:pPr>
          </w:p>
        </w:tc>
        <w:tc>
          <w:tcPr>
            <w:tcW w:w="3754" w:type="pct"/>
            <w:noWrap w:val="0"/>
            <w:vAlign w:val="center"/>
          </w:tcPr>
          <w:p w14:paraId="41AC53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4、内存硬盘：≥32×32GB DDR4；硬盘：≥ 1×480G SSD+2×7.68T NVME SSD；</w:t>
            </w:r>
          </w:p>
        </w:tc>
      </w:tr>
      <w:tr w14:paraId="21F8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7FF1251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8FFFA9E">
            <w:pPr>
              <w:jc w:val="center"/>
              <w:rPr>
                <w:rFonts w:hint="eastAsia" w:ascii="宋体" w:hAnsi="宋体" w:eastAsia="宋体" w:cs="宋体"/>
                <w:i w:val="0"/>
                <w:iCs w:val="0"/>
                <w:color w:val="auto"/>
                <w:sz w:val="21"/>
                <w:szCs w:val="21"/>
                <w:u w:val="none"/>
              </w:rPr>
            </w:pPr>
          </w:p>
        </w:tc>
        <w:tc>
          <w:tcPr>
            <w:tcW w:w="3754" w:type="pct"/>
            <w:noWrap w:val="0"/>
            <w:vAlign w:val="center"/>
          </w:tcPr>
          <w:p w14:paraId="12F0E1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5、硬盘控制器：≥2GB缓存，支持缓存数据保护，且后备保护时间不受限制支持RAID0/1/10/5/6/50/60；</w:t>
            </w:r>
          </w:p>
        </w:tc>
      </w:tr>
      <w:tr w14:paraId="372A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3A53C3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8EFB670">
            <w:pPr>
              <w:jc w:val="center"/>
              <w:rPr>
                <w:rFonts w:hint="eastAsia" w:ascii="宋体" w:hAnsi="宋体" w:eastAsia="宋体" w:cs="宋体"/>
                <w:i w:val="0"/>
                <w:iCs w:val="0"/>
                <w:color w:val="auto"/>
                <w:sz w:val="21"/>
                <w:szCs w:val="21"/>
                <w:u w:val="none"/>
              </w:rPr>
            </w:pPr>
          </w:p>
        </w:tc>
        <w:tc>
          <w:tcPr>
            <w:tcW w:w="3754" w:type="pct"/>
            <w:noWrap w:val="0"/>
            <w:vAlign w:val="center"/>
          </w:tcPr>
          <w:p w14:paraId="0C1255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6、网卡：2×100GE-两端口网卡</w:t>
            </w:r>
          </w:p>
        </w:tc>
      </w:tr>
      <w:tr w14:paraId="127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8348C9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0B82BDC">
            <w:pPr>
              <w:jc w:val="center"/>
              <w:rPr>
                <w:rFonts w:hint="eastAsia" w:ascii="宋体" w:hAnsi="宋体" w:eastAsia="宋体" w:cs="宋体"/>
                <w:i w:val="0"/>
                <w:iCs w:val="0"/>
                <w:color w:val="auto"/>
                <w:sz w:val="21"/>
                <w:szCs w:val="21"/>
                <w:u w:val="none"/>
              </w:rPr>
            </w:pPr>
          </w:p>
        </w:tc>
        <w:tc>
          <w:tcPr>
            <w:tcW w:w="3754" w:type="pct"/>
            <w:noWrap w:val="0"/>
            <w:vAlign w:val="center"/>
          </w:tcPr>
          <w:p w14:paraId="07A405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7、电源：2+2冗余电源；</w:t>
            </w:r>
          </w:p>
        </w:tc>
      </w:tr>
      <w:tr w14:paraId="65AC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8E81B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8B447C9">
            <w:pPr>
              <w:jc w:val="center"/>
              <w:rPr>
                <w:rFonts w:hint="eastAsia" w:ascii="宋体" w:hAnsi="宋体" w:eastAsia="宋体" w:cs="宋体"/>
                <w:i w:val="0"/>
                <w:iCs w:val="0"/>
                <w:color w:val="auto"/>
                <w:sz w:val="21"/>
                <w:szCs w:val="21"/>
                <w:u w:val="none"/>
              </w:rPr>
            </w:pPr>
          </w:p>
        </w:tc>
        <w:tc>
          <w:tcPr>
            <w:tcW w:w="3754" w:type="pct"/>
            <w:noWrap w:val="0"/>
            <w:vAlign w:val="center"/>
          </w:tcPr>
          <w:p w14:paraId="503300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8、风扇：配置可热插拔冗余风扇</w:t>
            </w:r>
          </w:p>
        </w:tc>
      </w:tr>
      <w:tr w14:paraId="535D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C5D665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305692E">
            <w:pPr>
              <w:jc w:val="center"/>
              <w:rPr>
                <w:rFonts w:hint="eastAsia" w:ascii="宋体" w:hAnsi="宋体" w:eastAsia="宋体" w:cs="宋体"/>
                <w:i w:val="0"/>
                <w:iCs w:val="0"/>
                <w:color w:val="auto"/>
                <w:sz w:val="21"/>
                <w:szCs w:val="21"/>
                <w:u w:val="none"/>
              </w:rPr>
            </w:pPr>
          </w:p>
        </w:tc>
        <w:tc>
          <w:tcPr>
            <w:tcW w:w="3754" w:type="pct"/>
            <w:noWrap w:val="0"/>
            <w:vAlign w:val="center"/>
          </w:tcPr>
          <w:p w14:paraId="75693A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9、配置国产化操作系统</w:t>
            </w:r>
          </w:p>
        </w:tc>
      </w:tr>
      <w:tr w14:paraId="7386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F22229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AB860E1">
            <w:pPr>
              <w:jc w:val="center"/>
              <w:rPr>
                <w:rFonts w:hint="eastAsia" w:ascii="宋体" w:hAnsi="宋体" w:eastAsia="宋体" w:cs="宋体"/>
                <w:i w:val="0"/>
                <w:iCs w:val="0"/>
                <w:color w:val="auto"/>
                <w:sz w:val="21"/>
                <w:szCs w:val="21"/>
                <w:u w:val="none"/>
              </w:rPr>
            </w:pPr>
          </w:p>
        </w:tc>
        <w:tc>
          <w:tcPr>
            <w:tcW w:w="3754" w:type="pct"/>
            <w:noWrap w:val="0"/>
            <w:vAlign w:val="center"/>
          </w:tcPr>
          <w:p w14:paraId="172D49E3">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★10、提供5年原厂质保，签订合同时提供针对本项目的原厂质保函；</w:t>
            </w:r>
          </w:p>
        </w:tc>
      </w:tr>
      <w:tr w14:paraId="52E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340853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942" w:type="pct"/>
            <w:gridSpan w:val="2"/>
            <w:vMerge w:val="restart"/>
            <w:noWrap/>
            <w:vAlign w:val="center"/>
          </w:tcPr>
          <w:p w14:paraId="5D03D3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AI管理服务器</w:t>
            </w:r>
          </w:p>
        </w:tc>
        <w:tc>
          <w:tcPr>
            <w:tcW w:w="3754" w:type="pct"/>
            <w:noWrap/>
            <w:vAlign w:val="center"/>
          </w:tcPr>
          <w:p w14:paraId="0C491E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1、规格：高度≤2U；</w:t>
            </w:r>
          </w:p>
        </w:tc>
      </w:tr>
      <w:tr w14:paraId="5CE9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67AAC9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EB8154E">
            <w:pPr>
              <w:jc w:val="center"/>
              <w:rPr>
                <w:rFonts w:hint="eastAsia" w:ascii="宋体" w:hAnsi="宋体" w:eastAsia="宋体" w:cs="宋体"/>
                <w:i w:val="0"/>
                <w:iCs w:val="0"/>
                <w:color w:val="auto"/>
                <w:sz w:val="21"/>
                <w:szCs w:val="21"/>
                <w:u w:val="none"/>
              </w:rPr>
            </w:pPr>
          </w:p>
        </w:tc>
        <w:tc>
          <w:tcPr>
            <w:tcW w:w="3754" w:type="pct"/>
            <w:noWrap w:val="0"/>
            <w:vAlign w:val="center"/>
          </w:tcPr>
          <w:p w14:paraId="6E05DC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2、CPU:ARM架构CPU，CPU数量≥2，单颗物理核数≥64核，单颗基准频率≥2.6GHz；所投产品CPU须符合自主可控安全测评要求，提供中国信息安全测评中心官网截图证明。</w:t>
            </w:r>
          </w:p>
        </w:tc>
      </w:tr>
      <w:tr w14:paraId="042E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E6CAD0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11F64F8">
            <w:pPr>
              <w:jc w:val="center"/>
              <w:rPr>
                <w:rFonts w:hint="eastAsia" w:ascii="宋体" w:hAnsi="宋体" w:eastAsia="宋体" w:cs="宋体"/>
                <w:i w:val="0"/>
                <w:iCs w:val="0"/>
                <w:color w:val="auto"/>
                <w:sz w:val="21"/>
                <w:szCs w:val="21"/>
                <w:u w:val="none"/>
              </w:rPr>
            </w:pPr>
          </w:p>
        </w:tc>
        <w:tc>
          <w:tcPr>
            <w:tcW w:w="3754" w:type="pct"/>
            <w:noWrap/>
            <w:vAlign w:val="center"/>
          </w:tcPr>
          <w:p w14:paraId="7F8637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3、内存硬盘：内存：≥24×32G DDR4 ；硬盘：≥2×960G SSD，≥1×3.84TB NVMe SSD，≥8×4TB SATA；</w:t>
            </w:r>
          </w:p>
        </w:tc>
      </w:tr>
      <w:tr w14:paraId="5F48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7494B5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70CF689">
            <w:pPr>
              <w:jc w:val="center"/>
              <w:rPr>
                <w:rFonts w:hint="eastAsia" w:ascii="宋体" w:hAnsi="宋体" w:eastAsia="宋体" w:cs="宋体"/>
                <w:i w:val="0"/>
                <w:iCs w:val="0"/>
                <w:color w:val="auto"/>
                <w:sz w:val="21"/>
                <w:szCs w:val="21"/>
                <w:u w:val="none"/>
              </w:rPr>
            </w:pPr>
          </w:p>
        </w:tc>
        <w:tc>
          <w:tcPr>
            <w:tcW w:w="3754" w:type="pct"/>
            <w:noWrap w:val="0"/>
            <w:vAlign w:val="center"/>
          </w:tcPr>
          <w:p w14:paraId="7748E8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4、硬盘控制器：≥2GB缓存，支持缓存数据保护，且后备保护时间不受限制支持RAID0/1/10/5/6/50/60；</w:t>
            </w:r>
          </w:p>
        </w:tc>
      </w:tr>
      <w:tr w14:paraId="7CA7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65D661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1A31885">
            <w:pPr>
              <w:jc w:val="center"/>
              <w:rPr>
                <w:rFonts w:hint="eastAsia" w:ascii="宋体" w:hAnsi="宋体" w:eastAsia="宋体" w:cs="宋体"/>
                <w:i w:val="0"/>
                <w:iCs w:val="0"/>
                <w:color w:val="auto"/>
                <w:sz w:val="21"/>
                <w:szCs w:val="21"/>
                <w:u w:val="none"/>
              </w:rPr>
            </w:pPr>
          </w:p>
        </w:tc>
        <w:tc>
          <w:tcPr>
            <w:tcW w:w="3754" w:type="pct"/>
            <w:noWrap/>
            <w:vAlign w:val="center"/>
          </w:tcPr>
          <w:p w14:paraId="418A1E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5、网卡：≥4×GE，≥4×10GE；</w:t>
            </w:r>
          </w:p>
        </w:tc>
      </w:tr>
      <w:tr w14:paraId="1AAF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61AAC0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B9B3374">
            <w:pPr>
              <w:jc w:val="center"/>
              <w:rPr>
                <w:rFonts w:hint="eastAsia" w:ascii="宋体" w:hAnsi="宋体" w:eastAsia="宋体" w:cs="宋体"/>
                <w:i w:val="0"/>
                <w:iCs w:val="0"/>
                <w:color w:val="auto"/>
                <w:sz w:val="21"/>
                <w:szCs w:val="21"/>
                <w:u w:val="none"/>
              </w:rPr>
            </w:pPr>
          </w:p>
        </w:tc>
        <w:tc>
          <w:tcPr>
            <w:tcW w:w="3754" w:type="pct"/>
            <w:noWrap w:val="0"/>
            <w:vAlign w:val="center"/>
          </w:tcPr>
          <w:p w14:paraId="4543CA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6、电源：冗余电源；</w:t>
            </w:r>
          </w:p>
        </w:tc>
      </w:tr>
      <w:tr w14:paraId="63AF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D50BB3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C0799C8">
            <w:pPr>
              <w:jc w:val="center"/>
              <w:rPr>
                <w:rFonts w:hint="eastAsia" w:ascii="宋体" w:hAnsi="宋体" w:eastAsia="宋体" w:cs="宋体"/>
                <w:i w:val="0"/>
                <w:iCs w:val="0"/>
                <w:color w:val="auto"/>
                <w:sz w:val="21"/>
                <w:szCs w:val="21"/>
                <w:u w:val="none"/>
              </w:rPr>
            </w:pPr>
          </w:p>
        </w:tc>
        <w:tc>
          <w:tcPr>
            <w:tcW w:w="3754" w:type="pct"/>
            <w:noWrap w:val="0"/>
            <w:vAlign w:val="center"/>
          </w:tcPr>
          <w:p w14:paraId="168428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7、风扇：配置可热插拔冗余风扇；</w:t>
            </w:r>
          </w:p>
        </w:tc>
      </w:tr>
      <w:tr w14:paraId="3261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261BEB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CF28145">
            <w:pPr>
              <w:jc w:val="center"/>
              <w:rPr>
                <w:rFonts w:hint="eastAsia" w:ascii="宋体" w:hAnsi="宋体" w:eastAsia="宋体" w:cs="宋体"/>
                <w:i w:val="0"/>
                <w:iCs w:val="0"/>
                <w:color w:val="auto"/>
                <w:sz w:val="21"/>
                <w:szCs w:val="21"/>
                <w:u w:val="none"/>
              </w:rPr>
            </w:pPr>
          </w:p>
        </w:tc>
        <w:tc>
          <w:tcPr>
            <w:tcW w:w="3754" w:type="pct"/>
            <w:noWrap w:val="0"/>
            <w:vAlign w:val="center"/>
          </w:tcPr>
          <w:p w14:paraId="3AFE9A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8、配置国产化操作系统；</w:t>
            </w:r>
          </w:p>
        </w:tc>
      </w:tr>
      <w:tr w14:paraId="45DB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656438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D51CE92">
            <w:pPr>
              <w:jc w:val="center"/>
              <w:rPr>
                <w:rFonts w:hint="eastAsia" w:ascii="宋体" w:hAnsi="宋体" w:eastAsia="宋体" w:cs="宋体"/>
                <w:i w:val="0"/>
                <w:iCs w:val="0"/>
                <w:color w:val="auto"/>
                <w:sz w:val="21"/>
                <w:szCs w:val="21"/>
                <w:u w:val="none"/>
              </w:rPr>
            </w:pPr>
          </w:p>
        </w:tc>
        <w:tc>
          <w:tcPr>
            <w:tcW w:w="3754" w:type="pct"/>
            <w:noWrap w:val="0"/>
            <w:vAlign w:val="center"/>
          </w:tcPr>
          <w:p w14:paraId="40954E93">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★9、提供5年原厂质保，签订合同时提供针对本项目的原厂质保函；</w:t>
            </w:r>
          </w:p>
        </w:tc>
      </w:tr>
      <w:tr w14:paraId="1F41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334AB1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429" w:type="pct"/>
            <w:vMerge w:val="restart"/>
            <w:noWrap w:val="0"/>
            <w:vAlign w:val="center"/>
          </w:tcPr>
          <w:p w14:paraId="0C2D3A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AI安全服务器（配套安全软件）</w:t>
            </w:r>
          </w:p>
        </w:tc>
        <w:tc>
          <w:tcPr>
            <w:tcW w:w="512" w:type="pct"/>
            <w:vMerge w:val="restart"/>
            <w:noWrap w:val="0"/>
            <w:vAlign w:val="center"/>
          </w:tcPr>
          <w:p w14:paraId="47A061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AI安全服务器</w:t>
            </w:r>
          </w:p>
        </w:tc>
        <w:tc>
          <w:tcPr>
            <w:tcW w:w="3754" w:type="pct"/>
            <w:noWrap w:val="0"/>
            <w:vAlign w:val="center"/>
          </w:tcPr>
          <w:p w14:paraId="706D2B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1、高度≤2U</w:t>
            </w:r>
          </w:p>
        </w:tc>
      </w:tr>
      <w:tr w14:paraId="5C39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C1159BC">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05E5670">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FF35D68">
            <w:pPr>
              <w:jc w:val="center"/>
              <w:rPr>
                <w:rFonts w:hint="eastAsia" w:ascii="宋体" w:hAnsi="宋体" w:eastAsia="宋体" w:cs="宋体"/>
                <w:i w:val="0"/>
                <w:iCs w:val="0"/>
                <w:color w:val="auto"/>
                <w:sz w:val="21"/>
                <w:szCs w:val="21"/>
                <w:u w:val="none"/>
              </w:rPr>
            </w:pPr>
          </w:p>
        </w:tc>
        <w:tc>
          <w:tcPr>
            <w:tcW w:w="3754" w:type="pct"/>
            <w:noWrap w:val="0"/>
            <w:vAlign w:val="center"/>
          </w:tcPr>
          <w:p w14:paraId="30A936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2、CPU：ARM架构CPU，CPU数量≥2，单颗物理核数≥64核，单颗基准频率≥2.6GHz；所投产品CPU须符合自主可控安全测评要求，提供中国信息安全测评中心官网截图证明。</w:t>
            </w:r>
          </w:p>
        </w:tc>
      </w:tr>
      <w:tr w14:paraId="64B8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B89104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FB0ED9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19110B2">
            <w:pPr>
              <w:jc w:val="center"/>
              <w:rPr>
                <w:rFonts w:hint="eastAsia" w:ascii="宋体" w:hAnsi="宋体" w:eastAsia="宋体" w:cs="宋体"/>
                <w:i w:val="0"/>
                <w:iCs w:val="0"/>
                <w:color w:val="auto"/>
                <w:sz w:val="21"/>
                <w:szCs w:val="21"/>
                <w:u w:val="none"/>
              </w:rPr>
            </w:pPr>
          </w:p>
        </w:tc>
        <w:tc>
          <w:tcPr>
            <w:tcW w:w="3754" w:type="pct"/>
            <w:noWrap/>
            <w:vAlign w:val="center"/>
          </w:tcPr>
          <w:p w14:paraId="5DA58C86">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3、内存硬盘：内存≥24×32G DDR4 ；硬盘：≥2×960G SSD，≥1×3.84TB NVMe SSD，≥8×4TB SATA；</w:t>
            </w:r>
          </w:p>
        </w:tc>
      </w:tr>
      <w:tr w14:paraId="6480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56F6DB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423AF4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A5E7C2E">
            <w:pPr>
              <w:jc w:val="center"/>
              <w:rPr>
                <w:rFonts w:hint="eastAsia" w:ascii="宋体" w:hAnsi="宋体" w:eastAsia="宋体" w:cs="宋体"/>
                <w:i w:val="0"/>
                <w:iCs w:val="0"/>
                <w:color w:val="auto"/>
                <w:sz w:val="21"/>
                <w:szCs w:val="21"/>
                <w:u w:val="none"/>
              </w:rPr>
            </w:pPr>
          </w:p>
        </w:tc>
        <w:tc>
          <w:tcPr>
            <w:tcW w:w="3754" w:type="pct"/>
            <w:noWrap w:val="0"/>
            <w:vAlign w:val="center"/>
          </w:tcPr>
          <w:p w14:paraId="4F9E1CC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4、硬盘控制器：≥2GB缓存，支持缓存数据保护，且后备保护时间不受限制支持RAID0/1/10/5/6/50/60；</w:t>
            </w:r>
          </w:p>
        </w:tc>
      </w:tr>
      <w:tr w14:paraId="0A7F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C428ACA">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9B7187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AF2F46B">
            <w:pPr>
              <w:jc w:val="center"/>
              <w:rPr>
                <w:rFonts w:hint="eastAsia" w:ascii="宋体" w:hAnsi="宋体" w:eastAsia="宋体" w:cs="宋体"/>
                <w:i w:val="0"/>
                <w:iCs w:val="0"/>
                <w:color w:val="auto"/>
                <w:sz w:val="21"/>
                <w:szCs w:val="21"/>
                <w:u w:val="none"/>
              </w:rPr>
            </w:pPr>
          </w:p>
        </w:tc>
        <w:tc>
          <w:tcPr>
            <w:tcW w:w="3754" w:type="pct"/>
            <w:noWrap/>
            <w:vAlign w:val="center"/>
          </w:tcPr>
          <w:p w14:paraId="107C6E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5、网卡：≥4×GE，≥4×10GE；</w:t>
            </w:r>
          </w:p>
        </w:tc>
      </w:tr>
      <w:tr w14:paraId="769C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E6E3860">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BD1510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BA9EFFD">
            <w:pPr>
              <w:jc w:val="center"/>
              <w:rPr>
                <w:rFonts w:hint="eastAsia" w:ascii="宋体" w:hAnsi="宋体" w:eastAsia="宋体" w:cs="宋体"/>
                <w:i w:val="0"/>
                <w:iCs w:val="0"/>
                <w:color w:val="auto"/>
                <w:sz w:val="21"/>
                <w:szCs w:val="21"/>
                <w:u w:val="none"/>
              </w:rPr>
            </w:pPr>
          </w:p>
        </w:tc>
        <w:tc>
          <w:tcPr>
            <w:tcW w:w="3754" w:type="pct"/>
            <w:noWrap w:val="0"/>
            <w:vAlign w:val="center"/>
          </w:tcPr>
          <w:p w14:paraId="07F11C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6、电源：冗余电源；</w:t>
            </w:r>
          </w:p>
        </w:tc>
      </w:tr>
      <w:tr w14:paraId="744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7C2A1F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594887B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16F4DE7">
            <w:pPr>
              <w:jc w:val="center"/>
              <w:rPr>
                <w:rFonts w:hint="eastAsia" w:ascii="宋体" w:hAnsi="宋体" w:eastAsia="宋体" w:cs="宋体"/>
                <w:i w:val="0"/>
                <w:iCs w:val="0"/>
                <w:color w:val="auto"/>
                <w:sz w:val="21"/>
                <w:szCs w:val="21"/>
                <w:u w:val="none"/>
              </w:rPr>
            </w:pPr>
          </w:p>
        </w:tc>
        <w:tc>
          <w:tcPr>
            <w:tcW w:w="3754" w:type="pct"/>
            <w:noWrap w:val="0"/>
            <w:vAlign w:val="center"/>
          </w:tcPr>
          <w:p w14:paraId="683982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7、风扇：配置可热插拔冗余风扇；</w:t>
            </w:r>
          </w:p>
        </w:tc>
      </w:tr>
      <w:tr w14:paraId="4844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49A7A56">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1ECAF4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0B0F4BF">
            <w:pPr>
              <w:jc w:val="center"/>
              <w:rPr>
                <w:rFonts w:hint="eastAsia" w:ascii="宋体" w:hAnsi="宋体" w:eastAsia="宋体" w:cs="宋体"/>
                <w:i w:val="0"/>
                <w:iCs w:val="0"/>
                <w:color w:val="auto"/>
                <w:sz w:val="21"/>
                <w:szCs w:val="21"/>
                <w:u w:val="none"/>
              </w:rPr>
            </w:pPr>
          </w:p>
        </w:tc>
        <w:tc>
          <w:tcPr>
            <w:tcW w:w="3754" w:type="pct"/>
            <w:noWrap w:val="0"/>
            <w:vAlign w:val="center"/>
          </w:tcPr>
          <w:p w14:paraId="335882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8、配置国产化操作系统；</w:t>
            </w:r>
          </w:p>
        </w:tc>
      </w:tr>
      <w:tr w14:paraId="4906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BCB4D98">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1682DC3">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4CA65D8">
            <w:pPr>
              <w:jc w:val="center"/>
              <w:rPr>
                <w:rFonts w:hint="eastAsia" w:ascii="宋体" w:hAnsi="宋体" w:eastAsia="宋体" w:cs="宋体"/>
                <w:i w:val="0"/>
                <w:iCs w:val="0"/>
                <w:color w:val="auto"/>
                <w:sz w:val="21"/>
                <w:szCs w:val="21"/>
                <w:u w:val="none"/>
              </w:rPr>
            </w:pPr>
          </w:p>
        </w:tc>
        <w:tc>
          <w:tcPr>
            <w:tcW w:w="3754" w:type="pct"/>
            <w:noWrap w:val="0"/>
            <w:vAlign w:val="center"/>
          </w:tcPr>
          <w:p w14:paraId="5640633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★9、提供5年原厂质保，签订合同时提供针对本项目的原厂质保函；</w:t>
            </w:r>
          </w:p>
        </w:tc>
      </w:tr>
      <w:tr w14:paraId="3CAA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9E9CF17">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70B329B7">
            <w:pPr>
              <w:jc w:val="center"/>
              <w:rPr>
                <w:rFonts w:hint="eastAsia" w:ascii="宋体" w:hAnsi="宋体" w:eastAsia="宋体" w:cs="宋体"/>
                <w:i w:val="0"/>
                <w:iCs w:val="0"/>
                <w:color w:val="auto"/>
                <w:sz w:val="21"/>
                <w:szCs w:val="21"/>
                <w:u w:val="none"/>
              </w:rPr>
            </w:pPr>
          </w:p>
        </w:tc>
        <w:tc>
          <w:tcPr>
            <w:tcW w:w="512" w:type="pct"/>
            <w:vMerge w:val="restart"/>
            <w:noWrap w:val="0"/>
            <w:vAlign w:val="center"/>
          </w:tcPr>
          <w:p w14:paraId="4D9F1C5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态势感知软件</w:t>
            </w:r>
          </w:p>
        </w:tc>
        <w:tc>
          <w:tcPr>
            <w:tcW w:w="3754" w:type="pct"/>
            <w:noWrap w:val="0"/>
            <w:vAlign w:val="center"/>
          </w:tcPr>
          <w:p w14:paraId="197B9EB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1、支持采用国产化操作系统、国产数据库部署；</w:t>
            </w:r>
          </w:p>
        </w:tc>
      </w:tr>
      <w:tr w14:paraId="136F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AFFF93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17D214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E85D0EB">
            <w:pPr>
              <w:jc w:val="center"/>
              <w:rPr>
                <w:rFonts w:hint="eastAsia" w:ascii="宋体" w:hAnsi="宋体" w:eastAsia="宋体" w:cs="宋体"/>
                <w:i w:val="0"/>
                <w:iCs w:val="0"/>
                <w:color w:val="auto"/>
                <w:sz w:val="21"/>
                <w:szCs w:val="21"/>
                <w:u w:val="none"/>
              </w:rPr>
            </w:pPr>
          </w:p>
        </w:tc>
        <w:tc>
          <w:tcPr>
            <w:tcW w:w="3754" w:type="pct"/>
            <w:noWrap w:val="0"/>
            <w:vAlign w:val="center"/>
          </w:tcPr>
          <w:p w14:paraId="1964AA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2、流探针网络处理能力≥1Gbps；</w:t>
            </w:r>
          </w:p>
        </w:tc>
      </w:tr>
      <w:tr w14:paraId="5B39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2F449A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220A6E4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463DFA57">
            <w:pPr>
              <w:jc w:val="center"/>
              <w:rPr>
                <w:rFonts w:hint="eastAsia" w:ascii="宋体" w:hAnsi="宋体" w:eastAsia="宋体" w:cs="宋体"/>
                <w:i w:val="0"/>
                <w:iCs w:val="0"/>
                <w:color w:val="auto"/>
                <w:sz w:val="21"/>
                <w:szCs w:val="21"/>
                <w:u w:val="none"/>
              </w:rPr>
            </w:pPr>
          </w:p>
        </w:tc>
        <w:tc>
          <w:tcPr>
            <w:tcW w:w="3754" w:type="pct"/>
            <w:noWrap w:val="0"/>
            <w:vAlign w:val="center"/>
          </w:tcPr>
          <w:p w14:paraId="6DBAB9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3、内置流探针组件，不用额外单独购买流探针。</w:t>
            </w:r>
          </w:p>
        </w:tc>
      </w:tr>
      <w:tr w14:paraId="4F76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0F905D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1F457A5">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7666D26E">
            <w:pPr>
              <w:jc w:val="center"/>
              <w:rPr>
                <w:rFonts w:hint="eastAsia" w:ascii="宋体" w:hAnsi="宋体" w:eastAsia="宋体" w:cs="宋体"/>
                <w:i w:val="0"/>
                <w:iCs w:val="0"/>
                <w:color w:val="auto"/>
                <w:sz w:val="21"/>
                <w:szCs w:val="21"/>
                <w:u w:val="none"/>
              </w:rPr>
            </w:pPr>
          </w:p>
        </w:tc>
        <w:tc>
          <w:tcPr>
            <w:tcW w:w="3754" w:type="pct"/>
            <w:noWrap w:val="0"/>
            <w:vAlign w:val="center"/>
          </w:tcPr>
          <w:p w14:paraId="533FB8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4、支持IPS引擎；</w:t>
            </w:r>
          </w:p>
        </w:tc>
      </w:tr>
      <w:tr w14:paraId="37F8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6DE4A34">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0C81E1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4A5DDD9">
            <w:pPr>
              <w:jc w:val="center"/>
              <w:rPr>
                <w:rFonts w:hint="eastAsia" w:ascii="宋体" w:hAnsi="宋体" w:eastAsia="宋体" w:cs="宋体"/>
                <w:i w:val="0"/>
                <w:iCs w:val="0"/>
                <w:color w:val="auto"/>
                <w:sz w:val="21"/>
                <w:szCs w:val="21"/>
                <w:u w:val="none"/>
              </w:rPr>
            </w:pPr>
          </w:p>
        </w:tc>
        <w:tc>
          <w:tcPr>
            <w:tcW w:w="3754" w:type="pct"/>
            <w:noWrap w:val="0"/>
            <w:vAlign w:val="center"/>
          </w:tcPr>
          <w:p w14:paraId="35BC39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5、协议解析能力：支持GRE报文、CAPWAP、VLAN、QinQ、PPPoE、VXLAN、SRV6等封装报文解析；</w:t>
            </w:r>
          </w:p>
        </w:tc>
      </w:tr>
      <w:tr w14:paraId="117B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2CD39E6D">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0D70F9F">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02E07420">
            <w:pPr>
              <w:jc w:val="center"/>
              <w:rPr>
                <w:rFonts w:hint="eastAsia" w:ascii="宋体" w:hAnsi="宋体" w:eastAsia="宋体" w:cs="宋体"/>
                <w:i w:val="0"/>
                <w:iCs w:val="0"/>
                <w:color w:val="auto"/>
                <w:sz w:val="21"/>
                <w:szCs w:val="21"/>
                <w:u w:val="none"/>
              </w:rPr>
            </w:pPr>
          </w:p>
        </w:tc>
        <w:tc>
          <w:tcPr>
            <w:tcW w:w="3754" w:type="pct"/>
            <w:noWrap w:val="0"/>
            <w:vAlign w:val="center"/>
          </w:tcPr>
          <w:p w14:paraId="423485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安全联动能力：当态势感知系统检测到威胁后，支持调用网络控制器、安全控制器的北向接口，从而联动防火墙或交换机下发控制策略，及时阻断攻击行为，并支持针对威胁事件触发手动联动、自动联动等联动响应方式</w:t>
            </w:r>
          </w:p>
        </w:tc>
      </w:tr>
      <w:tr w14:paraId="1A16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D2B3332">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B966C22">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50317DD9">
            <w:pPr>
              <w:jc w:val="center"/>
              <w:rPr>
                <w:rFonts w:hint="eastAsia" w:ascii="宋体" w:hAnsi="宋体" w:eastAsia="宋体" w:cs="宋体"/>
                <w:i w:val="0"/>
                <w:iCs w:val="0"/>
                <w:color w:val="auto"/>
                <w:sz w:val="21"/>
                <w:szCs w:val="21"/>
                <w:u w:val="none"/>
              </w:rPr>
            </w:pPr>
          </w:p>
        </w:tc>
        <w:tc>
          <w:tcPr>
            <w:tcW w:w="3754" w:type="pct"/>
            <w:noWrap w:val="0"/>
            <w:vAlign w:val="center"/>
          </w:tcPr>
          <w:p w14:paraId="309E68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7、IPv6：支持IPv6流量解析、支持syslog、dataflow格式的含IPv6日志解析，支持IPv6地址封堵、支持IPv6文件还原、支持IPv6相关字段的响应编排联动</w:t>
            </w:r>
          </w:p>
        </w:tc>
      </w:tr>
      <w:tr w14:paraId="1F32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3BAB1E5">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0FA671D9">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28F291E2">
            <w:pPr>
              <w:jc w:val="center"/>
              <w:rPr>
                <w:rFonts w:hint="eastAsia" w:ascii="宋体" w:hAnsi="宋体" w:eastAsia="宋体" w:cs="宋体"/>
                <w:i w:val="0"/>
                <w:iCs w:val="0"/>
                <w:color w:val="auto"/>
                <w:sz w:val="21"/>
                <w:szCs w:val="21"/>
                <w:u w:val="none"/>
              </w:rPr>
            </w:pPr>
          </w:p>
        </w:tc>
        <w:tc>
          <w:tcPr>
            <w:tcW w:w="3754" w:type="pct"/>
            <w:noWrap w:val="0"/>
            <w:vAlign w:val="center"/>
          </w:tcPr>
          <w:p w14:paraId="28A2F5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8、智能检索：检索内容区分为日志和流量元数据，可通过关键字、条件表达式、时间范围对事件和流量元数据进行快速检索；</w:t>
            </w:r>
          </w:p>
        </w:tc>
      </w:tr>
      <w:tr w14:paraId="5B9D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7BEFA5F">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140224AD">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1ED85A16">
            <w:pPr>
              <w:jc w:val="center"/>
              <w:rPr>
                <w:rFonts w:hint="eastAsia" w:ascii="宋体" w:hAnsi="宋体" w:eastAsia="宋体" w:cs="宋体"/>
                <w:i w:val="0"/>
                <w:iCs w:val="0"/>
                <w:color w:val="auto"/>
                <w:sz w:val="21"/>
                <w:szCs w:val="21"/>
                <w:u w:val="none"/>
              </w:rPr>
            </w:pPr>
          </w:p>
        </w:tc>
        <w:tc>
          <w:tcPr>
            <w:tcW w:w="3754" w:type="pct"/>
            <w:noWrap w:val="0"/>
            <w:vAlign w:val="center"/>
          </w:tcPr>
          <w:p w14:paraId="34A8C2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9、开放能力：支持Restful北向接口</w:t>
            </w:r>
          </w:p>
        </w:tc>
      </w:tr>
      <w:tr w14:paraId="5F39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56A54E3">
            <w:pPr>
              <w:jc w:val="center"/>
              <w:rPr>
                <w:rFonts w:hint="eastAsia" w:ascii="宋体" w:hAnsi="宋体" w:eastAsia="宋体" w:cs="宋体"/>
                <w:i w:val="0"/>
                <w:iCs w:val="0"/>
                <w:color w:val="auto"/>
                <w:sz w:val="21"/>
                <w:szCs w:val="21"/>
                <w:u w:val="none"/>
              </w:rPr>
            </w:pPr>
          </w:p>
        </w:tc>
        <w:tc>
          <w:tcPr>
            <w:tcW w:w="429" w:type="pct"/>
            <w:vMerge w:val="continue"/>
            <w:noWrap w:val="0"/>
            <w:vAlign w:val="center"/>
          </w:tcPr>
          <w:p w14:paraId="65EC624E">
            <w:pPr>
              <w:jc w:val="center"/>
              <w:rPr>
                <w:rFonts w:hint="eastAsia" w:ascii="宋体" w:hAnsi="宋体" w:eastAsia="宋体" w:cs="宋体"/>
                <w:i w:val="0"/>
                <w:iCs w:val="0"/>
                <w:color w:val="auto"/>
                <w:sz w:val="21"/>
                <w:szCs w:val="21"/>
                <w:u w:val="none"/>
              </w:rPr>
            </w:pPr>
          </w:p>
        </w:tc>
        <w:tc>
          <w:tcPr>
            <w:tcW w:w="512" w:type="pct"/>
            <w:vMerge w:val="continue"/>
            <w:noWrap w:val="0"/>
            <w:vAlign w:val="center"/>
          </w:tcPr>
          <w:p w14:paraId="3A20A1A0">
            <w:pPr>
              <w:jc w:val="center"/>
              <w:rPr>
                <w:rFonts w:hint="eastAsia" w:ascii="宋体" w:hAnsi="宋体" w:eastAsia="宋体" w:cs="宋体"/>
                <w:i w:val="0"/>
                <w:iCs w:val="0"/>
                <w:color w:val="auto"/>
                <w:sz w:val="21"/>
                <w:szCs w:val="21"/>
                <w:u w:val="none"/>
              </w:rPr>
            </w:pPr>
          </w:p>
        </w:tc>
        <w:tc>
          <w:tcPr>
            <w:tcW w:w="3754" w:type="pct"/>
            <w:noWrap w:val="0"/>
            <w:vAlign w:val="center"/>
          </w:tcPr>
          <w:p w14:paraId="2B08F328">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★10、提供5年原厂质保，签订合同时提供针对本项目的原厂质保函；</w:t>
            </w:r>
          </w:p>
        </w:tc>
      </w:tr>
      <w:tr w14:paraId="225D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50163F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942" w:type="pct"/>
            <w:gridSpan w:val="2"/>
            <w:vMerge w:val="restart"/>
            <w:noWrap/>
            <w:vAlign w:val="center"/>
          </w:tcPr>
          <w:p w14:paraId="5CF371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AI集群互联交换机 </w:t>
            </w:r>
          </w:p>
        </w:tc>
        <w:tc>
          <w:tcPr>
            <w:tcW w:w="3754" w:type="pct"/>
            <w:noWrap w:val="0"/>
            <w:vAlign w:val="center"/>
          </w:tcPr>
          <w:p w14:paraId="6A524B7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1、采用国产芯片，自主可控</w:t>
            </w:r>
          </w:p>
        </w:tc>
      </w:tr>
      <w:tr w14:paraId="1DE0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F0A694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3B987CC">
            <w:pPr>
              <w:jc w:val="center"/>
              <w:rPr>
                <w:rFonts w:hint="eastAsia" w:ascii="宋体" w:hAnsi="宋体" w:eastAsia="宋体" w:cs="宋体"/>
                <w:i w:val="0"/>
                <w:iCs w:val="0"/>
                <w:color w:val="auto"/>
                <w:sz w:val="21"/>
                <w:szCs w:val="21"/>
                <w:u w:val="none"/>
              </w:rPr>
            </w:pPr>
          </w:p>
        </w:tc>
        <w:tc>
          <w:tcPr>
            <w:tcW w:w="3754" w:type="pct"/>
            <w:noWrap w:val="0"/>
            <w:vAlign w:val="center"/>
          </w:tcPr>
          <w:p w14:paraId="2C073C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2、交换容量≥25Tbps，包转发率≥8000Mpp；</w:t>
            </w:r>
          </w:p>
        </w:tc>
      </w:tr>
      <w:tr w14:paraId="4681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2D1934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1775145">
            <w:pPr>
              <w:jc w:val="center"/>
              <w:rPr>
                <w:rFonts w:hint="eastAsia" w:ascii="宋体" w:hAnsi="宋体" w:eastAsia="宋体" w:cs="宋体"/>
                <w:i w:val="0"/>
                <w:iCs w:val="0"/>
                <w:color w:val="auto"/>
                <w:sz w:val="21"/>
                <w:szCs w:val="21"/>
                <w:u w:val="none"/>
              </w:rPr>
            </w:pPr>
          </w:p>
        </w:tc>
        <w:tc>
          <w:tcPr>
            <w:tcW w:w="3754" w:type="pct"/>
            <w:noWrap w:val="0"/>
            <w:vAlign w:val="center"/>
          </w:tcPr>
          <w:p w14:paraId="167316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3、端口：400GE QSFP-DD光接口≥32个（兼容200GE/100GE/40GE），10GE SFP+≥2个，配置16个400GE QSFP-DD多模光模块。</w:t>
            </w:r>
          </w:p>
        </w:tc>
      </w:tr>
      <w:tr w14:paraId="5A5D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791F169">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EFF92C6">
            <w:pPr>
              <w:jc w:val="center"/>
              <w:rPr>
                <w:rFonts w:hint="eastAsia" w:ascii="宋体" w:hAnsi="宋体" w:eastAsia="宋体" w:cs="宋体"/>
                <w:i w:val="0"/>
                <w:iCs w:val="0"/>
                <w:color w:val="auto"/>
                <w:sz w:val="21"/>
                <w:szCs w:val="21"/>
                <w:u w:val="none"/>
              </w:rPr>
            </w:pPr>
          </w:p>
        </w:tc>
        <w:tc>
          <w:tcPr>
            <w:tcW w:w="3754" w:type="pct"/>
            <w:noWrap w:val="0"/>
            <w:vAlign w:val="center"/>
          </w:tcPr>
          <w:p w14:paraId="5E5EC6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4、二层功能：支持M-LAG或vPC或DRNI等跨机箱链路捆绑技术</w:t>
            </w:r>
          </w:p>
        </w:tc>
      </w:tr>
      <w:tr w14:paraId="5D31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23EE45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C332821">
            <w:pPr>
              <w:jc w:val="center"/>
              <w:rPr>
                <w:rFonts w:hint="eastAsia" w:ascii="宋体" w:hAnsi="宋体" w:eastAsia="宋体" w:cs="宋体"/>
                <w:i w:val="0"/>
                <w:iCs w:val="0"/>
                <w:color w:val="auto"/>
                <w:sz w:val="21"/>
                <w:szCs w:val="21"/>
                <w:u w:val="none"/>
              </w:rPr>
            </w:pPr>
          </w:p>
        </w:tc>
        <w:tc>
          <w:tcPr>
            <w:tcW w:w="3754" w:type="pct"/>
            <w:noWrap w:val="0"/>
            <w:vAlign w:val="center"/>
          </w:tcPr>
          <w:p w14:paraId="0B59FA5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5、三层功能：支持RIPng、OSPFv3、ISISv6、BGP4+等IPv6动态路由协议</w:t>
            </w:r>
          </w:p>
        </w:tc>
      </w:tr>
      <w:tr w14:paraId="7CAF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302" w:type="pct"/>
            <w:vMerge w:val="continue"/>
            <w:noWrap/>
            <w:vAlign w:val="center"/>
          </w:tcPr>
          <w:p w14:paraId="181C810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A1A7C53">
            <w:pPr>
              <w:jc w:val="center"/>
              <w:rPr>
                <w:rFonts w:hint="eastAsia" w:ascii="宋体" w:hAnsi="宋体" w:eastAsia="宋体" w:cs="宋体"/>
                <w:i w:val="0"/>
                <w:iCs w:val="0"/>
                <w:color w:val="auto"/>
                <w:sz w:val="21"/>
                <w:szCs w:val="21"/>
                <w:u w:val="none"/>
              </w:rPr>
            </w:pPr>
          </w:p>
        </w:tc>
        <w:tc>
          <w:tcPr>
            <w:tcW w:w="3754" w:type="pct"/>
            <w:noWrap w:val="0"/>
            <w:vAlign w:val="center"/>
          </w:tcPr>
          <w:p w14:paraId="64C268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6、支持PQ、DRR、PQ+DRR等队列调度方式；支持VxLAN广播泛洪抑制。</w:t>
            </w:r>
          </w:p>
        </w:tc>
      </w:tr>
      <w:tr w14:paraId="2620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BD2E6B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0C3AFFD">
            <w:pPr>
              <w:jc w:val="center"/>
              <w:rPr>
                <w:rFonts w:hint="eastAsia" w:ascii="宋体" w:hAnsi="宋体" w:eastAsia="宋体" w:cs="宋体"/>
                <w:i w:val="0"/>
                <w:iCs w:val="0"/>
                <w:color w:val="auto"/>
                <w:sz w:val="21"/>
                <w:szCs w:val="21"/>
                <w:u w:val="none"/>
              </w:rPr>
            </w:pPr>
          </w:p>
        </w:tc>
        <w:tc>
          <w:tcPr>
            <w:tcW w:w="3754" w:type="pct"/>
            <w:noWrap w:val="0"/>
            <w:vAlign w:val="center"/>
          </w:tcPr>
          <w:p w14:paraId="6A9212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7、支持IP、MAC、端口和VLAN的组合绑定</w:t>
            </w:r>
          </w:p>
        </w:tc>
      </w:tr>
      <w:tr w14:paraId="451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9FAC201">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B082B1B">
            <w:pPr>
              <w:jc w:val="center"/>
              <w:rPr>
                <w:rFonts w:hint="eastAsia" w:ascii="宋体" w:hAnsi="宋体" w:eastAsia="宋体" w:cs="宋体"/>
                <w:i w:val="0"/>
                <w:iCs w:val="0"/>
                <w:color w:val="auto"/>
                <w:sz w:val="21"/>
                <w:szCs w:val="21"/>
                <w:u w:val="none"/>
              </w:rPr>
            </w:pPr>
          </w:p>
        </w:tc>
        <w:tc>
          <w:tcPr>
            <w:tcW w:w="3754" w:type="pct"/>
            <w:noWrap w:val="0"/>
            <w:vAlign w:val="center"/>
          </w:tcPr>
          <w:p w14:paraId="3DBDA5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8、支持IGMP,PIM-SM、MSDP等协议</w:t>
            </w:r>
          </w:p>
        </w:tc>
      </w:tr>
      <w:tr w14:paraId="3755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BE3516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C3AD1D1">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358D64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9、超融合以太网特性；支持PFC；支持RDMA,RoCEv2,DCB；支持AI ECN</w:t>
            </w:r>
          </w:p>
        </w:tc>
      </w:tr>
      <w:tr w14:paraId="57A9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19AE2E5">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32BE42F">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5FF29582">
            <w:pPr>
              <w:jc w:val="left"/>
              <w:rPr>
                <w:rFonts w:hint="eastAsia" w:ascii="宋体" w:hAnsi="宋体" w:eastAsia="宋体" w:cs="宋体"/>
                <w:i w:val="0"/>
                <w:iCs w:val="0"/>
                <w:color w:val="auto"/>
                <w:sz w:val="21"/>
                <w:szCs w:val="21"/>
                <w:u w:val="none"/>
              </w:rPr>
            </w:pPr>
          </w:p>
        </w:tc>
      </w:tr>
      <w:tr w14:paraId="726B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02" w:type="pct"/>
            <w:vMerge w:val="continue"/>
            <w:noWrap/>
            <w:vAlign w:val="center"/>
          </w:tcPr>
          <w:p w14:paraId="4A70AE5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E0E115D">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436C7A27">
            <w:pPr>
              <w:jc w:val="left"/>
              <w:rPr>
                <w:rFonts w:hint="eastAsia" w:ascii="宋体" w:hAnsi="宋体" w:eastAsia="宋体" w:cs="宋体"/>
                <w:i w:val="0"/>
                <w:iCs w:val="0"/>
                <w:color w:val="auto"/>
                <w:sz w:val="21"/>
                <w:szCs w:val="21"/>
                <w:u w:val="none"/>
              </w:rPr>
            </w:pPr>
          </w:p>
        </w:tc>
      </w:tr>
      <w:tr w14:paraId="6405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E5200C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2C724BB">
            <w:pPr>
              <w:jc w:val="center"/>
              <w:rPr>
                <w:rFonts w:hint="eastAsia" w:ascii="宋体" w:hAnsi="宋体" w:eastAsia="宋体" w:cs="宋体"/>
                <w:i w:val="0"/>
                <w:iCs w:val="0"/>
                <w:color w:val="auto"/>
                <w:sz w:val="21"/>
                <w:szCs w:val="21"/>
                <w:u w:val="none"/>
              </w:rPr>
            </w:pPr>
          </w:p>
        </w:tc>
        <w:tc>
          <w:tcPr>
            <w:tcW w:w="3754" w:type="pct"/>
            <w:noWrap w:val="0"/>
            <w:vAlign w:val="center"/>
          </w:tcPr>
          <w:p w14:paraId="283D6D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10、配备冗余电源、冗余风扇</w:t>
            </w:r>
          </w:p>
        </w:tc>
      </w:tr>
      <w:tr w14:paraId="1459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464459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A51E00C">
            <w:pPr>
              <w:jc w:val="center"/>
              <w:rPr>
                <w:rFonts w:hint="eastAsia" w:ascii="宋体" w:hAnsi="宋体" w:eastAsia="宋体" w:cs="宋体"/>
                <w:i w:val="0"/>
                <w:iCs w:val="0"/>
                <w:color w:val="auto"/>
                <w:sz w:val="21"/>
                <w:szCs w:val="21"/>
                <w:u w:val="none"/>
              </w:rPr>
            </w:pPr>
          </w:p>
        </w:tc>
        <w:tc>
          <w:tcPr>
            <w:tcW w:w="3754" w:type="pct"/>
            <w:noWrap w:val="0"/>
            <w:vAlign w:val="center"/>
          </w:tcPr>
          <w:p w14:paraId="1FE9A139">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★11、提供5年原厂质保，签订合同时提供针对本项目的原厂质保函；</w:t>
            </w:r>
          </w:p>
        </w:tc>
      </w:tr>
      <w:tr w14:paraId="7157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5215CAF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45</w:t>
            </w:r>
          </w:p>
        </w:tc>
        <w:tc>
          <w:tcPr>
            <w:tcW w:w="942" w:type="pct"/>
            <w:gridSpan w:val="2"/>
            <w:vMerge w:val="restart"/>
            <w:noWrap w:val="0"/>
            <w:vAlign w:val="center"/>
          </w:tcPr>
          <w:p w14:paraId="748B31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AI业务交换机</w:t>
            </w:r>
          </w:p>
        </w:tc>
        <w:tc>
          <w:tcPr>
            <w:tcW w:w="3754" w:type="pct"/>
            <w:noWrap w:val="0"/>
            <w:vAlign w:val="center"/>
          </w:tcPr>
          <w:p w14:paraId="2C4603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1、采用国产芯片，自主可控</w:t>
            </w:r>
          </w:p>
        </w:tc>
      </w:tr>
      <w:tr w14:paraId="309D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C7A59D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E31C612">
            <w:pPr>
              <w:jc w:val="center"/>
              <w:rPr>
                <w:rFonts w:hint="eastAsia" w:ascii="宋体" w:hAnsi="宋体" w:eastAsia="宋体" w:cs="宋体"/>
                <w:i w:val="0"/>
                <w:iCs w:val="0"/>
                <w:color w:val="auto"/>
                <w:sz w:val="21"/>
                <w:szCs w:val="21"/>
                <w:u w:val="none"/>
              </w:rPr>
            </w:pPr>
          </w:p>
        </w:tc>
        <w:tc>
          <w:tcPr>
            <w:tcW w:w="3754" w:type="pct"/>
            <w:noWrap w:val="0"/>
            <w:vAlign w:val="center"/>
          </w:tcPr>
          <w:p w14:paraId="599702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2、交换容量：≥4.8Tbps，包转发率：≥2000Mpps；</w:t>
            </w:r>
          </w:p>
        </w:tc>
      </w:tr>
      <w:tr w14:paraId="1A5A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107C9DBC">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638E847">
            <w:pPr>
              <w:jc w:val="center"/>
              <w:rPr>
                <w:rFonts w:hint="eastAsia" w:ascii="宋体" w:hAnsi="宋体" w:eastAsia="宋体" w:cs="宋体"/>
                <w:i w:val="0"/>
                <w:iCs w:val="0"/>
                <w:color w:val="auto"/>
                <w:sz w:val="21"/>
                <w:szCs w:val="21"/>
                <w:u w:val="none"/>
              </w:rPr>
            </w:pPr>
          </w:p>
        </w:tc>
        <w:tc>
          <w:tcPr>
            <w:tcW w:w="3754" w:type="pct"/>
            <w:noWrap w:val="0"/>
            <w:vAlign w:val="center"/>
          </w:tcPr>
          <w:p w14:paraId="469D0F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3、端口：10GE光端口数量≥48个，40/100 GE 光接口≥6个，实配29个万兆多模光模块，4个40GE多模光模块，4个千兆电接口，1根40G堆叠线缆；</w:t>
            </w:r>
          </w:p>
        </w:tc>
      </w:tr>
      <w:tr w14:paraId="1A49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D3D838A">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7B3722C">
            <w:pPr>
              <w:jc w:val="center"/>
              <w:rPr>
                <w:rFonts w:hint="eastAsia" w:ascii="宋体" w:hAnsi="宋体" w:eastAsia="宋体" w:cs="宋体"/>
                <w:i w:val="0"/>
                <w:iCs w:val="0"/>
                <w:color w:val="auto"/>
                <w:sz w:val="21"/>
                <w:szCs w:val="21"/>
                <w:u w:val="none"/>
              </w:rPr>
            </w:pPr>
          </w:p>
        </w:tc>
        <w:tc>
          <w:tcPr>
            <w:tcW w:w="3754" w:type="pct"/>
            <w:noWrap w:val="0"/>
            <w:vAlign w:val="center"/>
          </w:tcPr>
          <w:p w14:paraId="224F149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4、二层功能：支持M-LAG或vPC或DRNI等跨机箱链路捆绑技术</w:t>
            </w:r>
          </w:p>
        </w:tc>
      </w:tr>
      <w:tr w14:paraId="79A3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6FB020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E272A64">
            <w:pPr>
              <w:jc w:val="center"/>
              <w:rPr>
                <w:rFonts w:hint="eastAsia" w:ascii="宋体" w:hAnsi="宋体" w:eastAsia="宋体" w:cs="宋体"/>
                <w:i w:val="0"/>
                <w:iCs w:val="0"/>
                <w:color w:val="auto"/>
                <w:sz w:val="21"/>
                <w:szCs w:val="21"/>
                <w:u w:val="none"/>
              </w:rPr>
            </w:pPr>
          </w:p>
        </w:tc>
        <w:tc>
          <w:tcPr>
            <w:tcW w:w="3754" w:type="pct"/>
            <w:vMerge w:val="restart"/>
            <w:noWrap w:val="0"/>
            <w:vAlign w:val="center"/>
          </w:tcPr>
          <w:p w14:paraId="0872DD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5、三层功能：支持RIPng、OSPFv3、ISISv6、BGP4+等IPv6动态路由协议；支持IP报文分片重组。</w:t>
            </w:r>
          </w:p>
        </w:tc>
      </w:tr>
      <w:tr w14:paraId="709C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D5D4AF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4E8AD0D">
            <w:pPr>
              <w:jc w:val="center"/>
              <w:rPr>
                <w:rFonts w:hint="eastAsia" w:ascii="宋体" w:hAnsi="宋体" w:eastAsia="宋体" w:cs="宋体"/>
                <w:i w:val="0"/>
                <w:iCs w:val="0"/>
                <w:color w:val="auto"/>
                <w:sz w:val="21"/>
                <w:szCs w:val="21"/>
                <w:u w:val="none"/>
              </w:rPr>
            </w:pPr>
          </w:p>
        </w:tc>
        <w:tc>
          <w:tcPr>
            <w:tcW w:w="3754" w:type="pct"/>
            <w:vMerge w:val="continue"/>
            <w:noWrap w:val="0"/>
            <w:vAlign w:val="center"/>
          </w:tcPr>
          <w:p w14:paraId="66B570C2">
            <w:pPr>
              <w:jc w:val="left"/>
              <w:rPr>
                <w:rFonts w:hint="eastAsia" w:ascii="宋体" w:hAnsi="宋体" w:eastAsia="宋体" w:cs="宋体"/>
                <w:i w:val="0"/>
                <w:iCs w:val="0"/>
                <w:color w:val="auto"/>
                <w:sz w:val="21"/>
                <w:szCs w:val="21"/>
                <w:u w:val="none"/>
              </w:rPr>
            </w:pPr>
          </w:p>
        </w:tc>
      </w:tr>
      <w:tr w14:paraId="0B31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451F106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C6652ED">
            <w:pPr>
              <w:jc w:val="center"/>
              <w:rPr>
                <w:rFonts w:hint="eastAsia" w:ascii="宋体" w:hAnsi="宋体" w:eastAsia="宋体" w:cs="宋体"/>
                <w:i w:val="0"/>
                <w:iCs w:val="0"/>
                <w:color w:val="auto"/>
                <w:sz w:val="21"/>
                <w:szCs w:val="21"/>
                <w:u w:val="none"/>
              </w:rPr>
            </w:pPr>
          </w:p>
        </w:tc>
        <w:tc>
          <w:tcPr>
            <w:tcW w:w="3754" w:type="pct"/>
            <w:noWrap w:val="0"/>
            <w:vAlign w:val="center"/>
          </w:tcPr>
          <w:p w14:paraId="5727F8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6、支持BFD检测间隔</w:t>
            </w:r>
          </w:p>
        </w:tc>
      </w:tr>
      <w:tr w14:paraId="6E62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559282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2AF5C5FB">
            <w:pPr>
              <w:jc w:val="center"/>
              <w:rPr>
                <w:rFonts w:hint="eastAsia" w:ascii="宋体" w:hAnsi="宋体" w:eastAsia="宋体" w:cs="宋体"/>
                <w:i w:val="0"/>
                <w:iCs w:val="0"/>
                <w:color w:val="auto"/>
                <w:sz w:val="21"/>
                <w:szCs w:val="21"/>
                <w:u w:val="none"/>
              </w:rPr>
            </w:pPr>
          </w:p>
        </w:tc>
        <w:tc>
          <w:tcPr>
            <w:tcW w:w="3754" w:type="pct"/>
            <w:noWrap w:val="0"/>
            <w:vAlign w:val="center"/>
          </w:tcPr>
          <w:p w14:paraId="7BAEA8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7、支持Netstream</w:t>
            </w:r>
          </w:p>
        </w:tc>
      </w:tr>
      <w:tr w14:paraId="5122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EAE4FB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6DB3044">
            <w:pPr>
              <w:jc w:val="center"/>
              <w:rPr>
                <w:rFonts w:hint="eastAsia" w:ascii="宋体" w:hAnsi="宋体" w:eastAsia="宋体" w:cs="宋体"/>
                <w:i w:val="0"/>
                <w:iCs w:val="0"/>
                <w:color w:val="auto"/>
                <w:sz w:val="21"/>
                <w:szCs w:val="21"/>
                <w:u w:val="none"/>
              </w:rPr>
            </w:pPr>
          </w:p>
        </w:tc>
        <w:tc>
          <w:tcPr>
            <w:tcW w:w="3754" w:type="pct"/>
            <w:noWrap w:val="0"/>
            <w:vAlign w:val="center"/>
          </w:tcPr>
          <w:p w14:paraId="1A321C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8、配备冗余电源、冗余风扇</w:t>
            </w:r>
          </w:p>
        </w:tc>
      </w:tr>
      <w:tr w14:paraId="35AC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D8CDD7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4C729251">
            <w:pPr>
              <w:jc w:val="center"/>
              <w:rPr>
                <w:rFonts w:hint="eastAsia" w:ascii="宋体" w:hAnsi="宋体" w:eastAsia="宋体" w:cs="宋体"/>
                <w:i w:val="0"/>
                <w:iCs w:val="0"/>
                <w:color w:val="auto"/>
                <w:sz w:val="21"/>
                <w:szCs w:val="21"/>
                <w:u w:val="none"/>
              </w:rPr>
            </w:pPr>
          </w:p>
        </w:tc>
        <w:tc>
          <w:tcPr>
            <w:tcW w:w="3754" w:type="pct"/>
            <w:noWrap w:val="0"/>
            <w:vAlign w:val="center"/>
          </w:tcPr>
          <w:p w14:paraId="4F1BAC0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★9、提供5年原厂质保，签订合同时提供针对本项目的原厂质保函；</w:t>
            </w:r>
          </w:p>
        </w:tc>
      </w:tr>
      <w:tr w14:paraId="35B7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46E78D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942" w:type="pct"/>
            <w:gridSpan w:val="2"/>
            <w:vMerge w:val="restart"/>
            <w:noWrap/>
            <w:vAlign w:val="center"/>
          </w:tcPr>
          <w:p w14:paraId="411970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AI带外管理交换机 </w:t>
            </w:r>
          </w:p>
        </w:tc>
        <w:tc>
          <w:tcPr>
            <w:tcW w:w="3754" w:type="pct"/>
            <w:noWrap w:val="0"/>
            <w:vAlign w:val="center"/>
          </w:tcPr>
          <w:p w14:paraId="578111D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1、采用国产芯片，自主可控</w:t>
            </w:r>
          </w:p>
        </w:tc>
      </w:tr>
      <w:tr w14:paraId="5746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6EA678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798036F">
            <w:pPr>
              <w:jc w:val="center"/>
              <w:rPr>
                <w:rFonts w:hint="eastAsia" w:ascii="宋体" w:hAnsi="宋体" w:eastAsia="宋体" w:cs="宋体"/>
                <w:i w:val="0"/>
                <w:iCs w:val="0"/>
                <w:color w:val="auto"/>
                <w:sz w:val="21"/>
                <w:szCs w:val="21"/>
                <w:u w:val="none"/>
              </w:rPr>
            </w:pPr>
          </w:p>
        </w:tc>
        <w:tc>
          <w:tcPr>
            <w:tcW w:w="3754" w:type="pct"/>
            <w:noWrap w:val="0"/>
            <w:vAlign w:val="center"/>
          </w:tcPr>
          <w:p w14:paraId="29F43B72">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2、交换容量≥672Gbps，包转发率≥166Mpps</w:t>
            </w:r>
          </w:p>
        </w:tc>
      </w:tr>
      <w:tr w14:paraId="0600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27A025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892A831">
            <w:pPr>
              <w:jc w:val="center"/>
              <w:rPr>
                <w:rFonts w:hint="eastAsia" w:ascii="宋体" w:hAnsi="宋体" w:eastAsia="宋体" w:cs="宋体"/>
                <w:i w:val="0"/>
                <w:iCs w:val="0"/>
                <w:color w:val="auto"/>
                <w:sz w:val="21"/>
                <w:szCs w:val="21"/>
                <w:u w:val="none"/>
              </w:rPr>
            </w:pPr>
          </w:p>
        </w:tc>
        <w:tc>
          <w:tcPr>
            <w:tcW w:w="3754" w:type="pct"/>
            <w:noWrap w:val="0"/>
            <w:vAlign w:val="center"/>
          </w:tcPr>
          <w:p w14:paraId="0A9760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3、端口：≥48 个 10/100/1000BASE-T 以太网端口，≥4 个万兆 SFP+光口</w:t>
            </w:r>
          </w:p>
        </w:tc>
      </w:tr>
      <w:tr w14:paraId="6CFD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C13146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01FE638">
            <w:pPr>
              <w:jc w:val="center"/>
              <w:rPr>
                <w:rFonts w:hint="eastAsia" w:ascii="宋体" w:hAnsi="宋体" w:eastAsia="宋体" w:cs="宋体"/>
                <w:i w:val="0"/>
                <w:iCs w:val="0"/>
                <w:color w:val="auto"/>
                <w:sz w:val="21"/>
                <w:szCs w:val="21"/>
                <w:u w:val="none"/>
              </w:rPr>
            </w:pPr>
          </w:p>
        </w:tc>
        <w:tc>
          <w:tcPr>
            <w:tcW w:w="3754" w:type="pct"/>
            <w:noWrap w:val="0"/>
            <w:vAlign w:val="center"/>
          </w:tcPr>
          <w:p w14:paraId="56F7DF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4、MAC地址≥16K，ARP表项≥4K，IPv4 FIB表项≥4K</w:t>
            </w:r>
          </w:p>
        </w:tc>
      </w:tr>
      <w:tr w14:paraId="1553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514B06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D9A3531">
            <w:pPr>
              <w:jc w:val="center"/>
              <w:rPr>
                <w:rFonts w:hint="eastAsia" w:ascii="宋体" w:hAnsi="宋体" w:eastAsia="宋体" w:cs="宋体"/>
                <w:i w:val="0"/>
                <w:iCs w:val="0"/>
                <w:color w:val="auto"/>
                <w:sz w:val="21"/>
                <w:szCs w:val="21"/>
                <w:u w:val="none"/>
              </w:rPr>
            </w:pPr>
          </w:p>
        </w:tc>
        <w:tc>
          <w:tcPr>
            <w:tcW w:w="3754" w:type="pct"/>
            <w:noWrap w:val="0"/>
            <w:vAlign w:val="center"/>
          </w:tcPr>
          <w:p w14:paraId="268639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5、支持RIP、RIPng、OSPF、OSPFv3路由协议</w:t>
            </w:r>
          </w:p>
        </w:tc>
      </w:tr>
      <w:tr w14:paraId="50C9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A13E85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51E32F0">
            <w:pPr>
              <w:jc w:val="center"/>
              <w:rPr>
                <w:rFonts w:hint="eastAsia" w:ascii="宋体" w:hAnsi="宋体" w:eastAsia="宋体" w:cs="宋体"/>
                <w:i w:val="0"/>
                <w:iCs w:val="0"/>
                <w:color w:val="auto"/>
                <w:sz w:val="21"/>
                <w:szCs w:val="21"/>
                <w:u w:val="none"/>
              </w:rPr>
            </w:pPr>
          </w:p>
        </w:tc>
        <w:tc>
          <w:tcPr>
            <w:tcW w:w="3754" w:type="pct"/>
            <w:noWrap w:val="0"/>
            <w:vAlign w:val="center"/>
          </w:tcPr>
          <w:p w14:paraId="43986BD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6、支持纵向虚拟化，作为纵向子节点零配置即插即用</w:t>
            </w:r>
          </w:p>
        </w:tc>
      </w:tr>
      <w:tr w14:paraId="6143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C382D4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98A1806">
            <w:pPr>
              <w:jc w:val="center"/>
              <w:rPr>
                <w:rFonts w:hint="eastAsia" w:ascii="宋体" w:hAnsi="宋体" w:eastAsia="宋体" w:cs="宋体"/>
                <w:i w:val="0"/>
                <w:iCs w:val="0"/>
                <w:color w:val="auto"/>
                <w:sz w:val="21"/>
                <w:szCs w:val="21"/>
                <w:u w:val="none"/>
              </w:rPr>
            </w:pPr>
          </w:p>
        </w:tc>
        <w:tc>
          <w:tcPr>
            <w:tcW w:w="3754" w:type="pct"/>
            <w:noWrap w:val="0"/>
            <w:vAlign w:val="center"/>
          </w:tcPr>
          <w:p w14:paraId="6EFA4B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7、支持Telemetry技术，配合网络分析组件通过智能故障识别算法对网络数据进行分析</w:t>
            </w:r>
          </w:p>
        </w:tc>
      </w:tr>
      <w:tr w14:paraId="7BF5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29765D4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E3D9D16">
            <w:pPr>
              <w:jc w:val="center"/>
              <w:rPr>
                <w:rFonts w:hint="eastAsia" w:ascii="宋体" w:hAnsi="宋体" w:eastAsia="宋体" w:cs="宋体"/>
                <w:i w:val="0"/>
                <w:iCs w:val="0"/>
                <w:color w:val="auto"/>
                <w:sz w:val="21"/>
                <w:szCs w:val="21"/>
                <w:u w:val="none"/>
              </w:rPr>
            </w:pPr>
          </w:p>
        </w:tc>
        <w:tc>
          <w:tcPr>
            <w:tcW w:w="3754" w:type="pct"/>
            <w:noWrap w:val="0"/>
            <w:vAlign w:val="center"/>
          </w:tcPr>
          <w:p w14:paraId="371F4869">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★8、提供5年原厂质保，签订合同时提供针对本项目的原厂质保函；</w:t>
            </w:r>
          </w:p>
        </w:tc>
      </w:tr>
      <w:tr w14:paraId="0F46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42DDA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942" w:type="pct"/>
            <w:gridSpan w:val="2"/>
            <w:vMerge w:val="restart"/>
            <w:noWrap/>
            <w:vAlign w:val="center"/>
          </w:tcPr>
          <w:p w14:paraId="0BFB2E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AI业务防火墙</w:t>
            </w:r>
          </w:p>
        </w:tc>
        <w:tc>
          <w:tcPr>
            <w:tcW w:w="3754" w:type="pct"/>
            <w:noWrap w:val="0"/>
            <w:vAlign w:val="top"/>
          </w:tcPr>
          <w:p w14:paraId="5DC2572B">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1、信创架构防火墙，机架式设备</w:t>
            </w:r>
          </w:p>
        </w:tc>
      </w:tr>
      <w:tr w14:paraId="46C8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9FFEE3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5A75D45">
            <w:pPr>
              <w:jc w:val="center"/>
              <w:rPr>
                <w:rFonts w:hint="eastAsia" w:ascii="宋体" w:hAnsi="宋体" w:eastAsia="宋体" w:cs="宋体"/>
                <w:i w:val="0"/>
                <w:iCs w:val="0"/>
                <w:color w:val="auto"/>
                <w:sz w:val="21"/>
                <w:szCs w:val="21"/>
                <w:u w:val="none"/>
              </w:rPr>
            </w:pPr>
          </w:p>
        </w:tc>
        <w:tc>
          <w:tcPr>
            <w:tcW w:w="3754" w:type="pct"/>
            <w:noWrap w:val="0"/>
            <w:vAlign w:val="top"/>
          </w:tcPr>
          <w:p w14:paraId="1435A90F">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2、防火墙吞吐量≥35Gbps，最大并发连接数≥2000万，每秒新建连接数≥50万；</w:t>
            </w:r>
          </w:p>
        </w:tc>
      </w:tr>
      <w:tr w14:paraId="4B8B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37215C7B">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9B7BF98">
            <w:pPr>
              <w:jc w:val="center"/>
              <w:rPr>
                <w:rFonts w:hint="eastAsia" w:ascii="宋体" w:hAnsi="宋体" w:eastAsia="宋体" w:cs="宋体"/>
                <w:i w:val="0"/>
                <w:iCs w:val="0"/>
                <w:color w:val="auto"/>
                <w:sz w:val="21"/>
                <w:szCs w:val="21"/>
                <w:u w:val="none"/>
              </w:rPr>
            </w:pPr>
          </w:p>
        </w:tc>
        <w:tc>
          <w:tcPr>
            <w:tcW w:w="3754" w:type="pct"/>
            <w:noWrap w:val="0"/>
            <w:vAlign w:val="top"/>
          </w:tcPr>
          <w:p w14:paraId="289BCD6C">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3、IPS吞吐量≥12Gbps；</w:t>
            </w:r>
          </w:p>
        </w:tc>
      </w:tr>
      <w:tr w14:paraId="0A66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60B306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7D823170">
            <w:pPr>
              <w:jc w:val="center"/>
              <w:rPr>
                <w:rFonts w:hint="eastAsia" w:ascii="宋体" w:hAnsi="宋体" w:eastAsia="宋体" w:cs="宋体"/>
                <w:i w:val="0"/>
                <w:iCs w:val="0"/>
                <w:color w:val="auto"/>
                <w:sz w:val="21"/>
                <w:szCs w:val="21"/>
                <w:u w:val="none"/>
              </w:rPr>
            </w:pPr>
          </w:p>
        </w:tc>
        <w:tc>
          <w:tcPr>
            <w:tcW w:w="3754" w:type="pct"/>
            <w:noWrap w:val="0"/>
            <w:vAlign w:val="top"/>
          </w:tcPr>
          <w:p w14:paraId="4C3F32C5">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4、实配：千兆Combo接口≥8，千兆电口≥4，万兆光口≥10，支持扩展槽位≥2；实配双电源，8个万兆多模光模块；实配5年IPS、AV、URL特征库升级授权；</w:t>
            </w:r>
          </w:p>
        </w:tc>
      </w:tr>
      <w:tr w14:paraId="0D00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6846AFDD">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E87113F">
            <w:pPr>
              <w:jc w:val="center"/>
              <w:rPr>
                <w:rFonts w:hint="eastAsia" w:ascii="宋体" w:hAnsi="宋体" w:eastAsia="宋体" w:cs="宋体"/>
                <w:i w:val="0"/>
                <w:iCs w:val="0"/>
                <w:color w:val="auto"/>
                <w:sz w:val="21"/>
                <w:szCs w:val="21"/>
                <w:u w:val="none"/>
              </w:rPr>
            </w:pPr>
          </w:p>
        </w:tc>
        <w:tc>
          <w:tcPr>
            <w:tcW w:w="3754" w:type="pct"/>
            <w:noWrap w:val="0"/>
            <w:vAlign w:val="top"/>
          </w:tcPr>
          <w:p w14:paraId="7D374739">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5、支持一条安全策略中同时配置ipv4和ipv6地址；</w:t>
            </w:r>
          </w:p>
        </w:tc>
      </w:tr>
      <w:tr w14:paraId="0F4E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78D2C5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38A360A">
            <w:pPr>
              <w:jc w:val="center"/>
              <w:rPr>
                <w:rFonts w:hint="eastAsia" w:ascii="宋体" w:hAnsi="宋体" w:eastAsia="宋体" w:cs="宋体"/>
                <w:i w:val="0"/>
                <w:iCs w:val="0"/>
                <w:color w:val="auto"/>
                <w:sz w:val="21"/>
                <w:szCs w:val="21"/>
                <w:u w:val="none"/>
              </w:rPr>
            </w:pPr>
          </w:p>
        </w:tc>
        <w:tc>
          <w:tcPr>
            <w:tcW w:w="3754" w:type="pct"/>
            <w:noWrap w:val="0"/>
            <w:vAlign w:val="top"/>
          </w:tcPr>
          <w:p w14:paraId="01C255FB">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6、支持病毒压缩文件检测和阻断；</w:t>
            </w:r>
          </w:p>
        </w:tc>
      </w:tr>
      <w:tr w14:paraId="797A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3B6AB36">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26D4FE2">
            <w:pPr>
              <w:jc w:val="center"/>
              <w:rPr>
                <w:rFonts w:hint="eastAsia" w:ascii="宋体" w:hAnsi="宋体" w:eastAsia="宋体" w:cs="宋体"/>
                <w:i w:val="0"/>
                <w:iCs w:val="0"/>
                <w:color w:val="auto"/>
                <w:sz w:val="21"/>
                <w:szCs w:val="21"/>
                <w:u w:val="none"/>
              </w:rPr>
            </w:pPr>
          </w:p>
        </w:tc>
        <w:tc>
          <w:tcPr>
            <w:tcW w:w="3754" w:type="pct"/>
            <w:noWrap w:val="0"/>
            <w:vAlign w:val="top"/>
          </w:tcPr>
          <w:p w14:paraId="0D0CDF05">
            <w:pPr>
              <w:keepNext w:val="0"/>
              <w:keepLines w:val="0"/>
              <w:widowControl/>
              <w:suppressLineNumbers w:val="0"/>
              <w:jc w:val="both"/>
              <w:textAlignment w:val="top"/>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★7、提供5年原厂质保，签订合同时提供针对本项目的原厂质保函；</w:t>
            </w:r>
          </w:p>
        </w:tc>
      </w:tr>
      <w:tr w14:paraId="1A16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56875D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942" w:type="pct"/>
            <w:gridSpan w:val="2"/>
            <w:vMerge w:val="restart"/>
            <w:noWrap/>
            <w:vAlign w:val="center"/>
          </w:tcPr>
          <w:p w14:paraId="000538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AI分布式存储</w:t>
            </w:r>
          </w:p>
        </w:tc>
        <w:tc>
          <w:tcPr>
            <w:tcW w:w="3754" w:type="pct"/>
            <w:noWrap w:val="0"/>
            <w:vAlign w:val="top"/>
          </w:tcPr>
          <w:p w14:paraId="76FD930F">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▲1、配置不少于三个节点，全对称分布式架构。</w:t>
            </w:r>
          </w:p>
        </w:tc>
      </w:tr>
      <w:tr w14:paraId="62CC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02" w:type="pct"/>
            <w:vMerge w:val="continue"/>
            <w:noWrap/>
            <w:vAlign w:val="center"/>
          </w:tcPr>
          <w:p w14:paraId="0CBB455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3A3E81D">
            <w:pPr>
              <w:jc w:val="center"/>
              <w:rPr>
                <w:rFonts w:hint="eastAsia" w:ascii="宋体" w:hAnsi="宋体" w:eastAsia="宋体" w:cs="宋体"/>
                <w:i w:val="0"/>
                <w:iCs w:val="0"/>
                <w:color w:val="auto"/>
                <w:sz w:val="21"/>
                <w:szCs w:val="21"/>
                <w:u w:val="none"/>
              </w:rPr>
            </w:pPr>
          </w:p>
        </w:tc>
        <w:tc>
          <w:tcPr>
            <w:tcW w:w="3754" w:type="pct"/>
            <w:noWrap w:val="0"/>
            <w:vAlign w:val="top"/>
          </w:tcPr>
          <w:p w14:paraId="7A59B1DA">
            <w:pPr>
              <w:keepNext w:val="0"/>
              <w:keepLines w:val="0"/>
              <w:widowControl/>
              <w:suppressLineNumbers w:val="0"/>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2、单节点配置如下：</w:t>
            </w:r>
          </w:p>
          <w:p w14:paraId="71809D33">
            <w:pPr>
              <w:keepNext w:val="0"/>
              <w:keepLines w:val="0"/>
              <w:widowControl/>
              <w:suppressLineNumbers w:val="0"/>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（1）配置ARM架构CPU数量≥2，单颗物理核数≥64核，单颗基准频率≥2.6GHz；所投产品CPU须符合自主可控安全测评要求，提供中国信息安全测评中心官网截图证明。</w:t>
            </w:r>
          </w:p>
          <w:p w14:paraId="4D5A0D59">
            <w:pPr>
              <w:keepNext w:val="0"/>
              <w:keepLines w:val="0"/>
              <w:widowControl/>
              <w:suppressLineNumbers w:val="0"/>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（2）内存：≥16×16GB RDIMM DDR4 ；硬盘：系统盘：≥2×480G SSD数据盘：配置≥12×7.68T NVMe SSD 硬盘；</w:t>
            </w:r>
          </w:p>
          <w:p w14:paraId="135855BE">
            <w:pPr>
              <w:keepNext w:val="0"/>
              <w:keepLines w:val="0"/>
              <w:widowControl/>
              <w:suppressLineNumbers w:val="0"/>
              <w:jc w:val="both"/>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（3）网卡：≥2×25GE（含光模块），≥2×10GE（含光模块）；</w:t>
            </w:r>
          </w:p>
          <w:p w14:paraId="779906EC">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（4）电源：冗余电源、风扇。</w:t>
            </w:r>
          </w:p>
        </w:tc>
      </w:tr>
      <w:tr w14:paraId="0130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1390859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5DDC483B">
            <w:pPr>
              <w:jc w:val="center"/>
              <w:rPr>
                <w:rFonts w:hint="eastAsia" w:ascii="宋体" w:hAnsi="宋体" w:eastAsia="宋体" w:cs="宋体"/>
                <w:i w:val="0"/>
                <w:iCs w:val="0"/>
                <w:color w:val="auto"/>
                <w:sz w:val="21"/>
                <w:szCs w:val="21"/>
                <w:u w:val="none"/>
              </w:rPr>
            </w:pPr>
          </w:p>
        </w:tc>
        <w:tc>
          <w:tcPr>
            <w:tcW w:w="3754" w:type="pct"/>
            <w:noWrap w:val="0"/>
            <w:vAlign w:val="top"/>
          </w:tcPr>
          <w:p w14:paraId="37B54EC8">
            <w:pPr>
              <w:keepNext w:val="0"/>
              <w:keepLines w:val="0"/>
              <w:widowControl/>
              <w:suppressLineNumbers w:val="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3、配置1套分布式存储软件， 支持业务在线扩容，在线升级；</w:t>
            </w:r>
          </w:p>
        </w:tc>
      </w:tr>
      <w:tr w14:paraId="3302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889D602">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22F8D07">
            <w:pPr>
              <w:jc w:val="center"/>
              <w:rPr>
                <w:rFonts w:hint="eastAsia" w:ascii="宋体" w:hAnsi="宋体" w:eastAsia="宋体" w:cs="宋体"/>
                <w:i w:val="0"/>
                <w:iCs w:val="0"/>
                <w:color w:val="auto"/>
                <w:sz w:val="21"/>
                <w:szCs w:val="21"/>
                <w:u w:val="none"/>
              </w:rPr>
            </w:pPr>
          </w:p>
        </w:tc>
        <w:tc>
          <w:tcPr>
            <w:tcW w:w="3754" w:type="pct"/>
            <w:noWrap w:val="0"/>
            <w:vAlign w:val="center"/>
          </w:tcPr>
          <w:p w14:paraId="5E838B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4、协议支持</w:t>
            </w:r>
          </w:p>
          <w:p w14:paraId="07D81D5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一套存储支持NFS/CIFS/POSIX/MPI-IO/HDFS/S3多种访问协议，无需配置独立的网关节点。</w:t>
            </w:r>
          </w:p>
        </w:tc>
      </w:tr>
      <w:tr w14:paraId="0283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31B5CA38">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6506AC9">
            <w:pPr>
              <w:jc w:val="center"/>
              <w:rPr>
                <w:rFonts w:hint="eastAsia" w:ascii="宋体" w:hAnsi="宋体" w:eastAsia="宋体" w:cs="宋体"/>
                <w:i w:val="0"/>
                <w:iCs w:val="0"/>
                <w:color w:val="auto"/>
                <w:sz w:val="21"/>
                <w:szCs w:val="21"/>
                <w:u w:val="none"/>
              </w:rPr>
            </w:pPr>
          </w:p>
        </w:tc>
        <w:tc>
          <w:tcPr>
            <w:tcW w:w="3754" w:type="pct"/>
            <w:noWrap w:val="0"/>
            <w:vAlign w:val="center"/>
          </w:tcPr>
          <w:p w14:paraId="03F749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5、异步复制</w:t>
            </w:r>
          </w:p>
          <w:p w14:paraId="6ACBFA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文件服务支持异步远程复制功能。</w:t>
            </w:r>
          </w:p>
        </w:tc>
      </w:tr>
      <w:tr w14:paraId="5F02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4D77E1C4">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E7A6C53">
            <w:pPr>
              <w:jc w:val="center"/>
              <w:rPr>
                <w:rFonts w:hint="eastAsia" w:ascii="宋体" w:hAnsi="宋体" w:eastAsia="宋体" w:cs="宋体"/>
                <w:i w:val="0"/>
                <w:iCs w:val="0"/>
                <w:color w:val="auto"/>
                <w:sz w:val="21"/>
                <w:szCs w:val="21"/>
                <w:u w:val="none"/>
              </w:rPr>
            </w:pPr>
          </w:p>
        </w:tc>
        <w:tc>
          <w:tcPr>
            <w:tcW w:w="3754" w:type="pct"/>
            <w:noWrap w:val="0"/>
            <w:vAlign w:val="center"/>
          </w:tcPr>
          <w:p w14:paraId="03E3B3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6、端到端数据一致性</w:t>
            </w:r>
          </w:p>
          <w:p w14:paraId="272198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支持端到端数据完整性校验（DIF）</w:t>
            </w:r>
          </w:p>
        </w:tc>
      </w:tr>
      <w:tr w14:paraId="0953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02" w:type="pct"/>
            <w:vMerge w:val="continue"/>
            <w:noWrap/>
            <w:vAlign w:val="center"/>
          </w:tcPr>
          <w:p w14:paraId="2316510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08FA3E93">
            <w:pPr>
              <w:jc w:val="center"/>
              <w:rPr>
                <w:rFonts w:hint="eastAsia" w:ascii="宋体" w:hAnsi="宋体" w:eastAsia="宋体" w:cs="宋体"/>
                <w:i w:val="0"/>
                <w:iCs w:val="0"/>
                <w:color w:val="auto"/>
                <w:sz w:val="21"/>
                <w:szCs w:val="21"/>
                <w:u w:val="none"/>
              </w:rPr>
            </w:pPr>
          </w:p>
        </w:tc>
        <w:tc>
          <w:tcPr>
            <w:tcW w:w="3754" w:type="pct"/>
            <w:noWrap w:val="0"/>
            <w:vAlign w:val="center"/>
          </w:tcPr>
          <w:p w14:paraId="5D2245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7、数据分级</w:t>
            </w:r>
          </w:p>
          <w:p w14:paraId="31E771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支持分级功能；</w:t>
            </w:r>
          </w:p>
          <w:p w14:paraId="521C2BB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支持配置数据写入策略、迁移策略和删除策略；</w:t>
            </w:r>
          </w:p>
          <w:p w14:paraId="436F7A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支持一次性或周期性数据迁移；</w:t>
            </w:r>
          </w:p>
          <w:p w14:paraId="21BAFBB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可按容量设置迁移策略；</w:t>
            </w:r>
          </w:p>
          <w:p w14:paraId="69879C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支持文件扩展名的包含和不包含匹配；</w:t>
            </w:r>
          </w:p>
        </w:tc>
      </w:tr>
      <w:tr w14:paraId="2028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 w:type="pct"/>
            <w:vMerge w:val="continue"/>
            <w:noWrap/>
            <w:vAlign w:val="center"/>
          </w:tcPr>
          <w:p w14:paraId="0984B4D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23C22D2A">
            <w:pPr>
              <w:jc w:val="center"/>
              <w:rPr>
                <w:rFonts w:hint="eastAsia" w:ascii="宋体" w:hAnsi="宋体" w:eastAsia="宋体" w:cs="宋体"/>
                <w:i w:val="0"/>
                <w:iCs w:val="0"/>
                <w:color w:val="auto"/>
                <w:sz w:val="21"/>
                <w:szCs w:val="21"/>
                <w:u w:val="none"/>
              </w:rPr>
            </w:pPr>
          </w:p>
        </w:tc>
        <w:tc>
          <w:tcPr>
            <w:tcW w:w="3754" w:type="pct"/>
            <w:noWrap w:val="0"/>
            <w:vAlign w:val="center"/>
          </w:tcPr>
          <w:p w14:paraId="68626B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8、安全管理功能检查</w:t>
            </w:r>
          </w:p>
          <w:p w14:paraId="503943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支持口令复杂度检查，支持账户安全策略可配置；</w:t>
            </w:r>
          </w:p>
          <w:p w14:paraId="058084F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基于角色的访问权限管理（RABC）</w:t>
            </w:r>
          </w:p>
          <w:p w14:paraId="4379FC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支持双因子认证、支持支持LDAP域认证，支持基于IP的访问控制机制；</w:t>
            </w:r>
          </w:p>
          <w:p w14:paraId="531EA2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支持日志审计功能，支持对接syslog；</w:t>
            </w:r>
          </w:p>
          <w:p w14:paraId="3F7CB9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支持证书统一管理：证书的自动更新，证书即将过期和已经过期告警，支持吊销证书；</w:t>
            </w:r>
          </w:p>
        </w:tc>
      </w:tr>
      <w:tr w14:paraId="557D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5FB0F7EA">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1547096">
            <w:pPr>
              <w:jc w:val="center"/>
              <w:rPr>
                <w:rFonts w:hint="eastAsia" w:ascii="宋体" w:hAnsi="宋体" w:eastAsia="宋体" w:cs="宋体"/>
                <w:i w:val="0"/>
                <w:iCs w:val="0"/>
                <w:color w:val="auto"/>
                <w:sz w:val="21"/>
                <w:szCs w:val="21"/>
                <w:u w:val="none"/>
              </w:rPr>
            </w:pPr>
          </w:p>
        </w:tc>
        <w:tc>
          <w:tcPr>
            <w:tcW w:w="3754" w:type="pct"/>
            <w:noWrap w:val="0"/>
            <w:vAlign w:val="center"/>
          </w:tcPr>
          <w:p w14:paraId="621A35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9、掉电保护</w:t>
            </w:r>
          </w:p>
          <w:p w14:paraId="15F4E0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支持并配置掉电保护，保障节点故障情况下缓存中的数据不丢失。</w:t>
            </w:r>
          </w:p>
        </w:tc>
      </w:tr>
      <w:tr w14:paraId="6C16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91A27FF">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B6E8409">
            <w:pPr>
              <w:jc w:val="center"/>
              <w:rPr>
                <w:rFonts w:hint="eastAsia" w:ascii="宋体" w:hAnsi="宋体" w:eastAsia="宋体" w:cs="宋体"/>
                <w:i w:val="0"/>
                <w:iCs w:val="0"/>
                <w:color w:val="auto"/>
                <w:sz w:val="21"/>
                <w:szCs w:val="21"/>
                <w:u w:val="none"/>
              </w:rPr>
            </w:pPr>
          </w:p>
        </w:tc>
        <w:tc>
          <w:tcPr>
            <w:tcW w:w="3754" w:type="pct"/>
            <w:noWrap w:val="0"/>
            <w:vAlign w:val="center"/>
          </w:tcPr>
          <w:p w14:paraId="2718AC42">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★10、提供5年原厂质保，签订合同时提供针对本项目的原厂质保函；</w:t>
            </w:r>
          </w:p>
        </w:tc>
      </w:tr>
      <w:tr w14:paraId="5235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02" w:type="pct"/>
            <w:vMerge w:val="restart"/>
            <w:noWrap/>
            <w:vAlign w:val="center"/>
          </w:tcPr>
          <w:p w14:paraId="67CE61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942" w:type="pct"/>
            <w:gridSpan w:val="2"/>
            <w:vMerge w:val="restart"/>
            <w:noWrap w:val="0"/>
            <w:vAlign w:val="center"/>
          </w:tcPr>
          <w:p w14:paraId="60DB8D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AI算力资源调度平台</w:t>
            </w:r>
          </w:p>
        </w:tc>
        <w:tc>
          <w:tcPr>
            <w:tcW w:w="3754" w:type="pct"/>
            <w:noWrap w:val="0"/>
            <w:vAlign w:val="center"/>
          </w:tcPr>
          <w:p w14:paraId="3654B4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1、总体要求</w:t>
            </w:r>
          </w:p>
          <w:p w14:paraId="5867E0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为国内自主可控产品，产品组件和核心引擎符合开源、开放的自主可控技术标准。 </w:t>
            </w:r>
          </w:p>
        </w:tc>
      </w:tr>
      <w:tr w14:paraId="2FD6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2" w:type="pct"/>
            <w:vMerge w:val="continue"/>
            <w:noWrap/>
            <w:vAlign w:val="center"/>
          </w:tcPr>
          <w:p w14:paraId="30C13A7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3FD9A5F6">
            <w:pPr>
              <w:jc w:val="center"/>
              <w:rPr>
                <w:rFonts w:hint="eastAsia" w:ascii="宋体" w:hAnsi="宋体" w:eastAsia="宋体" w:cs="宋体"/>
                <w:i w:val="0"/>
                <w:iCs w:val="0"/>
                <w:color w:val="auto"/>
                <w:sz w:val="21"/>
                <w:szCs w:val="21"/>
                <w:u w:val="none"/>
              </w:rPr>
            </w:pPr>
          </w:p>
        </w:tc>
        <w:tc>
          <w:tcPr>
            <w:tcW w:w="3754" w:type="pct"/>
            <w:noWrap w:val="0"/>
            <w:vAlign w:val="center"/>
          </w:tcPr>
          <w:p w14:paraId="23D6D0C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2、大模型平台框架</w:t>
            </w:r>
          </w:p>
          <w:p w14:paraId="3F168F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支持集成开发环境及操作管理能力。具备一体化的模型开发与管理，包括数据准备、模型训练、推理、更新和监控等流程。提供图形化操作界面和API支持，提供友好的用户界面，支持多人协作。</w:t>
            </w:r>
          </w:p>
          <w:p w14:paraId="7923B30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支持数据准备与处理。提供数据收集、清洗、标注及预处理工具，具备自动化的数据处理流程，支持数据增量更新及迭代优化。</w:t>
            </w:r>
          </w:p>
          <w:p w14:paraId="49342C6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支持Prompt Engineering 。提供所见即所得的 Prompt 编辑与调试功能，支持实时反馈与优化。</w:t>
            </w:r>
          </w:p>
          <w:p w14:paraId="53A841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支持嵌入与上下文管理。支持长上下文的嵌入、存储和检索，确保模型在复杂应用场景下的性能和稳定性，提供灵活的上下文管理策略。</w:t>
            </w:r>
          </w:p>
          <w:p w14:paraId="3A5A5F8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支持监控与维护。具备实时性能监控、日志记录与故障告警机制，支持断点续训与自动故障恢复。</w:t>
            </w:r>
          </w:p>
          <w:p w14:paraId="1A76F7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支持模型微调与持续优化。具备在线数据标注与反馈收集，自动化微调流程，持续优化模型效果。支持数据集的版本管理和差异化配置。</w:t>
            </w:r>
          </w:p>
        </w:tc>
      </w:tr>
      <w:tr w14:paraId="7351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02" w:type="pct"/>
            <w:vMerge w:val="continue"/>
            <w:noWrap/>
            <w:vAlign w:val="center"/>
          </w:tcPr>
          <w:p w14:paraId="4D5FB18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4552F2B">
            <w:pPr>
              <w:jc w:val="center"/>
              <w:rPr>
                <w:rFonts w:hint="eastAsia" w:ascii="宋体" w:hAnsi="宋体" w:eastAsia="宋体" w:cs="宋体"/>
                <w:i w:val="0"/>
                <w:iCs w:val="0"/>
                <w:color w:val="auto"/>
                <w:sz w:val="21"/>
                <w:szCs w:val="21"/>
                <w:u w:val="none"/>
              </w:rPr>
            </w:pPr>
          </w:p>
        </w:tc>
        <w:tc>
          <w:tcPr>
            <w:tcW w:w="3754" w:type="pct"/>
            <w:noWrap w:val="0"/>
            <w:vAlign w:val="center"/>
          </w:tcPr>
          <w:p w14:paraId="60FD3C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3、知识库管理</w:t>
            </w:r>
          </w:p>
          <w:p w14:paraId="3E0752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支持多层级知识结构。</w:t>
            </w:r>
          </w:p>
          <w:p w14:paraId="343107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支持多文件格式支持。允许多种常见文档格式（.txt、.docx、.xlsx、.xls等）。</w:t>
            </w:r>
          </w:p>
          <w:p w14:paraId="318A849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支持Embedding 自定义服务。允许用户自定义知识库的嵌入策略，根据应用场景灵活配置参数。</w:t>
            </w:r>
          </w:p>
          <w:p w14:paraId="25C7D6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支持独立召回与调优。包含知识库的独立召回功能，用户可调试召回分段数量（TopK）与召回分数阈值（Score）。</w:t>
            </w:r>
          </w:p>
          <w:p w14:paraId="308A47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支持数据整合与管理。允许支持训练、调优数据集的管理，具备向量知识库管理、向量知识检索和查询等核心功能。</w:t>
            </w:r>
          </w:p>
        </w:tc>
      </w:tr>
      <w:tr w14:paraId="7E31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2" w:type="pct"/>
            <w:vMerge w:val="continue"/>
            <w:noWrap/>
            <w:vAlign w:val="center"/>
          </w:tcPr>
          <w:p w14:paraId="1FFA3011">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59DED768">
            <w:pPr>
              <w:jc w:val="center"/>
              <w:rPr>
                <w:rFonts w:hint="eastAsia" w:ascii="宋体" w:hAnsi="宋体" w:eastAsia="宋体" w:cs="宋体"/>
                <w:i w:val="0"/>
                <w:iCs w:val="0"/>
                <w:color w:val="auto"/>
                <w:sz w:val="21"/>
                <w:szCs w:val="21"/>
                <w:u w:val="none"/>
              </w:rPr>
            </w:pPr>
          </w:p>
        </w:tc>
        <w:tc>
          <w:tcPr>
            <w:tcW w:w="3754" w:type="pct"/>
            <w:noWrap w:val="0"/>
            <w:vAlign w:val="center"/>
          </w:tcPr>
          <w:p w14:paraId="4B9E557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4、Agent编排</w:t>
            </w:r>
          </w:p>
          <w:p w14:paraId="76165BD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支持可视化编排与拖拽式操作，包含通过前端可视化界面，利用拖拽方式搭建大模型应用。</w:t>
            </w:r>
          </w:p>
          <w:p w14:paraId="37982B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支持基础任务节点。包括意图识别、参数获取、知识检索、大模型调用、文档生成等节点。</w:t>
            </w:r>
          </w:p>
          <w:p w14:paraId="324218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支持调试功能。具备节点单步调试和整体流程调试。</w:t>
            </w:r>
          </w:p>
          <w:p w14:paraId="1DDC26C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支持自定义工具扩展。允许通过API接入自定义工具，扩展Agent的功能。</w:t>
            </w:r>
          </w:p>
          <w:p w14:paraId="78B10C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支持行业应用场景，允许医疗行业Agent的编排与部署，通过API接口供医院、卫健系统及生态合作伙伴调用，实现智慧医疗应用的落地。</w:t>
            </w:r>
          </w:p>
        </w:tc>
      </w:tr>
      <w:tr w14:paraId="7B56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6DCB3B5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1D43B0E4">
            <w:pPr>
              <w:jc w:val="center"/>
              <w:rPr>
                <w:rFonts w:hint="eastAsia" w:ascii="宋体" w:hAnsi="宋体" w:eastAsia="宋体" w:cs="宋体"/>
                <w:i w:val="0"/>
                <w:iCs w:val="0"/>
                <w:color w:val="auto"/>
                <w:sz w:val="21"/>
                <w:szCs w:val="21"/>
                <w:u w:val="none"/>
              </w:rPr>
            </w:pPr>
          </w:p>
        </w:tc>
        <w:tc>
          <w:tcPr>
            <w:tcW w:w="3754" w:type="pct"/>
            <w:noWrap w:val="0"/>
            <w:vAlign w:val="center"/>
          </w:tcPr>
          <w:p w14:paraId="08780D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5、医疗相关Agent</w:t>
            </w:r>
          </w:p>
          <w:p w14:paraId="68B653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内置电子病历生成、智能导诊、智能问诊等医疗相关Agent及工具。</w:t>
            </w:r>
          </w:p>
        </w:tc>
      </w:tr>
      <w:tr w14:paraId="22F4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302" w:type="pct"/>
            <w:vMerge w:val="continue"/>
            <w:noWrap/>
            <w:vAlign w:val="center"/>
          </w:tcPr>
          <w:p w14:paraId="01772336">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4AC54AA">
            <w:pPr>
              <w:jc w:val="center"/>
              <w:rPr>
                <w:rFonts w:hint="eastAsia" w:ascii="宋体" w:hAnsi="宋体" w:eastAsia="宋体" w:cs="宋体"/>
                <w:i w:val="0"/>
                <w:iCs w:val="0"/>
                <w:color w:val="auto"/>
                <w:sz w:val="21"/>
                <w:szCs w:val="21"/>
                <w:u w:val="none"/>
              </w:rPr>
            </w:pPr>
          </w:p>
        </w:tc>
        <w:tc>
          <w:tcPr>
            <w:tcW w:w="3754" w:type="pct"/>
            <w:noWrap w:val="0"/>
            <w:vAlign w:val="center"/>
          </w:tcPr>
          <w:p w14:paraId="513743F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6、模型微调及训练服务</w:t>
            </w:r>
          </w:p>
          <w:p w14:paraId="3796DF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支持通过图形化界面或API创建训练任务及配置任务参数；</w:t>
            </w:r>
          </w:p>
          <w:p w14:paraId="067CE2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支持实时跟踪和评估模型训练过程中的资源使用情况；</w:t>
            </w:r>
          </w:p>
          <w:p w14:paraId="7BA188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支持任务监控及用户自定义告警规则配置与触发；</w:t>
            </w:r>
          </w:p>
          <w:p w14:paraId="3F4CA00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支持获取和分析训练任务的详细日志；</w:t>
            </w:r>
          </w:p>
          <w:p w14:paraId="2B4DF4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支持数据并行、模型并行、张量并行的分布式训练；</w:t>
            </w:r>
          </w:p>
          <w:p w14:paraId="6A4D24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支持自动收集和检测训练中产生的故障信息；</w:t>
            </w:r>
          </w:p>
          <w:p w14:paraId="181327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支持训练过程的容错检查及断点续训；</w:t>
            </w:r>
          </w:p>
          <w:p w14:paraId="21B543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支持Pytorch、TensorFlow、MindSpore的AI框架；</w:t>
            </w:r>
          </w:p>
          <w:p w14:paraId="68B19DC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支持训练作业的Gang-scheduling调度策略；</w:t>
            </w:r>
          </w:p>
          <w:p w14:paraId="799060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支持大规模的并行批处理作业，可配置算力资源负载；</w:t>
            </w:r>
          </w:p>
        </w:tc>
      </w:tr>
      <w:tr w14:paraId="1B0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vMerge w:val="continue"/>
            <w:noWrap/>
            <w:vAlign w:val="center"/>
          </w:tcPr>
          <w:p w14:paraId="156C2CBB">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45AC1A2">
            <w:pPr>
              <w:jc w:val="center"/>
              <w:rPr>
                <w:rFonts w:hint="eastAsia" w:ascii="宋体" w:hAnsi="宋体" w:eastAsia="宋体" w:cs="宋体"/>
                <w:i w:val="0"/>
                <w:iCs w:val="0"/>
                <w:color w:val="auto"/>
                <w:sz w:val="21"/>
                <w:szCs w:val="21"/>
                <w:u w:val="none"/>
              </w:rPr>
            </w:pPr>
          </w:p>
        </w:tc>
        <w:tc>
          <w:tcPr>
            <w:tcW w:w="3754" w:type="pct"/>
            <w:noWrap w:val="0"/>
            <w:vAlign w:val="center"/>
          </w:tcPr>
          <w:p w14:paraId="5526426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7、模型部署及推理服务</w:t>
            </w:r>
          </w:p>
          <w:p w14:paraId="67243D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支持模型应用版本管理、弹性伸缩、灰度发布和滚动升级功能；</w:t>
            </w:r>
          </w:p>
          <w:p w14:paraId="358FB4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支持模型的在线同步推理、在线异步推理与批量推理功能；</w:t>
            </w:r>
          </w:p>
          <w:p w14:paraId="4C3A69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支持提供模型在线推理服务和对应模型负载的运行状态。</w:t>
            </w:r>
          </w:p>
        </w:tc>
      </w:tr>
      <w:tr w14:paraId="3B4B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63DDE232">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1895471">
            <w:pPr>
              <w:jc w:val="center"/>
              <w:rPr>
                <w:rFonts w:hint="eastAsia" w:ascii="宋体" w:hAnsi="宋体" w:eastAsia="宋体" w:cs="宋体"/>
                <w:i w:val="0"/>
                <w:iCs w:val="0"/>
                <w:color w:val="auto"/>
                <w:sz w:val="21"/>
                <w:szCs w:val="21"/>
                <w:u w:val="none"/>
              </w:rPr>
            </w:pPr>
          </w:p>
        </w:tc>
        <w:tc>
          <w:tcPr>
            <w:tcW w:w="3754" w:type="pct"/>
            <w:noWrap w:val="0"/>
            <w:vAlign w:val="center"/>
          </w:tcPr>
          <w:p w14:paraId="10A12E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8、推理加速算子库</w:t>
            </w:r>
          </w:p>
          <w:p w14:paraId="6E4354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支持Flash-Attention推理加速方案；</w:t>
            </w:r>
          </w:p>
          <w:p w14:paraId="64F73F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支持各类大模型的推理加速</w:t>
            </w:r>
          </w:p>
        </w:tc>
      </w:tr>
      <w:tr w14:paraId="6E6A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4F63A273">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78AE0B1B">
            <w:pPr>
              <w:jc w:val="center"/>
              <w:rPr>
                <w:rFonts w:hint="eastAsia" w:ascii="宋体" w:hAnsi="宋体" w:eastAsia="宋体" w:cs="宋体"/>
                <w:i w:val="0"/>
                <w:iCs w:val="0"/>
                <w:color w:val="auto"/>
                <w:sz w:val="21"/>
                <w:szCs w:val="21"/>
                <w:u w:val="none"/>
              </w:rPr>
            </w:pPr>
          </w:p>
        </w:tc>
        <w:tc>
          <w:tcPr>
            <w:tcW w:w="3754" w:type="pct"/>
            <w:noWrap w:val="0"/>
            <w:vAlign w:val="center"/>
          </w:tcPr>
          <w:p w14:paraId="1D6847D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9、训练加速算子库</w:t>
            </w:r>
          </w:p>
          <w:p w14:paraId="7B9E164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支持Flash-Attention训练加速方案；</w:t>
            </w:r>
          </w:p>
          <w:p w14:paraId="742354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支持各类大模型的训练加速。</w:t>
            </w:r>
          </w:p>
        </w:tc>
      </w:tr>
      <w:tr w14:paraId="014A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2" w:type="pct"/>
            <w:vMerge w:val="continue"/>
            <w:noWrap/>
            <w:vAlign w:val="center"/>
          </w:tcPr>
          <w:p w14:paraId="5B2C7CF0">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07519759">
            <w:pPr>
              <w:jc w:val="center"/>
              <w:rPr>
                <w:rFonts w:hint="eastAsia" w:ascii="宋体" w:hAnsi="宋体" w:eastAsia="宋体" w:cs="宋体"/>
                <w:i w:val="0"/>
                <w:iCs w:val="0"/>
                <w:color w:val="auto"/>
                <w:sz w:val="21"/>
                <w:szCs w:val="21"/>
                <w:u w:val="none"/>
              </w:rPr>
            </w:pPr>
          </w:p>
        </w:tc>
        <w:tc>
          <w:tcPr>
            <w:tcW w:w="3754" w:type="pct"/>
            <w:noWrap w:val="0"/>
            <w:vAlign w:val="center"/>
          </w:tcPr>
          <w:p w14:paraId="454041D1">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10、提供至少1个医疗健康大模型，</w:t>
            </w:r>
            <w:r>
              <w:rPr>
                <w:rFonts w:hint="eastAsia" w:ascii="宋体" w:hAnsi="宋体" w:eastAsia="宋体" w:cs="宋体"/>
                <w:color w:val="auto"/>
                <w:kern w:val="0"/>
                <w:sz w:val="21"/>
                <w:szCs w:val="21"/>
                <w:u w:val="none"/>
                <w:lang w:bidi="ar"/>
              </w:rPr>
              <w:t>模型参数量</w:t>
            </w:r>
            <w:r>
              <w:rPr>
                <w:rFonts w:hint="eastAsia" w:ascii="宋体" w:hAnsi="宋体" w:eastAsia="宋体" w:cs="宋体"/>
                <w:color w:val="auto"/>
                <w:kern w:val="0"/>
                <w:sz w:val="21"/>
                <w:szCs w:val="21"/>
                <w:u w:val="none"/>
                <w:lang w:val="en-US" w:eastAsia="zh-CN" w:bidi="ar"/>
              </w:rPr>
              <w:t>需要超过10亿以上</w:t>
            </w:r>
            <w:r>
              <w:rPr>
                <w:rFonts w:hint="eastAsia" w:ascii="宋体" w:hAnsi="宋体" w:eastAsia="宋体" w:cs="宋体"/>
                <w:color w:val="auto"/>
                <w:kern w:val="0"/>
                <w:sz w:val="21"/>
                <w:szCs w:val="21"/>
                <w:u w:val="none"/>
                <w:lang w:eastAsia="zh-CN" w:bidi="ar"/>
              </w:rPr>
              <w:t>，</w:t>
            </w:r>
            <w:r>
              <w:rPr>
                <w:rFonts w:hint="eastAsia" w:ascii="宋体" w:hAnsi="宋体" w:eastAsia="宋体" w:cs="宋体"/>
                <w:color w:val="auto"/>
                <w:kern w:val="0"/>
                <w:sz w:val="21"/>
                <w:szCs w:val="21"/>
                <w:u w:val="none"/>
                <w:lang w:val="en-US" w:eastAsia="zh-CN" w:bidi="ar"/>
              </w:rPr>
              <w:t>大模型需要面向医疗健康领域，并</w:t>
            </w:r>
            <w:r>
              <w:rPr>
                <w:rFonts w:hint="eastAsia" w:ascii="宋体" w:hAnsi="宋体" w:eastAsia="宋体" w:cs="宋体"/>
                <w:color w:val="auto"/>
                <w:kern w:val="0"/>
                <w:sz w:val="21"/>
                <w:szCs w:val="21"/>
                <w:u w:val="none"/>
                <w:lang w:bidi="ar"/>
              </w:rPr>
              <w:t>经过大规模医疗健康领域的语料训练</w:t>
            </w:r>
            <w:r>
              <w:rPr>
                <w:rFonts w:hint="eastAsia" w:ascii="宋体" w:hAnsi="宋体" w:eastAsia="宋体" w:cs="宋体"/>
                <w:color w:val="auto"/>
                <w:kern w:val="0"/>
                <w:sz w:val="21"/>
                <w:szCs w:val="21"/>
                <w:u w:val="none"/>
                <w:lang w:eastAsia="zh-CN" w:bidi="ar"/>
              </w:rPr>
              <w:t>，</w:t>
            </w:r>
            <w:r>
              <w:rPr>
                <w:rFonts w:hint="eastAsia" w:ascii="宋体" w:hAnsi="宋体" w:eastAsia="宋体" w:cs="宋体"/>
                <w:color w:val="auto"/>
                <w:kern w:val="0"/>
                <w:sz w:val="21"/>
                <w:szCs w:val="21"/>
                <w:u w:val="none"/>
                <w:lang w:val="en-US" w:eastAsia="zh-CN" w:bidi="ar"/>
              </w:rPr>
              <w:t>相关模型准确度能满足医疗健康业务实际需求；</w:t>
            </w:r>
          </w:p>
        </w:tc>
      </w:tr>
      <w:tr w14:paraId="2183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03492134">
            <w:pPr>
              <w:jc w:val="center"/>
              <w:rPr>
                <w:rFonts w:hint="eastAsia" w:ascii="宋体" w:hAnsi="宋体" w:eastAsia="宋体" w:cs="宋体"/>
                <w:i w:val="0"/>
                <w:iCs w:val="0"/>
                <w:color w:val="auto"/>
                <w:sz w:val="21"/>
                <w:szCs w:val="21"/>
                <w:u w:val="none"/>
              </w:rPr>
            </w:pPr>
          </w:p>
        </w:tc>
        <w:tc>
          <w:tcPr>
            <w:tcW w:w="942" w:type="pct"/>
            <w:gridSpan w:val="2"/>
            <w:vMerge w:val="continue"/>
            <w:noWrap w:val="0"/>
            <w:vAlign w:val="center"/>
          </w:tcPr>
          <w:p w14:paraId="62B4CF15">
            <w:pPr>
              <w:jc w:val="center"/>
              <w:rPr>
                <w:rFonts w:hint="eastAsia" w:ascii="宋体" w:hAnsi="宋体" w:eastAsia="宋体" w:cs="宋体"/>
                <w:i w:val="0"/>
                <w:iCs w:val="0"/>
                <w:color w:val="auto"/>
                <w:sz w:val="21"/>
                <w:szCs w:val="21"/>
                <w:u w:val="none"/>
              </w:rPr>
            </w:pPr>
          </w:p>
        </w:tc>
        <w:tc>
          <w:tcPr>
            <w:tcW w:w="3754" w:type="pct"/>
            <w:noWrap w:val="0"/>
            <w:vAlign w:val="center"/>
          </w:tcPr>
          <w:p w14:paraId="43608DF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★11、提供5年原厂服务；</w:t>
            </w:r>
          </w:p>
        </w:tc>
      </w:tr>
      <w:tr w14:paraId="30AE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restart"/>
            <w:noWrap/>
            <w:vAlign w:val="center"/>
          </w:tcPr>
          <w:p w14:paraId="0491825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50</w:t>
            </w:r>
          </w:p>
        </w:tc>
        <w:tc>
          <w:tcPr>
            <w:tcW w:w="942" w:type="pct"/>
            <w:gridSpan w:val="2"/>
            <w:vMerge w:val="restart"/>
            <w:noWrap/>
            <w:vAlign w:val="center"/>
          </w:tcPr>
          <w:p w14:paraId="7508D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系统集成及运维</w:t>
            </w:r>
          </w:p>
        </w:tc>
        <w:tc>
          <w:tcPr>
            <w:tcW w:w="3754" w:type="pct"/>
            <w:noWrap w:val="0"/>
            <w:vAlign w:val="center"/>
          </w:tcPr>
          <w:p w14:paraId="3A3E01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1、新采购的硬件、基础软件的安装、配置；</w:t>
            </w:r>
          </w:p>
        </w:tc>
      </w:tr>
      <w:tr w14:paraId="02AB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EE06920">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23DCC86">
            <w:pPr>
              <w:jc w:val="center"/>
              <w:rPr>
                <w:rFonts w:hint="eastAsia" w:ascii="宋体" w:hAnsi="宋体" w:eastAsia="宋体" w:cs="宋体"/>
                <w:i w:val="0"/>
                <w:iCs w:val="0"/>
                <w:color w:val="auto"/>
                <w:sz w:val="21"/>
                <w:szCs w:val="21"/>
                <w:u w:val="none"/>
              </w:rPr>
            </w:pPr>
          </w:p>
        </w:tc>
        <w:tc>
          <w:tcPr>
            <w:tcW w:w="3754" w:type="pct"/>
            <w:noWrap w:val="0"/>
            <w:vAlign w:val="center"/>
          </w:tcPr>
          <w:p w14:paraId="045A84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2、提供项目所需的所有配件</w:t>
            </w:r>
          </w:p>
        </w:tc>
      </w:tr>
      <w:tr w14:paraId="6F8E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79E6B413">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4A0309B2">
            <w:pPr>
              <w:jc w:val="center"/>
              <w:rPr>
                <w:rFonts w:hint="eastAsia" w:ascii="宋体" w:hAnsi="宋体" w:eastAsia="宋体" w:cs="宋体"/>
                <w:i w:val="0"/>
                <w:iCs w:val="0"/>
                <w:color w:val="auto"/>
                <w:sz w:val="21"/>
                <w:szCs w:val="21"/>
                <w:u w:val="none"/>
              </w:rPr>
            </w:pPr>
          </w:p>
        </w:tc>
        <w:tc>
          <w:tcPr>
            <w:tcW w:w="3754" w:type="pct"/>
            <w:noWrap w:val="0"/>
            <w:vAlign w:val="center"/>
          </w:tcPr>
          <w:p w14:paraId="09C16A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3、统一协调已有设备与新设备之间的关系，实现网络信息平台的整体集成；</w:t>
            </w:r>
          </w:p>
        </w:tc>
      </w:tr>
      <w:tr w14:paraId="4A2E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vMerge w:val="continue"/>
            <w:noWrap/>
            <w:vAlign w:val="center"/>
          </w:tcPr>
          <w:p w14:paraId="09E2AC77">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32E44402">
            <w:pPr>
              <w:jc w:val="center"/>
              <w:rPr>
                <w:rFonts w:hint="eastAsia" w:ascii="宋体" w:hAnsi="宋体" w:eastAsia="宋体" w:cs="宋体"/>
                <w:i w:val="0"/>
                <w:iCs w:val="0"/>
                <w:color w:val="auto"/>
                <w:sz w:val="21"/>
                <w:szCs w:val="21"/>
                <w:u w:val="none"/>
              </w:rPr>
            </w:pPr>
          </w:p>
        </w:tc>
        <w:tc>
          <w:tcPr>
            <w:tcW w:w="3754" w:type="pct"/>
            <w:noWrap w:val="0"/>
            <w:vAlign w:val="center"/>
          </w:tcPr>
          <w:p w14:paraId="07D2BE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4、配合软件开发单位进行应用系统、数据库等的部署和系统联调。配合软件开发单位进行数据迁移和备份工作。</w:t>
            </w:r>
          </w:p>
        </w:tc>
      </w:tr>
      <w:tr w14:paraId="77F1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5D08E2C">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190C7482">
            <w:pPr>
              <w:jc w:val="center"/>
              <w:rPr>
                <w:rFonts w:hint="eastAsia" w:ascii="宋体" w:hAnsi="宋体" w:eastAsia="宋体" w:cs="宋体"/>
                <w:i w:val="0"/>
                <w:iCs w:val="0"/>
                <w:color w:val="auto"/>
                <w:sz w:val="21"/>
                <w:szCs w:val="21"/>
                <w:u w:val="none"/>
              </w:rPr>
            </w:pPr>
          </w:p>
        </w:tc>
        <w:tc>
          <w:tcPr>
            <w:tcW w:w="3754" w:type="pct"/>
            <w:noWrap w:val="0"/>
            <w:vAlign w:val="center"/>
          </w:tcPr>
          <w:p w14:paraId="7D108F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★5、提供为期三年的项目总体运维服务</w:t>
            </w:r>
          </w:p>
        </w:tc>
      </w:tr>
      <w:tr w14:paraId="63C0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02" w:type="pct"/>
            <w:vMerge w:val="continue"/>
            <w:noWrap/>
            <w:vAlign w:val="center"/>
          </w:tcPr>
          <w:p w14:paraId="5DDB5D8E">
            <w:pPr>
              <w:jc w:val="center"/>
              <w:rPr>
                <w:rFonts w:hint="eastAsia" w:ascii="宋体" w:hAnsi="宋体" w:eastAsia="宋体" w:cs="宋体"/>
                <w:i w:val="0"/>
                <w:iCs w:val="0"/>
                <w:color w:val="auto"/>
                <w:sz w:val="21"/>
                <w:szCs w:val="21"/>
                <w:u w:val="none"/>
              </w:rPr>
            </w:pPr>
          </w:p>
        </w:tc>
        <w:tc>
          <w:tcPr>
            <w:tcW w:w="942" w:type="pct"/>
            <w:gridSpan w:val="2"/>
            <w:vMerge w:val="continue"/>
            <w:noWrap/>
            <w:vAlign w:val="center"/>
          </w:tcPr>
          <w:p w14:paraId="692B1A2A">
            <w:pPr>
              <w:jc w:val="center"/>
              <w:rPr>
                <w:rFonts w:hint="eastAsia" w:ascii="宋体" w:hAnsi="宋体" w:eastAsia="宋体" w:cs="宋体"/>
                <w:i w:val="0"/>
                <w:iCs w:val="0"/>
                <w:color w:val="auto"/>
                <w:sz w:val="21"/>
                <w:szCs w:val="21"/>
                <w:u w:val="none"/>
              </w:rPr>
            </w:pPr>
          </w:p>
        </w:tc>
        <w:tc>
          <w:tcPr>
            <w:tcW w:w="3754" w:type="pct"/>
            <w:noWrap w:val="0"/>
            <w:vAlign w:val="center"/>
          </w:tcPr>
          <w:p w14:paraId="7F5272F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6、协同设备厂商提供系统培训服务</w:t>
            </w:r>
          </w:p>
        </w:tc>
      </w:tr>
    </w:tbl>
    <w:p w14:paraId="7563BF97">
      <w:pPr>
        <w:keepNext/>
        <w:keepLines/>
        <w:widowControl w:val="0"/>
        <w:numPr>
          <w:ilvl w:val="0"/>
          <w:numId w:val="2"/>
        </w:numPr>
        <w:bidi w:val="0"/>
        <w:spacing w:before="240" w:beforeLines="0" w:beforeAutospacing="0" w:after="240" w:afterLines="0" w:afterAutospacing="0" w:line="360" w:lineRule="auto"/>
        <w:ind w:left="432" w:leftChars="0" w:hanging="432" w:firstLineChars="0"/>
        <w:jc w:val="both"/>
        <w:outlineLvl w:val="0"/>
        <w:rPr>
          <w:rFonts w:ascii="Calibri" w:hAnsi="Calibri" w:eastAsia="微软雅黑" w:cs="Times New Roman"/>
          <w:b/>
          <w:color w:val="auto"/>
          <w:kern w:val="44"/>
          <w:sz w:val="21"/>
          <w:szCs w:val="21"/>
          <w:lang w:val="en-US" w:eastAsia="zh-CN" w:bidi="ar-SA"/>
        </w:rPr>
      </w:pPr>
      <w:r>
        <w:rPr>
          <w:rFonts w:ascii="Calibri" w:hAnsi="Calibri" w:eastAsia="微软雅黑" w:cs="Times New Roman"/>
          <w:b/>
          <w:color w:val="auto"/>
          <w:kern w:val="44"/>
          <w:sz w:val="21"/>
          <w:szCs w:val="21"/>
          <w:lang w:val="en-US" w:eastAsia="zh-CN" w:bidi="ar-SA"/>
        </w:rPr>
        <w:t>实施要求</w:t>
      </w:r>
    </w:p>
    <w:p w14:paraId="07426B8E">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bookmarkStart w:id="14" w:name="_Toc436664875"/>
      <w:r>
        <w:rPr>
          <w:rFonts w:hint="eastAsia" w:ascii="Arial" w:hAnsi="Arial" w:eastAsia="黑体" w:cs="Times New Roman"/>
          <w:b/>
          <w:color w:val="auto"/>
          <w:kern w:val="2"/>
          <w:sz w:val="21"/>
          <w:szCs w:val="21"/>
          <w:lang w:val="en-US" w:eastAsia="zh-CN" w:bidi="ar-SA"/>
        </w:rPr>
        <w:t>项目进度要求</w:t>
      </w:r>
      <w:bookmarkEnd w:id="14"/>
    </w:p>
    <w:p w14:paraId="2DC78438">
      <w:pPr>
        <w:spacing w:line="360" w:lineRule="auto"/>
        <w:ind w:firstLine="420" w:firstLineChars="200"/>
        <w:rPr>
          <w:rFonts w:hint="eastAsia" w:ascii="宋体" w:hAnsi="宋体" w:eastAsia="宋体" w:cs="宋体"/>
          <w:color w:val="auto"/>
          <w:sz w:val="21"/>
          <w:szCs w:val="21"/>
          <w:lang w:val="zh-CN" w:eastAsia="zh-Hans"/>
        </w:rPr>
      </w:pPr>
      <w:bookmarkStart w:id="15" w:name="_Toc436664876"/>
      <w:r>
        <w:rPr>
          <w:rFonts w:hint="eastAsia" w:ascii="宋体" w:hAnsi="宋体" w:eastAsia="宋体" w:cs="宋体"/>
          <w:color w:val="auto"/>
          <w:kern w:val="2"/>
          <w:sz w:val="21"/>
          <w:szCs w:val="21"/>
          <w:highlight w:val="none"/>
          <w:lang w:val="en-US" w:eastAsia="zh-CN" w:bidi="ar-SA"/>
        </w:rPr>
        <w:t>本项目总体工期为18个月，</w:t>
      </w:r>
      <w:r>
        <w:rPr>
          <w:rFonts w:hint="eastAsia" w:ascii="宋体" w:hAnsi="宋体" w:eastAsia="宋体" w:cs="宋体"/>
          <w:color w:val="auto"/>
          <w:kern w:val="2"/>
          <w:sz w:val="21"/>
          <w:szCs w:val="21"/>
          <w:highlight w:val="none"/>
          <w:lang w:val="zh-CN" w:eastAsia="zh-CN" w:bidi="ar-SA"/>
        </w:rPr>
        <w:t>要求</w:t>
      </w:r>
      <w:r>
        <w:rPr>
          <w:rFonts w:hint="eastAsia" w:ascii="宋体" w:hAnsi="宋体" w:eastAsia="宋体" w:cs="宋体"/>
          <w:color w:val="auto"/>
          <w:kern w:val="2"/>
          <w:sz w:val="21"/>
          <w:szCs w:val="21"/>
          <w:highlight w:val="none"/>
          <w:lang w:val="en-US" w:eastAsia="zh-CN" w:bidi="ar-SA"/>
        </w:rPr>
        <w:t>中标人合同签订之日起2个月内完成设备到货安装，开始系统联调。 13个月内</w:t>
      </w:r>
      <w:r>
        <w:rPr>
          <w:rFonts w:hint="eastAsia" w:ascii="宋体" w:hAnsi="宋体" w:eastAsia="宋体" w:cs="宋体"/>
          <w:color w:val="auto"/>
          <w:kern w:val="2"/>
          <w:sz w:val="21"/>
          <w:szCs w:val="21"/>
          <w:highlight w:val="none"/>
          <w:lang w:val="zh-CN" w:eastAsia="zh-CN" w:bidi="ar-SA"/>
        </w:rPr>
        <w:t>完成</w:t>
      </w:r>
      <w:r>
        <w:rPr>
          <w:rFonts w:hint="eastAsia" w:ascii="宋体" w:hAnsi="宋体" w:eastAsia="宋体" w:cs="宋体"/>
          <w:color w:val="auto"/>
          <w:kern w:val="2"/>
          <w:sz w:val="21"/>
          <w:szCs w:val="21"/>
          <w:highlight w:val="none"/>
          <w:lang w:val="en-US" w:eastAsia="zh-CN" w:bidi="ar-SA"/>
        </w:rPr>
        <w:t>全部系统</w:t>
      </w:r>
      <w:r>
        <w:rPr>
          <w:rFonts w:hint="eastAsia" w:ascii="宋体" w:hAnsi="宋体" w:eastAsia="宋体" w:cs="宋体"/>
          <w:color w:val="auto"/>
          <w:kern w:val="2"/>
          <w:sz w:val="21"/>
          <w:szCs w:val="21"/>
          <w:highlight w:val="none"/>
          <w:lang w:val="zh-CN" w:eastAsia="zh-CN" w:bidi="ar-SA"/>
        </w:rPr>
        <w:t>开发，实施及部署，通过初验。</w:t>
      </w:r>
      <w:r>
        <w:rPr>
          <w:rFonts w:hint="eastAsia" w:ascii="宋体" w:hAnsi="宋体" w:eastAsia="宋体" w:cs="宋体"/>
          <w:color w:val="auto"/>
          <w:kern w:val="2"/>
          <w:sz w:val="21"/>
          <w:szCs w:val="21"/>
          <w:highlight w:val="none"/>
          <w:lang w:val="en-US" w:eastAsia="zh-CN" w:bidi="ar-SA"/>
        </w:rPr>
        <w:t>初验通过且试运行申请通过之日起</w:t>
      </w:r>
      <w:r>
        <w:rPr>
          <w:rFonts w:hint="eastAsia" w:ascii="宋体" w:hAnsi="宋体" w:eastAsia="宋体" w:cs="宋体"/>
          <w:color w:val="auto"/>
          <w:kern w:val="2"/>
          <w:sz w:val="21"/>
          <w:szCs w:val="21"/>
          <w:highlight w:val="none"/>
          <w:lang w:val="zh-CN" w:eastAsia="zh-CN" w:bidi="ar-SA"/>
        </w:rPr>
        <w:t>进入为期三个月的试运行。</w:t>
      </w:r>
      <w:r>
        <w:rPr>
          <w:rFonts w:hint="eastAsia" w:ascii="宋体" w:hAnsi="宋体" w:eastAsia="宋体" w:cs="宋体"/>
          <w:color w:val="auto"/>
          <w:sz w:val="21"/>
          <w:szCs w:val="21"/>
        </w:rPr>
        <w:t>试运行结束后⼀个月内通过项目终验；试运行期内若出现较大或重大问题的，应延长试运行时间，直至系统稳定试运行 1 个月，试运行结束后 1 个月内通过项目终验。</w:t>
      </w:r>
    </w:p>
    <w:p w14:paraId="5B128821">
      <w:pPr>
        <w:spacing w:line="36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Hans"/>
        </w:rPr>
        <w:t>投标人应按照上述时间安排，制定相应的项目实施详细进度计划，确定每个实施阶段的时间表及工作目标。</w:t>
      </w:r>
    </w:p>
    <w:p w14:paraId="2F2598BD">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项目组织及实施要求</w:t>
      </w:r>
      <w:bookmarkEnd w:id="15"/>
    </w:p>
    <w:p w14:paraId="30A7CFCE">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投标人中标后需要在10个工作日内在</w:t>
      </w:r>
      <w:r>
        <w:rPr>
          <w:rFonts w:hint="eastAsia" w:ascii="Times New Roman" w:hAnsi="Times New Roman" w:eastAsia="宋体" w:cs="Times New Roman"/>
          <w:color w:val="auto"/>
          <w:kern w:val="2"/>
          <w:sz w:val="21"/>
          <w:szCs w:val="21"/>
          <w:highlight w:val="none"/>
          <w:lang w:val="en-US" w:eastAsia="zh-CN" w:bidi="ar-SA"/>
        </w:rPr>
        <w:t>鄞州区卫健局</w:t>
      </w:r>
      <w:r>
        <w:rPr>
          <w:rFonts w:ascii="Times New Roman" w:hAnsi="Times New Roman" w:eastAsia="宋体" w:cs="Times New Roman"/>
          <w:color w:val="auto"/>
          <w:kern w:val="2"/>
          <w:sz w:val="21"/>
          <w:szCs w:val="21"/>
          <w:highlight w:val="none"/>
          <w:lang w:val="zh-CN" w:eastAsia="zh-CN" w:bidi="ar-SA"/>
        </w:rPr>
        <w:t>成立工作团队，并指定一名专职的项目经理，负责项目协调和调度工作。除项目经理外，项目组须配备专职的技术负责人，并按照项目实施的要求，配置相应的项目管理、系统设计、开发、测试、集成、培训、质量保证等人员。</w:t>
      </w:r>
    </w:p>
    <w:p w14:paraId="6B6EDD50">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本项目实施阶段要求驻场，要求投标单位明确各阶段的人员驻场安排，项目经理要求在项目建设各阶段在现场开展相关工作，并保证一定的到场率；项目</w:t>
      </w:r>
      <w:r>
        <w:rPr>
          <w:rFonts w:hint="eastAsia" w:ascii="Calibri" w:hAnsi="Calibri" w:eastAsia="宋体" w:cs="Times New Roman"/>
          <w:color w:val="auto"/>
          <w:kern w:val="2"/>
          <w:sz w:val="21"/>
          <w:szCs w:val="21"/>
          <w:highlight w:val="none"/>
          <w:lang w:val="en-US" w:eastAsia="zh-CN" w:bidi="ar-SA"/>
        </w:rPr>
        <w:t>软件</w:t>
      </w:r>
      <w:r>
        <w:rPr>
          <w:rFonts w:ascii="Times New Roman" w:hAnsi="Times New Roman" w:eastAsia="宋体" w:cs="Times New Roman"/>
          <w:color w:val="auto"/>
          <w:kern w:val="2"/>
          <w:sz w:val="21"/>
          <w:szCs w:val="21"/>
          <w:highlight w:val="none"/>
          <w:lang w:val="zh-CN" w:eastAsia="zh-CN" w:bidi="ar-SA"/>
        </w:rPr>
        <w:t>小组团队成员在各阶段至少安排</w:t>
      </w:r>
      <w:r>
        <w:rPr>
          <w:rFonts w:hint="eastAsia" w:ascii="Calibri" w:hAnsi="Calibri" w:eastAsia="宋体" w:cs="Times New Roman"/>
          <w:color w:val="auto"/>
          <w:kern w:val="2"/>
          <w:sz w:val="21"/>
          <w:szCs w:val="21"/>
          <w:highlight w:val="none"/>
          <w:lang w:val="en-US" w:eastAsia="zh-CN" w:bidi="ar-SA"/>
        </w:rPr>
        <w:t>15</w:t>
      </w:r>
      <w:r>
        <w:rPr>
          <w:rFonts w:ascii="Times New Roman" w:hAnsi="Times New Roman" w:eastAsia="宋体" w:cs="Times New Roman"/>
          <w:color w:val="auto"/>
          <w:kern w:val="2"/>
          <w:sz w:val="21"/>
          <w:szCs w:val="21"/>
          <w:highlight w:val="none"/>
          <w:lang w:val="zh-CN" w:eastAsia="zh-CN" w:bidi="ar-SA"/>
        </w:rPr>
        <w:t>人进驻现场开展各项工作。并在验收后的质量保证期内专人（该工程师需全程参与过本项目建设）参加日常维护工作。</w:t>
      </w:r>
      <w:r>
        <w:rPr>
          <w:rFonts w:hint="eastAsia" w:ascii="Calibri" w:hAnsi="Calibri" w:eastAsia="宋体" w:cs="Times New Roman"/>
          <w:color w:val="auto"/>
          <w:kern w:val="2"/>
          <w:sz w:val="21"/>
          <w:szCs w:val="21"/>
          <w:highlight w:val="none"/>
          <w:lang w:val="en-US" w:eastAsia="zh-CN" w:bidi="ar-SA"/>
        </w:rPr>
        <w:t>硬件团队必须安排原厂工程师进行设备系统安装、部署和调试。</w:t>
      </w:r>
    </w:p>
    <w:p w14:paraId="513283D3">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参与此项目的技术人员必须具有承担过相同类型软件开发的经验</w:t>
      </w:r>
      <w:r>
        <w:rPr>
          <w:rFonts w:hint="eastAsia" w:ascii="Times New Roman" w:hAnsi="Times New Roman" w:eastAsia="宋体" w:cs="Times New Roman"/>
          <w:color w:val="auto"/>
          <w:kern w:val="2"/>
          <w:sz w:val="21"/>
          <w:szCs w:val="21"/>
          <w:highlight w:val="none"/>
          <w:lang w:val="en-US" w:eastAsia="zh-CN" w:bidi="ar-SA"/>
        </w:rPr>
        <w:t>或具有</w:t>
      </w:r>
      <w:r>
        <w:rPr>
          <w:rFonts w:hint="eastAsia" w:ascii="Calibri" w:hAnsi="Calibri" w:eastAsia="宋体" w:cs="Times New Roman"/>
          <w:color w:val="auto"/>
          <w:kern w:val="2"/>
          <w:sz w:val="21"/>
          <w:szCs w:val="21"/>
          <w:highlight w:val="none"/>
          <w:lang w:val="en-US" w:eastAsia="zh-CN" w:bidi="ar-SA"/>
        </w:rPr>
        <w:t>同类项目集成经验。</w:t>
      </w:r>
      <w:r>
        <w:rPr>
          <w:rFonts w:ascii="Times New Roman" w:hAnsi="Times New Roman" w:eastAsia="宋体" w:cs="Times New Roman"/>
          <w:color w:val="auto"/>
          <w:kern w:val="2"/>
          <w:sz w:val="21"/>
          <w:szCs w:val="21"/>
          <w:highlight w:val="none"/>
          <w:lang w:val="zh-CN" w:eastAsia="zh-CN" w:bidi="ar-SA"/>
        </w:rPr>
        <w:t>能够与用户进行良好的沟通，掌握相关领域的相关基础知识，具备相关应用开发</w:t>
      </w:r>
      <w:r>
        <w:rPr>
          <w:rFonts w:hint="eastAsia" w:ascii="Calibri" w:hAnsi="Calibri" w:eastAsia="宋体" w:cs="Times New Roman"/>
          <w:color w:val="auto"/>
          <w:kern w:val="2"/>
          <w:sz w:val="21"/>
          <w:szCs w:val="21"/>
          <w:highlight w:val="none"/>
          <w:lang w:val="en-US" w:eastAsia="zh-CN" w:bidi="ar-SA"/>
        </w:rPr>
        <w:t>和系统集成</w:t>
      </w:r>
      <w:r>
        <w:rPr>
          <w:rFonts w:ascii="Times New Roman" w:hAnsi="Times New Roman" w:eastAsia="宋体" w:cs="Times New Roman"/>
          <w:color w:val="auto"/>
          <w:kern w:val="2"/>
          <w:sz w:val="21"/>
          <w:szCs w:val="21"/>
          <w:highlight w:val="none"/>
          <w:lang w:val="zh-CN" w:eastAsia="zh-CN" w:bidi="ar-SA"/>
        </w:rPr>
        <w:t>的能力。</w:t>
      </w:r>
    </w:p>
    <w:p w14:paraId="2CA0E140">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在项目合同签订后，需组织相关实施人员在该项目招标需求的基础上进行深入调研，编制需求规格说明书。需求规格说明经采购人、</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确认后作为项目验收的依据。</w:t>
      </w:r>
    </w:p>
    <w:p w14:paraId="65E93F9F">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要求</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在各阶段及时提供相应的项目管理文档、开发类文档及实施类文档，以便业主方及时了解项目进展情况。</w:t>
      </w:r>
    </w:p>
    <w:p w14:paraId="28900321">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对上述安排投标人应列出详细实施方案，包括但不限于项目管理计划、项目进度计划、项目验收计划、项目组织结构（人员姓名、经验、学历和在本项目中的职责分工等，项目小组成员须提供社保证明）等。</w:t>
      </w:r>
    </w:p>
    <w:p w14:paraId="1135F303">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投标人应在投标文件中提供详细的施工计划，应包括项目组织机构、项目实施流程、项目实施进度、项目实施安排。</w:t>
      </w:r>
    </w:p>
    <w:p w14:paraId="5F667EBC">
      <w:pPr>
        <w:keepNext w:val="0"/>
        <w:keepLines w:val="0"/>
        <w:pageBreakBefore w:val="0"/>
        <w:widowControl/>
        <w:numPr>
          <w:ilvl w:val="0"/>
          <w:numId w:val="406"/>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投标人应向采购方提供项目管理人员和技术人员配置情况，并在系统部署工作开始之日起，指派具有资质的项目经理负责现场工作的组织、协调和施工工作。</w:t>
      </w:r>
    </w:p>
    <w:p w14:paraId="152366DF">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bookmarkStart w:id="16" w:name="_Toc436664877"/>
      <w:r>
        <w:rPr>
          <w:rFonts w:hint="eastAsia" w:ascii="Arial" w:hAnsi="Arial" w:eastAsia="黑体" w:cs="Times New Roman"/>
          <w:b/>
          <w:color w:val="auto"/>
          <w:kern w:val="2"/>
          <w:sz w:val="21"/>
          <w:szCs w:val="21"/>
          <w:lang w:val="en-US" w:eastAsia="zh-CN" w:bidi="ar-SA"/>
        </w:rPr>
        <w:t>安装、测试及系统集成要求</w:t>
      </w:r>
      <w:bookmarkEnd w:id="16"/>
    </w:p>
    <w:p w14:paraId="00006A91">
      <w:pPr>
        <w:keepNext w:val="0"/>
        <w:keepLines w:val="0"/>
        <w:pageBreakBefore w:val="0"/>
        <w:widowControl/>
        <w:numPr>
          <w:ilvl w:val="0"/>
          <w:numId w:val="407"/>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负责本项目范围内应用软件</w:t>
      </w:r>
      <w:r>
        <w:rPr>
          <w:rFonts w:hint="eastAsia" w:ascii="Times New Roman" w:hAnsi="Times New Roman" w:eastAsia="宋体" w:cs="Times New Roman"/>
          <w:color w:val="auto"/>
          <w:kern w:val="2"/>
          <w:sz w:val="21"/>
          <w:szCs w:val="21"/>
          <w:highlight w:val="none"/>
          <w:lang w:val="en-US" w:eastAsia="zh-CN" w:bidi="ar-SA"/>
        </w:rPr>
        <w:t>和相关设备</w:t>
      </w:r>
      <w:r>
        <w:rPr>
          <w:rFonts w:ascii="Times New Roman" w:hAnsi="Times New Roman" w:eastAsia="宋体" w:cs="Times New Roman"/>
          <w:color w:val="auto"/>
          <w:kern w:val="2"/>
          <w:sz w:val="21"/>
          <w:szCs w:val="21"/>
          <w:highlight w:val="none"/>
          <w:lang w:val="zh-CN" w:eastAsia="zh-CN" w:bidi="ar-SA"/>
        </w:rPr>
        <w:t>的现场安装部署、集成、测试和调试，保证系统功能、性能要求的实现，提供售后服务。同时负责对应用于该项目的原有软硬件设备的系统集成。在安装、配置和测试、调试过程中，</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应对最终用户技术人员所提出的技术问题，给予满意的答复。</w:t>
      </w:r>
    </w:p>
    <w:p w14:paraId="2BEAB078">
      <w:pPr>
        <w:keepNext w:val="0"/>
        <w:keepLines w:val="0"/>
        <w:pageBreakBefore w:val="0"/>
        <w:widowControl/>
        <w:numPr>
          <w:ilvl w:val="0"/>
          <w:numId w:val="407"/>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要求有完整的安装和配置程序，具有详细的系统安装配置说明手册、用户使用说明书和系统维护说明书。系统实际安装与操作必须与说明书描述一致。</w:t>
      </w:r>
    </w:p>
    <w:p w14:paraId="4FF2AD42">
      <w:pPr>
        <w:keepNext w:val="0"/>
        <w:keepLines w:val="0"/>
        <w:pageBreakBefore w:val="0"/>
        <w:widowControl/>
        <w:numPr>
          <w:ilvl w:val="0"/>
          <w:numId w:val="407"/>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要求具有完整的系统测试计划，包括根据用户需求编写的，遍及系统95%以上功能、性能的测试用例，合理的测试方案和测试方法。要求保留完整的测试报告。</w:t>
      </w:r>
    </w:p>
    <w:p w14:paraId="3AA852DE">
      <w:pPr>
        <w:keepNext w:val="0"/>
        <w:keepLines w:val="0"/>
        <w:pageBreakBefore w:val="0"/>
        <w:widowControl/>
        <w:numPr>
          <w:ilvl w:val="0"/>
          <w:numId w:val="407"/>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项目实施过程中，如果牵涉到与第三方产品集成工作，</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应与系统集成商及其他供应商通力合作，并提供必要的技术支持。</w:t>
      </w:r>
    </w:p>
    <w:p w14:paraId="3BB2CCB4">
      <w:pPr>
        <w:keepNext w:val="0"/>
        <w:keepLines w:val="0"/>
        <w:pageBreakBefore w:val="0"/>
        <w:widowControl/>
        <w:numPr>
          <w:ilvl w:val="0"/>
          <w:numId w:val="407"/>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整个软件系统建设中，中标人如果使用第三方产品，必须作出采购人关于知识产权免责申明的承诺。</w:t>
      </w:r>
    </w:p>
    <w:p w14:paraId="2CCD38EA">
      <w:pPr>
        <w:keepNext w:val="0"/>
        <w:keepLines w:val="0"/>
        <w:pageBreakBefore w:val="0"/>
        <w:widowControl/>
        <w:numPr>
          <w:ilvl w:val="0"/>
          <w:numId w:val="407"/>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采购人有权聘请具备国家相关软件评测资质的第三方评测机构对软件和数据库进行测试，</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有义务作好配合工作，并对测试结果中出现的问题或缺陷进行整改，直到满足要求为止。</w:t>
      </w:r>
    </w:p>
    <w:p w14:paraId="031EFE54">
      <w:pPr>
        <w:keepNext w:val="0"/>
        <w:keepLines w:val="0"/>
        <w:pageBreakBefore w:val="0"/>
        <w:widowControl/>
        <w:numPr>
          <w:ilvl w:val="0"/>
          <w:numId w:val="407"/>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负责解决系统建设中全部技术问题，对用户单位项目建设中碰到的其他技术问题，有责任和义务提供咨询和帮助。</w:t>
      </w:r>
    </w:p>
    <w:p w14:paraId="17C2D5C5">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bookmarkStart w:id="17" w:name="_Toc436664879"/>
      <w:r>
        <w:rPr>
          <w:rFonts w:hint="eastAsia" w:ascii="Arial" w:hAnsi="Arial" w:eastAsia="黑体" w:cs="Times New Roman"/>
          <w:b/>
          <w:color w:val="auto"/>
          <w:kern w:val="2"/>
          <w:sz w:val="21"/>
          <w:szCs w:val="21"/>
          <w:lang w:val="en-US" w:eastAsia="zh-CN" w:bidi="ar-SA"/>
        </w:rPr>
        <w:t>售后服务要求</w:t>
      </w:r>
      <w:bookmarkEnd w:id="17"/>
    </w:p>
    <w:p w14:paraId="0B4548A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2" w:firstLineChars="200"/>
        <w:jc w:val="left"/>
        <w:textAlignment w:val="auto"/>
        <w:rPr>
          <w:rFonts w:ascii="Times New Roman" w:hAnsi="Times New Roman" w:eastAsia="宋体" w:cs="Times New Roman"/>
          <w:b/>
          <w:bCs/>
          <w:color w:val="auto"/>
          <w:kern w:val="2"/>
          <w:sz w:val="21"/>
          <w:szCs w:val="21"/>
          <w:highlight w:val="none"/>
          <w:u w:val="single"/>
          <w:lang w:val="zh-CN" w:eastAsia="zh-CN" w:bidi="ar-SA"/>
        </w:rPr>
      </w:pPr>
      <w:r>
        <w:rPr>
          <w:rFonts w:hint="default" w:ascii="Arial" w:hAnsi="Arial" w:eastAsia="黑体" w:cs="Arial"/>
          <w:b/>
          <w:bCs/>
          <w:color w:val="auto"/>
          <w:sz w:val="21"/>
          <w:szCs w:val="21"/>
          <w:u w:val="single"/>
        </w:rPr>
        <w:t>★</w:t>
      </w:r>
      <w:r>
        <w:rPr>
          <w:rFonts w:hint="default" w:ascii="Calibri" w:hAnsi="Calibri" w:eastAsia="宋体" w:cs="Times New Roman"/>
          <w:b/>
          <w:bCs/>
          <w:color w:val="auto"/>
          <w:kern w:val="2"/>
          <w:sz w:val="21"/>
          <w:szCs w:val="21"/>
          <w:highlight w:val="none"/>
          <w:u w:val="single"/>
          <w:lang w:val="zh-CN" w:eastAsia="zh-CN" w:bidi="ar-SA"/>
        </w:rPr>
        <w:t>1.</w:t>
      </w:r>
      <w:r>
        <w:rPr>
          <w:rFonts w:hint="eastAsia" w:ascii="Times New Roman" w:hAnsi="Times New Roman" w:eastAsia="宋体" w:cs="Times New Roman"/>
          <w:b/>
          <w:bCs/>
          <w:color w:val="auto"/>
          <w:kern w:val="2"/>
          <w:sz w:val="21"/>
          <w:szCs w:val="21"/>
          <w:highlight w:val="none"/>
          <w:u w:val="single"/>
          <w:lang w:val="zh-CN" w:eastAsia="zh-CN" w:bidi="ar-SA"/>
        </w:rPr>
        <w:t>中标人</w:t>
      </w:r>
      <w:r>
        <w:rPr>
          <w:rFonts w:ascii="Times New Roman" w:hAnsi="Times New Roman" w:eastAsia="宋体" w:cs="Times New Roman"/>
          <w:b/>
          <w:bCs/>
          <w:color w:val="auto"/>
          <w:kern w:val="2"/>
          <w:sz w:val="21"/>
          <w:szCs w:val="21"/>
          <w:highlight w:val="none"/>
          <w:u w:val="single"/>
          <w:lang w:val="zh-CN" w:eastAsia="zh-CN" w:bidi="ar-SA"/>
        </w:rPr>
        <w:t>应</w:t>
      </w:r>
      <w:r>
        <w:rPr>
          <w:rFonts w:hint="default" w:ascii="Calibri" w:hAnsi="Calibri" w:eastAsia="宋体" w:cs="Times New Roman"/>
          <w:b/>
          <w:bCs/>
          <w:color w:val="auto"/>
          <w:kern w:val="2"/>
          <w:sz w:val="21"/>
          <w:szCs w:val="21"/>
          <w:highlight w:val="none"/>
          <w:u w:val="single"/>
          <w:lang w:val="zh-CN" w:eastAsia="zh-CN" w:bidi="ar-SA"/>
        </w:rPr>
        <w:t>提供软件系统3年原厂</w:t>
      </w:r>
      <w:r>
        <w:rPr>
          <w:rFonts w:ascii="Times New Roman" w:hAnsi="Times New Roman" w:eastAsia="宋体" w:cs="Times New Roman"/>
          <w:b/>
          <w:bCs/>
          <w:color w:val="auto"/>
          <w:kern w:val="2"/>
          <w:sz w:val="21"/>
          <w:szCs w:val="21"/>
          <w:highlight w:val="none"/>
          <w:u w:val="single"/>
          <w:lang w:val="zh-CN" w:eastAsia="zh-CN" w:bidi="ar-SA"/>
        </w:rPr>
        <w:t>的质保</w:t>
      </w:r>
      <w:r>
        <w:rPr>
          <w:rFonts w:hint="default" w:ascii="Calibri" w:hAnsi="Calibri" w:eastAsia="宋体" w:cs="Times New Roman"/>
          <w:b/>
          <w:bCs/>
          <w:color w:val="auto"/>
          <w:kern w:val="2"/>
          <w:sz w:val="21"/>
          <w:szCs w:val="21"/>
          <w:highlight w:val="none"/>
          <w:u w:val="single"/>
          <w:lang w:val="zh-CN" w:eastAsia="zh-CN" w:bidi="ar-SA"/>
        </w:rPr>
        <w:t>服务</w:t>
      </w:r>
      <w:r>
        <w:rPr>
          <w:rFonts w:hint="eastAsia" w:ascii="Times New Roman" w:hAnsi="Times New Roman" w:eastAsia="宋体" w:cs="Times New Roman"/>
          <w:b/>
          <w:bCs/>
          <w:color w:val="auto"/>
          <w:kern w:val="2"/>
          <w:sz w:val="21"/>
          <w:szCs w:val="21"/>
          <w:highlight w:val="none"/>
          <w:u w:val="single"/>
          <w:lang w:val="zh-CN" w:eastAsia="zh-CN" w:bidi="ar-SA"/>
        </w:rPr>
        <w:t>，</w:t>
      </w:r>
      <w:r>
        <w:rPr>
          <w:rFonts w:hint="default" w:ascii="Times New Roman" w:hAnsi="Times New Roman" w:eastAsia="宋体" w:cs="Times New Roman"/>
          <w:b/>
          <w:bCs/>
          <w:color w:val="auto"/>
          <w:kern w:val="2"/>
          <w:sz w:val="21"/>
          <w:szCs w:val="21"/>
          <w:highlight w:val="none"/>
          <w:u w:val="single"/>
          <w:lang w:val="zh-CN" w:eastAsia="zh-CN" w:bidi="ar-SA"/>
        </w:rPr>
        <w:t>对硬件设备提供</w:t>
      </w:r>
      <w:r>
        <w:rPr>
          <w:rFonts w:hint="default" w:ascii="Calibri" w:hAnsi="Calibri" w:eastAsia="宋体" w:cs="Times New Roman"/>
          <w:b/>
          <w:bCs/>
          <w:color w:val="auto"/>
          <w:kern w:val="2"/>
          <w:sz w:val="21"/>
          <w:szCs w:val="21"/>
          <w:highlight w:val="none"/>
          <w:u w:val="single"/>
          <w:lang w:val="zh-CN" w:eastAsia="zh-CN" w:bidi="ar-SA"/>
        </w:rPr>
        <w:t>5年原厂</w:t>
      </w:r>
      <w:r>
        <w:rPr>
          <w:rFonts w:hint="default" w:ascii="Times New Roman" w:hAnsi="Times New Roman" w:eastAsia="宋体" w:cs="Times New Roman"/>
          <w:b/>
          <w:bCs/>
          <w:color w:val="auto"/>
          <w:kern w:val="2"/>
          <w:sz w:val="21"/>
          <w:szCs w:val="21"/>
          <w:highlight w:val="none"/>
          <w:u w:val="single"/>
          <w:lang w:val="zh-CN" w:eastAsia="zh-CN" w:bidi="ar-SA"/>
        </w:rPr>
        <w:t>质保</w:t>
      </w:r>
      <w:r>
        <w:rPr>
          <w:rFonts w:hint="default" w:ascii="Calibri" w:hAnsi="Calibri" w:eastAsia="宋体" w:cs="Times New Roman"/>
          <w:b/>
          <w:bCs/>
          <w:color w:val="auto"/>
          <w:kern w:val="2"/>
          <w:sz w:val="21"/>
          <w:szCs w:val="21"/>
          <w:highlight w:val="none"/>
          <w:u w:val="single"/>
          <w:lang w:val="zh-CN" w:eastAsia="zh-CN" w:bidi="ar-SA"/>
        </w:rPr>
        <w:t>服务</w:t>
      </w:r>
      <w:r>
        <w:rPr>
          <w:rFonts w:hint="eastAsia" w:ascii="Calibri" w:hAnsi="Calibri" w:eastAsia="宋体" w:cs="Times New Roman"/>
          <w:b/>
          <w:bCs/>
          <w:color w:val="auto"/>
          <w:kern w:val="2"/>
          <w:sz w:val="21"/>
          <w:szCs w:val="21"/>
          <w:highlight w:val="none"/>
          <w:u w:val="single"/>
          <w:lang w:val="zh-CN" w:eastAsia="zh-CN" w:bidi="ar-SA"/>
        </w:rPr>
        <w:t>（</w:t>
      </w:r>
      <w:r>
        <w:rPr>
          <w:rFonts w:hint="eastAsia" w:ascii="Calibri" w:hAnsi="Calibri" w:eastAsia="宋体" w:cs="Times New Roman"/>
          <w:b/>
          <w:bCs/>
          <w:color w:val="auto"/>
          <w:kern w:val="2"/>
          <w:sz w:val="21"/>
          <w:szCs w:val="21"/>
          <w:highlight w:val="none"/>
          <w:u w:val="single"/>
          <w:lang w:val="en-US" w:eastAsia="zh-CN" w:bidi="ar-SA"/>
        </w:rPr>
        <w:t>采购需求另有规定的，以采购需求要求为准</w:t>
      </w:r>
      <w:r>
        <w:rPr>
          <w:rFonts w:hint="eastAsia" w:ascii="Calibri" w:hAnsi="Calibri" w:eastAsia="宋体" w:cs="Times New Roman"/>
          <w:b/>
          <w:bCs/>
          <w:color w:val="auto"/>
          <w:kern w:val="2"/>
          <w:sz w:val="21"/>
          <w:szCs w:val="21"/>
          <w:highlight w:val="none"/>
          <w:u w:val="single"/>
          <w:lang w:val="zh-CN" w:eastAsia="zh-CN" w:bidi="ar-SA"/>
        </w:rPr>
        <w:t>）</w:t>
      </w:r>
      <w:r>
        <w:rPr>
          <w:rFonts w:ascii="Times New Roman" w:hAnsi="Times New Roman" w:eastAsia="宋体" w:cs="Times New Roman"/>
          <w:b/>
          <w:bCs/>
          <w:color w:val="auto"/>
          <w:kern w:val="2"/>
          <w:sz w:val="21"/>
          <w:szCs w:val="21"/>
          <w:highlight w:val="none"/>
          <w:u w:val="single"/>
          <w:lang w:val="zh-CN" w:eastAsia="zh-CN" w:bidi="ar-SA"/>
        </w:rPr>
        <w:t>。</w:t>
      </w:r>
      <w:r>
        <w:rPr>
          <w:rFonts w:hint="default" w:ascii="Calibri" w:hAnsi="Calibri" w:eastAsia="宋体" w:cs="Times New Roman"/>
          <w:b/>
          <w:bCs/>
          <w:color w:val="auto"/>
          <w:kern w:val="2"/>
          <w:sz w:val="21"/>
          <w:szCs w:val="21"/>
          <w:highlight w:val="none"/>
          <w:u w:val="single"/>
          <w:lang w:val="zh-CN" w:eastAsia="zh-CN" w:bidi="ar-SA"/>
        </w:rPr>
        <w:t>对总体项目提供</w:t>
      </w:r>
      <w:r>
        <w:rPr>
          <w:rFonts w:hint="eastAsia" w:ascii="Calibri" w:hAnsi="Calibri" w:eastAsia="宋体" w:cs="Times New Roman"/>
          <w:b/>
          <w:bCs/>
          <w:color w:val="auto"/>
          <w:kern w:val="2"/>
          <w:sz w:val="21"/>
          <w:szCs w:val="21"/>
          <w:highlight w:val="none"/>
          <w:u w:val="single"/>
          <w:lang w:val="en-US" w:eastAsia="zh-CN" w:bidi="ar-SA"/>
        </w:rPr>
        <w:t>3</w:t>
      </w:r>
      <w:r>
        <w:rPr>
          <w:rFonts w:hint="default" w:ascii="Calibri" w:hAnsi="Calibri" w:eastAsia="宋体" w:cs="Times New Roman"/>
          <w:b/>
          <w:bCs/>
          <w:color w:val="auto"/>
          <w:kern w:val="2"/>
          <w:sz w:val="21"/>
          <w:szCs w:val="21"/>
          <w:highlight w:val="none"/>
          <w:u w:val="single"/>
          <w:lang w:val="zh-CN" w:eastAsia="zh-CN" w:bidi="ar-SA"/>
        </w:rPr>
        <w:t>年的运维服务。</w:t>
      </w:r>
    </w:p>
    <w:p w14:paraId="6EFAE60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default" w:ascii="Calibri" w:hAnsi="Calibri" w:eastAsia="宋体" w:cs="Times New Roman"/>
          <w:color w:val="auto"/>
          <w:kern w:val="2"/>
          <w:sz w:val="21"/>
          <w:szCs w:val="21"/>
          <w:highlight w:val="none"/>
          <w:lang w:val="zh-CN" w:eastAsia="zh-CN" w:bidi="ar-SA"/>
        </w:rPr>
        <w:t>2.</w:t>
      </w:r>
      <w:r>
        <w:rPr>
          <w:rFonts w:ascii="Times New Roman" w:hAnsi="Times New Roman" w:eastAsia="宋体" w:cs="Times New Roman"/>
          <w:color w:val="auto"/>
          <w:kern w:val="2"/>
          <w:sz w:val="21"/>
          <w:szCs w:val="21"/>
          <w:highlight w:val="none"/>
          <w:lang w:val="zh-CN" w:eastAsia="zh-CN" w:bidi="ar-SA"/>
        </w:rPr>
        <w:t>在</w:t>
      </w:r>
      <w:r>
        <w:rPr>
          <w:rFonts w:hint="eastAsia" w:ascii="Times New Roman" w:hAnsi="Times New Roman" w:eastAsia="宋体" w:cs="Times New Roman"/>
          <w:color w:val="auto"/>
          <w:kern w:val="2"/>
          <w:sz w:val="21"/>
          <w:szCs w:val="21"/>
          <w:highlight w:val="none"/>
          <w:lang w:val="en-US" w:eastAsia="zh-CN" w:bidi="ar-SA"/>
        </w:rPr>
        <w:t>质量</w:t>
      </w:r>
      <w:r>
        <w:rPr>
          <w:rFonts w:ascii="Times New Roman" w:hAnsi="Times New Roman" w:eastAsia="宋体" w:cs="Times New Roman"/>
          <w:color w:val="auto"/>
          <w:kern w:val="2"/>
          <w:sz w:val="21"/>
          <w:szCs w:val="21"/>
          <w:highlight w:val="none"/>
          <w:lang w:val="zh-CN" w:eastAsia="zh-CN" w:bidi="ar-SA"/>
        </w:rPr>
        <w:t>保证期内</w:t>
      </w:r>
      <w:r>
        <w:rPr>
          <w:rFonts w:hint="default" w:ascii="Calibri" w:hAnsi="Calibri" w:eastAsia="宋体" w:cs="Times New Roman"/>
          <w:color w:val="auto"/>
          <w:kern w:val="2"/>
          <w:sz w:val="21"/>
          <w:szCs w:val="21"/>
          <w:highlight w:val="none"/>
          <w:lang w:val="zh-CN"/>
        </w:rPr>
        <w:t>中标人</w:t>
      </w:r>
      <w:r>
        <w:rPr>
          <w:rFonts w:ascii="Calibri" w:hAnsi="Calibri" w:eastAsia="宋体" w:cs="Times New Roman"/>
          <w:color w:val="auto"/>
          <w:kern w:val="2"/>
          <w:sz w:val="21"/>
          <w:szCs w:val="21"/>
          <w:highlight w:val="none"/>
          <w:lang w:val="zh-CN"/>
        </w:rPr>
        <w:t>须向</w:t>
      </w:r>
      <w:r>
        <w:rPr>
          <w:rFonts w:hint="default" w:ascii="Calibri" w:hAnsi="Calibri" w:eastAsia="宋体" w:cs="Times New Roman"/>
          <w:color w:val="auto"/>
          <w:kern w:val="2"/>
          <w:sz w:val="21"/>
          <w:szCs w:val="21"/>
          <w:highlight w:val="none"/>
          <w:lang w:val="zh-CN"/>
        </w:rPr>
        <w:t>采购人</w:t>
      </w:r>
      <w:r>
        <w:rPr>
          <w:rFonts w:ascii="Calibri" w:hAnsi="Calibri" w:eastAsia="宋体" w:cs="Times New Roman"/>
          <w:color w:val="auto"/>
          <w:kern w:val="2"/>
          <w:sz w:val="21"/>
          <w:szCs w:val="21"/>
          <w:highlight w:val="none"/>
          <w:lang w:val="zh-CN"/>
        </w:rPr>
        <w:t>提供免费的技术支持和服务，服务内容应包括但不限于下述内容：技术协助、升级服务、调优、故障排除</w:t>
      </w:r>
      <w:r>
        <w:rPr>
          <w:rFonts w:hint="default" w:ascii="Calibri" w:hAnsi="Calibri" w:eastAsia="宋体" w:cs="Times New Roman"/>
          <w:color w:val="auto"/>
          <w:kern w:val="2"/>
          <w:sz w:val="21"/>
          <w:szCs w:val="21"/>
          <w:highlight w:val="none"/>
          <w:lang w:val="zh-CN"/>
        </w:rPr>
        <w:t>、功能优化</w:t>
      </w:r>
      <w:r>
        <w:rPr>
          <w:rFonts w:ascii="Calibri" w:hAnsi="Calibri" w:eastAsia="宋体" w:cs="Times New Roman"/>
          <w:color w:val="auto"/>
          <w:kern w:val="2"/>
          <w:sz w:val="21"/>
          <w:szCs w:val="21"/>
          <w:highlight w:val="none"/>
          <w:lang w:val="zh-CN"/>
        </w:rPr>
        <w:t>等。</w:t>
      </w:r>
      <w:r>
        <w:rPr>
          <w:rFonts w:ascii="Times New Roman" w:hAnsi="Times New Roman" w:eastAsia="宋体" w:cs="Times New Roman"/>
          <w:color w:val="auto"/>
          <w:kern w:val="2"/>
          <w:sz w:val="21"/>
          <w:szCs w:val="21"/>
          <w:highlight w:val="none"/>
          <w:lang w:val="zh-CN" w:eastAsia="zh-CN" w:bidi="ar-SA"/>
        </w:rPr>
        <w:t>由于设备本身质量原因造成的任何损伤或损坏，中标人须免费负责修理或更换。</w:t>
      </w:r>
    </w:p>
    <w:p w14:paraId="50931B26">
      <w:pPr>
        <w:widowControl/>
        <w:numPr>
          <w:ilvl w:val="0"/>
          <w:numId w:val="0"/>
        </w:numPr>
        <w:spacing w:line="360" w:lineRule="auto"/>
        <w:ind w:leftChars="0" w:firstLine="420" w:firstLineChars="200"/>
        <w:jc w:val="left"/>
        <w:rPr>
          <w:rFonts w:ascii="Calibri" w:hAnsi="Calibri" w:eastAsia="宋体" w:cs="Times New Roman"/>
          <w:color w:val="auto"/>
          <w:kern w:val="2"/>
          <w:sz w:val="21"/>
          <w:szCs w:val="21"/>
          <w:highlight w:val="none"/>
          <w:lang w:val="zh-CN"/>
        </w:rPr>
      </w:pPr>
      <w:r>
        <w:rPr>
          <w:rFonts w:hint="default" w:ascii="Calibri" w:hAnsi="Calibri" w:eastAsia="宋体" w:cs="Times New Roman"/>
          <w:color w:val="auto"/>
          <w:kern w:val="2"/>
          <w:sz w:val="21"/>
          <w:szCs w:val="21"/>
          <w:highlight w:val="none"/>
          <w:lang w:val="zh-CN" w:eastAsia="zh-CN" w:bidi="ar-SA"/>
        </w:rPr>
        <w:t>3.</w:t>
      </w:r>
      <w:r>
        <w:rPr>
          <w:rFonts w:ascii="Times New Roman" w:hAnsi="Times New Roman" w:eastAsia="宋体" w:cs="Times New Roman"/>
          <w:color w:val="auto"/>
          <w:kern w:val="2"/>
          <w:sz w:val="21"/>
          <w:szCs w:val="21"/>
          <w:highlight w:val="none"/>
          <w:lang w:val="zh-CN" w:eastAsia="zh-CN" w:bidi="ar-SA"/>
        </w:rPr>
        <w:t>质量保证期自项目</w:t>
      </w:r>
      <w:r>
        <w:rPr>
          <w:rFonts w:hint="default" w:ascii="Calibri" w:hAnsi="Calibri" w:eastAsia="宋体" w:cs="Times New Roman"/>
          <w:color w:val="auto"/>
          <w:kern w:val="2"/>
          <w:sz w:val="21"/>
          <w:szCs w:val="21"/>
          <w:highlight w:val="none"/>
          <w:lang w:val="zh-CN" w:eastAsia="zh-CN" w:bidi="ar-SA"/>
        </w:rPr>
        <w:t>终验通过</w:t>
      </w:r>
      <w:r>
        <w:rPr>
          <w:rFonts w:ascii="Times New Roman" w:hAnsi="Times New Roman" w:eastAsia="宋体" w:cs="Times New Roman"/>
          <w:color w:val="auto"/>
          <w:kern w:val="2"/>
          <w:sz w:val="21"/>
          <w:szCs w:val="21"/>
          <w:highlight w:val="none"/>
          <w:lang w:val="zh-CN" w:eastAsia="zh-CN" w:bidi="ar-SA"/>
        </w:rPr>
        <w:t>之日开始计算；由于本项目的特殊性（必须满足业务7*24小时不间断工作），质量保证期内，在接到系统故障通知后，投标人必须在15分钟内响应。对于影响平台系统正常运行的严重故障，投标人工程师及其它相关技术人员必须在在接到故障通知后2小时内赶到现场，查找原因，提出解决方案，并工作直至故障修妥完全恢复正常服务为止，一般要求保证系统在4小时之内修复，并需要提供确保承诺实现的措施。</w:t>
      </w:r>
      <w:r>
        <w:rPr>
          <w:rFonts w:hint="eastAsia" w:ascii="Times New Roman" w:hAnsi="Times New Roman" w:eastAsia="宋体" w:cs="Times New Roman"/>
          <w:color w:val="auto"/>
          <w:kern w:val="2"/>
          <w:sz w:val="21"/>
          <w:szCs w:val="21"/>
          <w:highlight w:val="none"/>
          <w:lang w:val="zh-CN" w:eastAsia="zh-CN" w:bidi="ar-SA"/>
        </w:rPr>
        <w:t>如运维服务未按上述要求执行的，每发现一次扣除合同总价的5‰，扣除合同金额超过10%的，采购人有权取消合同，并追究中标人的违约责任。</w:t>
      </w:r>
      <w:r>
        <w:rPr>
          <w:rFonts w:hint="default" w:ascii="Calibri" w:hAnsi="Calibri" w:eastAsia="宋体" w:cs="Times New Roman"/>
          <w:color w:val="auto"/>
          <w:kern w:val="2"/>
          <w:sz w:val="21"/>
          <w:szCs w:val="21"/>
          <w:highlight w:val="none"/>
          <w:lang w:val="zh-CN" w:eastAsia="zh-CN" w:bidi="ar-SA"/>
        </w:rPr>
        <w:t>数据库服务等在技术需求有专门规定的，以采购需求规定为主。</w:t>
      </w:r>
    </w:p>
    <w:p w14:paraId="2DFB7AC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Calibri" w:hAnsi="Calibri" w:eastAsia="宋体" w:cs="Times New Roman"/>
          <w:color w:val="auto"/>
          <w:kern w:val="2"/>
          <w:sz w:val="21"/>
          <w:szCs w:val="21"/>
          <w:highlight w:val="none"/>
          <w:lang w:val="en-US" w:eastAsia="zh-CN" w:bidi="ar-SA"/>
        </w:rPr>
        <w:t>4.</w:t>
      </w:r>
      <w:r>
        <w:rPr>
          <w:rFonts w:ascii="Times New Roman" w:hAnsi="Times New Roman" w:eastAsia="宋体" w:cs="Times New Roman"/>
          <w:color w:val="auto"/>
          <w:kern w:val="2"/>
          <w:sz w:val="21"/>
          <w:szCs w:val="21"/>
          <w:highlight w:val="none"/>
          <w:lang w:val="zh-CN" w:eastAsia="zh-CN" w:bidi="ar-SA"/>
        </w:rPr>
        <w:t>为保证系统正常、安全地运行，技术支持力量和优良的服务是系统正常、安全运行的保障。投标人应据此制定系统详细的技术支持与服务方案，包括服务内容、服务方式、服务响应时间、应急措施及组织结构等。</w:t>
      </w:r>
    </w:p>
    <w:p w14:paraId="5380C2E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Calibri" w:hAnsi="Calibri" w:eastAsia="宋体" w:cs="Times New Roman"/>
          <w:color w:val="auto"/>
          <w:kern w:val="2"/>
          <w:sz w:val="21"/>
          <w:szCs w:val="21"/>
          <w:highlight w:val="none"/>
          <w:lang w:val="en-US" w:eastAsia="zh-CN" w:bidi="ar-SA"/>
        </w:rPr>
        <w:t>5.</w:t>
      </w:r>
      <w:r>
        <w:rPr>
          <w:rFonts w:ascii="Times New Roman" w:hAnsi="Times New Roman" w:eastAsia="宋体" w:cs="Times New Roman"/>
          <w:color w:val="auto"/>
          <w:kern w:val="2"/>
          <w:sz w:val="21"/>
          <w:szCs w:val="21"/>
          <w:highlight w:val="none"/>
          <w:lang w:val="zh-CN" w:eastAsia="zh-CN" w:bidi="ar-SA"/>
        </w:rPr>
        <w:t>投标人须做出无推诿承诺。即投标人应提供特殊措施，无论由于哪一方产生的问题而使系统发生不正常情况时，并在得到采购人通知后，立即派工程师到场，全力协助系统集成商和其他供应商，使系统尽快恢复正常。</w:t>
      </w:r>
    </w:p>
    <w:p w14:paraId="698B57C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Calibri" w:hAnsi="Calibri" w:eastAsia="宋体" w:cs="Times New Roman"/>
          <w:color w:val="auto"/>
          <w:kern w:val="2"/>
          <w:sz w:val="21"/>
          <w:szCs w:val="21"/>
          <w:highlight w:val="none"/>
          <w:lang w:val="en-US" w:eastAsia="zh-CN" w:bidi="ar-SA"/>
        </w:rPr>
        <w:t>6.</w:t>
      </w:r>
      <w:r>
        <w:rPr>
          <w:rFonts w:ascii="Times New Roman" w:hAnsi="Times New Roman" w:eastAsia="宋体" w:cs="Times New Roman"/>
          <w:color w:val="auto"/>
          <w:kern w:val="2"/>
          <w:sz w:val="21"/>
          <w:szCs w:val="21"/>
          <w:highlight w:val="none"/>
          <w:lang w:val="zh-CN" w:eastAsia="zh-CN" w:bidi="ar-SA"/>
        </w:rPr>
        <w:t>系统保质期内故障率不得超过</w:t>
      </w:r>
      <w:r>
        <w:rPr>
          <w:rFonts w:hint="eastAsia" w:ascii="Times New Roman" w:hAnsi="Times New Roman" w:eastAsia="宋体" w:cs="Times New Roman"/>
          <w:color w:val="auto"/>
          <w:kern w:val="2"/>
          <w:sz w:val="21"/>
          <w:szCs w:val="21"/>
          <w:highlight w:val="none"/>
          <w:lang w:val="en-US" w:eastAsia="zh-CN" w:bidi="ar-SA"/>
        </w:rPr>
        <w:t>1</w:t>
      </w:r>
      <w:r>
        <w:rPr>
          <w:rFonts w:ascii="Times New Roman" w:hAnsi="Times New Roman" w:eastAsia="宋体" w:cs="Times New Roman"/>
          <w:color w:val="auto"/>
          <w:kern w:val="2"/>
          <w:sz w:val="21"/>
          <w:szCs w:val="21"/>
          <w:highlight w:val="none"/>
          <w:lang w:val="zh-CN" w:eastAsia="zh-CN" w:bidi="ar-SA"/>
        </w:rPr>
        <w:t>天，如达不到要求，每超过一天，质保期相应延长10天。保质期内因系统本身缺陷造成各种故障应由</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免费技术服务和维修。</w:t>
      </w:r>
    </w:p>
    <w:p w14:paraId="64B1932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Calibri" w:hAnsi="Calibri" w:eastAsia="宋体" w:cs="Times New Roman"/>
          <w:color w:val="auto"/>
          <w:kern w:val="2"/>
          <w:sz w:val="21"/>
          <w:szCs w:val="21"/>
          <w:highlight w:val="none"/>
          <w:lang w:val="en-US" w:eastAsia="zh-CN" w:bidi="ar-SA"/>
        </w:rPr>
        <w:t>7.</w:t>
      </w:r>
      <w:r>
        <w:rPr>
          <w:rFonts w:ascii="Times New Roman" w:hAnsi="Times New Roman" w:eastAsia="宋体" w:cs="Times New Roman"/>
          <w:color w:val="auto"/>
          <w:kern w:val="2"/>
          <w:sz w:val="21"/>
          <w:szCs w:val="21"/>
          <w:highlight w:val="none"/>
          <w:lang w:val="zh-CN" w:eastAsia="zh-CN" w:bidi="ar-SA"/>
        </w:rPr>
        <w:t>在质量保证期结束前，须由</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工程师和采购人代表进行一次全面检查，任何缺陷必须由</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负责修改。在修改之后，</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应将缺陷原因、修改内容、完成修改及恢复正常的时间和日期等报告给采购人。</w:t>
      </w:r>
    </w:p>
    <w:p w14:paraId="17E33B8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Calibri" w:hAnsi="Calibri" w:eastAsia="宋体" w:cs="Times New Roman"/>
          <w:color w:val="auto"/>
          <w:kern w:val="2"/>
          <w:sz w:val="21"/>
          <w:szCs w:val="21"/>
          <w:highlight w:val="none"/>
          <w:lang w:val="en-US" w:eastAsia="zh-CN" w:bidi="ar-SA"/>
        </w:rPr>
        <w:t>8.</w:t>
      </w:r>
      <w:r>
        <w:rPr>
          <w:rFonts w:ascii="Times New Roman" w:hAnsi="Times New Roman" w:eastAsia="宋体" w:cs="Times New Roman"/>
          <w:color w:val="auto"/>
          <w:kern w:val="2"/>
          <w:sz w:val="21"/>
          <w:szCs w:val="21"/>
          <w:highlight w:val="none"/>
          <w:lang w:val="zh-CN" w:eastAsia="zh-CN" w:bidi="ar-SA"/>
        </w:rPr>
        <w:t>质量保证期结束后，</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应保证以优惠价格优先对采购人进行系统技术支持和维护。</w:t>
      </w:r>
    </w:p>
    <w:p w14:paraId="73F630F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Calibri" w:hAnsi="Calibri" w:eastAsia="宋体" w:cs="Times New Roman"/>
          <w:color w:val="auto"/>
          <w:kern w:val="2"/>
          <w:sz w:val="21"/>
          <w:szCs w:val="21"/>
          <w:highlight w:val="none"/>
          <w:lang w:val="en-US" w:eastAsia="zh-CN" w:bidi="ar-SA"/>
        </w:rPr>
        <w:t>9.</w:t>
      </w:r>
      <w:r>
        <w:rPr>
          <w:rFonts w:ascii="Times New Roman" w:hAnsi="Times New Roman" w:eastAsia="宋体" w:cs="Times New Roman"/>
          <w:color w:val="auto"/>
          <w:kern w:val="2"/>
          <w:sz w:val="21"/>
          <w:szCs w:val="21"/>
          <w:highlight w:val="none"/>
          <w:lang w:val="zh-CN" w:eastAsia="zh-CN" w:bidi="ar-SA"/>
        </w:rPr>
        <w:t>中标人应提供电话免费咨询服务。</w:t>
      </w:r>
    </w:p>
    <w:p w14:paraId="364B8458">
      <w:pPr>
        <w:keepNext/>
        <w:keepLines/>
        <w:widowControl w:val="0"/>
        <w:numPr>
          <w:ilvl w:val="1"/>
          <w:numId w:val="2"/>
        </w:numPr>
        <w:spacing w:before="120" w:beforeLines="0" w:beforeAutospacing="0" w:after="120" w:afterLines="0" w:afterAutospacing="0" w:line="360" w:lineRule="auto"/>
        <w:ind w:left="575" w:hanging="575"/>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highlight w:val="none"/>
          <w:lang w:val="en-US" w:eastAsia="zh-CN" w:bidi="ar-SA"/>
        </w:rPr>
        <w:t>运维服务</w:t>
      </w:r>
    </w:p>
    <w:p w14:paraId="0B97F4F2">
      <w:pPr>
        <w:widowControl/>
        <w:numPr>
          <w:ilvl w:val="0"/>
          <w:numId w:val="0"/>
        </w:numPr>
        <w:spacing w:line="360" w:lineRule="auto"/>
        <w:ind w:firstLine="422" w:firstLineChars="200"/>
        <w:jc w:val="left"/>
        <w:rPr>
          <w:rFonts w:hint="default" w:ascii="Calibri" w:hAnsi="Calibri" w:eastAsia="宋体" w:cs="Times New Roman"/>
          <w:b/>
          <w:bCs/>
          <w:color w:val="auto"/>
          <w:sz w:val="21"/>
          <w:szCs w:val="21"/>
          <w:highlight w:val="none"/>
          <w:u w:val="single"/>
          <w:lang w:val="en-US" w:eastAsia="zh-CN"/>
        </w:rPr>
      </w:pPr>
      <w:r>
        <w:rPr>
          <w:rFonts w:hint="default" w:ascii="Arial" w:hAnsi="Arial" w:eastAsia="黑体" w:cs="Arial"/>
          <w:b/>
          <w:bCs/>
          <w:color w:val="auto"/>
          <w:sz w:val="21"/>
          <w:szCs w:val="21"/>
          <w:u w:val="single"/>
        </w:rPr>
        <w:t>★</w:t>
      </w:r>
      <w:r>
        <w:rPr>
          <w:rFonts w:hint="default" w:ascii="Calibri" w:hAnsi="Calibri" w:eastAsia="宋体" w:cs="Times New Roman"/>
          <w:b/>
          <w:bCs/>
          <w:color w:val="auto"/>
          <w:kern w:val="2"/>
          <w:sz w:val="21"/>
          <w:szCs w:val="21"/>
          <w:highlight w:val="none"/>
          <w:u w:val="single"/>
          <w:lang w:val="zh-CN" w:eastAsia="zh-CN" w:bidi="ar-SA"/>
        </w:rPr>
        <w:t>提供为期</w:t>
      </w:r>
      <w:r>
        <w:rPr>
          <w:rFonts w:hint="eastAsia" w:ascii="Calibri" w:hAnsi="Calibri" w:eastAsia="宋体" w:cs="Times New Roman"/>
          <w:b/>
          <w:bCs/>
          <w:color w:val="auto"/>
          <w:kern w:val="2"/>
          <w:sz w:val="21"/>
          <w:szCs w:val="21"/>
          <w:highlight w:val="none"/>
          <w:u w:val="single"/>
          <w:lang w:val="en-US" w:eastAsia="zh-CN" w:bidi="ar-SA"/>
        </w:rPr>
        <w:t>3</w:t>
      </w:r>
      <w:r>
        <w:rPr>
          <w:rFonts w:hint="default" w:ascii="Calibri" w:hAnsi="Calibri" w:eastAsia="宋体" w:cs="Times New Roman"/>
          <w:b/>
          <w:bCs/>
          <w:color w:val="auto"/>
          <w:kern w:val="2"/>
          <w:sz w:val="21"/>
          <w:szCs w:val="21"/>
          <w:highlight w:val="none"/>
          <w:u w:val="single"/>
          <w:lang w:val="zh-CN" w:eastAsia="zh-CN" w:bidi="ar-SA"/>
        </w:rPr>
        <w:t>年的项目整体运维服务，</w:t>
      </w:r>
      <w:r>
        <w:rPr>
          <w:rFonts w:hint="eastAsia" w:ascii="Calibri" w:hAnsi="Calibri" w:eastAsia="宋体" w:cs="Times New Roman"/>
          <w:b/>
          <w:bCs/>
          <w:color w:val="auto"/>
          <w:kern w:val="2"/>
          <w:sz w:val="21"/>
          <w:szCs w:val="21"/>
          <w:highlight w:val="none"/>
          <w:u w:val="single"/>
          <w:lang w:val="en-US" w:eastAsia="zh-CN" w:bidi="ar-SA"/>
        </w:rPr>
        <w:t>运维期从项目通过终验之日起三年，服务内容</w:t>
      </w:r>
      <w:r>
        <w:rPr>
          <w:rFonts w:hint="default" w:ascii="Calibri" w:hAnsi="Calibri" w:eastAsia="宋体" w:cs="Times New Roman"/>
          <w:b/>
          <w:bCs/>
          <w:color w:val="auto"/>
          <w:kern w:val="2"/>
          <w:sz w:val="21"/>
          <w:szCs w:val="21"/>
          <w:highlight w:val="none"/>
          <w:u w:val="single"/>
          <w:lang w:val="zh-CN" w:eastAsia="zh-CN" w:bidi="ar-SA"/>
        </w:rPr>
        <w:t>包括</w:t>
      </w:r>
      <w:r>
        <w:rPr>
          <w:rFonts w:hint="eastAsia" w:ascii="Calibri" w:hAnsi="Calibri" w:eastAsia="宋体" w:cs="Times New Roman"/>
          <w:b/>
          <w:bCs/>
          <w:color w:val="auto"/>
          <w:kern w:val="2"/>
          <w:sz w:val="21"/>
          <w:szCs w:val="21"/>
          <w:highlight w:val="none"/>
          <w:u w:val="single"/>
          <w:lang w:val="en-US" w:eastAsia="zh-CN" w:bidi="ar-SA"/>
        </w:rPr>
        <w:t>但不限于</w:t>
      </w:r>
      <w:r>
        <w:rPr>
          <w:rFonts w:hint="default" w:ascii="Calibri" w:hAnsi="Calibri" w:eastAsia="宋体" w:cs="Times New Roman"/>
          <w:b/>
          <w:bCs/>
          <w:color w:val="auto"/>
          <w:kern w:val="2"/>
          <w:sz w:val="21"/>
          <w:szCs w:val="21"/>
          <w:highlight w:val="none"/>
          <w:u w:val="single"/>
          <w:lang w:val="zh-CN" w:eastAsia="zh-CN" w:bidi="ar-SA"/>
        </w:rPr>
        <w:t>软件</w:t>
      </w:r>
      <w:r>
        <w:rPr>
          <w:rFonts w:hint="eastAsia" w:ascii="Calibri" w:hAnsi="Calibri" w:eastAsia="宋体" w:cs="Times New Roman"/>
          <w:b/>
          <w:bCs/>
          <w:color w:val="auto"/>
          <w:kern w:val="2"/>
          <w:sz w:val="21"/>
          <w:szCs w:val="21"/>
          <w:highlight w:val="none"/>
          <w:u w:val="single"/>
          <w:lang w:val="en-US" w:eastAsia="zh-CN" w:bidi="ar-SA"/>
        </w:rPr>
        <w:t>运维服务和基础设施运维服务。运维服务的内容包括响应用户和本项目相关的相关技术协助，对用户进行各类培训，及时处置用户提出的需求并给予反馈，对系统运行情况进行监测，做好系统运行情况记录。确保系统的可用性，及时分析处置各类系统运行故障。根据用户要求，提供驻场服务</w:t>
      </w:r>
      <w:r>
        <w:rPr>
          <w:rFonts w:hint="eastAsia" w:ascii="Calibri" w:hAnsi="Calibri" w:eastAsia="宋体" w:cs="Times New Roman"/>
          <w:b/>
          <w:bCs/>
          <w:color w:val="auto"/>
          <w:kern w:val="2"/>
          <w:sz w:val="21"/>
          <w:szCs w:val="21"/>
          <w:highlight w:val="none"/>
          <w:u w:val="single"/>
          <w:shd w:val="clear" w:color="auto" w:fill="FFFFFF"/>
          <w:lang w:val="en-US" w:eastAsia="zh-CN" w:bidi="ar-SA"/>
        </w:rPr>
        <w:t>不少于2人。</w:t>
      </w:r>
    </w:p>
    <w:p w14:paraId="2A496FB1">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bookmarkStart w:id="18" w:name="_Toc436664880"/>
      <w:r>
        <w:rPr>
          <w:rFonts w:hint="eastAsia" w:ascii="Arial" w:hAnsi="Arial" w:eastAsia="黑体" w:cs="Times New Roman"/>
          <w:b/>
          <w:color w:val="auto"/>
          <w:kern w:val="2"/>
          <w:sz w:val="21"/>
          <w:szCs w:val="21"/>
          <w:lang w:val="en-US" w:eastAsia="zh-CN" w:bidi="ar-SA"/>
        </w:rPr>
        <w:t>软件版权要求</w:t>
      </w:r>
      <w:bookmarkEnd w:id="18"/>
    </w:p>
    <w:p w14:paraId="19090D3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应确保本系统中所使用到的第三方软件应具备正版</w:t>
      </w:r>
      <w:r>
        <w:rPr>
          <w:rFonts w:hint="eastAsia" w:ascii="Calibri" w:hAnsi="Calibri" w:eastAsia="宋体" w:cs="Times New Roman"/>
          <w:color w:val="auto"/>
          <w:kern w:val="2"/>
          <w:sz w:val="21"/>
          <w:szCs w:val="21"/>
          <w:highlight w:val="none"/>
          <w:lang w:val="en-US" w:eastAsia="zh-CN" w:bidi="ar-SA"/>
        </w:rPr>
        <w:t>授权</w:t>
      </w:r>
      <w:r>
        <w:rPr>
          <w:rFonts w:ascii="Times New Roman" w:hAnsi="Times New Roman" w:eastAsia="宋体" w:cs="Times New Roman"/>
          <w:color w:val="auto"/>
          <w:kern w:val="2"/>
          <w:sz w:val="21"/>
          <w:szCs w:val="21"/>
          <w:highlight w:val="none"/>
          <w:lang w:val="zh-CN" w:eastAsia="zh-CN" w:bidi="ar-SA"/>
        </w:rPr>
        <w:t>。</w:t>
      </w:r>
    </w:p>
    <w:p w14:paraId="53CC317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本系统开发完成后，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需要向采购人提供源代码，采购单位具有本系统的版权和使用权。</w:t>
      </w:r>
    </w:p>
    <w:p w14:paraId="04E1A9D1">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bookmarkStart w:id="19" w:name="_Toc436664882"/>
      <w:r>
        <w:rPr>
          <w:rFonts w:hint="eastAsia" w:ascii="Arial" w:hAnsi="Arial" w:eastAsia="黑体" w:cs="Times New Roman"/>
          <w:b/>
          <w:color w:val="auto"/>
          <w:kern w:val="2"/>
          <w:sz w:val="21"/>
          <w:szCs w:val="21"/>
          <w:lang w:val="en-US" w:eastAsia="zh-CN" w:bidi="ar-SA"/>
        </w:rPr>
        <w:t>测评要求</w:t>
      </w:r>
    </w:p>
    <w:p w14:paraId="10BBFB3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zh-CN" w:eastAsia="zh-CN" w:bidi="ar-SA"/>
        </w:rPr>
        <w:t>为保证系统安全、稳定运行，系统上线前需要经过严格的测试，中标人需提供成熟有效的测试方案，待招标单位审核通过后，严格按照测试方案进行系统测试，并提交全面的测试成果物。</w:t>
      </w:r>
    </w:p>
    <w:p w14:paraId="3DF9DDA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zh-CN" w:eastAsia="zh-CN" w:bidi="ar-SA"/>
        </w:rPr>
        <w:t>项目完成后，中标人需配合招标人对本项目开展等相关测评工作，包括安全等级保护测评、软件测评、国商密码测评，并根据招标人相关测评要求、测评结果等对软/硬件系统进行相应整改和完善。</w:t>
      </w:r>
    </w:p>
    <w:p w14:paraId="745FD35B">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培训要求</w:t>
      </w:r>
      <w:bookmarkEnd w:id="19"/>
    </w:p>
    <w:p w14:paraId="1F0F4F11">
      <w:pPr>
        <w:keepNext w:val="0"/>
        <w:keepLines w:val="0"/>
        <w:pageBreakBefore w:val="0"/>
        <w:widowControl/>
        <w:numPr>
          <w:ilvl w:val="0"/>
          <w:numId w:val="408"/>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必须为采购人提供系统使用、系统操作和管理维护培训，培训形式包括客户现场培训、课堂培训；投标人必须列明相应的培训课程。</w:t>
      </w:r>
    </w:p>
    <w:p w14:paraId="55476AC7">
      <w:pPr>
        <w:keepNext w:val="0"/>
        <w:keepLines w:val="0"/>
        <w:pageBreakBefore w:val="0"/>
        <w:widowControl/>
        <w:numPr>
          <w:ilvl w:val="0"/>
          <w:numId w:val="408"/>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投标人应在投标文件中提供详细的培训计划，包括培训项目、人数、地点、日程、资料、其它等详细内容，为所有被培训人员提供培训用文字资料和讲义等相关用品。</w:t>
      </w:r>
    </w:p>
    <w:p w14:paraId="2A83420C">
      <w:pPr>
        <w:keepNext w:val="0"/>
        <w:keepLines w:val="0"/>
        <w:pageBreakBefore w:val="0"/>
        <w:widowControl/>
        <w:numPr>
          <w:ilvl w:val="0"/>
          <w:numId w:val="408"/>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技术培训的内容必须包含软件的日常操作和管理维护，以及基本的故障诊断与排错。</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培训人员必须是公司的资深工程师。</w:t>
      </w:r>
    </w:p>
    <w:p w14:paraId="73895754">
      <w:pPr>
        <w:keepNext w:val="0"/>
        <w:keepLines w:val="0"/>
        <w:pageBreakBefore w:val="0"/>
        <w:widowControl/>
        <w:numPr>
          <w:ilvl w:val="0"/>
          <w:numId w:val="408"/>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培训工作必须在合同生效之后系统试运行之前安排。</w:t>
      </w:r>
    </w:p>
    <w:p w14:paraId="1F248CF0">
      <w:pPr>
        <w:keepNext w:val="0"/>
        <w:keepLines w:val="0"/>
        <w:pageBreakBefore w:val="0"/>
        <w:widowControl/>
        <w:numPr>
          <w:ilvl w:val="0"/>
          <w:numId w:val="408"/>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所有培训费用（含培训教材费），已包括在投标总价中。</w:t>
      </w:r>
    </w:p>
    <w:p w14:paraId="7C60A3A9">
      <w:pPr>
        <w:keepNext w:val="0"/>
        <w:keepLines w:val="0"/>
        <w:pageBreakBefore w:val="0"/>
        <w:widowControl/>
        <w:numPr>
          <w:ilvl w:val="0"/>
          <w:numId w:val="408"/>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实际培训时间、人数和地点按</w:t>
      </w:r>
      <w:r>
        <w:rPr>
          <w:rFonts w:hint="eastAsia" w:ascii="Times New Roman" w:hAnsi="Times New Roman" w:eastAsia="宋体" w:cs="Times New Roman"/>
          <w:color w:val="auto"/>
          <w:kern w:val="2"/>
          <w:sz w:val="21"/>
          <w:szCs w:val="21"/>
          <w:highlight w:val="none"/>
          <w:lang w:val="zh-CN" w:eastAsia="zh-CN" w:bidi="ar-SA"/>
        </w:rPr>
        <w:t>中标人</w:t>
      </w:r>
      <w:r>
        <w:rPr>
          <w:rFonts w:ascii="Times New Roman" w:hAnsi="Times New Roman" w:eastAsia="宋体" w:cs="Times New Roman"/>
          <w:color w:val="auto"/>
          <w:kern w:val="2"/>
          <w:sz w:val="21"/>
          <w:szCs w:val="21"/>
          <w:highlight w:val="none"/>
          <w:lang w:val="zh-CN" w:eastAsia="zh-CN" w:bidi="ar-SA"/>
        </w:rPr>
        <w:t>与项目采购人商定的为准。</w:t>
      </w:r>
    </w:p>
    <w:p w14:paraId="3023A3D2">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bookmarkStart w:id="20" w:name="_Toc436664883"/>
      <w:r>
        <w:rPr>
          <w:rFonts w:hint="eastAsia" w:ascii="Arial" w:hAnsi="Arial" w:eastAsia="黑体" w:cs="Times New Roman"/>
          <w:b/>
          <w:color w:val="auto"/>
          <w:kern w:val="2"/>
          <w:sz w:val="21"/>
          <w:szCs w:val="21"/>
          <w:lang w:val="en-US" w:eastAsia="zh-CN" w:bidi="ar-SA"/>
        </w:rPr>
        <w:t>交付要求</w:t>
      </w:r>
      <w:bookmarkEnd w:id="20"/>
    </w:p>
    <w:p w14:paraId="2EC92632">
      <w:pPr>
        <w:snapToGrid w:val="0"/>
        <w:spacing w:before="156" w:beforeLines="50"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lang w:val="zh-CN"/>
        </w:rPr>
        <w:t>中标人应按照招标文件所约定的内容和时间进行交付；按照计算机软件工程规范国家标准分阶段交付</w:t>
      </w:r>
      <w:r>
        <w:rPr>
          <w:rFonts w:hint="eastAsia" w:ascii="Calibri" w:hAnsi="Calibri" w:eastAsia="宋体" w:cs="Times New Roman"/>
          <w:color w:val="auto"/>
          <w:sz w:val="21"/>
          <w:szCs w:val="21"/>
          <w:highlight w:val="none"/>
          <w:lang w:val="en-US" w:eastAsia="zh-CN"/>
        </w:rPr>
        <w:t>项目</w:t>
      </w:r>
      <w:r>
        <w:rPr>
          <w:rFonts w:ascii="Times New Roman" w:hAnsi="Times New Roman" w:eastAsia="宋体" w:cs="Times New Roman"/>
          <w:color w:val="auto"/>
          <w:sz w:val="21"/>
          <w:szCs w:val="21"/>
          <w:highlight w:val="none"/>
          <w:lang w:val="zh-CN"/>
        </w:rPr>
        <w:t>的文档，所交付的文档与文件应该是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w:t>
      </w:r>
      <w:r>
        <w:rPr>
          <w:rFonts w:hint="eastAsia" w:ascii="Calibri" w:hAnsi="Calibri" w:eastAsia="宋体" w:cs="Times New Roman"/>
          <w:color w:val="auto"/>
          <w:sz w:val="21"/>
          <w:szCs w:val="21"/>
          <w:highlight w:val="none"/>
          <w:lang w:val="en-US" w:eastAsia="zh-CN"/>
        </w:rPr>
        <w:t>项目文档应符合鄞州区相关政府主管部门对验收文档的要求。</w:t>
      </w:r>
    </w:p>
    <w:p w14:paraId="1FC37C9D">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bookmarkStart w:id="21" w:name="_Toc436664884"/>
      <w:r>
        <w:rPr>
          <w:rFonts w:hint="eastAsia" w:ascii="Arial" w:hAnsi="Arial" w:eastAsia="黑体" w:cs="Times New Roman"/>
          <w:b/>
          <w:color w:val="auto"/>
          <w:kern w:val="2"/>
          <w:sz w:val="21"/>
          <w:szCs w:val="21"/>
          <w:lang w:val="en-US" w:eastAsia="zh-CN" w:bidi="ar-SA"/>
        </w:rPr>
        <w:t xml:space="preserve"> 项目验收要求</w:t>
      </w:r>
      <w:bookmarkEnd w:id="21"/>
    </w:p>
    <w:p w14:paraId="2348F89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color w:val="auto"/>
          <w:sz w:val="21"/>
          <w:szCs w:val="21"/>
          <w:highlight w:val="none"/>
          <w:lang w:val="zh-CN"/>
        </w:rPr>
      </w:pPr>
      <w:r>
        <w:rPr>
          <w:rFonts w:ascii="Times New Roman" w:hAnsi="Times New Roman" w:eastAsia="宋体" w:cs="Times New Roman"/>
          <w:color w:val="auto"/>
          <w:sz w:val="21"/>
          <w:szCs w:val="21"/>
          <w:highlight w:val="none"/>
          <w:lang w:val="zh-CN"/>
        </w:rPr>
        <w:t>项目的验收包括初步验收、试运行和竣工验收，</w:t>
      </w:r>
    </w:p>
    <w:p w14:paraId="243BC1B1">
      <w:pPr>
        <w:keepNext w:val="0"/>
        <w:keepLines w:val="0"/>
        <w:pageBreakBefore w:val="0"/>
        <w:widowControl/>
        <w:numPr>
          <w:ilvl w:val="0"/>
          <w:numId w:val="409"/>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项目初验</w:t>
      </w:r>
    </w:p>
    <w:p w14:paraId="56691A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color w:val="auto"/>
          <w:sz w:val="21"/>
          <w:szCs w:val="21"/>
          <w:highlight w:val="none"/>
          <w:lang w:val="zh-CN"/>
        </w:rPr>
      </w:pPr>
      <w:r>
        <w:rPr>
          <w:rFonts w:ascii="Times New Roman" w:hAnsi="Times New Roman" w:eastAsia="宋体" w:cs="Times New Roman"/>
          <w:color w:val="auto"/>
          <w:sz w:val="21"/>
          <w:szCs w:val="21"/>
          <w:highlight w:val="none"/>
          <w:lang w:val="zh-CN"/>
        </w:rPr>
        <w:t>项目初验前，中标方应首先对系统进行自测，并将系统自测报告提交甲方和监理方审查。中标方依本合同约定向甲方提交成果及相关文档，并向甲方提出初验申请。甲方接到中标方初验申请后，组织相关单位进行初验，初验合格后联合签署初验报告。</w:t>
      </w:r>
    </w:p>
    <w:p w14:paraId="76818030">
      <w:pPr>
        <w:keepNext w:val="0"/>
        <w:keepLines w:val="0"/>
        <w:pageBreakBefore w:val="0"/>
        <w:widowControl/>
        <w:numPr>
          <w:ilvl w:val="0"/>
          <w:numId w:val="409"/>
        </w:numPr>
        <w:kinsoku/>
        <w:wordWrap/>
        <w:overflowPunct/>
        <w:topLinePunct w:val="0"/>
        <w:autoSpaceDE/>
        <w:autoSpaceDN/>
        <w:bidi w:val="0"/>
        <w:adjustRightInd/>
        <w:snapToGrid/>
        <w:spacing w:line="360" w:lineRule="auto"/>
        <w:ind w:left="0" w:leftChars="0" w:firstLine="420" w:firstLineChars="200"/>
        <w:jc w:val="left"/>
        <w:textAlignment w:val="auto"/>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试运行</w:t>
      </w:r>
    </w:p>
    <w:p w14:paraId="2D63E0A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eastAsia="宋体" w:cs="Times New Roman"/>
          <w:color w:val="auto"/>
          <w:sz w:val="21"/>
          <w:szCs w:val="21"/>
          <w:highlight w:val="none"/>
          <w:lang w:val="zh-CN"/>
        </w:rPr>
      </w:pPr>
      <w:r>
        <w:rPr>
          <w:rFonts w:ascii="Times New Roman" w:hAnsi="Times New Roman" w:eastAsia="宋体" w:cs="Times New Roman"/>
          <w:color w:val="auto"/>
          <w:sz w:val="21"/>
          <w:szCs w:val="21"/>
          <w:highlight w:val="none"/>
          <w:lang w:val="zh-CN"/>
        </w:rPr>
        <w:t>初验合格后，系统进入试运行，试运行时间为3个月。</w:t>
      </w:r>
    </w:p>
    <w:p w14:paraId="69E911CF">
      <w:pPr>
        <w:keepNext w:val="0"/>
        <w:keepLines w:val="0"/>
        <w:pageBreakBefore w:val="0"/>
        <w:widowControl/>
        <w:numPr>
          <w:ilvl w:val="0"/>
          <w:numId w:val="40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imes New Roman" w:hAnsi="Times New Roman" w:eastAsia="宋体" w:cs="Times New Roman"/>
          <w:color w:val="auto"/>
          <w:kern w:val="2"/>
          <w:sz w:val="21"/>
          <w:szCs w:val="21"/>
          <w:highlight w:val="none"/>
          <w:lang w:val="zh-CN" w:eastAsia="zh-CN" w:bidi="ar-SA"/>
        </w:rPr>
      </w:pPr>
      <w:r>
        <w:rPr>
          <w:rFonts w:hint="eastAsia" w:ascii="Calibri" w:hAnsi="Calibri" w:eastAsia="宋体" w:cs="Times New Roman"/>
          <w:color w:val="auto"/>
          <w:kern w:val="2"/>
          <w:sz w:val="21"/>
          <w:szCs w:val="21"/>
          <w:highlight w:val="none"/>
          <w:lang w:val="en-US" w:eastAsia="zh-CN" w:bidi="ar-SA"/>
        </w:rPr>
        <w:t>终验</w:t>
      </w:r>
    </w:p>
    <w:p w14:paraId="777268B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Calibri" w:hAnsi="Calibri"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lang w:val="zh-CN"/>
        </w:rPr>
        <w:t>系统通过试运行后，中标方向甲方提出终验申请，甲方组织相关单位进行系统的</w:t>
      </w:r>
      <w:r>
        <w:rPr>
          <w:rFonts w:hint="eastAsia" w:ascii="Calibri" w:hAnsi="Calibri" w:eastAsia="宋体" w:cs="Times New Roman"/>
          <w:color w:val="auto"/>
          <w:sz w:val="21"/>
          <w:szCs w:val="21"/>
          <w:highlight w:val="none"/>
          <w:lang w:val="en-US" w:eastAsia="zh-CN"/>
        </w:rPr>
        <w:t>终验</w:t>
      </w:r>
      <w:r>
        <w:rPr>
          <w:rFonts w:ascii="Times New Roman" w:hAnsi="Times New Roman" w:eastAsia="宋体" w:cs="Times New Roman"/>
          <w:color w:val="auto"/>
          <w:sz w:val="21"/>
          <w:szCs w:val="21"/>
          <w:highlight w:val="none"/>
          <w:lang w:val="zh-CN"/>
        </w:rPr>
        <w:t>。系统</w:t>
      </w:r>
      <w:r>
        <w:rPr>
          <w:rFonts w:hint="eastAsia" w:ascii="Calibri" w:hAnsi="Calibri" w:eastAsia="宋体" w:cs="Times New Roman"/>
          <w:color w:val="auto"/>
          <w:sz w:val="21"/>
          <w:szCs w:val="21"/>
          <w:highlight w:val="none"/>
          <w:lang w:val="en-US" w:eastAsia="zh-CN"/>
        </w:rPr>
        <w:t>终验</w:t>
      </w:r>
      <w:r>
        <w:rPr>
          <w:rFonts w:ascii="Times New Roman" w:hAnsi="Times New Roman" w:eastAsia="宋体" w:cs="Times New Roman"/>
          <w:color w:val="auto"/>
          <w:sz w:val="21"/>
          <w:szCs w:val="21"/>
          <w:highlight w:val="none"/>
          <w:lang w:val="zh-CN"/>
        </w:rPr>
        <w:t>通过，进入正式运行阶段。</w:t>
      </w:r>
      <w:r>
        <w:rPr>
          <w:rFonts w:hint="eastAsia" w:ascii="Calibri" w:hAnsi="Calibri" w:eastAsia="宋体" w:cs="Times New Roman"/>
          <w:color w:val="auto"/>
          <w:sz w:val="21"/>
          <w:szCs w:val="21"/>
          <w:highlight w:val="none"/>
          <w:lang w:val="en-US" w:eastAsia="zh-CN"/>
        </w:rPr>
        <w:t>终验</w:t>
      </w:r>
      <w:r>
        <w:rPr>
          <w:rFonts w:ascii="Times New Roman" w:hAnsi="Times New Roman" w:eastAsia="宋体" w:cs="Times New Roman"/>
          <w:color w:val="auto"/>
          <w:sz w:val="21"/>
          <w:szCs w:val="21"/>
          <w:highlight w:val="none"/>
          <w:lang w:val="zh-CN"/>
        </w:rPr>
        <w:t>合格的条件必须至少满足以下要求：已提供了合同要求的全部设备、软件和资料；试运行时性能满足合同要求；性能测试和试运行验收时出现的问题已被解决。</w:t>
      </w:r>
      <w:r>
        <w:rPr>
          <w:rFonts w:hint="eastAsia" w:ascii="Calibri" w:hAnsi="Calibri" w:eastAsia="宋体" w:cs="Times New Roman"/>
          <w:color w:val="auto"/>
          <w:sz w:val="21"/>
          <w:szCs w:val="21"/>
          <w:highlight w:val="none"/>
          <w:lang w:val="en-US" w:eastAsia="zh-CN"/>
        </w:rPr>
        <w:t>已经通过项目需要的各类第三方测试，且相关问题已经得到解决。</w:t>
      </w:r>
    </w:p>
    <w:p w14:paraId="28E6DBA0">
      <w:pPr>
        <w:keepNext/>
        <w:keepLines/>
        <w:widowControl w:val="0"/>
        <w:numPr>
          <w:ilvl w:val="1"/>
          <w:numId w:val="2"/>
        </w:numPr>
        <w:bidi w:val="0"/>
        <w:spacing w:before="120" w:beforeLines="0" w:beforeAutospacing="0" w:after="120" w:afterLines="0" w:afterAutospacing="0" w:line="360" w:lineRule="auto"/>
        <w:ind w:left="575" w:leftChars="0" w:hanging="575" w:firstLineChars="0"/>
        <w:jc w:val="both"/>
        <w:outlineLvl w:val="1"/>
        <w:rPr>
          <w:rFonts w:hint="eastAsia"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其他</w:t>
      </w:r>
    </w:p>
    <w:p w14:paraId="21EDFA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项目建设所涉及的技术成果产权（含源代码、数据所有权、软件著作权使用权等）归采购人所有。</w:t>
      </w:r>
    </w:p>
    <w:p w14:paraId="5DF48A9F">
      <w:pPr>
        <w:keepNext/>
        <w:keepLines/>
        <w:widowControl w:val="0"/>
        <w:numPr>
          <w:ilvl w:val="0"/>
          <w:numId w:val="0"/>
        </w:numPr>
        <w:bidi w:val="0"/>
        <w:spacing w:before="120" w:beforeLines="0" w:beforeAutospacing="0" w:after="120" w:afterLines="0" w:afterAutospacing="0" w:line="360" w:lineRule="auto"/>
        <w:ind w:leftChars="0"/>
        <w:jc w:val="both"/>
        <w:outlineLvl w:val="1"/>
        <w:rPr>
          <w:rFonts w:hint="default" w:ascii="Arial" w:hAnsi="Arial" w:eastAsia="黑体" w:cs="Times New Roman"/>
          <w:b/>
          <w:color w:val="auto"/>
          <w:kern w:val="2"/>
          <w:sz w:val="21"/>
          <w:szCs w:val="21"/>
          <w:lang w:val="en-US" w:eastAsia="zh-CN" w:bidi="ar-SA"/>
        </w:rPr>
      </w:pPr>
      <w:r>
        <w:rPr>
          <w:rFonts w:hint="eastAsia" w:ascii="Arial" w:hAnsi="Arial" w:eastAsia="黑体" w:cs="Times New Roman"/>
          <w:b/>
          <w:color w:val="auto"/>
          <w:kern w:val="2"/>
          <w:sz w:val="21"/>
          <w:szCs w:val="21"/>
          <w:lang w:val="en-US" w:eastAsia="zh-CN" w:bidi="ar-SA"/>
        </w:rPr>
        <w:t>6.</w:t>
      </w:r>
      <w:r>
        <w:rPr>
          <w:rFonts w:hint="default" w:ascii="Arial" w:hAnsi="Arial" w:eastAsia="黑体" w:cs="Times New Roman"/>
          <w:b/>
          <w:color w:val="auto"/>
          <w:kern w:val="2"/>
          <w:sz w:val="21"/>
          <w:szCs w:val="21"/>
          <w:lang w:val="en-US" w:eastAsia="zh-CN" w:bidi="ar-SA"/>
        </w:rPr>
        <w:t>商务要求</w:t>
      </w:r>
      <w:bookmarkEnd w:id="8"/>
    </w:p>
    <w:tbl>
      <w:tblPr>
        <w:tblStyle w:val="13"/>
        <w:tblW w:w="8958" w:type="dxa"/>
        <w:tblInd w:w="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7167"/>
      </w:tblGrid>
      <w:tr w14:paraId="4E9DE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1" w:type="dxa"/>
            <w:noWrap w:val="0"/>
            <w:vAlign w:val="center"/>
          </w:tcPr>
          <w:p w14:paraId="7C70B67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1"/>
                <w:szCs w:val="21"/>
                <w:highlight w:val="none"/>
              </w:rPr>
            </w:pPr>
            <w:r>
              <w:rPr>
                <w:rFonts w:hint="default" w:ascii="Arial" w:hAnsi="Arial" w:eastAsia="黑体" w:cs="Arial"/>
                <w:b/>
                <w:bCs/>
                <w:color w:val="auto"/>
                <w:sz w:val="21"/>
                <w:szCs w:val="21"/>
              </w:rPr>
              <w:t>★交货期及地点</w:t>
            </w:r>
          </w:p>
        </w:tc>
        <w:tc>
          <w:tcPr>
            <w:tcW w:w="7167" w:type="dxa"/>
            <w:noWrap w:val="0"/>
            <w:vAlign w:val="center"/>
          </w:tcPr>
          <w:p w14:paraId="1E85D8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eastAsia="黑体" w:cs="Arial"/>
                <w:b/>
                <w:bCs/>
                <w:color w:val="auto"/>
                <w:sz w:val="21"/>
                <w:szCs w:val="21"/>
                <w:highlight w:val="none"/>
                <w:lang w:eastAsia="zh-CN"/>
              </w:rPr>
            </w:pPr>
            <w:r>
              <w:rPr>
                <w:rFonts w:hint="default" w:ascii="Arial" w:hAnsi="Arial" w:eastAsia="黑体" w:cs="Arial"/>
                <w:b/>
                <w:bCs/>
                <w:color w:val="auto"/>
                <w:sz w:val="21"/>
                <w:szCs w:val="21"/>
                <w:highlight w:val="none"/>
              </w:rPr>
              <w:t>交货期</w:t>
            </w:r>
            <w:r>
              <w:rPr>
                <w:rFonts w:hint="default" w:ascii="Arial" w:hAnsi="Arial" w:eastAsia="黑体" w:cs="Arial"/>
                <w:b/>
                <w:bCs/>
                <w:color w:val="auto"/>
                <w:sz w:val="21"/>
                <w:szCs w:val="21"/>
                <w:highlight w:val="none"/>
                <w:lang w:eastAsia="zh-CN"/>
              </w:rPr>
              <w:t>：本项目总体工期为18个月，要求</w:t>
            </w:r>
            <w:r>
              <w:rPr>
                <w:rFonts w:hint="eastAsia" w:ascii="Arial" w:hAnsi="Arial" w:eastAsia="黑体" w:cs="Arial"/>
                <w:b/>
                <w:bCs/>
                <w:color w:val="auto"/>
                <w:sz w:val="21"/>
                <w:szCs w:val="21"/>
                <w:highlight w:val="none"/>
                <w:lang w:eastAsia="zh-CN"/>
              </w:rPr>
              <w:t>中标人</w:t>
            </w:r>
            <w:r>
              <w:rPr>
                <w:rFonts w:hint="default" w:ascii="Arial" w:hAnsi="Arial" w:eastAsia="黑体" w:cs="Arial"/>
                <w:b/>
                <w:bCs/>
                <w:color w:val="auto"/>
                <w:sz w:val="21"/>
                <w:szCs w:val="21"/>
                <w:highlight w:val="none"/>
                <w:lang w:eastAsia="zh-CN"/>
              </w:rPr>
              <w:t>合同签订之日起2个月内完成设备到货安装，开始系统联调。 13个月内完成全部系统开发，实施及部署，通过初验。初验通过且试运行申请通过之日起进入为期三个月的试运行。试运行结束后⼀个月内通过项目终验；试运行期内若出现较大或重大问题的，应延长试运行时间，直至系统稳定试运行 1 个月，试运行结束后 1 个月内通过项目终验。</w:t>
            </w:r>
          </w:p>
          <w:p w14:paraId="4BDBE0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1"/>
                <w:szCs w:val="21"/>
                <w:highlight w:val="none"/>
              </w:rPr>
            </w:pPr>
            <w:r>
              <w:rPr>
                <w:rFonts w:hint="default" w:ascii="Arial" w:hAnsi="Arial" w:eastAsia="黑体" w:cs="Arial"/>
                <w:b/>
                <w:bCs/>
                <w:color w:val="auto"/>
                <w:sz w:val="21"/>
                <w:szCs w:val="21"/>
                <w:highlight w:val="none"/>
              </w:rPr>
              <w:t>交货地点：采购人指定地点</w:t>
            </w:r>
          </w:p>
        </w:tc>
      </w:tr>
      <w:tr w14:paraId="647B6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791" w:type="dxa"/>
            <w:noWrap w:val="0"/>
            <w:vAlign w:val="center"/>
          </w:tcPr>
          <w:p w14:paraId="0C679EF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b/>
                <w:bCs/>
                <w:color w:val="auto"/>
                <w:sz w:val="21"/>
                <w:szCs w:val="21"/>
                <w:highlight w:val="none"/>
              </w:rPr>
            </w:pPr>
            <w:r>
              <w:rPr>
                <w:rFonts w:hint="default" w:ascii="Arial" w:hAnsi="Arial" w:cs="Arial"/>
                <w:b/>
                <w:bCs/>
                <w:color w:val="auto"/>
                <w:sz w:val="21"/>
                <w:szCs w:val="21"/>
                <w:highlight w:val="none"/>
              </w:rPr>
              <w:t>★</w:t>
            </w:r>
            <w:r>
              <w:rPr>
                <w:rFonts w:hint="default" w:ascii="Arial" w:hAnsi="Arial" w:cs="Arial"/>
                <w:b/>
                <w:bCs/>
                <w:color w:val="auto"/>
                <w:sz w:val="21"/>
                <w:szCs w:val="21"/>
                <w:highlight w:val="none"/>
                <w:lang w:bidi="ar"/>
              </w:rPr>
              <w:t>投标报价</w:t>
            </w:r>
          </w:p>
        </w:tc>
        <w:tc>
          <w:tcPr>
            <w:tcW w:w="7167" w:type="dxa"/>
            <w:noWrap w:val="0"/>
            <w:vAlign w:val="center"/>
          </w:tcPr>
          <w:p w14:paraId="18778F1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right="0" w:rightChars="0"/>
              <w:jc w:val="both"/>
              <w:textAlignment w:val="auto"/>
              <w:outlineLvl w:val="9"/>
              <w:rPr>
                <w:rFonts w:hint="default"/>
                <w:color w:val="auto"/>
                <w:sz w:val="21"/>
                <w:szCs w:val="21"/>
                <w:highlight w:val="none"/>
              </w:rPr>
            </w:pPr>
            <w:r>
              <w:rPr>
                <w:rFonts w:hint="eastAsia" w:ascii="Arial" w:hAnsi="Arial" w:cs="Arial"/>
                <w:color w:val="auto"/>
                <w:sz w:val="21"/>
                <w:szCs w:val="21"/>
                <w:highlight w:val="none"/>
                <w:lang w:val="en-US" w:eastAsia="zh-CN" w:bidi="ar"/>
              </w:rPr>
              <w:t>1、</w:t>
            </w:r>
            <w:r>
              <w:rPr>
                <w:rFonts w:hint="default" w:ascii="Arial" w:hAnsi="Arial" w:cs="Arial"/>
                <w:color w:val="auto"/>
                <w:sz w:val="21"/>
                <w:szCs w:val="21"/>
                <w:highlight w:val="none"/>
                <w:lang w:bidi="ar"/>
              </w:rPr>
              <w:t>投标人的投标报价应以人民币进行报价，投标报价是履行合同的最终价格，应包括完成本项目所涉及的全部内容，包含但不仅限于所有采购</w:t>
            </w:r>
            <w:r>
              <w:rPr>
                <w:rFonts w:hint="eastAsia" w:ascii="Arial" w:hAnsi="Arial" w:cs="Arial"/>
                <w:color w:val="auto"/>
                <w:sz w:val="21"/>
                <w:szCs w:val="21"/>
                <w:highlight w:val="none"/>
                <w:lang w:val="en-US" w:eastAsia="zh-CN" w:bidi="ar"/>
              </w:rPr>
              <w:t>清单范围内</w:t>
            </w:r>
            <w:r>
              <w:rPr>
                <w:rFonts w:hint="default" w:ascii="Arial" w:hAnsi="Arial" w:cs="Arial"/>
                <w:color w:val="auto"/>
                <w:sz w:val="21"/>
                <w:szCs w:val="21"/>
                <w:highlight w:val="none"/>
                <w:lang w:bidi="ar"/>
              </w:rPr>
              <w:t>的</w:t>
            </w:r>
            <w:r>
              <w:rPr>
                <w:rFonts w:hint="default" w:ascii="Arial" w:hAnsi="Arial" w:cs="Arial"/>
                <w:color w:val="auto"/>
                <w:sz w:val="21"/>
                <w:szCs w:val="21"/>
                <w:highlight w:val="none"/>
                <w:lang w:val="en-US" w:eastAsia="zh-CN" w:bidi="ar"/>
              </w:rPr>
              <w:t>软件</w:t>
            </w:r>
            <w:r>
              <w:rPr>
                <w:rFonts w:hint="eastAsia" w:ascii="Arial" w:hAnsi="Arial" w:cs="Arial"/>
                <w:color w:val="auto"/>
                <w:sz w:val="21"/>
                <w:szCs w:val="21"/>
                <w:highlight w:val="none"/>
                <w:lang w:val="en-US" w:eastAsia="zh-CN" w:bidi="ar"/>
              </w:rPr>
              <w:t>和</w:t>
            </w:r>
            <w:r>
              <w:rPr>
                <w:rFonts w:hint="default" w:ascii="Arial" w:hAnsi="Arial" w:cs="Arial"/>
                <w:color w:val="auto"/>
                <w:sz w:val="21"/>
                <w:szCs w:val="21"/>
                <w:highlight w:val="none"/>
                <w:lang w:val="en-US" w:eastAsia="zh-CN" w:bidi="ar"/>
              </w:rPr>
              <w:t>平台设计</w:t>
            </w:r>
            <w:r>
              <w:rPr>
                <w:rFonts w:hint="default" w:ascii="Arial" w:hAnsi="Arial" w:cs="Arial"/>
                <w:color w:val="auto"/>
                <w:sz w:val="21"/>
                <w:szCs w:val="21"/>
                <w:highlight w:val="none"/>
                <w:lang w:bidi="ar"/>
              </w:rPr>
              <w:t>、</w:t>
            </w:r>
            <w:r>
              <w:rPr>
                <w:rFonts w:hint="default" w:ascii="Arial" w:hAnsi="Arial" w:cs="Arial"/>
                <w:color w:val="auto"/>
                <w:sz w:val="21"/>
                <w:szCs w:val="21"/>
                <w:highlight w:val="none"/>
                <w:lang w:val="en-US" w:eastAsia="zh-CN" w:bidi="ar"/>
              </w:rPr>
              <w:t>开发</w:t>
            </w:r>
            <w:r>
              <w:rPr>
                <w:rFonts w:hint="eastAsia" w:ascii="Arial" w:hAnsi="Arial" w:cs="Arial"/>
                <w:color w:val="auto"/>
                <w:sz w:val="21"/>
                <w:szCs w:val="21"/>
                <w:highlight w:val="none"/>
                <w:lang w:val="en-US" w:eastAsia="zh-CN" w:bidi="ar"/>
              </w:rPr>
              <w:t>、</w:t>
            </w:r>
            <w:r>
              <w:rPr>
                <w:rFonts w:hint="default" w:ascii="Arial" w:hAnsi="Arial" w:cs="Arial"/>
                <w:color w:val="auto"/>
                <w:sz w:val="21"/>
                <w:szCs w:val="21"/>
                <w:highlight w:val="none"/>
                <w:lang w:val="en-US" w:eastAsia="zh-CN" w:bidi="ar"/>
              </w:rPr>
              <w:t>安装、</w:t>
            </w:r>
            <w:r>
              <w:rPr>
                <w:rFonts w:hint="default" w:ascii="Arial" w:hAnsi="Arial" w:cs="Arial"/>
                <w:color w:val="auto"/>
                <w:sz w:val="21"/>
                <w:szCs w:val="21"/>
                <w:highlight w:val="none"/>
                <w:lang w:bidi="ar"/>
              </w:rPr>
              <w:t>调试</w:t>
            </w:r>
            <w:r>
              <w:rPr>
                <w:rFonts w:hint="eastAsia" w:ascii="Arial" w:hAnsi="Arial" w:cs="Arial"/>
                <w:color w:val="auto"/>
                <w:sz w:val="21"/>
                <w:szCs w:val="21"/>
                <w:highlight w:val="none"/>
                <w:lang w:val="en-US" w:eastAsia="zh-CN" w:bidi="ar"/>
              </w:rPr>
              <w:t>以及设备设施的采购、</w:t>
            </w:r>
            <w:r>
              <w:rPr>
                <w:rFonts w:hint="default" w:ascii="Arial" w:hAnsi="Arial" w:cs="Arial"/>
                <w:color w:val="auto"/>
                <w:sz w:val="21"/>
                <w:szCs w:val="21"/>
                <w:highlight w:val="none"/>
                <w:lang w:val="en-US" w:eastAsia="zh-CN" w:bidi="ar"/>
              </w:rPr>
              <w:t>安装、</w:t>
            </w:r>
            <w:r>
              <w:rPr>
                <w:rFonts w:hint="default" w:ascii="Arial" w:hAnsi="Arial" w:cs="Arial"/>
                <w:color w:val="auto"/>
                <w:sz w:val="21"/>
                <w:szCs w:val="21"/>
                <w:highlight w:val="none"/>
                <w:lang w:bidi="ar"/>
              </w:rPr>
              <w:t>调试</w:t>
            </w:r>
            <w:r>
              <w:rPr>
                <w:rFonts w:hint="eastAsia" w:ascii="Arial" w:hAnsi="Arial" w:cs="Arial"/>
                <w:color w:val="auto"/>
                <w:sz w:val="21"/>
                <w:szCs w:val="21"/>
                <w:highlight w:val="none"/>
                <w:lang w:eastAsia="zh-CN" w:bidi="ar"/>
              </w:rPr>
              <w:t>，</w:t>
            </w:r>
            <w:r>
              <w:rPr>
                <w:rFonts w:hint="default" w:ascii="Arial" w:hAnsi="Arial" w:cs="Arial"/>
                <w:color w:val="auto"/>
                <w:sz w:val="21"/>
                <w:szCs w:val="21"/>
                <w:highlight w:val="none"/>
                <w:lang w:bidi="ar"/>
              </w:rPr>
              <w:t>验收配合</w:t>
            </w:r>
            <w:r>
              <w:rPr>
                <w:rFonts w:hint="eastAsia" w:ascii="Arial" w:hAnsi="Arial" w:cs="Arial"/>
                <w:color w:val="auto"/>
                <w:sz w:val="21"/>
                <w:szCs w:val="21"/>
                <w:highlight w:val="none"/>
                <w:lang w:eastAsia="zh-CN" w:bidi="ar"/>
              </w:rPr>
              <w:t>，</w:t>
            </w:r>
            <w:r>
              <w:rPr>
                <w:rFonts w:hint="default" w:ascii="Arial" w:hAnsi="Arial" w:cs="Arial"/>
                <w:color w:val="auto"/>
                <w:sz w:val="21"/>
                <w:szCs w:val="21"/>
                <w:highlight w:val="none"/>
                <w:lang w:bidi="ar"/>
              </w:rPr>
              <w:t>技术培训</w:t>
            </w:r>
            <w:r>
              <w:rPr>
                <w:rFonts w:hint="eastAsia" w:ascii="Arial" w:hAnsi="Arial" w:cs="Arial"/>
                <w:color w:val="auto"/>
                <w:sz w:val="21"/>
                <w:szCs w:val="21"/>
                <w:highlight w:val="none"/>
                <w:lang w:eastAsia="zh-CN" w:bidi="ar"/>
              </w:rPr>
              <w:t>，</w:t>
            </w:r>
            <w:r>
              <w:rPr>
                <w:rFonts w:hint="default" w:ascii="Arial" w:hAnsi="Arial" w:cs="Arial"/>
                <w:color w:val="auto"/>
                <w:sz w:val="21"/>
                <w:szCs w:val="21"/>
                <w:highlight w:val="none"/>
                <w:lang w:val="en-US" w:eastAsia="zh-CN" w:bidi="ar"/>
              </w:rPr>
              <w:t>运维</w:t>
            </w:r>
            <w:r>
              <w:rPr>
                <w:rFonts w:hint="default" w:ascii="Arial" w:hAnsi="Arial" w:cs="Arial"/>
                <w:color w:val="auto"/>
                <w:sz w:val="21"/>
                <w:szCs w:val="21"/>
                <w:highlight w:val="none"/>
                <w:lang w:bidi="ar"/>
              </w:rPr>
              <w:t>质保服务，税金</w:t>
            </w:r>
            <w:r>
              <w:rPr>
                <w:rFonts w:hint="eastAsia" w:ascii="Arial" w:hAnsi="Arial" w:cs="Arial"/>
                <w:color w:val="auto"/>
                <w:sz w:val="21"/>
                <w:szCs w:val="21"/>
                <w:highlight w:val="none"/>
                <w:lang w:eastAsia="zh-CN" w:bidi="ar"/>
              </w:rPr>
              <w:t>，</w:t>
            </w:r>
            <w:r>
              <w:rPr>
                <w:rFonts w:hint="default" w:ascii="Arial" w:hAnsi="Arial" w:cs="Arial"/>
                <w:color w:val="auto"/>
                <w:sz w:val="21"/>
                <w:szCs w:val="21"/>
                <w:highlight w:val="none"/>
                <w:lang w:bidi="ar"/>
              </w:rPr>
              <w:t>人工</w:t>
            </w:r>
            <w:r>
              <w:rPr>
                <w:rFonts w:hint="eastAsia" w:ascii="Arial" w:hAnsi="Arial" w:cs="Arial"/>
                <w:color w:val="auto"/>
                <w:sz w:val="21"/>
                <w:szCs w:val="21"/>
                <w:highlight w:val="none"/>
                <w:lang w:val="en-US" w:eastAsia="zh-CN" w:bidi="ar"/>
              </w:rPr>
              <w:t>费，</w:t>
            </w:r>
            <w:r>
              <w:rPr>
                <w:rFonts w:hint="default" w:ascii="Arial" w:hAnsi="Arial" w:cs="Arial"/>
                <w:color w:val="auto"/>
                <w:sz w:val="21"/>
                <w:szCs w:val="21"/>
                <w:highlight w:val="none"/>
                <w:lang w:bidi="ar"/>
              </w:rPr>
              <w:t>管理</w:t>
            </w:r>
            <w:r>
              <w:rPr>
                <w:rFonts w:hint="eastAsia" w:ascii="Arial" w:hAnsi="Arial" w:cs="Arial"/>
                <w:color w:val="auto"/>
                <w:sz w:val="21"/>
                <w:szCs w:val="21"/>
                <w:highlight w:val="none"/>
                <w:lang w:val="en-US" w:eastAsia="zh-CN" w:bidi="ar"/>
              </w:rPr>
              <w:t>费，</w:t>
            </w:r>
            <w:r>
              <w:rPr>
                <w:rFonts w:hint="default" w:ascii="Arial" w:hAnsi="Arial" w:cs="Arial"/>
                <w:color w:val="auto"/>
                <w:sz w:val="21"/>
                <w:szCs w:val="21"/>
                <w:highlight w:val="none"/>
                <w:lang w:bidi="ar"/>
              </w:rPr>
              <w:t>利润</w:t>
            </w:r>
            <w:r>
              <w:rPr>
                <w:rFonts w:hint="eastAsia" w:ascii="Arial" w:hAnsi="Arial" w:cs="Arial"/>
                <w:color w:val="auto"/>
                <w:sz w:val="21"/>
                <w:szCs w:val="21"/>
                <w:highlight w:val="none"/>
                <w:lang w:eastAsia="zh-CN" w:bidi="ar"/>
              </w:rPr>
              <w:t>，</w:t>
            </w:r>
            <w:r>
              <w:rPr>
                <w:rFonts w:hint="default" w:ascii="Arial" w:hAnsi="Arial" w:cs="Arial"/>
                <w:color w:val="auto"/>
                <w:sz w:val="21"/>
                <w:szCs w:val="21"/>
                <w:highlight w:val="none"/>
                <w:lang w:eastAsia="zh-CN" w:bidi="ar"/>
              </w:rPr>
              <w:t>招标代理费</w:t>
            </w:r>
            <w:r>
              <w:rPr>
                <w:rFonts w:hint="default" w:ascii="Arial" w:hAnsi="Arial" w:cs="Arial"/>
                <w:color w:val="auto"/>
                <w:sz w:val="21"/>
                <w:szCs w:val="21"/>
                <w:highlight w:val="none"/>
                <w:lang w:bidi="ar"/>
              </w:rPr>
              <w:t>等一切成本及费用。</w:t>
            </w:r>
          </w:p>
          <w:p w14:paraId="26AE86F0">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ascii="Arial" w:hAnsi="Arial" w:eastAsia="宋体" w:cs="Arial"/>
                <w:color w:val="auto"/>
                <w:kern w:val="0"/>
                <w:sz w:val="21"/>
                <w:szCs w:val="21"/>
                <w:highlight w:val="none"/>
                <w:lang w:val="zh-CN"/>
              </w:rPr>
            </w:pPr>
            <w:r>
              <w:rPr>
                <w:rFonts w:hint="eastAsia" w:ascii="Arial" w:hAnsi="Arial" w:eastAsia="宋体" w:cs="Arial"/>
                <w:b/>
                <w:bCs/>
                <w:color w:val="auto"/>
                <w:kern w:val="0"/>
                <w:sz w:val="21"/>
                <w:szCs w:val="21"/>
                <w:highlight w:val="none"/>
                <w:lang w:val="en-US" w:eastAsia="zh-CN"/>
              </w:rPr>
              <w:t>2、</w:t>
            </w:r>
            <w:r>
              <w:rPr>
                <w:rFonts w:hint="default" w:ascii="Arial" w:hAnsi="Arial" w:eastAsia="宋体" w:cs="Arial"/>
                <w:b/>
                <w:bCs/>
                <w:color w:val="auto"/>
                <w:sz w:val="21"/>
                <w:szCs w:val="21"/>
                <w:highlight w:val="none"/>
              </w:rPr>
              <w:t>本项目最高限价：</w:t>
            </w:r>
            <w:r>
              <w:rPr>
                <w:rFonts w:hint="default" w:ascii="Arial" w:hAnsi="Arial" w:eastAsia="宋体" w:cs="Arial"/>
                <w:b/>
                <w:color w:val="auto"/>
                <w:sz w:val="21"/>
                <w:szCs w:val="21"/>
                <w:highlight w:val="none"/>
              </w:rPr>
              <w:t>详见</w:t>
            </w:r>
            <w:r>
              <w:rPr>
                <w:rFonts w:hint="default" w:ascii="Arial" w:hAnsi="Arial" w:cs="Arial"/>
                <w:b/>
                <w:color w:val="auto"/>
                <w:sz w:val="21"/>
                <w:szCs w:val="21"/>
                <w:highlight w:val="none"/>
                <w:lang w:eastAsia="zh-CN"/>
              </w:rPr>
              <w:t>采购文件</w:t>
            </w:r>
            <w:r>
              <w:rPr>
                <w:rFonts w:hint="default" w:ascii="Arial" w:hAnsi="Arial" w:eastAsia="宋体" w:cs="Arial"/>
                <w:b/>
                <w:color w:val="auto"/>
                <w:sz w:val="21"/>
                <w:szCs w:val="21"/>
                <w:highlight w:val="none"/>
              </w:rPr>
              <w:t>第一章 公开招标采购公告</w:t>
            </w:r>
            <w:r>
              <w:rPr>
                <w:rFonts w:hint="default" w:ascii="Arial" w:hAnsi="Arial" w:eastAsia="宋体" w:cs="Arial"/>
                <w:b/>
                <w:bCs/>
                <w:color w:val="auto"/>
                <w:sz w:val="21"/>
                <w:szCs w:val="21"/>
                <w:highlight w:val="none"/>
              </w:rPr>
              <w:t>。投标报价超过最高限价的作无效标处理</w:t>
            </w:r>
            <w:r>
              <w:rPr>
                <w:rFonts w:hint="default" w:ascii="Arial" w:hAnsi="Arial" w:eastAsia="宋体" w:cs="Arial"/>
                <w:color w:val="auto"/>
                <w:kern w:val="0"/>
                <w:sz w:val="21"/>
                <w:szCs w:val="21"/>
                <w:highlight w:val="none"/>
                <w:lang w:val="zh-CN"/>
              </w:rPr>
              <w:t>。</w:t>
            </w:r>
          </w:p>
          <w:p w14:paraId="64A3E781">
            <w:pPr>
              <w:pStyle w:val="4"/>
              <w:keepNext w:val="0"/>
              <w:keepLines w:val="0"/>
              <w:pageBreakBefore w:val="0"/>
              <w:widowControl w:val="0"/>
              <w:kinsoku/>
              <w:wordWrap/>
              <w:overflowPunct/>
              <w:topLinePunct w:val="0"/>
              <w:autoSpaceDE/>
              <w:autoSpaceDN/>
              <w:bidi w:val="0"/>
              <w:adjustRightInd/>
              <w:spacing w:after="0" w:afterLines="0" w:line="400" w:lineRule="exact"/>
              <w:textAlignment w:val="auto"/>
              <w:rPr>
                <w:rFonts w:hint="default" w:ascii="Arial" w:hAnsi="Arial" w:eastAsia="宋体" w:cs="Arial"/>
                <w:b/>
                <w:bCs/>
                <w:color w:val="auto"/>
                <w:kern w:val="2"/>
                <w:sz w:val="21"/>
                <w:szCs w:val="21"/>
                <w:highlight w:val="none"/>
                <w:lang w:val="zh-CN" w:eastAsia="zh-CN" w:bidi="ar"/>
              </w:rPr>
            </w:pPr>
            <w:r>
              <w:rPr>
                <w:rFonts w:hint="eastAsia" w:ascii="Arial" w:hAnsi="Arial" w:eastAsia="宋体" w:cs="Arial"/>
                <w:b/>
                <w:bCs/>
                <w:color w:val="auto"/>
                <w:kern w:val="2"/>
                <w:sz w:val="21"/>
                <w:szCs w:val="21"/>
                <w:highlight w:val="none"/>
                <w:lang w:val="en-US" w:eastAsia="zh-CN" w:bidi="ar"/>
              </w:rPr>
              <w:t>3、质保期结束后，中标人需按售后服务要求中的内容保质保量开展运维服务，运维费不得高于合同价的8%，投标人在本次投标中做出承诺，否则其投标无效。</w:t>
            </w:r>
          </w:p>
          <w:p w14:paraId="12C866B7">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ascii="Arial" w:hAnsi="Arial" w:eastAsia="宋体" w:cs="Arial"/>
                <w:color w:val="auto"/>
                <w:kern w:val="0"/>
                <w:sz w:val="21"/>
                <w:szCs w:val="21"/>
                <w:highlight w:val="none"/>
                <w:lang w:val="zh-CN"/>
              </w:rPr>
            </w:pPr>
            <w:r>
              <w:rPr>
                <w:rFonts w:hint="eastAsia" w:ascii="Arial" w:hAnsi="Arial" w:eastAsia="宋体" w:cs="Arial"/>
                <w:b/>
                <w:bCs/>
                <w:color w:val="auto"/>
                <w:kern w:val="0"/>
                <w:sz w:val="21"/>
                <w:szCs w:val="21"/>
                <w:highlight w:val="none"/>
                <w:lang w:val="en-US" w:eastAsia="zh-CN"/>
              </w:rPr>
              <w:t>4</w:t>
            </w:r>
            <w:r>
              <w:rPr>
                <w:rFonts w:hint="default" w:ascii="Arial" w:hAnsi="Arial" w:eastAsia="宋体" w:cs="Arial"/>
                <w:b/>
                <w:bCs/>
                <w:color w:val="auto"/>
                <w:kern w:val="0"/>
                <w:sz w:val="21"/>
                <w:szCs w:val="21"/>
                <w:highlight w:val="none"/>
                <w:lang w:val="en-US" w:eastAsia="zh-CN"/>
              </w:rPr>
              <w:t>、</w:t>
            </w:r>
            <w:r>
              <w:rPr>
                <w:rFonts w:hint="default" w:ascii="Arial" w:hAnsi="Arial" w:eastAsia="宋体" w:cs="Arial"/>
                <w:b/>
                <w:bCs/>
                <w:color w:val="auto"/>
                <w:kern w:val="0"/>
                <w:sz w:val="21"/>
                <w:szCs w:val="21"/>
                <w:highlight w:val="none"/>
                <w:lang w:val="zh-CN"/>
              </w:rPr>
              <w:t>投标文件</w:t>
            </w:r>
            <w:r>
              <w:rPr>
                <w:rFonts w:hint="default" w:ascii="Arial" w:hAnsi="Arial" w:eastAsia="宋体" w:cs="Arial"/>
                <w:b/>
                <w:bCs/>
                <w:color w:val="auto"/>
                <w:sz w:val="21"/>
                <w:szCs w:val="21"/>
                <w:highlight w:val="none"/>
              </w:rPr>
              <w:t>开标一览表（报价表）是报价的唯一载体。</w:t>
            </w:r>
            <w:r>
              <w:rPr>
                <w:rFonts w:hint="default" w:ascii="Arial" w:hAnsi="Arial" w:eastAsia="宋体" w:cs="Arial"/>
                <w:color w:val="auto"/>
                <w:kern w:val="0"/>
                <w:sz w:val="21"/>
                <w:szCs w:val="21"/>
                <w:highlight w:val="none"/>
                <w:lang w:val="zh-CN"/>
              </w:rPr>
              <w:t>投标文件中价格全部采用人民币报价。</w:t>
            </w:r>
          </w:p>
          <w:p w14:paraId="76DF5BA5">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eastAsia"/>
                <w:color w:val="auto"/>
                <w:sz w:val="21"/>
                <w:szCs w:val="21"/>
                <w:lang w:val="en-US" w:eastAsia="zh-CN"/>
              </w:rPr>
            </w:pPr>
            <w:r>
              <w:rPr>
                <w:rFonts w:hint="eastAsia" w:ascii="Arial" w:hAnsi="Arial" w:cs="Arial"/>
                <w:color w:val="auto"/>
                <w:sz w:val="21"/>
                <w:szCs w:val="21"/>
                <w:highlight w:val="none"/>
                <w:lang w:val="en-US" w:eastAsia="zh-CN"/>
              </w:rPr>
              <w:t>5</w:t>
            </w:r>
            <w:r>
              <w:rPr>
                <w:rFonts w:hint="default" w:ascii="Arial" w:hAnsi="Arial" w:cs="Arial"/>
                <w:color w:val="auto"/>
                <w:sz w:val="21"/>
                <w:szCs w:val="21"/>
                <w:highlight w:val="none"/>
                <w:lang w:val="en-US" w:eastAsia="zh-CN"/>
              </w:rPr>
              <w:t>、</w:t>
            </w:r>
            <w:r>
              <w:rPr>
                <w:rFonts w:hint="default" w:ascii="Arial" w:hAnsi="Arial" w:eastAsia="宋体" w:cs="Arial"/>
                <w:color w:val="auto"/>
                <w:sz w:val="21"/>
                <w:szCs w:val="21"/>
                <w:highlight w:val="none"/>
              </w:rPr>
              <w:t>不论投标结果如何，</w:t>
            </w:r>
            <w:r>
              <w:rPr>
                <w:rFonts w:hint="default" w:ascii="Arial" w:hAnsi="Arial" w:eastAsia="宋体" w:cs="Arial"/>
                <w:color w:val="auto"/>
                <w:sz w:val="21"/>
                <w:szCs w:val="21"/>
                <w:highlight w:val="none"/>
                <w:lang w:val="en-US" w:eastAsia="zh-CN"/>
              </w:rPr>
              <w:t>供应商</w:t>
            </w:r>
            <w:r>
              <w:rPr>
                <w:rFonts w:hint="default" w:ascii="Arial" w:hAnsi="Arial" w:eastAsia="宋体" w:cs="Arial"/>
                <w:color w:val="auto"/>
                <w:sz w:val="21"/>
                <w:szCs w:val="21"/>
                <w:highlight w:val="none"/>
              </w:rPr>
              <w:t>均应自行承担所有与投标有关的全部费用</w:t>
            </w:r>
            <w:r>
              <w:rPr>
                <w:rFonts w:hint="default" w:ascii="Arial" w:hAnsi="Arial" w:eastAsia="宋体" w:cs="Arial"/>
                <w:color w:val="auto"/>
                <w:sz w:val="21"/>
                <w:szCs w:val="21"/>
                <w:highlight w:val="none"/>
                <w:lang w:eastAsia="zh-CN"/>
              </w:rPr>
              <w:t>。</w:t>
            </w:r>
          </w:p>
        </w:tc>
      </w:tr>
      <w:tr w14:paraId="7AF6E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91" w:type="dxa"/>
            <w:noWrap w:val="0"/>
            <w:vAlign w:val="center"/>
          </w:tcPr>
          <w:p w14:paraId="5E18C11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eastAsia="黑体" w:cs="Arial"/>
                <w:b/>
                <w:bCs/>
                <w:color w:val="auto"/>
                <w:sz w:val="21"/>
                <w:szCs w:val="21"/>
              </w:rPr>
            </w:pPr>
            <w:r>
              <w:rPr>
                <w:rFonts w:hint="default" w:ascii="Arial" w:hAnsi="Arial" w:eastAsia="黑体" w:cs="Arial"/>
                <w:b/>
                <w:bCs/>
                <w:color w:val="auto"/>
                <w:sz w:val="21"/>
                <w:szCs w:val="21"/>
              </w:rPr>
              <w:t>★安全要求</w:t>
            </w:r>
          </w:p>
        </w:tc>
        <w:tc>
          <w:tcPr>
            <w:tcW w:w="7167" w:type="dxa"/>
            <w:noWrap w:val="0"/>
            <w:vAlign w:val="center"/>
          </w:tcPr>
          <w:p w14:paraId="241B2F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eastAsia="黑体" w:cs="Arial"/>
                <w:b/>
                <w:bCs/>
                <w:color w:val="auto"/>
                <w:sz w:val="21"/>
                <w:szCs w:val="21"/>
              </w:rPr>
            </w:pPr>
            <w:r>
              <w:rPr>
                <w:rFonts w:hint="default" w:ascii="Arial" w:hAnsi="Arial" w:eastAsia="黑体" w:cs="Arial"/>
                <w:b/>
                <w:bCs/>
                <w:color w:val="auto"/>
                <w:sz w:val="21"/>
                <w:szCs w:val="21"/>
              </w:rPr>
              <w:t>合格，无安全责任事故。</w:t>
            </w:r>
          </w:p>
        </w:tc>
      </w:tr>
      <w:tr w14:paraId="6EDBF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91" w:type="dxa"/>
            <w:noWrap w:val="0"/>
            <w:vAlign w:val="center"/>
          </w:tcPr>
          <w:p w14:paraId="44662B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eastAsia="黑体" w:cs="Arial"/>
                <w:b/>
                <w:bCs/>
                <w:color w:val="auto"/>
                <w:sz w:val="21"/>
                <w:szCs w:val="21"/>
                <w:lang w:val="en-US" w:eastAsia="zh-CN"/>
              </w:rPr>
            </w:pPr>
            <w:r>
              <w:rPr>
                <w:rFonts w:hint="default" w:ascii="Arial" w:hAnsi="Arial" w:eastAsia="黑体" w:cs="Arial"/>
                <w:b/>
                <w:bCs/>
                <w:color w:val="auto"/>
                <w:sz w:val="21"/>
                <w:szCs w:val="21"/>
              </w:rPr>
              <w:t>★</w:t>
            </w:r>
            <w:r>
              <w:rPr>
                <w:rFonts w:hint="eastAsia" w:ascii="Arial" w:hAnsi="Arial" w:eastAsia="黑体" w:cs="Arial"/>
                <w:b/>
                <w:bCs/>
                <w:color w:val="auto"/>
                <w:sz w:val="21"/>
                <w:szCs w:val="21"/>
                <w:lang w:val="en-US" w:eastAsia="zh-CN"/>
              </w:rPr>
              <w:t>质保期、运维期</w:t>
            </w:r>
          </w:p>
        </w:tc>
        <w:tc>
          <w:tcPr>
            <w:tcW w:w="7167" w:type="dxa"/>
            <w:noWrap w:val="0"/>
            <w:vAlign w:val="center"/>
          </w:tcPr>
          <w:p w14:paraId="124B14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eastAsia="黑体" w:cs="Arial"/>
                <w:b/>
                <w:bCs/>
                <w:color w:val="auto"/>
                <w:sz w:val="21"/>
                <w:szCs w:val="21"/>
              </w:rPr>
            </w:pPr>
            <w:r>
              <w:rPr>
                <w:rFonts w:hint="eastAsia" w:ascii="Arial" w:hAnsi="Arial" w:eastAsia="黑体" w:cs="Arial"/>
                <w:b/>
                <w:bCs/>
                <w:color w:val="auto"/>
                <w:sz w:val="21"/>
                <w:szCs w:val="21"/>
                <w:lang w:val="en-US" w:eastAsia="zh-CN"/>
              </w:rPr>
              <w:t>1、</w:t>
            </w:r>
            <w:r>
              <w:rPr>
                <w:rFonts w:hint="default" w:ascii="Arial" w:hAnsi="Arial" w:eastAsia="黑体" w:cs="Arial"/>
                <w:b/>
                <w:bCs/>
                <w:color w:val="auto"/>
                <w:sz w:val="21"/>
                <w:szCs w:val="21"/>
              </w:rPr>
              <w:t>质保期：</w:t>
            </w:r>
            <w:r>
              <w:rPr>
                <w:rFonts w:hint="eastAsia" w:ascii="Arial" w:hAnsi="Arial" w:eastAsia="黑体" w:cs="Arial"/>
                <w:b/>
                <w:bCs/>
                <w:color w:val="auto"/>
                <w:sz w:val="21"/>
                <w:szCs w:val="21"/>
                <w:lang w:eastAsia="zh-CN"/>
              </w:rPr>
              <w:t>中标人</w:t>
            </w:r>
            <w:r>
              <w:rPr>
                <w:rFonts w:hint="default" w:ascii="Arial" w:hAnsi="Arial" w:eastAsia="黑体" w:cs="Arial"/>
                <w:b/>
                <w:bCs/>
                <w:color w:val="auto"/>
                <w:sz w:val="21"/>
                <w:szCs w:val="21"/>
              </w:rPr>
              <w:t>应提供软件系统3年原厂的质保服务，对硬件设备提供5年原厂质保服务（采购需求另有规定的，以采购需求要求为准）。</w:t>
            </w:r>
          </w:p>
          <w:p w14:paraId="4FEF69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eastAsia="黑体" w:cs="Arial"/>
                <w:b/>
                <w:bCs/>
                <w:color w:val="auto"/>
                <w:sz w:val="21"/>
                <w:szCs w:val="21"/>
              </w:rPr>
            </w:pPr>
            <w:r>
              <w:rPr>
                <w:rFonts w:hint="eastAsia" w:ascii="Arial" w:hAnsi="Arial" w:eastAsia="黑体" w:cs="Arial"/>
                <w:b/>
                <w:bCs/>
                <w:color w:val="auto"/>
                <w:sz w:val="21"/>
                <w:szCs w:val="21"/>
                <w:lang w:val="en-US" w:eastAsia="zh-CN"/>
              </w:rPr>
              <w:t>2、</w:t>
            </w:r>
            <w:r>
              <w:rPr>
                <w:rFonts w:hint="default" w:ascii="Arial" w:hAnsi="Arial" w:eastAsia="黑体" w:cs="Arial"/>
                <w:b/>
                <w:bCs/>
                <w:color w:val="auto"/>
                <w:sz w:val="21"/>
                <w:szCs w:val="21"/>
              </w:rPr>
              <w:t>运维期：</w:t>
            </w:r>
            <w:r>
              <w:rPr>
                <w:rFonts w:hint="eastAsia" w:ascii="Arial" w:hAnsi="Arial" w:eastAsia="黑体" w:cs="Arial"/>
                <w:b/>
                <w:bCs/>
                <w:color w:val="auto"/>
                <w:sz w:val="21"/>
                <w:szCs w:val="21"/>
                <w:lang w:eastAsia="zh-CN"/>
              </w:rPr>
              <w:t>中标人</w:t>
            </w:r>
            <w:r>
              <w:rPr>
                <w:rFonts w:hint="default" w:ascii="Arial" w:hAnsi="Arial" w:eastAsia="黑体" w:cs="Arial"/>
                <w:b/>
                <w:bCs/>
                <w:color w:val="auto"/>
                <w:sz w:val="21"/>
                <w:szCs w:val="21"/>
              </w:rPr>
              <w:t>对总体项目提供</w:t>
            </w:r>
            <w:r>
              <w:rPr>
                <w:rFonts w:hint="eastAsia" w:ascii="Arial" w:hAnsi="Arial" w:eastAsia="黑体" w:cs="Arial"/>
                <w:b/>
                <w:bCs/>
                <w:color w:val="auto"/>
                <w:sz w:val="21"/>
                <w:szCs w:val="21"/>
                <w:lang w:val="en-US" w:eastAsia="zh-CN"/>
              </w:rPr>
              <w:t>3</w:t>
            </w:r>
            <w:r>
              <w:rPr>
                <w:rFonts w:hint="default" w:ascii="Arial" w:hAnsi="Arial" w:eastAsia="黑体" w:cs="Arial"/>
                <w:b/>
                <w:bCs/>
                <w:color w:val="auto"/>
                <w:sz w:val="21"/>
                <w:szCs w:val="21"/>
              </w:rPr>
              <w:t>年的整体运维服务，运维期从项目通过终验之日起三年。服务内容包括但不限于软件运维服务和基础设施运维服务。运维服务的内容包括响应用户和本项目相关的相关技术协助，对用户进行各类培训，及时处置用户提出的需求并给予反馈，对系统运行情况进行监测，做好系统运行情况记录。确保系统的可用性，及时分析处置各类系统运行故障。根据用户要求，提供驻场服务不少于2人。</w:t>
            </w:r>
          </w:p>
        </w:tc>
      </w:tr>
      <w:tr w14:paraId="02283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1" w:type="dxa"/>
            <w:noWrap w:val="0"/>
            <w:vAlign w:val="center"/>
          </w:tcPr>
          <w:p w14:paraId="308152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bCs/>
                <w:color w:val="auto"/>
                <w:sz w:val="21"/>
                <w:szCs w:val="21"/>
                <w:highlight w:val="none"/>
              </w:rPr>
            </w:pPr>
            <w:r>
              <w:rPr>
                <w:rFonts w:hint="default" w:ascii="Arial" w:hAnsi="Arial" w:cs="Arial"/>
                <w:bCs/>
                <w:color w:val="auto"/>
                <w:sz w:val="21"/>
                <w:szCs w:val="21"/>
                <w:highlight w:val="none"/>
              </w:rPr>
              <w:t>履约保证金的收取及退还</w:t>
            </w:r>
          </w:p>
        </w:tc>
        <w:tc>
          <w:tcPr>
            <w:tcW w:w="7167" w:type="dxa"/>
            <w:noWrap w:val="0"/>
            <w:vAlign w:val="center"/>
          </w:tcPr>
          <w:p w14:paraId="125C57C3">
            <w:pPr>
              <w:pStyle w:val="4"/>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default" w:ascii="Arial" w:hAnsi="Arial" w:cs="Arial"/>
                <w:color w:val="auto"/>
                <w:sz w:val="21"/>
                <w:szCs w:val="21"/>
                <w:highlight w:val="none"/>
                <w:lang w:eastAsia="zh-CN"/>
              </w:rPr>
            </w:pPr>
            <w:r>
              <w:rPr>
                <w:rFonts w:hint="eastAsia" w:ascii="Arial" w:hAnsi="Arial" w:eastAsia="宋体" w:cs="Arial"/>
                <w:b/>
                <w:bCs/>
                <w:color w:val="auto"/>
                <w:kern w:val="0"/>
                <w:sz w:val="21"/>
                <w:szCs w:val="21"/>
                <w:highlight w:val="none"/>
                <w:lang w:val="en-US" w:eastAsia="zh-CN"/>
              </w:rPr>
              <w:t>无</w:t>
            </w:r>
          </w:p>
        </w:tc>
      </w:tr>
      <w:tr w14:paraId="6B9DB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1791" w:type="dxa"/>
            <w:noWrap w:val="0"/>
            <w:vAlign w:val="center"/>
          </w:tcPr>
          <w:p w14:paraId="408E0B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eastAsia="宋体" w:cs="Arial"/>
                <w:bCs/>
                <w:color w:val="auto"/>
                <w:sz w:val="21"/>
                <w:szCs w:val="21"/>
                <w:highlight w:val="none"/>
              </w:rPr>
            </w:pPr>
            <w:r>
              <w:rPr>
                <w:rFonts w:hint="default" w:ascii="Arial" w:hAnsi="Arial" w:eastAsia="黑体" w:cs="Arial"/>
                <w:b/>
                <w:bCs/>
                <w:color w:val="auto"/>
                <w:sz w:val="21"/>
                <w:szCs w:val="21"/>
              </w:rPr>
              <w:t>★</w:t>
            </w:r>
            <w:r>
              <w:rPr>
                <w:rFonts w:hint="default" w:ascii="Arial" w:hAnsi="Arial" w:eastAsia="宋体" w:cs="Arial"/>
                <w:bCs/>
                <w:color w:val="auto"/>
                <w:sz w:val="21"/>
                <w:szCs w:val="21"/>
                <w:highlight w:val="none"/>
              </w:rPr>
              <w:t>付款方式</w:t>
            </w:r>
          </w:p>
        </w:tc>
        <w:tc>
          <w:tcPr>
            <w:tcW w:w="7167" w:type="dxa"/>
            <w:noWrap w:val="0"/>
            <w:vAlign w:val="center"/>
          </w:tcPr>
          <w:p w14:paraId="536D15A2">
            <w:pPr>
              <w:pStyle w:val="4"/>
              <w:keepNext w:val="0"/>
              <w:keepLines w:val="0"/>
              <w:pageBreakBefore w:val="0"/>
              <w:kinsoku/>
              <w:wordWrap/>
              <w:overflowPunct/>
              <w:topLinePunct w:val="0"/>
              <w:autoSpaceDE/>
              <w:autoSpaceDN/>
              <w:bidi w:val="0"/>
              <w:adjustRightInd/>
              <w:snapToGrid/>
              <w:spacing w:after="0" w:afterLines="0" w:line="400" w:lineRule="exact"/>
              <w:textAlignment w:val="auto"/>
              <w:rPr>
                <w:rFonts w:hint="eastAsia" w:ascii="Arial" w:hAnsi="Arial" w:eastAsia="黑体" w:cs="Arial"/>
                <w:b/>
                <w:bCs/>
                <w:color w:val="auto"/>
                <w:kern w:val="2"/>
                <w:sz w:val="21"/>
                <w:szCs w:val="21"/>
                <w:lang w:val="en-US" w:eastAsia="zh-CN" w:bidi="ar-SA"/>
              </w:rPr>
            </w:pPr>
            <w:r>
              <w:rPr>
                <w:rFonts w:hint="eastAsia" w:ascii="Arial" w:hAnsi="Arial" w:eastAsia="黑体" w:cs="Arial"/>
                <w:b/>
                <w:bCs/>
                <w:color w:val="auto"/>
                <w:kern w:val="2"/>
                <w:sz w:val="21"/>
                <w:szCs w:val="21"/>
                <w:lang w:val="en-US" w:eastAsia="zh-CN" w:bidi="ar-SA"/>
              </w:rPr>
              <w:t>本项目合同付款分3个阶段：</w:t>
            </w:r>
          </w:p>
          <w:p w14:paraId="58D66F07">
            <w:pPr>
              <w:pStyle w:val="4"/>
              <w:keepNext w:val="0"/>
              <w:keepLines w:val="0"/>
              <w:pageBreakBefore w:val="0"/>
              <w:kinsoku/>
              <w:wordWrap/>
              <w:overflowPunct/>
              <w:topLinePunct w:val="0"/>
              <w:autoSpaceDE/>
              <w:autoSpaceDN/>
              <w:bidi w:val="0"/>
              <w:adjustRightInd/>
              <w:snapToGrid/>
              <w:spacing w:after="0" w:afterLines="0" w:line="400" w:lineRule="exact"/>
              <w:textAlignment w:val="auto"/>
              <w:rPr>
                <w:rFonts w:hint="default" w:ascii="Arial" w:hAnsi="Arial" w:eastAsia="黑体" w:cs="Arial"/>
                <w:b/>
                <w:bCs/>
                <w:color w:val="auto"/>
                <w:kern w:val="2"/>
                <w:sz w:val="21"/>
                <w:szCs w:val="21"/>
                <w:lang w:val="en-US" w:eastAsia="zh-CN" w:bidi="ar-SA"/>
              </w:rPr>
            </w:pPr>
            <w:r>
              <w:rPr>
                <w:rFonts w:hint="eastAsia" w:ascii="Arial" w:hAnsi="Arial" w:eastAsia="黑体" w:cs="Arial"/>
                <w:b/>
                <w:bCs/>
                <w:color w:val="auto"/>
                <w:kern w:val="2"/>
                <w:sz w:val="21"/>
                <w:szCs w:val="21"/>
                <w:lang w:val="en-US" w:eastAsia="zh-CN" w:bidi="ar-SA"/>
              </w:rPr>
              <w:t>1、自合同签订且具备实施条件后7个工作日内，采购人向中标人支付合同总金额的70%；</w:t>
            </w:r>
          </w:p>
          <w:p w14:paraId="36C9ED72">
            <w:pPr>
              <w:pStyle w:val="4"/>
              <w:keepNext w:val="0"/>
              <w:keepLines w:val="0"/>
              <w:pageBreakBefore w:val="0"/>
              <w:kinsoku/>
              <w:wordWrap/>
              <w:overflowPunct/>
              <w:topLinePunct w:val="0"/>
              <w:autoSpaceDE/>
              <w:autoSpaceDN/>
              <w:bidi w:val="0"/>
              <w:adjustRightInd/>
              <w:snapToGrid/>
              <w:spacing w:after="0" w:afterLines="0" w:line="400" w:lineRule="exact"/>
              <w:textAlignment w:val="auto"/>
              <w:rPr>
                <w:rFonts w:hint="eastAsia" w:ascii="Arial" w:hAnsi="Arial" w:eastAsia="黑体" w:cs="Arial"/>
                <w:b/>
                <w:bCs/>
                <w:color w:val="auto"/>
                <w:kern w:val="2"/>
                <w:sz w:val="21"/>
                <w:szCs w:val="21"/>
                <w:lang w:val="en-US" w:eastAsia="zh-CN" w:bidi="ar-SA"/>
              </w:rPr>
            </w:pPr>
            <w:r>
              <w:rPr>
                <w:rFonts w:hint="eastAsia" w:ascii="Arial" w:hAnsi="Arial" w:eastAsia="黑体" w:cs="Arial"/>
                <w:b/>
                <w:bCs/>
                <w:color w:val="auto"/>
                <w:kern w:val="2"/>
                <w:sz w:val="21"/>
                <w:szCs w:val="21"/>
                <w:lang w:val="en-US" w:eastAsia="zh-CN" w:bidi="ar-SA"/>
              </w:rPr>
              <w:t>2、项目初验合格后7个工作日内，采购人向中标人支付至合同总金额90%。</w:t>
            </w:r>
          </w:p>
          <w:p w14:paraId="36593AA5">
            <w:pPr>
              <w:pStyle w:val="4"/>
              <w:keepNext w:val="0"/>
              <w:keepLines w:val="0"/>
              <w:pageBreakBefore w:val="0"/>
              <w:kinsoku/>
              <w:wordWrap/>
              <w:overflowPunct/>
              <w:topLinePunct w:val="0"/>
              <w:autoSpaceDE/>
              <w:autoSpaceDN/>
              <w:bidi w:val="0"/>
              <w:adjustRightInd/>
              <w:snapToGrid/>
              <w:spacing w:after="0" w:afterLines="0" w:line="400" w:lineRule="exact"/>
              <w:textAlignment w:val="auto"/>
              <w:rPr>
                <w:rFonts w:hint="eastAsia" w:ascii="Arial" w:hAnsi="Arial" w:eastAsia="黑体" w:cs="Arial"/>
                <w:b/>
                <w:bCs/>
                <w:color w:val="auto"/>
                <w:kern w:val="2"/>
                <w:sz w:val="21"/>
                <w:szCs w:val="21"/>
                <w:lang w:val="en-US" w:eastAsia="zh-CN" w:bidi="ar-SA"/>
              </w:rPr>
            </w:pPr>
            <w:r>
              <w:rPr>
                <w:rFonts w:hint="eastAsia" w:ascii="Arial" w:hAnsi="Arial" w:eastAsia="黑体" w:cs="Arial"/>
                <w:b/>
                <w:bCs/>
                <w:color w:val="auto"/>
                <w:kern w:val="2"/>
                <w:sz w:val="21"/>
                <w:szCs w:val="21"/>
                <w:lang w:val="en-US" w:eastAsia="zh-CN" w:bidi="ar-SA"/>
              </w:rPr>
              <w:t>3、项目终验合格后7个工作日内，采购人向中标人支付至合同总金额100%。</w:t>
            </w:r>
          </w:p>
          <w:p w14:paraId="50F6A85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default"/>
                <w:color w:val="auto"/>
                <w:sz w:val="21"/>
                <w:szCs w:val="21"/>
                <w:lang w:val="en-US" w:eastAsia="zh-CN"/>
              </w:rPr>
            </w:pPr>
            <w:r>
              <w:rPr>
                <w:rFonts w:hint="eastAsia" w:ascii="Arial" w:hAnsi="Arial" w:eastAsia="宋体" w:cs="Arial"/>
                <w:b/>
                <w:bCs w:val="0"/>
                <w:color w:val="auto"/>
                <w:sz w:val="21"/>
                <w:szCs w:val="21"/>
                <w:highlight w:val="none"/>
                <w:lang w:val="en-US" w:eastAsia="zh-CN"/>
              </w:rPr>
              <w:t>注：项目终验不合格的，中标人应退回前款甲方已支付的合同金额。</w:t>
            </w:r>
            <w:r>
              <w:rPr>
                <w:rFonts w:hint="default" w:ascii="Arial" w:hAnsi="Arial" w:cs="Arial"/>
                <w:b/>
                <w:bCs w:val="0"/>
                <w:color w:val="auto"/>
                <w:sz w:val="21"/>
                <w:szCs w:val="21"/>
                <w:highlight w:val="none"/>
              </w:rPr>
              <w:t>以上款项支付前，</w:t>
            </w:r>
            <w:r>
              <w:rPr>
                <w:rFonts w:hint="eastAsia" w:ascii="Arial" w:hAnsi="Arial" w:cs="Arial"/>
                <w:b/>
                <w:bCs w:val="0"/>
                <w:color w:val="auto"/>
                <w:sz w:val="21"/>
                <w:szCs w:val="21"/>
                <w:highlight w:val="none"/>
                <w:lang w:eastAsia="zh-CN"/>
              </w:rPr>
              <w:t>中标人</w:t>
            </w:r>
            <w:r>
              <w:rPr>
                <w:rFonts w:hint="default" w:ascii="Arial" w:hAnsi="Arial" w:cs="Arial"/>
                <w:b/>
                <w:bCs w:val="0"/>
                <w:color w:val="auto"/>
                <w:sz w:val="21"/>
                <w:szCs w:val="21"/>
                <w:highlight w:val="none"/>
              </w:rPr>
              <w:t>需向甲方提供</w:t>
            </w:r>
            <w:r>
              <w:rPr>
                <w:rFonts w:hint="eastAsia" w:ascii="Arial" w:hAnsi="Arial" w:cs="Arial"/>
                <w:b/>
                <w:bCs w:val="0"/>
                <w:color w:val="auto"/>
                <w:sz w:val="21"/>
                <w:szCs w:val="21"/>
                <w:highlight w:val="none"/>
                <w:lang w:val="en-US" w:eastAsia="zh-CN"/>
              </w:rPr>
              <w:t>正规的</w:t>
            </w:r>
            <w:r>
              <w:rPr>
                <w:rFonts w:hint="default" w:ascii="Arial" w:hAnsi="Arial" w:cs="Arial"/>
                <w:b/>
                <w:bCs w:val="0"/>
                <w:color w:val="auto"/>
                <w:sz w:val="21"/>
                <w:szCs w:val="21"/>
                <w:highlight w:val="none"/>
              </w:rPr>
              <w:t>增值税发票。</w:t>
            </w:r>
            <w:r>
              <w:rPr>
                <w:rFonts w:hint="eastAsia" w:ascii="Arial" w:hAnsi="Arial" w:cs="Arial"/>
                <w:b/>
                <w:bCs w:val="0"/>
                <w:color w:val="auto"/>
                <w:sz w:val="21"/>
                <w:szCs w:val="21"/>
                <w:highlight w:val="none"/>
                <w:lang w:val="en-US" w:eastAsia="zh-CN"/>
              </w:rPr>
              <w:t>若中标人为联合体的，则增值税发票由中标联合体牵头人开具，即：全部合同价款由采购人支付给中标联合体牵头人。</w:t>
            </w:r>
          </w:p>
        </w:tc>
      </w:tr>
    </w:tbl>
    <w:p w14:paraId="576D9B58">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leftChars="-72"/>
        <w:jc w:val="both"/>
        <w:textAlignment w:val="auto"/>
        <w:rPr>
          <w:rFonts w:hint="default" w:ascii="Arial" w:hAnsi="Arial" w:cs="Arial"/>
          <w:bCs/>
          <w:color w:val="auto"/>
          <w:kern w:val="2"/>
          <w:sz w:val="21"/>
          <w:szCs w:val="21"/>
          <w:highlight w:val="none"/>
          <w:lang w:val="en-US" w:eastAsia="zh-CN" w:bidi="ar"/>
        </w:rPr>
      </w:pPr>
    </w:p>
    <w:p w14:paraId="677DAFF8">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leftChars="-72"/>
        <w:jc w:val="both"/>
        <w:textAlignment w:val="auto"/>
        <w:rPr>
          <w:rFonts w:hint="eastAsia" w:ascii="Arial" w:hAnsi="Arial" w:cs="Arial"/>
          <w:b/>
          <w:bCs w:val="0"/>
          <w:color w:val="auto"/>
          <w:kern w:val="2"/>
          <w:sz w:val="21"/>
          <w:szCs w:val="21"/>
          <w:highlight w:val="none"/>
          <w:lang w:val="en-US" w:eastAsia="zh-CN" w:bidi="ar"/>
        </w:rPr>
      </w:pPr>
      <w:r>
        <w:rPr>
          <w:rFonts w:hint="eastAsia" w:ascii="Arial" w:hAnsi="Arial" w:cs="Arial"/>
          <w:b/>
          <w:bCs w:val="0"/>
          <w:color w:val="auto"/>
          <w:kern w:val="2"/>
          <w:sz w:val="21"/>
          <w:szCs w:val="21"/>
          <w:highlight w:val="none"/>
          <w:lang w:val="en-US" w:eastAsia="zh-CN" w:bidi="ar"/>
        </w:rPr>
        <w:t>四、评标办法：综合评分法，具体如下：</w:t>
      </w:r>
    </w:p>
    <w:tbl>
      <w:tblPr>
        <w:tblStyle w:val="13"/>
        <w:tblW w:w="8901"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90"/>
        <w:gridCol w:w="980"/>
        <w:gridCol w:w="5770"/>
        <w:gridCol w:w="510"/>
        <w:gridCol w:w="951"/>
      </w:tblGrid>
      <w:tr w14:paraId="52FC62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90" w:type="dxa"/>
            <w:tcBorders>
              <w:tl2br w:val="nil"/>
              <w:tr2bl w:val="nil"/>
            </w:tcBorders>
            <w:shd w:val="clear" w:color="auto" w:fill="FFFFFF"/>
            <w:noWrap w:val="0"/>
            <w:vAlign w:val="center"/>
          </w:tcPr>
          <w:p w14:paraId="69D7E4C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评分类别</w:t>
            </w:r>
          </w:p>
        </w:tc>
        <w:tc>
          <w:tcPr>
            <w:tcW w:w="980" w:type="dxa"/>
            <w:tcBorders>
              <w:tl2br w:val="nil"/>
              <w:tr2bl w:val="nil"/>
            </w:tcBorders>
            <w:shd w:val="clear" w:color="auto" w:fill="FFFFFF"/>
            <w:noWrap w:val="0"/>
            <w:vAlign w:val="center"/>
          </w:tcPr>
          <w:p w14:paraId="27FA210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评分项目</w:t>
            </w:r>
          </w:p>
        </w:tc>
        <w:tc>
          <w:tcPr>
            <w:tcW w:w="5770" w:type="dxa"/>
            <w:tcBorders>
              <w:tl2br w:val="nil"/>
              <w:tr2bl w:val="nil"/>
            </w:tcBorders>
            <w:shd w:val="clear" w:color="auto" w:fill="FFFFFF"/>
            <w:noWrap w:val="0"/>
            <w:vAlign w:val="center"/>
          </w:tcPr>
          <w:p w14:paraId="59F9E35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评分标准</w:t>
            </w:r>
          </w:p>
        </w:tc>
        <w:tc>
          <w:tcPr>
            <w:tcW w:w="510" w:type="dxa"/>
            <w:tcBorders>
              <w:tl2br w:val="nil"/>
              <w:tr2bl w:val="nil"/>
            </w:tcBorders>
            <w:shd w:val="clear" w:color="auto" w:fill="FFFFFF"/>
            <w:noWrap w:val="0"/>
            <w:vAlign w:val="center"/>
          </w:tcPr>
          <w:p w14:paraId="3179C35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b/>
                <w:bCs/>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分值</w:t>
            </w:r>
          </w:p>
        </w:tc>
        <w:tc>
          <w:tcPr>
            <w:tcW w:w="951" w:type="dxa"/>
            <w:tcBorders>
              <w:tl2br w:val="nil"/>
              <w:tr2bl w:val="nil"/>
            </w:tcBorders>
            <w:shd w:val="clear" w:color="auto" w:fill="FFFFFF"/>
            <w:noWrap w:val="0"/>
            <w:vAlign w:val="center"/>
          </w:tcPr>
          <w:p w14:paraId="1E1C9D5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客观分/主观分</w:t>
            </w:r>
          </w:p>
        </w:tc>
      </w:tr>
      <w:tr w14:paraId="6656AC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tcBorders>
              <w:tl2br w:val="nil"/>
              <w:tr2bl w:val="nil"/>
            </w:tcBorders>
            <w:shd w:val="clear" w:color="auto" w:fill="FFFFFF"/>
            <w:noWrap w:val="0"/>
            <w:vAlign w:val="center"/>
          </w:tcPr>
          <w:p w14:paraId="63C7C06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价格分（30分）</w:t>
            </w:r>
          </w:p>
        </w:tc>
        <w:tc>
          <w:tcPr>
            <w:tcW w:w="980" w:type="dxa"/>
            <w:tcBorders>
              <w:tl2br w:val="nil"/>
              <w:tr2bl w:val="nil"/>
            </w:tcBorders>
            <w:shd w:val="clear" w:color="auto" w:fill="FFFFFF"/>
            <w:noWrap w:val="0"/>
            <w:vAlign w:val="center"/>
          </w:tcPr>
          <w:p w14:paraId="0E055D4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投标产品报价（30分）</w:t>
            </w:r>
          </w:p>
        </w:tc>
        <w:tc>
          <w:tcPr>
            <w:tcW w:w="5770" w:type="dxa"/>
            <w:tcBorders>
              <w:tl2br w:val="nil"/>
              <w:tr2bl w:val="nil"/>
            </w:tcBorders>
            <w:shd w:val="clear" w:color="auto" w:fill="FFFFFF"/>
            <w:noWrap w:val="0"/>
            <w:vAlign w:val="center"/>
          </w:tcPr>
          <w:p w14:paraId="432C13C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满足招标要求的有效投标文件（初步评审合格且商务、技术、报价部分评审合格）且投标报价最低的投标报价作为评标基准价，得30分。</w:t>
            </w:r>
          </w:p>
          <w:p w14:paraId="3D0C3F5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其余供应商投标报价得分=（评标基准价/有效投标报价）×30。</w:t>
            </w:r>
          </w:p>
          <w:p w14:paraId="173678A1">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（投标价得分以四舍五入方法整合到小数点后两位）</w:t>
            </w:r>
          </w:p>
          <w:p w14:paraId="0B501A9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如果供应商声明为小、微型企业（或视同小、微型企业）产品的给予10%报价扣除，</w:t>
            </w:r>
            <w:r>
              <w:rPr>
                <w:rFonts w:hint="eastAsia" w:ascii="Arial" w:hAnsi="Arial" w:eastAsia="宋体" w:cs="Arial"/>
                <w:i w:val="0"/>
                <w:iCs w:val="0"/>
                <w:color w:val="auto"/>
                <w:kern w:val="0"/>
                <w:sz w:val="22"/>
                <w:szCs w:val="22"/>
                <w:u w:val="none"/>
                <w:lang w:val="en-US" w:eastAsia="zh-CN" w:bidi="ar"/>
              </w:rPr>
              <w:t>用</w:t>
            </w:r>
            <w:r>
              <w:rPr>
                <w:rFonts w:hint="default" w:ascii="Arial" w:hAnsi="Arial" w:eastAsia="宋体" w:cs="Arial"/>
                <w:i w:val="0"/>
                <w:iCs w:val="0"/>
                <w:color w:val="auto"/>
                <w:kern w:val="0"/>
                <w:sz w:val="22"/>
                <w:szCs w:val="22"/>
                <w:u w:val="none"/>
                <w:lang w:val="en-US" w:eastAsia="zh-CN" w:bidi="ar"/>
              </w:rPr>
              <w:t>扣除后的价格计算评标基准价和投标报价</w:t>
            </w:r>
            <w:r>
              <w:rPr>
                <w:rFonts w:hint="eastAsia" w:ascii="Arial" w:hAnsi="Arial" w:eastAsia="宋体" w:cs="Arial"/>
                <w:i w:val="0"/>
                <w:iCs w:val="0"/>
                <w:color w:val="auto"/>
                <w:kern w:val="0"/>
                <w:sz w:val="22"/>
                <w:szCs w:val="22"/>
                <w:u w:val="none"/>
                <w:lang w:val="en-US" w:eastAsia="zh-CN" w:bidi="ar"/>
              </w:rPr>
              <w:t>。本项目</w:t>
            </w:r>
            <w:r>
              <w:rPr>
                <w:rFonts w:hint="eastAsia" w:ascii="Arial" w:hAnsi="Arial" w:eastAsia="宋体" w:cs="Arial"/>
                <w:i w:val="0"/>
                <w:iCs w:val="0"/>
                <w:color w:val="auto"/>
                <w:kern w:val="0"/>
                <w:sz w:val="22"/>
                <w:szCs w:val="22"/>
                <w:u w:val="none"/>
                <w:lang w:val="en-US" w:eastAsia="zh-CN" w:bidi="ar"/>
              </w:rPr>
              <w:t>接受大中型企业与小微企业组成联合体，对于联合协议约定小微企业的合同份额占到合同总金额30%以上的，对联合体或者大中型企业的报价给予4%的扣除，用扣除后的价格参加评审。组成的联合体与联合体内其他企业存在直接控股、管理关系的，不享受价格扣除优惠政策（本项目不允许分包）。</w:t>
            </w:r>
          </w:p>
          <w:p w14:paraId="21319D0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注：供应商的投标报价超过最高限价（不含本数）的为无效报价。</w:t>
            </w:r>
          </w:p>
        </w:tc>
        <w:tc>
          <w:tcPr>
            <w:tcW w:w="510" w:type="dxa"/>
            <w:tcBorders>
              <w:tl2br w:val="nil"/>
              <w:tr2bl w:val="nil"/>
            </w:tcBorders>
            <w:shd w:val="clear" w:color="auto" w:fill="FFFFFF"/>
            <w:noWrap w:val="0"/>
            <w:vAlign w:val="center"/>
          </w:tcPr>
          <w:p w14:paraId="1C684D3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30</w:t>
            </w:r>
          </w:p>
        </w:tc>
        <w:tc>
          <w:tcPr>
            <w:tcW w:w="951" w:type="dxa"/>
            <w:tcBorders>
              <w:tl2br w:val="nil"/>
              <w:tr2bl w:val="nil"/>
            </w:tcBorders>
            <w:shd w:val="clear" w:color="auto" w:fill="FFFFFF"/>
            <w:noWrap w:val="0"/>
            <w:vAlign w:val="center"/>
          </w:tcPr>
          <w:p w14:paraId="151448B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48340A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restart"/>
            <w:tcBorders>
              <w:tl2br w:val="nil"/>
              <w:tr2bl w:val="nil"/>
            </w:tcBorders>
            <w:shd w:val="clear" w:color="auto" w:fill="FFFFFF"/>
            <w:noWrap w:val="0"/>
            <w:vAlign w:val="center"/>
          </w:tcPr>
          <w:p w14:paraId="4FC4A66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技术商务分（70分）</w:t>
            </w:r>
          </w:p>
        </w:tc>
        <w:tc>
          <w:tcPr>
            <w:tcW w:w="980" w:type="dxa"/>
            <w:vMerge w:val="restart"/>
            <w:tcBorders>
              <w:tl2br w:val="nil"/>
              <w:tr2bl w:val="nil"/>
            </w:tcBorders>
            <w:shd w:val="clear" w:color="auto" w:fill="FFFFFF"/>
            <w:noWrap w:val="0"/>
            <w:vAlign w:val="center"/>
          </w:tcPr>
          <w:p w14:paraId="6F0F2CD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综合实力（12分）</w:t>
            </w:r>
          </w:p>
        </w:tc>
        <w:tc>
          <w:tcPr>
            <w:tcW w:w="5770" w:type="dxa"/>
            <w:tcBorders>
              <w:tl2br w:val="nil"/>
              <w:tr2bl w:val="nil"/>
            </w:tcBorders>
            <w:shd w:val="clear" w:color="auto" w:fill="FFFFFF"/>
            <w:noWrap w:val="0"/>
            <w:vAlign w:val="center"/>
          </w:tcPr>
          <w:p w14:paraId="2BC6651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1．投标人具备质量管理、信息技术服务、信息安全管理能力，具有</w:t>
            </w:r>
            <w:r>
              <w:rPr>
                <w:rFonts w:hint="eastAsia" w:ascii="Arial" w:hAnsi="Arial" w:eastAsia="宋体" w:cs="Arial"/>
                <w:i w:val="0"/>
                <w:iCs w:val="0"/>
                <w:color w:val="auto"/>
                <w:kern w:val="0"/>
                <w:sz w:val="22"/>
                <w:szCs w:val="22"/>
                <w:u w:val="none"/>
                <w:lang w:val="en-US" w:eastAsia="zh-CN" w:bidi="ar"/>
              </w:rPr>
              <w:t>有效期内的</w:t>
            </w:r>
            <w:r>
              <w:rPr>
                <w:rFonts w:hint="default" w:ascii="Arial" w:hAnsi="Arial" w:eastAsia="宋体" w:cs="Arial"/>
                <w:i w:val="0"/>
                <w:iCs w:val="0"/>
                <w:color w:val="auto"/>
                <w:kern w:val="0"/>
                <w:sz w:val="22"/>
                <w:szCs w:val="22"/>
                <w:u w:val="none"/>
                <w:lang w:val="en-US" w:eastAsia="zh-CN" w:bidi="ar"/>
              </w:rPr>
              <w:t>ISO9001质量管理体系认证证书、ISO20000信息技术服务管理体系认证证书、ISO27001信息安全管理体系认证证书，公共安全业务连续性管理体系认证证书 ISO22301，</w:t>
            </w:r>
            <w:r>
              <w:rPr>
                <w:rFonts w:hint="eastAsia" w:ascii="Arial" w:hAnsi="Arial" w:eastAsia="宋体" w:cs="Arial"/>
                <w:i w:val="0"/>
                <w:iCs w:val="0"/>
                <w:color w:val="auto"/>
                <w:kern w:val="0"/>
                <w:sz w:val="22"/>
                <w:szCs w:val="22"/>
                <w:u w:val="none"/>
                <w:lang w:val="en-US" w:eastAsia="zh-CN" w:bidi="ar"/>
              </w:rPr>
              <w:t>上述认证证书</w:t>
            </w:r>
            <w:r>
              <w:rPr>
                <w:rFonts w:hint="default" w:ascii="Arial" w:hAnsi="Arial" w:eastAsia="宋体" w:cs="Arial"/>
                <w:i w:val="0"/>
                <w:iCs w:val="0"/>
                <w:color w:val="auto"/>
                <w:kern w:val="0"/>
                <w:sz w:val="22"/>
                <w:szCs w:val="22"/>
                <w:u w:val="none"/>
                <w:lang w:val="en-US" w:eastAsia="zh-CN" w:bidi="ar"/>
              </w:rPr>
              <w:t>全部具有</w:t>
            </w:r>
            <w:r>
              <w:rPr>
                <w:rFonts w:hint="eastAsia" w:ascii="Arial" w:hAnsi="Arial" w:eastAsia="宋体" w:cs="Arial"/>
                <w:i w:val="0"/>
                <w:iCs w:val="0"/>
                <w:color w:val="auto"/>
                <w:kern w:val="0"/>
                <w:sz w:val="22"/>
                <w:szCs w:val="22"/>
                <w:u w:val="none"/>
                <w:lang w:val="en-US" w:eastAsia="zh-CN" w:bidi="ar"/>
              </w:rPr>
              <w:t>的</w:t>
            </w:r>
            <w:r>
              <w:rPr>
                <w:rFonts w:hint="default" w:ascii="Arial" w:hAnsi="Arial" w:eastAsia="宋体" w:cs="Arial"/>
                <w:i w:val="0"/>
                <w:iCs w:val="0"/>
                <w:color w:val="auto"/>
                <w:kern w:val="0"/>
                <w:sz w:val="22"/>
                <w:szCs w:val="22"/>
                <w:u w:val="none"/>
                <w:lang w:val="en-US" w:eastAsia="zh-CN" w:bidi="ar"/>
              </w:rPr>
              <w:t>得4分，每少一</w:t>
            </w:r>
            <w:r>
              <w:rPr>
                <w:rFonts w:hint="eastAsia" w:ascii="Arial" w:hAnsi="Arial" w:eastAsia="宋体" w:cs="Arial"/>
                <w:i w:val="0"/>
                <w:iCs w:val="0"/>
                <w:color w:val="auto"/>
                <w:kern w:val="0"/>
                <w:sz w:val="22"/>
                <w:szCs w:val="22"/>
                <w:u w:val="none"/>
                <w:lang w:val="en-US" w:eastAsia="zh-CN" w:bidi="ar"/>
              </w:rPr>
              <w:t>项</w:t>
            </w:r>
            <w:r>
              <w:rPr>
                <w:rFonts w:hint="default" w:ascii="Arial" w:hAnsi="Arial" w:eastAsia="宋体" w:cs="Arial"/>
                <w:i w:val="0"/>
                <w:iCs w:val="0"/>
                <w:color w:val="auto"/>
                <w:kern w:val="0"/>
                <w:sz w:val="22"/>
                <w:szCs w:val="22"/>
                <w:u w:val="none"/>
                <w:lang w:val="en-US" w:eastAsia="zh-CN" w:bidi="ar"/>
              </w:rPr>
              <w:t>扣1分，扣完为止。</w:t>
            </w:r>
          </w:p>
          <w:p w14:paraId="0057A8B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default" w:ascii="Arial" w:hAnsi="Arial" w:eastAsia="宋体" w:cs="Arial"/>
                <w:b/>
                <w:bCs/>
                <w:i w:val="0"/>
                <w:iCs w:val="0"/>
                <w:color w:val="auto"/>
                <w:kern w:val="0"/>
                <w:sz w:val="22"/>
                <w:szCs w:val="22"/>
                <w:u w:val="none"/>
                <w:lang w:val="en-US" w:eastAsia="zh-CN" w:bidi="ar"/>
              </w:rPr>
              <w:t>注：</w:t>
            </w:r>
            <w:r>
              <w:rPr>
                <w:rFonts w:hint="eastAsia" w:ascii="Arial" w:hAnsi="Arial" w:eastAsia="宋体" w:cs="Arial"/>
                <w:b/>
                <w:bCs/>
                <w:i w:val="0"/>
                <w:iCs w:val="0"/>
                <w:color w:val="auto"/>
                <w:kern w:val="0"/>
                <w:sz w:val="22"/>
                <w:szCs w:val="22"/>
                <w:u w:val="none"/>
                <w:lang w:val="en-US" w:eastAsia="zh-CN" w:bidi="ar"/>
              </w:rPr>
              <w:t>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w:t>
            </w:r>
            <w:r>
              <w:rPr>
                <w:rFonts w:hint="eastAsia" w:ascii="Arial" w:hAnsi="Arial" w:eastAsia="宋体" w:cs="Arial"/>
                <w:b/>
                <w:bCs/>
                <w:i w:val="0"/>
                <w:iCs w:val="0"/>
                <w:color w:val="auto"/>
                <w:kern w:val="0"/>
                <w:sz w:val="22"/>
                <w:szCs w:val="22"/>
                <w:u w:val="none"/>
                <w:lang w:val="en-US" w:eastAsia="zh-CN" w:bidi="ar"/>
              </w:rPr>
              <w:t>上述</w:t>
            </w:r>
            <w:r>
              <w:rPr>
                <w:rFonts w:hint="default" w:ascii="Arial" w:hAnsi="Arial" w:eastAsia="宋体" w:cs="Arial"/>
                <w:b/>
                <w:bCs/>
                <w:i w:val="0"/>
                <w:iCs w:val="0"/>
                <w:color w:val="auto"/>
                <w:kern w:val="0"/>
                <w:sz w:val="22"/>
                <w:szCs w:val="22"/>
                <w:u w:val="none"/>
                <w:lang w:val="en-US" w:eastAsia="zh-CN" w:bidi="ar"/>
              </w:rPr>
              <w:t>有效期内的</w:t>
            </w:r>
            <w:r>
              <w:rPr>
                <w:rFonts w:hint="eastAsia" w:ascii="Arial" w:hAnsi="Arial" w:eastAsia="宋体" w:cs="Arial"/>
                <w:b/>
                <w:bCs/>
                <w:i w:val="0"/>
                <w:iCs w:val="0"/>
                <w:color w:val="auto"/>
                <w:kern w:val="0"/>
                <w:sz w:val="22"/>
                <w:szCs w:val="22"/>
                <w:u w:val="none"/>
                <w:lang w:val="en-US" w:eastAsia="zh-CN" w:bidi="ar"/>
              </w:rPr>
              <w:t>认证</w:t>
            </w:r>
            <w:r>
              <w:rPr>
                <w:rFonts w:hint="default" w:ascii="Arial" w:hAnsi="Arial" w:eastAsia="宋体" w:cs="Arial"/>
                <w:b/>
                <w:bCs/>
                <w:i w:val="0"/>
                <w:iCs w:val="0"/>
                <w:color w:val="auto"/>
                <w:kern w:val="0"/>
                <w:sz w:val="22"/>
                <w:szCs w:val="22"/>
                <w:u w:val="none"/>
                <w:lang w:val="en-US" w:eastAsia="zh-CN" w:bidi="ar"/>
              </w:rPr>
              <w:t>证书复印</w:t>
            </w:r>
            <w:r>
              <w:rPr>
                <w:rFonts w:hint="eastAsia" w:ascii="Arial" w:hAnsi="Arial" w:eastAsia="宋体" w:cs="Arial"/>
                <w:b/>
                <w:bCs/>
                <w:i w:val="0"/>
                <w:iCs w:val="0"/>
                <w:color w:val="auto"/>
                <w:kern w:val="0"/>
                <w:sz w:val="22"/>
                <w:szCs w:val="22"/>
                <w:u w:val="none"/>
                <w:lang w:val="en-US" w:eastAsia="zh-CN" w:bidi="ar"/>
              </w:rPr>
              <w:t>件</w:t>
            </w:r>
            <w:r>
              <w:rPr>
                <w:rFonts w:hint="default" w:ascii="Arial" w:hAnsi="Arial" w:eastAsia="宋体" w:cs="Arial"/>
                <w:b/>
                <w:bCs/>
                <w:i w:val="0"/>
                <w:iCs w:val="0"/>
                <w:color w:val="auto"/>
                <w:kern w:val="0"/>
                <w:sz w:val="22"/>
                <w:szCs w:val="22"/>
                <w:u w:val="none"/>
                <w:lang w:val="en-US" w:eastAsia="zh-CN" w:bidi="ar"/>
              </w:rPr>
              <w:t>，</w:t>
            </w:r>
            <w:r>
              <w:rPr>
                <w:rFonts w:hint="default" w:ascii="Arial" w:hAnsi="Arial" w:eastAsia="宋体" w:cs="Arial"/>
                <w:b/>
                <w:bCs/>
                <w:i w:val="0"/>
                <w:iCs w:val="0"/>
                <w:color w:val="auto"/>
                <w:kern w:val="0"/>
                <w:sz w:val="22"/>
                <w:szCs w:val="22"/>
                <w:u w:val="none"/>
                <w:lang w:val="en-US" w:eastAsia="zh-CN" w:bidi="ar"/>
              </w:rPr>
              <w:t>未提供不得分。</w:t>
            </w:r>
          </w:p>
          <w:p w14:paraId="181CCDC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若联合体参加投标的，联合体任意一方具备上述证书即可。</w:t>
            </w:r>
          </w:p>
        </w:tc>
        <w:tc>
          <w:tcPr>
            <w:tcW w:w="510" w:type="dxa"/>
            <w:tcBorders>
              <w:tl2br w:val="nil"/>
              <w:tr2bl w:val="nil"/>
            </w:tcBorders>
            <w:shd w:val="clear" w:color="auto" w:fill="FFFFFF"/>
            <w:noWrap w:val="0"/>
            <w:vAlign w:val="center"/>
          </w:tcPr>
          <w:p w14:paraId="426F115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w:t>
            </w:r>
          </w:p>
        </w:tc>
        <w:tc>
          <w:tcPr>
            <w:tcW w:w="951" w:type="dxa"/>
            <w:tcBorders>
              <w:tl2br w:val="nil"/>
              <w:tr2bl w:val="nil"/>
            </w:tcBorders>
            <w:shd w:val="clear" w:color="auto" w:fill="FFFFFF"/>
            <w:noWrap w:val="0"/>
            <w:vAlign w:val="center"/>
          </w:tcPr>
          <w:p w14:paraId="0CCE7ED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472C56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690" w:type="dxa"/>
            <w:vMerge w:val="continue"/>
            <w:tcBorders>
              <w:tl2br w:val="nil"/>
              <w:tr2bl w:val="nil"/>
            </w:tcBorders>
            <w:shd w:val="clear" w:color="auto" w:fill="FFFFFF"/>
            <w:noWrap w:val="0"/>
            <w:vAlign w:val="center"/>
          </w:tcPr>
          <w:p w14:paraId="0EC02105">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FF"/>
            <w:noWrap w:val="0"/>
            <w:vAlign w:val="center"/>
          </w:tcPr>
          <w:p w14:paraId="226228B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1153BA0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2．投标人具备信息安全服务能力，具有中国信息安全测评中心颁发的：</w:t>
            </w:r>
          </w:p>
          <w:p w14:paraId="754F151C">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（1）有效的信息安全服务资质（安全开发类）证书。</w:t>
            </w:r>
          </w:p>
          <w:p w14:paraId="608A5B4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（2）有效的信息安全服务资质（安全工程类）证书。</w:t>
            </w:r>
          </w:p>
          <w:p w14:paraId="5C16327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每提供一个得1分，最高得2分。</w:t>
            </w:r>
          </w:p>
          <w:p w14:paraId="4AE225E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default" w:ascii="Arial" w:hAnsi="Arial" w:eastAsia="宋体" w:cs="Arial"/>
                <w:b/>
                <w:bCs/>
                <w:i w:val="0"/>
                <w:iCs w:val="0"/>
                <w:color w:val="auto"/>
                <w:kern w:val="0"/>
                <w:sz w:val="22"/>
                <w:szCs w:val="22"/>
                <w:u w:val="none"/>
                <w:lang w:val="en-US" w:eastAsia="zh-CN" w:bidi="ar"/>
              </w:rPr>
              <w:t>注：</w:t>
            </w:r>
            <w:r>
              <w:rPr>
                <w:rFonts w:hint="eastAsia" w:ascii="Arial" w:hAnsi="Arial" w:eastAsia="宋体" w:cs="Arial"/>
                <w:b/>
                <w:bCs/>
                <w:i w:val="0"/>
                <w:iCs w:val="0"/>
                <w:color w:val="auto"/>
                <w:kern w:val="0"/>
                <w:sz w:val="22"/>
                <w:szCs w:val="22"/>
                <w:u w:val="none"/>
                <w:lang w:val="en-US" w:eastAsia="zh-CN" w:bidi="ar"/>
              </w:rPr>
              <w:t>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w:t>
            </w:r>
            <w:r>
              <w:rPr>
                <w:rFonts w:hint="default" w:ascii="Arial" w:hAnsi="Arial" w:eastAsia="宋体" w:cs="Arial"/>
                <w:b/>
                <w:bCs/>
                <w:i w:val="0"/>
                <w:iCs w:val="0"/>
                <w:color w:val="auto"/>
                <w:kern w:val="0"/>
                <w:sz w:val="22"/>
                <w:szCs w:val="22"/>
                <w:u w:val="none"/>
                <w:lang w:val="en-US" w:eastAsia="zh-CN" w:bidi="ar"/>
              </w:rPr>
              <w:t>有效期内的证书复印件，未提供不得分。</w:t>
            </w:r>
          </w:p>
          <w:p w14:paraId="5058156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若联合体参加投标的，联合体任意一方具备上述证书即可。</w:t>
            </w:r>
          </w:p>
        </w:tc>
        <w:tc>
          <w:tcPr>
            <w:tcW w:w="510" w:type="dxa"/>
            <w:tcBorders>
              <w:tl2br w:val="nil"/>
              <w:tr2bl w:val="nil"/>
            </w:tcBorders>
            <w:shd w:val="clear" w:color="auto" w:fill="FFFFFF"/>
            <w:noWrap w:val="0"/>
            <w:vAlign w:val="center"/>
          </w:tcPr>
          <w:p w14:paraId="4F856EA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10E4E80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60079C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690" w:type="dxa"/>
            <w:vMerge w:val="continue"/>
            <w:tcBorders>
              <w:tl2br w:val="nil"/>
              <w:tr2bl w:val="nil"/>
            </w:tcBorders>
            <w:shd w:val="clear" w:color="auto" w:fill="FFFFFF"/>
            <w:noWrap w:val="0"/>
            <w:vAlign w:val="center"/>
          </w:tcPr>
          <w:p w14:paraId="3B0F3910">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FF"/>
            <w:noWrap w:val="0"/>
            <w:vAlign w:val="center"/>
          </w:tcPr>
          <w:p w14:paraId="4A697A11">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3E133F6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u w:val="none"/>
                <w:lang w:val="en-US" w:eastAsia="zh-CN" w:bidi="ar"/>
              </w:rPr>
              <w:t>3．投标人具备数据管理能力，具</w:t>
            </w:r>
            <w:r>
              <w:rPr>
                <w:rFonts w:hint="default" w:ascii="Arial" w:hAnsi="Arial" w:eastAsia="宋体" w:cs="Arial"/>
                <w:i w:val="0"/>
                <w:iCs w:val="0"/>
                <w:color w:val="auto"/>
                <w:kern w:val="0"/>
                <w:sz w:val="22"/>
                <w:szCs w:val="22"/>
                <w:highlight w:val="none"/>
                <w:u w:val="none"/>
                <w:lang w:val="en-US" w:eastAsia="zh-CN" w:bidi="ar"/>
              </w:rPr>
              <w:t>有</w:t>
            </w:r>
            <w:r>
              <w:rPr>
                <w:rFonts w:hint="default" w:ascii="Arial" w:hAnsi="Arial" w:eastAsia="宋体" w:cs="Arial"/>
                <w:i w:val="0"/>
                <w:iCs w:val="0"/>
                <w:color w:val="auto"/>
                <w:kern w:val="0"/>
                <w:sz w:val="22"/>
                <w:szCs w:val="22"/>
                <w:highlight w:val="none"/>
                <w:u w:val="none"/>
                <w:shd w:val="clear" w:color="auto" w:fill="FFFFFF"/>
                <w:lang w:val="en-US" w:eastAsia="zh-CN" w:bidi="ar"/>
              </w:rPr>
              <w:t>数据管理能力成熟度等级证书（DCMM），四级（量化管理级）及以上证书得2分，三级（稳健级）</w:t>
            </w:r>
            <w:r>
              <w:rPr>
                <w:rFonts w:hint="default" w:ascii="Arial" w:hAnsi="Arial" w:eastAsia="宋体" w:cs="Arial"/>
                <w:i w:val="0"/>
                <w:iCs w:val="0"/>
                <w:color w:val="auto"/>
                <w:kern w:val="0"/>
                <w:sz w:val="22"/>
                <w:szCs w:val="22"/>
                <w:highlight w:val="none"/>
                <w:u w:val="none"/>
                <w:lang w:val="en-US" w:eastAsia="zh-CN" w:bidi="ar"/>
              </w:rPr>
              <w:t>证书得1分，其他不得分。</w:t>
            </w:r>
          </w:p>
          <w:p w14:paraId="7717337C">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default" w:ascii="Arial" w:hAnsi="Arial" w:eastAsia="宋体" w:cs="Arial"/>
                <w:b/>
                <w:bCs/>
                <w:i w:val="0"/>
                <w:iCs w:val="0"/>
                <w:color w:val="auto"/>
                <w:kern w:val="0"/>
                <w:sz w:val="22"/>
                <w:szCs w:val="22"/>
                <w:highlight w:val="none"/>
                <w:u w:val="none"/>
                <w:lang w:val="en-US" w:eastAsia="zh-CN" w:bidi="ar"/>
              </w:rPr>
              <w:t>注：</w:t>
            </w:r>
            <w:r>
              <w:rPr>
                <w:rFonts w:hint="eastAsia" w:ascii="Arial" w:hAnsi="Arial" w:eastAsia="宋体" w:cs="Arial"/>
                <w:b/>
                <w:bCs/>
                <w:i w:val="0"/>
                <w:iCs w:val="0"/>
                <w:color w:val="auto"/>
                <w:kern w:val="0"/>
                <w:sz w:val="22"/>
                <w:szCs w:val="22"/>
                <w:highlight w:val="none"/>
                <w:u w:val="none"/>
                <w:lang w:val="en-US" w:eastAsia="zh-CN" w:bidi="ar"/>
              </w:rPr>
              <w:t>技术商务文件</w:t>
            </w:r>
            <w:r>
              <w:rPr>
                <w:rFonts w:hint="default" w:ascii="Arial" w:hAnsi="Arial" w:eastAsia="宋体" w:cs="Arial"/>
                <w:b/>
                <w:bCs/>
                <w:i w:val="0"/>
                <w:iCs w:val="0"/>
                <w:color w:val="auto"/>
                <w:kern w:val="0"/>
                <w:sz w:val="22"/>
                <w:szCs w:val="22"/>
                <w:highlight w:val="none"/>
                <w:u w:val="none"/>
                <w:lang w:val="en-US" w:eastAsia="zh-CN" w:bidi="ar"/>
              </w:rPr>
              <w:t>中</w:t>
            </w:r>
            <w:r>
              <w:rPr>
                <w:rFonts w:hint="eastAsia" w:ascii="Arial" w:hAnsi="Arial" w:eastAsia="宋体" w:cs="Arial"/>
                <w:b/>
                <w:bCs/>
                <w:i w:val="0"/>
                <w:iCs w:val="0"/>
                <w:color w:val="auto"/>
                <w:kern w:val="0"/>
                <w:sz w:val="22"/>
                <w:szCs w:val="22"/>
                <w:highlight w:val="none"/>
                <w:u w:val="none"/>
                <w:lang w:val="en-US" w:eastAsia="zh-CN" w:bidi="ar"/>
              </w:rPr>
              <w:t>附</w:t>
            </w:r>
            <w:r>
              <w:rPr>
                <w:rFonts w:hint="eastAsia" w:ascii="Arial" w:hAnsi="Arial" w:eastAsia="宋体" w:cs="Arial"/>
                <w:b/>
                <w:bCs/>
                <w:i w:val="0"/>
                <w:iCs w:val="0"/>
                <w:color w:val="auto"/>
                <w:kern w:val="0"/>
                <w:sz w:val="22"/>
                <w:szCs w:val="22"/>
                <w:highlight w:val="none"/>
                <w:u w:val="none"/>
                <w:lang w:val="en-US" w:eastAsia="zh-CN" w:bidi="ar"/>
              </w:rPr>
              <w:t>上述</w:t>
            </w:r>
            <w:r>
              <w:rPr>
                <w:rFonts w:hint="default" w:ascii="Arial" w:hAnsi="Arial" w:eastAsia="宋体" w:cs="Arial"/>
                <w:b/>
                <w:bCs/>
                <w:i w:val="0"/>
                <w:iCs w:val="0"/>
                <w:color w:val="auto"/>
                <w:kern w:val="0"/>
                <w:sz w:val="22"/>
                <w:szCs w:val="22"/>
                <w:highlight w:val="none"/>
                <w:u w:val="none"/>
                <w:lang w:val="en-US" w:eastAsia="zh-CN" w:bidi="ar"/>
              </w:rPr>
              <w:t>有效期内的证</w:t>
            </w:r>
            <w:r>
              <w:rPr>
                <w:rFonts w:hint="default" w:ascii="Arial" w:hAnsi="Arial" w:eastAsia="宋体" w:cs="Arial"/>
                <w:b/>
                <w:bCs/>
                <w:i w:val="0"/>
                <w:iCs w:val="0"/>
                <w:color w:val="auto"/>
                <w:kern w:val="0"/>
                <w:sz w:val="22"/>
                <w:szCs w:val="22"/>
                <w:u w:val="none"/>
                <w:lang w:val="en-US" w:eastAsia="zh-CN" w:bidi="ar"/>
              </w:rPr>
              <w:t>书复印件，未提供不得分。</w:t>
            </w:r>
          </w:p>
          <w:p w14:paraId="16BF3EF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若联合体参加投标的，联合体任意一方具备上述证书即可。</w:t>
            </w:r>
          </w:p>
        </w:tc>
        <w:tc>
          <w:tcPr>
            <w:tcW w:w="510" w:type="dxa"/>
            <w:tcBorders>
              <w:tl2br w:val="nil"/>
              <w:tr2bl w:val="nil"/>
            </w:tcBorders>
            <w:shd w:val="clear" w:color="auto" w:fill="FFFFFF"/>
            <w:noWrap w:val="0"/>
            <w:vAlign w:val="center"/>
          </w:tcPr>
          <w:p w14:paraId="79C3067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2BA1D26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257D14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690" w:type="dxa"/>
            <w:vMerge w:val="continue"/>
            <w:tcBorders>
              <w:tl2br w:val="nil"/>
              <w:tr2bl w:val="nil"/>
            </w:tcBorders>
            <w:shd w:val="clear" w:color="auto" w:fill="FFFFFF"/>
            <w:noWrap w:val="0"/>
            <w:vAlign w:val="center"/>
          </w:tcPr>
          <w:p w14:paraId="443CF50F">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FF"/>
            <w:noWrap w:val="0"/>
            <w:vAlign w:val="center"/>
          </w:tcPr>
          <w:p w14:paraId="04562BDD">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0EE95B0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4.</w:t>
            </w:r>
            <w:r>
              <w:rPr>
                <w:rFonts w:hint="default" w:ascii="Arial" w:hAnsi="Arial" w:eastAsia="宋体" w:cs="Arial"/>
                <w:i w:val="0"/>
                <w:iCs w:val="0"/>
                <w:color w:val="auto"/>
                <w:kern w:val="0"/>
                <w:sz w:val="22"/>
                <w:szCs w:val="22"/>
                <w:u w:val="none"/>
                <w:lang w:val="en-US" w:eastAsia="zh-CN" w:bidi="ar"/>
              </w:rPr>
              <w:t>投标人具有信息系统安全集成服务资质认证（CCRC）：一级得2分，二级得1分，其他不得分。</w:t>
            </w:r>
          </w:p>
          <w:p w14:paraId="3B8C5DD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default" w:ascii="Arial" w:hAnsi="Arial" w:eastAsia="宋体" w:cs="Arial"/>
                <w:b/>
                <w:bCs/>
                <w:i w:val="0"/>
                <w:iCs w:val="0"/>
                <w:color w:val="auto"/>
                <w:kern w:val="0"/>
                <w:sz w:val="22"/>
                <w:szCs w:val="22"/>
                <w:u w:val="none"/>
                <w:lang w:val="en-US" w:eastAsia="zh-CN" w:bidi="ar"/>
              </w:rPr>
              <w:t>注：</w:t>
            </w:r>
            <w:r>
              <w:rPr>
                <w:rFonts w:hint="eastAsia" w:ascii="Arial" w:hAnsi="Arial" w:eastAsia="宋体" w:cs="Arial"/>
                <w:b/>
                <w:bCs/>
                <w:i w:val="0"/>
                <w:iCs w:val="0"/>
                <w:color w:val="auto"/>
                <w:kern w:val="0"/>
                <w:sz w:val="22"/>
                <w:szCs w:val="22"/>
                <w:u w:val="none"/>
                <w:lang w:val="en-US" w:eastAsia="zh-CN" w:bidi="ar"/>
              </w:rPr>
              <w:t>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附上述</w:t>
            </w:r>
            <w:r>
              <w:rPr>
                <w:rFonts w:hint="default" w:ascii="Arial" w:hAnsi="Arial" w:eastAsia="宋体" w:cs="Arial"/>
                <w:b/>
                <w:bCs/>
                <w:i w:val="0"/>
                <w:iCs w:val="0"/>
                <w:color w:val="auto"/>
                <w:kern w:val="0"/>
                <w:sz w:val="22"/>
                <w:szCs w:val="22"/>
                <w:u w:val="none"/>
                <w:lang w:val="en-US" w:eastAsia="zh-CN" w:bidi="ar"/>
              </w:rPr>
              <w:t>有效期内的证书复印件，未提供不得分。</w:t>
            </w:r>
          </w:p>
          <w:p w14:paraId="5894DD9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若联合体参加投标的，联合体任意一方具备上述证书即可。</w:t>
            </w:r>
          </w:p>
        </w:tc>
        <w:tc>
          <w:tcPr>
            <w:tcW w:w="510" w:type="dxa"/>
            <w:tcBorders>
              <w:tl2br w:val="nil"/>
              <w:tr2bl w:val="nil"/>
            </w:tcBorders>
            <w:shd w:val="clear" w:color="auto" w:fill="FFFFFF"/>
            <w:noWrap w:val="0"/>
            <w:vAlign w:val="center"/>
          </w:tcPr>
          <w:p w14:paraId="42B5898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01E7E3D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1B022C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continue"/>
            <w:tcBorders>
              <w:tl2br w:val="nil"/>
              <w:tr2bl w:val="nil"/>
            </w:tcBorders>
            <w:shd w:val="clear" w:color="auto" w:fill="FFFFFF"/>
            <w:noWrap w:val="0"/>
            <w:vAlign w:val="center"/>
          </w:tcPr>
          <w:p w14:paraId="6BB9028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FF"/>
            <w:noWrap w:val="0"/>
            <w:vAlign w:val="center"/>
          </w:tcPr>
          <w:p w14:paraId="740A32D2">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078A994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5.</w:t>
            </w:r>
            <w:r>
              <w:rPr>
                <w:rFonts w:hint="default" w:ascii="Arial" w:hAnsi="Arial" w:eastAsia="宋体" w:cs="Arial"/>
                <w:i w:val="0"/>
                <w:iCs w:val="0"/>
                <w:color w:val="auto"/>
                <w:kern w:val="0"/>
                <w:sz w:val="22"/>
                <w:szCs w:val="22"/>
                <w:u w:val="none"/>
                <w:lang w:val="en-US" w:eastAsia="zh-CN" w:bidi="ar"/>
              </w:rPr>
              <w:t>投标人具备国产化信息系统集成和服务能力，具有国产化信息系统集成和服务能力评估证书，LS4级（优秀级）得2分，LS3级（良好级）得1分，LS2级（基本级）得0.5分，其他不得分。</w:t>
            </w:r>
          </w:p>
          <w:p w14:paraId="30C2F19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default" w:ascii="Arial" w:hAnsi="Arial" w:eastAsia="宋体" w:cs="Arial"/>
                <w:b/>
                <w:bCs/>
                <w:i w:val="0"/>
                <w:iCs w:val="0"/>
                <w:color w:val="auto"/>
                <w:kern w:val="0"/>
                <w:sz w:val="22"/>
                <w:szCs w:val="22"/>
                <w:u w:val="none"/>
                <w:lang w:val="en-US" w:eastAsia="zh-CN" w:bidi="ar"/>
              </w:rPr>
              <w:t>注：</w:t>
            </w:r>
            <w:r>
              <w:rPr>
                <w:rFonts w:hint="eastAsia" w:ascii="Arial" w:hAnsi="Arial" w:eastAsia="宋体" w:cs="Arial"/>
                <w:b/>
                <w:bCs/>
                <w:i w:val="0"/>
                <w:iCs w:val="0"/>
                <w:color w:val="auto"/>
                <w:kern w:val="0"/>
                <w:sz w:val="22"/>
                <w:szCs w:val="22"/>
                <w:u w:val="none"/>
                <w:lang w:val="en-US" w:eastAsia="zh-CN" w:bidi="ar"/>
              </w:rPr>
              <w:t>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w:t>
            </w:r>
            <w:r>
              <w:rPr>
                <w:rFonts w:hint="default" w:ascii="Arial" w:hAnsi="Arial" w:eastAsia="宋体" w:cs="Arial"/>
                <w:b/>
                <w:bCs/>
                <w:i w:val="0"/>
                <w:iCs w:val="0"/>
                <w:color w:val="auto"/>
                <w:kern w:val="0"/>
                <w:sz w:val="22"/>
                <w:szCs w:val="22"/>
                <w:u w:val="none"/>
                <w:lang w:val="en-US" w:eastAsia="zh-CN" w:bidi="ar"/>
              </w:rPr>
              <w:t>有效期内的证书复印件，未提供不得分。</w:t>
            </w:r>
          </w:p>
          <w:p w14:paraId="0695F52C">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若联合体参加投标的，联合体任意一方具备上述证书即可。</w:t>
            </w:r>
          </w:p>
        </w:tc>
        <w:tc>
          <w:tcPr>
            <w:tcW w:w="510" w:type="dxa"/>
            <w:tcBorders>
              <w:tl2br w:val="nil"/>
              <w:tr2bl w:val="nil"/>
            </w:tcBorders>
            <w:shd w:val="clear" w:color="auto" w:fill="FFFFFF"/>
            <w:noWrap w:val="0"/>
            <w:vAlign w:val="center"/>
          </w:tcPr>
          <w:p w14:paraId="13EE763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6577D52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48F4AF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90" w:type="dxa"/>
            <w:vMerge w:val="continue"/>
            <w:tcBorders>
              <w:tl2br w:val="nil"/>
              <w:tr2bl w:val="nil"/>
            </w:tcBorders>
            <w:shd w:val="clear" w:color="auto" w:fill="FFFFFF"/>
            <w:noWrap w:val="0"/>
            <w:vAlign w:val="center"/>
          </w:tcPr>
          <w:p w14:paraId="193060A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shd w:val="clear" w:color="auto" w:fill="FFFFFF"/>
            <w:noWrap w:val="0"/>
            <w:vAlign w:val="center"/>
          </w:tcPr>
          <w:p w14:paraId="30E6DBF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业绩</w:t>
            </w:r>
          </w:p>
          <w:p w14:paraId="1F3F66A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案例</w:t>
            </w:r>
          </w:p>
          <w:p w14:paraId="0CCD689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（1分）</w:t>
            </w:r>
          </w:p>
        </w:tc>
        <w:tc>
          <w:tcPr>
            <w:tcW w:w="5770" w:type="dxa"/>
            <w:tcBorders>
              <w:tl2br w:val="nil"/>
              <w:tr2bl w:val="nil"/>
            </w:tcBorders>
            <w:shd w:val="clear" w:color="auto" w:fill="FFFFFF"/>
            <w:noWrap w:val="0"/>
            <w:vAlign w:val="center"/>
          </w:tcPr>
          <w:p w14:paraId="2FF6135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6.</w:t>
            </w:r>
            <w:r>
              <w:rPr>
                <w:rFonts w:hint="default" w:ascii="Arial" w:hAnsi="Arial" w:eastAsia="宋体" w:cs="Arial"/>
                <w:i w:val="0"/>
                <w:iCs w:val="0"/>
                <w:color w:val="auto"/>
                <w:kern w:val="0"/>
                <w:sz w:val="22"/>
                <w:szCs w:val="22"/>
                <w:u w:val="none"/>
                <w:lang w:val="en-US" w:eastAsia="zh-CN" w:bidi="ar"/>
              </w:rPr>
              <w:t>投标人近三年以来（2021年1月1日至今，以签订合同日期为准）具有同类建设案例的，每1个得0.5分，最高得1分。</w:t>
            </w:r>
          </w:p>
          <w:p w14:paraId="30D3E69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eastAsia" w:ascii="Arial" w:hAnsi="Arial" w:eastAsia="宋体" w:cs="Arial"/>
                <w:b/>
                <w:bCs/>
                <w:i w:val="0"/>
                <w:iCs w:val="0"/>
                <w:color w:val="auto"/>
                <w:kern w:val="0"/>
                <w:sz w:val="22"/>
                <w:szCs w:val="22"/>
                <w:u w:val="none"/>
                <w:lang w:val="en-US" w:eastAsia="zh-CN" w:bidi="ar"/>
              </w:rPr>
              <w:t>注：技术商务文件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w:t>
            </w:r>
            <w:r>
              <w:rPr>
                <w:rFonts w:hint="default" w:ascii="Arial" w:hAnsi="Arial" w:eastAsia="宋体" w:cs="Arial"/>
                <w:b/>
                <w:bCs/>
                <w:i w:val="0"/>
                <w:iCs w:val="0"/>
                <w:color w:val="auto"/>
                <w:kern w:val="0"/>
                <w:sz w:val="22"/>
                <w:szCs w:val="22"/>
                <w:u w:val="none"/>
                <w:lang w:val="en-US" w:eastAsia="zh-CN" w:bidi="ar"/>
              </w:rPr>
              <w:t>合同复印件，合同至少包含全民健康信息平台（区域卫生信息平台），名称可不完全一致但必须包含以上内容，否则不得分。</w:t>
            </w:r>
          </w:p>
          <w:p w14:paraId="036BAB5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若联合体参加投标的，联合体任意一方具备上述案例即可。</w:t>
            </w:r>
          </w:p>
        </w:tc>
        <w:tc>
          <w:tcPr>
            <w:tcW w:w="510" w:type="dxa"/>
            <w:tcBorders>
              <w:tl2br w:val="nil"/>
              <w:tr2bl w:val="nil"/>
            </w:tcBorders>
            <w:shd w:val="clear" w:color="auto" w:fill="FFFFFF"/>
            <w:noWrap w:val="0"/>
            <w:vAlign w:val="center"/>
          </w:tcPr>
          <w:p w14:paraId="6D7F6F2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w:t>
            </w:r>
          </w:p>
        </w:tc>
        <w:tc>
          <w:tcPr>
            <w:tcW w:w="951" w:type="dxa"/>
            <w:tcBorders>
              <w:tl2br w:val="nil"/>
              <w:tr2bl w:val="nil"/>
            </w:tcBorders>
            <w:shd w:val="clear" w:color="auto" w:fill="FFFFFF"/>
            <w:noWrap w:val="0"/>
            <w:vAlign w:val="center"/>
          </w:tcPr>
          <w:p w14:paraId="5E9B499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4A2960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0" w:hRule="atLeast"/>
        </w:trPr>
        <w:tc>
          <w:tcPr>
            <w:tcW w:w="690" w:type="dxa"/>
            <w:vMerge w:val="continue"/>
            <w:tcBorders>
              <w:tl2br w:val="nil"/>
              <w:tr2bl w:val="nil"/>
            </w:tcBorders>
            <w:shd w:val="clear" w:color="auto" w:fill="FFFFFF"/>
            <w:noWrap w:val="0"/>
            <w:vAlign w:val="center"/>
          </w:tcPr>
          <w:p w14:paraId="569B9D4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shd w:val="clear" w:color="auto" w:fill="FFFFFF"/>
            <w:noWrap w:val="0"/>
            <w:vAlign w:val="center"/>
          </w:tcPr>
          <w:p w14:paraId="50E2495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技术参数响应情况（10分）</w:t>
            </w:r>
          </w:p>
        </w:tc>
        <w:tc>
          <w:tcPr>
            <w:tcW w:w="5770" w:type="dxa"/>
            <w:tcBorders>
              <w:tl2br w:val="nil"/>
              <w:tr2bl w:val="nil"/>
            </w:tcBorders>
            <w:shd w:val="clear" w:color="auto" w:fill="FFFFFF"/>
            <w:noWrap w:val="0"/>
            <w:vAlign w:val="center"/>
          </w:tcPr>
          <w:p w14:paraId="0A41BA9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7.</w:t>
            </w:r>
            <w:r>
              <w:rPr>
                <w:rFonts w:hint="default" w:ascii="Arial" w:hAnsi="Arial" w:eastAsia="宋体" w:cs="Arial"/>
                <w:i w:val="0"/>
                <w:iCs w:val="0"/>
                <w:color w:val="auto"/>
                <w:kern w:val="0"/>
                <w:sz w:val="22"/>
                <w:szCs w:val="22"/>
                <w:u w:val="none"/>
                <w:lang w:val="en-US" w:eastAsia="zh-CN" w:bidi="ar"/>
              </w:rPr>
              <w:t>投标产品</w:t>
            </w:r>
            <w:r>
              <w:rPr>
                <w:rFonts w:hint="eastAsia" w:ascii="Arial" w:hAnsi="Arial" w:eastAsia="宋体" w:cs="Arial"/>
                <w:i w:val="0"/>
                <w:iCs w:val="0"/>
                <w:color w:val="auto"/>
                <w:kern w:val="0"/>
                <w:sz w:val="22"/>
                <w:szCs w:val="22"/>
                <w:u w:val="none"/>
                <w:lang w:val="en-US" w:eastAsia="zh-CN" w:bidi="ar"/>
              </w:rPr>
              <w:t>需</w:t>
            </w:r>
            <w:r>
              <w:rPr>
                <w:rFonts w:hint="default" w:ascii="Arial" w:hAnsi="Arial" w:eastAsia="宋体" w:cs="Arial"/>
                <w:i w:val="0"/>
                <w:iCs w:val="0"/>
                <w:color w:val="auto"/>
                <w:kern w:val="0"/>
                <w:sz w:val="22"/>
                <w:szCs w:val="22"/>
                <w:u w:val="none"/>
                <w:lang w:val="en-US" w:eastAsia="zh-CN" w:bidi="ar"/>
              </w:rPr>
              <w:t>满足用户要求的技术参数指标。根据投标人技术指标对</w:t>
            </w:r>
            <w:r>
              <w:rPr>
                <w:rFonts w:hint="eastAsia" w:ascii="Arial" w:hAnsi="Arial" w:eastAsia="宋体" w:cs="Arial"/>
                <w:i w:val="0"/>
                <w:iCs w:val="0"/>
                <w:color w:val="auto"/>
                <w:kern w:val="0"/>
                <w:sz w:val="22"/>
                <w:szCs w:val="22"/>
                <w:u w:val="none"/>
                <w:lang w:val="en-US" w:eastAsia="zh-CN" w:bidi="ar"/>
              </w:rPr>
              <w:t>采购需求</w:t>
            </w:r>
            <w:r>
              <w:rPr>
                <w:rFonts w:hint="default" w:ascii="Arial" w:hAnsi="Arial" w:eastAsia="宋体" w:cs="Arial"/>
                <w:i w:val="0"/>
                <w:iCs w:val="0"/>
                <w:color w:val="auto"/>
                <w:kern w:val="0"/>
                <w:sz w:val="22"/>
                <w:szCs w:val="22"/>
                <w:u w:val="none"/>
                <w:lang w:val="en-US" w:eastAsia="zh-CN" w:bidi="ar"/>
              </w:rPr>
              <w:t>的满足程度进行评分，完全满足</w:t>
            </w:r>
            <w:r>
              <w:rPr>
                <w:rFonts w:hint="eastAsia" w:ascii="Arial" w:hAnsi="Arial" w:eastAsia="宋体" w:cs="Arial"/>
                <w:i w:val="0"/>
                <w:iCs w:val="0"/>
                <w:color w:val="auto"/>
                <w:kern w:val="0"/>
                <w:sz w:val="22"/>
                <w:szCs w:val="22"/>
                <w:u w:val="none"/>
                <w:lang w:val="en-US" w:eastAsia="zh-CN" w:bidi="ar"/>
              </w:rPr>
              <w:t>采购需求</w:t>
            </w:r>
            <w:r>
              <w:rPr>
                <w:rFonts w:hint="default" w:ascii="Arial" w:hAnsi="Arial" w:eastAsia="宋体" w:cs="Arial"/>
                <w:i w:val="0"/>
                <w:iCs w:val="0"/>
                <w:color w:val="auto"/>
                <w:kern w:val="0"/>
                <w:sz w:val="22"/>
                <w:szCs w:val="22"/>
                <w:u w:val="none"/>
                <w:lang w:val="en-US" w:eastAsia="zh-CN" w:bidi="ar"/>
              </w:rPr>
              <w:t>没有负偏离得满分10分：</w:t>
            </w:r>
          </w:p>
          <w:p w14:paraId="24EBC0A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1）对</w:t>
            </w:r>
            <w:r>
              <w:rPr>
                <w:rFonts w:hint="eastAsia" w:ascii="Arial" w:hAnsi="Arial" w:eastAsia="宋体" w:cs="Arial"/>
                <w:i w:val="0"/>
                <w:iCs w:val="0"/>
                <w:color w:val="auto"/>
                <w:kern w:val="0"/>
                <w:sz w:val="22"/>
                <w:szCs w:val="22"/>
                <w:u w:val="none"/>
                <w:lang w:val="en-US" w:eastAsia="zh-CN" w:bidi="ar"/>
              </w:rPr>
              <w:t>采购需求</w:t>
            </w:r>
            <w:r>
              <w:rPr>
                <w:rFonts w:hint="default" w:ascii="Arial" w:hAnsi="Arial" w:eastAsia="宋体" w:cs="Arial"/>
                <w:i w:val="0"/>
                <w:iCs w:val="0"/>
                <w:color w:val="auto"/>
                <w:kern w:val="0"/>
                <w:sz w:val="22"/>
                <w:szCs w:val="22"/>
                <w:u w:val="none"/>
                <w:lang w:val="en-US" w:eastAsia="zh-CN" w:bidi="ar"/>
              </w:rPr>
              <w:t>中标有“▲”的重要参数指标，每项未应答、应答不满足或应答满足但实际提供的方案与</w:t>
            </w:r>
            <w:r>
              <w:rPr>
                <w:rFonts w:hint="eastAsia" w:ascii="Arial" w:hAnsi="Arial" w:eastAsia="宋体" w:cs="Arial"/>
                <w:i w:val="0"/>
                <w:iCs w:val="0"/>
                <w:color w:val="auto"/>
                <w:kern w:val="0"/>
                <w:sz w:val="22"/>
                <w:szCs w:val="22"/>
                <w:u w:val="none"/>
                <w:lang w:val="en-US" w:eastAsia="zh-CN" w:bidi="ar"/>
              </w:rPr>
              <w:t>采购需求</w:t>
            </w:r>
            <w:r>
              <w:rPr>
                <w:rFonts w:hint="default" w:ascii="Arial" w:hAnsi="Arial" w:eastAsia="宋体" w:cs="Arial"/>
                <w:i w:val="0"/>
                <w:iCs w:val="0"/>
                <w:color w:val="auto"/>
                <w:kern w:val="0"/>
                <w:sz w:val="22"/>
                <w:szCs w:val="22"/>
                <w:u w:val="none"/>
                <w:lang w:val="en-US" w:eastAsia="zh-CN" w:bidi="ar"/>
              </w:rPr>
              <w:t>不符的扣1分；</w:t>
            </w:r>
          </w:p>
          <w:p w14:paraId="681EBE0C">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2）其他未有标识的参数指标，未应答、应答不满足或应答满足但实际提供的方案与</w:t>
            </w:r>
            <w:r>
              <w:rPr>
                <w:rFonts w:hint="eastAsia" w:ascii="Arial" w:hAnsi="Arial" w:eastAsia="宋体" w:cs="Arial"/>
                <w:i w:val="0"/>
                <w:iCs w:val="0"/>
                <w:color w:val="auto"/>
                <w:kern w:val="0"/>
                <w:sz w:val="22"/>
                <w:szCs w:val="22"/>
                <w:u w:val="none"/>
                <w:lang w:val="en-US" w:eastAsia="zh-CN" w:bidi="ar"/>
              </w:rPr>
              <w:t>采购需求</w:t>
            </w:r>
            <w:r>
              <w:rPr>
                <w:rFonts w:hint="default" w:ascii="Arial" w:hAnsi="Arial" w:eastAsia="宋体" w:cs="Arial"/>
                <w:i w:val="0"/>
                <w:iCs w:val="0"/>
                <w:color w:val="auto"/>
                <w:kern w:val="0"/>
                <w:sz w:val="22"/>
                <w:szCs w:val="22"/>
                <w:u w:val="none"/>
                <w:lang w:val="en-US" w:eastAsia="zh-CN" w:bidi="ar"/>
              </w:rPr>
              <w:t>不符的扣0.5分。扣完为止。</w:t>
            </w:r>
          </w:p>
          <w:p w14:paraId="5C52F833">
            <w:pPr>
              <w:pStyle w:val="4"/>
              <w:keepNext w:val="0"/>
              <w:keepLines w:val="0"/>
              <w:pageBreakBefore w:val="0"/>
              <w:kinsoku/>
              <w:wordWrap/>
              <w:overflowPunct/>
              <w:topLinePunct w:val="0"/>
              <w:autoSpaceDE/>
              <w:autoSpaceDN/>
              <w:bidi w:val="0"/>
              <w:adjustRightInd/>
              <w:snapToGrid/>
              <w:spacing w:after="0" w:afterLines="0" w:line="350" w:lineRule="exact"/>
              <w:rPr>
                <w:rFonts w:hint="default"/>
                <w:color w:val="auto"/>
                <w:sz w:val="22"/>
                <w:szCs w:val="22"/>
                <w:lang w:val="en-US"/>
              </w:rPr>
            </w:pPr>
            <w:r>
              <w:rPr>
                <w:rFonts w:hint="default" w:ascii="Arial" w:hAnsi="Arial" w:eastAsia="宋体" w:cs="Arial"/>
                <w:b/>
                <w:bCs/>
                <w:color w:val="auto"/>
                <w:kern w:val="0"/>
                <w:sz w:val="22"/>
                <w:szCs w:val="22"/>
                <w:highlight w:val="none"/>
                <w:lang w:eastAsia="zh-CN"/>
              </w:rPr>
              <w:t>注：</w:t>
            </w:r>
            <w:r>
              <w:rPr>
                <w:rFonts w:hint="default" w:ascii="Arial" w:hAnsi="Arial" w:eastAsia="宋体" w:cs="Arial"/>
                <w:b/>
                <w:bCs/>
                <w:color w:val="auto"/>
                <w:kern w:val="0"/>
                <w:sz w:val="22"/>
                <w:szCs w:val="22"/>
                <w:highlight w:val="none"/>
                <w:lang w:eastAsia="zh-CN"/>
              </w:rPr>
              <w:t>★</w:t>
            </w:r>
            <w:r>
              <w:rPr>
                <w:rFonts w:hint="default" w:ascii="Arial" w:hAnsi="Arial" w:eastAsia="宋体" w:cs="Arial"/>
                <w:b/>
                <w:bCs/>
                <w:color w:val="auto"/>
                <w:kern w:val="0"/>
                <w:sz w:val="22"/>
                <w:szCs w:val="22"/>
                <w:highlight w:val="none"/>
                <w:lang w:eastAsia="zh-CN"/>
              </w:rPr>
              <w:t>若供应商的本项分数</w:t>
            </w:r>
            <w:r>
              <w:rPr>
                <w:rFonts w:hint="eastAsia" w:ascii="Arial" w:hAnsi="Arial" w:eastAsia="宋体" w:cs="Arial"/>
                <w:b/>
                <w:bCs/>
                <w:color w:val="auto"/>
                <w:kern w:val="0"/>
                <w:sz w:val="22"/>
                <w:szCs w:val="22"/>
                <w:highlight w:val="none"/>
                <w:lang w:val="en-US" w:eastAsia="zh-CN"/>
              </w:rPr>
              <w:t>全部</w:t>
            </w:r>
            <w:r>
              <w:rPr>
                <w:rFonts w:hint="default" w:ascii="Arial" w:hAnsi="Arial" w:eastAsia="宋体" w:cs="Arial"/>
                <w:b/>
                <w:bCs/>
                <w:color w:val="auto"/>
                <w:kern w:val="0"/>
                <w:sz w:val="22"/>
                <w:szCs w:val="22"/>
                <w:highlight w:val="none"/>
                <w:lang w:eastAsia="zh-CN"/>
              </w:rPr>
              <w:t>扣完，</w:t>
            </w:r>
            <w:r>
              <w:rPr>
                <w:rFonts w:hint="eastAsia" w:ascii="Arial" w:hAnsi="Arial" w:eastAsia="宋体" w:cs="Arial"/>
                <w:b/>
                <w:bCs/>
                <w:color w:val="auto"/>
                <w:kern w:val="0"/>
                <w:sz w:val="22"/>
                <w:szCs w:val="22"/>
                <w:highlight w:val="none"/>
                <w:lang w:val="en-US" w:eastAsia="zh-CN"/>
              </w:rPr>
              <w:t>即10分全部扣完的，其投标</w:t>
            </w:r>
            <w:r>
              <w:rPr>
                <w:rFonts w:hint="default" w:ascii="Arial" w:hAnsi="Arial" w:eastAsia="宋体" w:cs="Arial"/>
                <w:b/>
                <w:bCs/>
                <w:color w:val="auto"/>
                <w:kern w:val="0"/>
                <w:sz w:val="22"/>
                <w:szCs w:val="22"/>
                <w:highlight w:val="none"/>
              </w:rPr>
              <w:t>作无效标处理</w:t>
            </w:r>
            <w:r>
              <w:rPr>
                <w:rFonts w:hint="default" w:ascii="Arial" w:hAnsi="Arial" w:eastAsia="宋体" w:cs="Arial"/>
                <w:b/>
                <w:bCs/>
                <w:color w:val="auto"/>
                <w:kern w:val="0"/>
                <w:sz w:val="22"/>
                <w:szCs w:val="22"/>
                <w:highlight w:val="none"/>
                <w:lang w:eastAsia="zh-CN"/>
              </w:rPr>
              <w:t>。</w:t>
            </w:r>
          </w:p>
        </w:tc>
        <w:tc>
          <w:tcPr>
            <w:tcW w:w="510" w:type="dxa"/>
            <w:tcBorders>
              <w:tl2br w:val="nil"/>
              <w:tr2bl w:val="nil"/>
            </w:tcBorders>
            <w:shd w:val="clear" w:color="auto" w:fill="FFFFFF"/>
            <w:noWrap w:val="0"/>
            <w:vAlign w:val="center"/>
          </w:tcPr>
          <w:p w14:paraId="1A8E6EF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10</w:t>
            </w:r>
          </w:p>
        </w:tc>
        <w:tc>
          <w:tcPr>
            <w:tcW w:w="951" w:type="dxa"/>
            <w:tcBorders>
              <w:tl2br w:val="nil"/>
              <w:tr2bl w:val="nil"/>
            </w:tcBorders>
            <w:shd w:val="clear" w:color="auto" w:fill="FFFFFF"/>
            <w:noWrap w:val="0"/>
            <w:vAlign w:val="center"/>
          </w:tcPr>
          <w:p w14:paraId="158CF61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00D620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690" w:type="dxa"/>
            <w:vMerge w:val="continue"/>
            <w:tcBorders>
              <w:tl2br w:val="nil"/>
              <w:tr2bl w:val="nil"/>
            </w:tcBorders>
            <w:shd w:val="clear" w:color="auto" w:fill="FFFFFF"/>
            <w:noWrap w:val="0"/>
            <w:vAlign w:val="center"/>
          </w:tcPr>
          <w:p w14:paraId="76CBDAFC">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shd w:val="clear" w:color="auto" w:fill="FFFFFF"/>
            <w:noWrap w:val="0"/>
            <w:vAlign w:val="center"/>
          </w:tcPr>
          <w:p w14:paraId="543FDD4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总体设计方案（4分）</w:t>
            </w:r>
          </w:p>
        </w:tc>
        <w:tc>
          <w:tcPr>
            <w:tcW w:w="5770" w:type="dxa"/>
            <w:tcBorders>
              <w:tl2br w:val="nil"/>
              <w:tr2bl w:val="nil"/>
            </w:tcBorders>
            <w:shd w:val="clear" w:color="auto" w:fill="FFFFFF"/>
            <w:noWrap w:val="0"/>
            <w:vAlign w:val="center"/>
          </w:tcPr>
          <w:p w14:paraId="4CDFDD9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8.</w:t>
            </w:r>
            <w:r>
              <w:rPr>
                <w:rFonts w:hint="default" w:ascii="Arial" w:hAnsi="Arial" w:eastAsia="宋体" w:cs="Arial"/>
                <w:i w:val="0"/>
                <w:iCs w:val="0"/>
                <w:color w:val="auto"/>
                <w:kern w:val="0"/>
                <w:sz w:val="22"/>
                <w:szCs w:val="22"/>
                <w:u w:val="none"/>
                <w:lang w:val="en-US" w:eastAsia="zh-CN" w:bidi="ar"/>
              </w:rPr>
              <w:t>投标人需针对本项目提供总体设计方案，包括现状需求分析、系统架构设计、技术架构设计、数据流设计、系统部署设计、能力底座设计、超融合集成方案、安全防护和网络方案等内容，经专家审定综合评议：</w:t>
            </w:r>
          </w:p>
          <w:p w14:paraId="723CF241">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方案全面完整，与项目实际需求契合度高的得4分；</w:t>
            </w:r>
          </w:p>
          <w:p w14:paraId="21320A0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方案完整但不够全面、基本符合项目需求得2分；</w:t>
            </w:r>
          </w:p>
          <w:p w14:paraId="39A3A3A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方案不够完整、针对性不强、难以满足项目需求的得1分；</w:t>
            </w:r>
          </w:p>
          <w:p w14:paraId="4A6E023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无相关内容不得分。</w:t>
            </w:r>
          </w:p>
        </w:tc>
        <w:tc>
          <w:tcPr>
            <w:tcW w:w="510" w:type="dxa"/>
            <w:tcBorders>
              <w:tl2br w:val="nil"/>
              <w:tr2bl w:val="nil"/>
            </w:tcBorders>
            <w:shd w:val="clear" w:color="auto" w:fill="auto"/>
            <w:noWrap w:val="0"/>
            <w:vAlign w:val="center"/>
          </w:tcPr>
          <w:p w14:paraId="42CFD5C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w:t>
            </w:r>
          </w:p>
        </w:tc>
        <w:tc>
          <w:tcPr>
            <w:tcW w:w="951" w:type="dxa"/>
            <w:tcBorders>
              <w:tl2br w:val="nil"/>
              <w:tr2bl w:val="nil"/>
            </w:tcBorders>
            <w:shd w:val="clear" w:color="auto" w:fill="FFFFFF"/>
            <w:noWrap w:val="0"/>
            <w:vAlign w:val="center"/>
          </w:tcPr>
          <w:p w14:paraId="0960D7D3">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lang w:val="en-US" w:eastAsia="zh-CN"/>
              </w:rPr>
            </w:pPr>
            <w:r>
              <w:rPr>
                <w:rFonts w:hint="eastAsia" w:ascii="Arial" w:hAnsi="Arial" w:eastAsia="宋体" w:cs="Arial"/>
                <w:i w:val="0"/>
                <w:iCs w:val="0"/>
                <w:color w:val="auto"/>
                <w:sz w:val="22"/>
                <w:szCs w:val="22"/>
                <w:u w:val="none"/>
                <w:lang w:val="en-US" w:eastAsia="zh-CN"/>
              </w:rPr>
              <w:t>主观分</w:t>
            </w:r>
          </w:p>
        </w:tc>
      </w:tr>
      <w:tr w14:paraId="5291A8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690" w:type="dxa"/>
            <w:vMerge w:val="continue"/>
            <w:tcBorders>
              <w:tl2br w:val="nil"/>
              <w:tr2bl w:val="nil"/>
            </w:tcBorders>
            <w:shd w:val="clear" w:color="auto" w:fill="FFFFFF"/>
            <w:noWrap w:val="0"/>
            <w:vAlign w:val="center"/>
          </w:tcPr>
          <w:p w14:paraId="4FE306D1">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shd w:val="clear" w:color="auto" w:fill="FFFFFF"/>
            <w:noWrap w:val="0"/>
            <w:vAlign w:val="center"/>
          </w:tcPr>
          <w:p w14:paraId="5F65049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重难点分析和解决措施（3分）</w:t>
            </w:r>
          </w:p>
        </w:tc>
        <w:tc>
          <w:tcPr>
            <w:tcW w:w="5770" w:type="dxa"/>
            <w:tcBorders>
              <w:tl2br w:val="nil"/>
              <w:tr2bl w:val="nil"/>
            </w:tcBorders>
            <w:shd w:val="clear" w:color="auto" w:fill="auto"/>
            <w:noWrap w:val="0"/>
            <w:vAlign w:val="center"/>
          </w:tcPr>
          <w:p w14:paraId="4E05DE8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9.</w:t>
            </w:r>
            <w:r>
              <w:rPr>
                <w:rFonts w:hint="default" w:ascii="Arial" w:hAnsi="Arial" w:eastAsia="宋体" w:cs="Arial"/>
                <w:i w:val="0"/>
                <w:iCs w:val="0"/>
                <w:color w:val="auto"/>
                <w:kern w:val="0"/>
                <w:sz w:val="22"/>
                <w:szCs w:val="22"/>
                <w:u w:val="none"/>
                <w:lang w:val="en-US" w:eastAsia="zh-CN" w:bidi="ar"/>
              </w:rPr>
              <w:t>投标人需针对本项目建设目标，结合鄞州区信息系统国产化的实际情况，提出切实可行的重难点分析和解决措施方案，经专家审定综合评价：</w:t>
            </w:r>
          </w:p>
          <w:p w14:paraId="13E7C67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方案对重难点的分析透彻、应对方案及建议措施合理、可行、有可操作性的，得3分；</w:t>
            </w:r>
          </w:p>
          <w:p w14:paraId="0D8AC2C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方案对重难点的分析到位、应对方案及建议措施基本合理可行，有一定的可操作性的，得2分；</w:t>
            </w:r>
          </w:p>
          <w:p w14:paraId="0552702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方案对重难点的分析不到位、应对方案有缺陷的，得1分。</w:t>
            </w:r>
          </w:p>
          <w:p w14:paraId="47D7F89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无相关内容不得分。</w:t>
            </w:r>
          </w:p>
        </w:tc>
        <w:tc>
          <w:tcPr>
            <w:tcW w:w="510" w:type="dxa"/>
            <w:tcBorders>
              <w:tl2br w:val="nil"/>
              <w:tr2bl w:val="nil"/>
            </w:tcBorders>
            <w:shd w:val="clear" w:color="auto" w:fill="auto"/>
            <w:noWrap w:val="0"/>
            <w:vAlign w:val="center"/>
          </w:tcPr>
          <w:p w14:paraId="52E7F5B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w:t>
            </w:r>
          </w:p>
        </w:tc>
        <w:tc>
          <w:tcPr>
            <w:tcW w:w="951" w:type="dxa"/>
            <w:tcBorders>
              <w:tl2br w:val="nil"/>
              <w:tr2bl w:val="nil"/>
            </w:tcBorders>
            <w:shd w:val="clear" w:color="auto" w:fill="FFFFFF"/>
            <w:noWrap w:val="0"/>
            <w:vAlign w:val="center"/>
          </w:tcPr>
          <w:p w14:paraId="5023E9B2">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17C939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3" w:hRule="atLeast"/>
        </w:trPr>
        <w:tc>
          <w:tcPr>
            <w:tcW w:w="690" w:type="dxa"/>
            <w:vMerge w:val="continue"/>
            <w:tcBorders>
              <w:tl2br w:val="nil"/>
              <w:tr2bl w:val="nil"/>
            </w:tcBorders>
            <w:shd w:val="clear" w:color="auto" w:fill="FFFFFF"/>
            <w:noWrap w:val="0"/>
            <w:vAlign w:val="center"/>
          </w:tcPr>
          <w:p w14:paraId="77B2BB0C">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shd w:val="clear" w:color="auto" w:fill="FFFFFF"/>
            <w:noWrap w:val="0"/>
            <w:vAlign w:val="center"/>
          </w:tcPr>
          <w:p w14:paraId="296D26A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标准建设能力（2分）</w:t>
            </w:r>
          </w:p>
        </w:tc>
        <w:tc>
          <w:tcPr>
            <w:tcW w:w="5770" w:type="dxa"/>
            <w:tcBorders>
              <w:tl2br w:val="nil"/>
              <w:tr2bl w:val="nil"/>
            </w:tcBorders>
            <w:shd w:val="clear" w:color="auto" w:fill="FFFFFF"/>
            <w:noWrap w:val="0"/>
            <w:vAlign w:val="center"/>
          </w:tcPr>
          <w:p w14:paraId="5005E1A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Arial" w:hAnsi="Arial" w:eastAsia="宋体" w:cs="Arial"/>
                <w:i w:val="0"/>
                <w:iCs w:val="0"/>
                <w:color w:val="auto"/>
                <w:kern w:val="0"/>
                <w:sz w:val="22"/>
                <w:szCs w:val="22"/>
                <w:u w:val="none"/>
                <w:lang w:val="en-US" w:eastAsia="zh-CN" w:bidi="ar"/>
              </w:rPr>
              <w:t>10.</w:t>
            </w:r>
            <w:r>
              <w:rPr>
                <w:rFonts w:hint="eastAsia" w:ascii="宋体" w:hAnsi="宋体" w:eastAsia="宋体" w:cs="宋体"/>
                <w:color w:val="auto"/>
                <w:kern w:val="0"/>
                <w:sz w:val="22"/>
                <w:szCs w:val="22"/>
              </w:rPr>
              <w:t>投标人需针对本项目提供标准规范建设方案，包含标准规范体系设计、标准制定的方法及技术路线、对现有平台数据元及数据集标准的理解、数据元及数据集标准的制定、标准规范实施及步骤、标准规范参与经验等内容，符合国家、省、市建设要求，经专家审定综合评议：</w:t>
            </w:r>
          </w:p>
          <w:p w14:paraId="291F19F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方案合理可行，对现有平台数据元及数据集标准理解全面准确，标准设计符合要求，</w:t>
            </w:r>
            <w:r>
              <w:rPr>
                <w:rFonts w:hint="eastAsia" w:ascii="宋体" w:hAnsi="宋体" w:eastAsia="宋体" w:cs="宋体"/>
                <w:color w:val="auto"/>
                <w:kern w:val="0"/>
                <w:sz w:val="22"/>
                <w:szCs w:val="22"/>
              </w:rPr>
              <w:t>且</w:t>
            </w:r>
            <w:r>
              <w:rPr>
                <w:rFonts w:hint="eastAsia" w:ascii="宋体" w:hAnsi="宋体" w:eastAsia="宋体" w:cs="宋体"/>
                <w:color w:val="auto"/>
                <w:kern w:val="0"/>
                <w:sz w:val="22"/>
                <w:szCs w:val="22"/>
              </w:rPr>
              <w:t>具有卫生行业标准规范参与经验的得2分；</w:t>
            </w:r>
          </w:p>
          <w:p w14:paraId="456E18F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方案基本合理可行，对现有平台数据元及数据集标准基本理解，标准设计基本符合要求，</w:t>
            </w:r>
            <w:r>
              <w:rPr>
                <w:rFonts w:hint="eastAsia" w:ascii="宋体" w:hAnsi="宋体" w:eastAsia="宋体" w:cs="宋体"/>
                <w:color w:val="auto"/>
                <w:kern w:val="0"/>
                <w:sz w:val="22"/>
                <w:szCs w:val="22"/>
              </w:rPr>
              <w:t>且</w:t>
            </w:r>
            <w:r>
              <w:rPr>
                <w:rFonts w:hint="eastAsia" w:ascii="宋体" w:hAnsi="宋体" w:eastAsia="宋体" w:cs="宋体"/>
                <w:color w:val="auto"/>
                <w:kern w:val="0"/>
                <w:sz w:val="22"/>
                <w:szCs w:val="22"/>
              </w:rPr>
              <w:t>具有卫生行业标准规范参与经验的得1分；</w:t>
            </w:r>
          </w:p>
          <w:p w14:paraId="286C92C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方案欠合理，对现有平台数据元及数据集标准理解不够准确，标准设计符合性不高，</w:t>
            </w:r>
            <w:r>
              <w:rPr>
                <w:rFonts w:hint="eastAsia" w:ascii="宋体" w:hAnsi="宋体" w:eastAsia="宋体" w:cs="宋体"/>
                <w:color w:val="auto"/>
                <w:kern w:val="0"/>
                <w:sz w:val="22"/>
                <w:szCs w:val="22"/>
              </w:rPr>
              <w:t>且</w:t>
            </w:r>
            <w:r>
              <w:rPr>
                <w:rFonts w:hint="eastAsia" w:ascii="宋体" w:hAnsi="宋体" w:eastAsia="宋体" w:cs="宋体"/>
                <w:color w:val="auto"/>
                <w:kern w:val="0"/>
                <w:sz w:val="22"/>
                <w:szCs w:val="22"/>
              </w:rPr>
              <w:t>具有卫生行业标准规范参与经验的得0.5分；</w:t>
            </w:r>
          </w:p>
          <w:p w14:paraId="397D68B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宋体" w:hAnsi="宋体" w:eastAsia="宋体" w:cs="宋体"/>
                <w:b/>
                <w:bCs/>
                <w:color w:val="auto"/>
                <w:kern w:val="0"/>
                <w:sz w:val="22"/>
                <w:szCs w:val="22"/>
              </w:rPr>
              <w:t>注：</w:t>
            </w:r>
            <w:r>
              <w:rPr>
                <w:rFonts w:hint="eastAsia" w:ascii="Arial" w:hAnsi="Arial" w:eastAsia="宋体" w:cs="Arial"/>
                <w:b/>
                <w:bCs/>
                <w:i w:val="0"/>
                <w:iCs w:val="0"/>
                <w:color w:val="auto"/>
                <w:kern w:val="0"/>
                <w:sz w:val="22"/>
                <w:szCs w:val="22"/>
                <w:u w:val="none"/>
                <w:lang w:val="en-US" w:eastAsia="zh-CN" w:bidi="ar"/>
              </w:rPr>
              <w:t>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w:t>
            </w:r>
            <w:r>
              <w:rPr>
                <w:rFonts w:hint="eastAsia" w:ascii="宋体" w:hAnsi="宋体" w:eastAsia="宋体" w:cs="宋体"/>
                <w:b/>
                <w:bCs/>
                <w:color w:val="auto"/>
                <w:kern w:val="0"/>
                <w:sz w:val="22"/>
                <w:szCs w:val="22"/>
              </w:rPr>
              <w:t>标准规范参与经验的证明材料。</w:t>
            </w:r>
          </w:p>
        </w:tc>
        <w:tc>
          <w:tcPr>
            <w:tcW w:w="510" w:type="dxa"/>
            <w:tcBorders>
              <w:tl2br w:val="nil"/>
              <w:tr2bl w:val="nil"/>
            </w:tcBorders>
            <w:shd w:val="clear" w:color="auto" w:fill="FFFFFF"/>
            <w:noWrap w:val="0"/>
            <w:vAlign w:val="center"/>
          </w:tcPr>
          <w:p w14:paraId="3B98281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603C473F">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36C638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690" w:type="dxa"/>
            <w:vMerge w:val="continue"/>
            <w:tcBorders>
              <w:tl2br w:val="nil"/>
              <w:tr2bl w:val="nil"/>
            </w:tcBorders>
            <w:shd w:val="clear" w:color="auto" w:fill="FFFFFF"/>
            <w:noWrap w:val="0"/>
            <w:vAlign w:val="center"/>
          </w:tcPr>
          <w:p w14:paraId="3DAED49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shd w:val="clear" w:color="auto" w:fill="FFFFFF"/>
            <w:noWrap w:val="0"/>
            <w:vAlign w:val="center"/>
          </w:tcPr>
          <w:p w14:paraId="28527FBE">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highlight w:val="none"/>
                <w:u w:val="none"/>
              </w:rPr>
            </w:pPr>
            <w:r>
              <w:rPr>
                <w:rFonts w:hint="eastAsia" w:ascii="宋体" w:hAnsi="宋体" w:eastAsia="宋体" w:cs="宋体"/>
                <w:color w:val="auto"/>
                <w:kern w:val="0"/>
                <w:sz w:val="22"/>
                <w:szCs w:val="22"/>
                <w:highlight w:val="none"/>
              </w:rPr>
              <w:t>国产化改造能力（</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tc>
        <w:tc>
          <w:tcPr>
            <w:tcW w:w="5770" w:type="dxa"/>
            <w:tcBorders>
              <w:tl2br w:val="nil"/>
              <w:tr2bl w:val="nil"/>
            </w:tcBorders>
            <w:shd w:val="clear" w:color="auto" w:fill="FFFFFF"/>
            <w:noWrap w:val="0"/>
            <w:vAlign w:val="center"/>
          </w:tcPr>
          <w:p w14:paraId="3EB6F35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11.投标人需针对本项目提供国产化改造方案，包含整体国产化适配选型策略、各应用国产化改造思路、国产化适配技术实现、国产数据库设计、全民健康信息平台在国产化环境下（国产服务器、国产服务端操作系统、国产数据库、国产终端等）成功稳定运行的全面国产化实践经验等内容，经专家审定综合评议：</w:t>
            </w:r>
          </w:p>
          <w:p w14:paraId="08CCED2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方案合理可行，实践经验符合程度高的得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w:t>
            </w:r>
          </w:p>
          <w:p w14:paraId="685A345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方案基本合理可行，实践经验符合程度一般的得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w:t>
            </w:r>
          </w:p>
          <w:p w14:paraId="5933A6E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方案欠合理，实践经验符合程度低的得</w:t>
            </w:r>
            <w:r>
              <w:rPr>
                <w:rFonts w:hint="eastAsia" w:ascii="宋体" w:hAnsi="宋体" w:eastAsia="宋体" w:cs="宋体"/>
                <w:color w:val="auto"/>
                <w:kern w:val="0"/>
                <w:sz w:val="22"/>
                <w:szCs w:val="22"/>
                <w:highlight w:val="none"/>
                <w:lang w:val="en-US" w:eastAsia="zh-CN"/>
              </w:rPr>
              <w:t>0.5</w:t>
            </w:r>
            <w:r>
              <w:rPr>
                <w:rFonts w:hint="eastAsia" w:ascii="宋体" w:hAnsi="宋体" w:eastAsia="宋体" w:cs="宋体"/>
                <w:color w:val="auto"/>
                <w:kern w:val="0"/>
                <w:sz w:val="22"/>
                <w:szCs w:val="22"/>
                <w:highlight w:val="none"/>
              </w:rPr>
              <w:t>分；</w:t>
            </w:r>
          </w:p>
          <w:p w14:paraId="131F506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无相关内容不得分。</w:t>
            </w:r>
          </w:p>
          <w:p w14:paraId="11088561">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val="en-US" w:eastAsia="zh-CN"/>
              </w:rPr>
              <w:t>注：</w:t>
            </w:r>
            <w:r>
              <w:rPr>
                <w:rFonts w:hint="eastAsia" w:ascii="Arial" w:hAnsi="Arial" w:eastAsia="宋体" w:cs="Arial"/>
                <w:b/>
                <w:bCs/>
                <w:i w:val="0"/>
                <w:iCs w:val="0"/>
                <w:color w:val="auto"/>
                <w:kern w:val="0"/>
                <w:sz w:val="22"/>
                <w:szCs w:val="22"/>
                <w:u w:val="none"/>
                <w:lang w:val="en-US" w:eastAsia="zh-CN" w:bidi="ar"/>
              </w:rPr>
              <w:t>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w:t>
            </w:r>
            <w:r>
              <w:rPr>
                <w:rFonts w:hint="eastAsia" w:ascii="宋体" w:hAnsi="宋体" w:eastAsia="宋体" w:cs="宋体"/>
                <w:b/>
                <w:bCs/>
                <w:color w:val="auto"/>
                <w:kern w:val="0"/>
                <w:sz w:val="22"/>
                <w:szCs w:val="22"/>
                <w:highlight w:val="none"/>
              </w:rPr>
              <w:t>全民健康信息平台全面国产化实践</w:t>
            </w:r>
            <w:r>
              <w:rPr>
                <w:rFonts w:hint="eastAsia" w:ascii="宋体" w:hAnsi="宋体" w:eastAsia="宋体" w:cs="宋体"/>
                <w:b/>
                <w:bCs/>
                <w:color w:val="auto"/>
                <w:kern w:val="0"/>
                <w:sz w:val="22"/>
                <w:szCs w:val="22"/>
                <w:highlight w:val="none"/>
                <w:lang w:val="en-US" w:eastAsia="zh-CN"/>
              </w:rPr>
              <w:t>经验</w:t>
            </w:r>
            <w:r>
              <w:rPr>
                <w:rFonts w:hint="eastAsia" w:ascii="宋体" w:hAnsi="宋体" w:eastAsia="宋体" w:cs="宋体"/>
                <w:b/>
                <w:bCs/>
                <w:color w:val="auto"/>
                <w:kern w:val="0"/>
                <w:sz w:val="22"/>
                <w:szCs w:val="22"/>
                <w:highlight w:val="none"/>
              </w:rPr>
              <w:t>的用户</w:t>
            </w:r>
            <w:r>
              <w:rPr>
                <w:rFonts w:hint="eastAsia" w:ascii="宋体" w:hAnsi="宋体" w:eastAsia="宋体" w:cs="宋体"/>
                <w:b/>
                <w:bCs/>
                <w:color w:val="auto"/>
                <w:kern w:val="0"/>
                <w:sz w:val="22"/>
                <w:szCs w:val="22"/>
                <w:highlight w:val="none"/>
              </w:rPr>
              <w:t>盖章</w:t>
            </w:r>
            <w:r>
              <w:rPr>
                <w:rFonts w:hint="eastAsia" w:ascii="宋体" w:hAnsi="宋体" w:eastAsia="宋体" w:cs="宋体"/>
                <w:b/>
                <w:bCs/>
                <w:color w:val="auto"/>
                <w:kern w:val="0"/>
                <w:sz w:val="22"/>
                <w:szCs w:val="22"/>
                <w:highlight w:val="none"/>
              </w:rPr>
              <w:t>的证明材料（格式详见采购文件附件）。</w:t>
            </w:r>
          </w:p>
          <w:p w14:paraId="45D167A1">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无相关内容不得分。</w:t>
            </w:r>
          </w:p>
        </w:tc>
        <w:tc>
          <w:tcPr>
            <w:tcW w:w="510" w:type="dxa"/>
            <w:tcBorders>
              <w:tl2br w:val="nil"/>
              <w:tr2bl w:val="nil"/>
            </w:tcBorders>
            <w:shd w:val="clear" w:color="auto" w:fill="FFFFFF"/>
            <w:noWrap w:val="0"/>
            <w:vAlign w:val="center"/>
          </w:tcPr>
          <w:p w14:paraId="47B281B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eastAsia" w:ascii="Arial" w:hAnsi="Arial" w:eastAsia="宋体" w:cs="Arial"/>
                <w:i w:val="0"/>
                <w:iCs w:val="0"/>
                <w:color w:val="auto"/>
                <w:kern w:val="0"/>
                <w:sz w:val="22"/>
                <w:szCs w:val="22"/>
                <w:highlight w:val="none"/>
                <w:u w:val="none"/>
                <w:lang w:val="en-US" w:eastAsia="zh-CN" w:bidi="ar"/>
              </w:rPr>
              <w:t>2</w:t>
            </w:r>
          </w:p>
        </w:tc>
        <w:tc>
          <w:tcPr>
            <w:tcW w:w="951" w:type="dxa"/>
            <w:tcBorders>
              <w:tl2br w:val="nil"/>
              <w:tr2bl w:val="nil"/>
            </w:tcBorders>
            <w:shd w:val="clear" w:color="auto" w:fill="FFFFFF"/>
            <w:noWrap w:val="0"/>
            <w:vAlign w:val="center"/>
          </w:tcPr>
          <w:p w14:paraId="76B25754">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kern w:val="0"/>
                <w:sz w:val="22"/>
                <w:szCs w:val="22"/>
                <w:u w:val="none"/>
                <w:lang w:val="en-US" w:eastAsia="zh-CN" w:bidi="ar"/>
              </w:rPr>
              <w:t>主观</w:t>
            </w:r>
            <w:r>
              <w:rPr>
                <w:rFonts w:hint="default" w:ascii="Arial" w:hAnsi="Arial" w:eastAsia="宋体" w:cs="Arial"/>
                <w:i w:val="0"/>
                <w:iCs w:val="0"/>
                <w:color w:val="auto"/>
                <w:kern w:val="0"/>
                <w:sz w:val="22"/>
                <w:szCs w:val="22"/>
                <w:u w:val="none"/>
                <w:lang w:val="en-US" w:eastAsia="zh-CN" w:bidi="ar"/>
              </w:rPr>
              <w:t>分</w:t>
            </w:r>
          </w:p>
        </w:tc>
      </w:tr>
      <w:tr w14:paraId="31A08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90" w:type="dxa"/>
            <w:vMerge w:val="continue"/>
            <w:tcBorders>
              <w:tl2br w:val="nil"/>
              <w:tr2bl w:val="nil"/>
            </w:tcBorders>
            <w:shd w:val="clear" w:color="auto" w:fill="FFFFFF"/>
            <w:noWrap w:val="0"/>
            <w:vAlign w:val="center"/>
          </w:tcPr>
          <w:p w14:paraId="40390B0C">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noWrap w:val="0"/>
            <w:vAlign w:val="center"/>
          </w:tcPr>
          <w:p w14:paraId="19A0DAF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互联互通能力（2分）</w:t>
            </w:r>
          </w:p>
        </w:tc>
        <w:tc>
          <w:tcPr>
            <w:tcW w:w="5770" w:type="dxa"/>
            <w:tcBorders>
              <w:tl2br w:val="nil"/>
              <w:tr2bl w:val="nil"/>
            </w:tcBorders>
            <w:noWrap w:val="0"/>
            <w:vAlign w:val="center"/>
          </w:tcPr>
          <w:p w14:paraId="56AB256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12.投标人具有通过《国家医疗健康信息区域全民健康信息互联互通标准化成熟度测评方案（2020年版）》高级别测评的经验，经专家审定综合评议：</w:t>
            </w:r>
          </w:p>
          <w:p w14:paraId="177124EC">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具有五级乙等及以上经验数量大于3个的得2分；</w:t>
            </w:r>
          </w:p>
          <w:p w14:paraId="557FDE1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具有五级乙等及以上经验的得1分。</w:t>
            </w:r>
          </w:p>
          <w:p w14:paraId="4C69F93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rPr>
              <w:t>注：</w:t>
            </w:r>
            <w:r>
              <w:rPr>
                <w:rFonts w:hint="eastAsia" w:ascii="Arial" w:hAnsi="Arial" w:eastAsia="宋体" w:cs="Arial"/>
                <w:b/>
                <w:bCs/>
                <w:i w:val="0"/>
                <w:iCs w:val="0"/>
                <w:color w:val="auto"/>
                <w:kern w:val="0"/>
                <w:sz w:val="22"/>
                <w:szCs w:val="22"/>
                <w:u w:val="none"/>
                <w:lang w:val="en-US" w:eastAsia="zh-CN" w:bidi="ar"/>
              </w:rPr>
              <w:t>技术商务文件</w:t>
            </w:r>
            <w:r>
              <w:rPr>
                <w:rFonts w:hint="default" w:ascii="Arial" w:hAnsi="Arial" w:eastAsia="宋体" w:cs="Arial"/>
                <w:b/>
                <w:bCs/>
                <w:i w:val="0"/>
                <w:iCs w:val="0"/>
                <w:color w:val="auto"/>
                <w:kern w:val="0"/>
                <w:sz w:val="22"/>
                <w:szCs w:val="22"/>
                <w:u w:val="none"/>
                <w:lang w:val="en-US" w:eastAsia="zh-CN" w:bidi="ar"/>
              </w:rPr>
              <w:t>中</w:t>
            </w:r>
            <w:r>
              <w:rPr>
                <w:rFonts w:hint="eastAsia" w:ascii="Arial" w:hAnsi="Arial" w:eastAsia="宋体" w:cs="Arial"/>
                <w:b/>
                <w:bCs/>
                <w:i w:val="0"/>
                <w:iCs w:val="0"/>
                <w:color w:val="auto"/>
                <w:kern w:val="0"/>
                <w:sz w:val="22"/>
                <w:szCs w:val="22"/>
                <w:u w:val="none"/>
                <w:lang w:val="en-US" w:eastAsia="zh-CN" w:bidi="ar"/>
              </w:rPr>
              <w:t>附</w:t>
            </w:r>
            <w:r>
              <w:rPr>
                <w:rFonts w:hint="eastAsia" w:ascii="宋体" w:hAnsi="宋体" w:eastAsia="宋体" w:cs="宋体"/>
                <w:b/>
                <w:bCs/>
                <w:color w:val="auto"/>
                <w:kern w:val="0"/>
                <w:sz w:val="22"/>
                <w:szCs w:val="22"/>
              </w:rPr>
              <w:t>对应案例的国家医疗健康信息互联互通标准化成熟度测评结果公示文件或牌匾复印件、核心平台承建证明材料。</w:t>
            </w:r>
          </w:p>
          <w:p w14:paraId="620FFD9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无相关内容不得分。</w:t>
            </w:r>
          </w:p>
        </w:tc>
        <w:tc>
          <w:tcPr>
            <w:tcW w:w="510" w:type="dxa"/>
            <w:tcBorders>
              <w:tl2br w:val="nil"/>
              <w:tr2bl w:val="nil"/>
            </w:tcBorders>
            <w:noWrap w:val="0"/>
            <w:vAlign w:val="center"/>
          </w:tcPr>
          <w:p w14:paraId="0FBF528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noWrap w:val="0"/>
            <w:vAlign w:val="center"/>
          </w:tcPr>
          <w:p w14:paraId="308FB9B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2496DF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continue"/>
            <w:tcBorders>
              <w:tl2br w:val="nil"/>
              <w:tr2bl w:val="nil"/>
            </w:tcBorders>
            <w:shd w:val="clear" w:color="auto" w:fill="FFFFFF"/>
            <w:noWrap w:val="0"/>
            <w:vAlign w:val="center"/>
          </w:tcPr>
          <w:p w14:paraId="04E1CDA1">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restart"/>
            <w:tcBorders>
              <w:tl2br w:val="nil"/>
              <w:tr2bl w:val="nil"/>
            </w:tcBorders>
            <w:shd w:val="clear" w:color="auto" w:fill="FFFFFF"/>
            <w:noWrap w:val="0"/>
            <w:vAlign w:val="center"/>
          </w:tcPr>
          <w:p w14:paraId="719BEDF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eastAsia" w:ascii="Arial" w:hAnsi="Arial" w:eastAsia="宋体" w:cs="Arial"/>
                <w:i w:val="0"/>
                <w:iCs w:val="0"/>
                <w:color w:val="auto"/>
                <w:kern w:val="0"/>
                <w:sz w:val="22"/>
                <w:szCs w:val="22"/>
                <w:u w:val="none"/>
                <w:lang w:val="en-US" w:eastAsia="zh-CN" w:bidi="ar"/>
              </w:rPr>
              <w:t>软件</w:t>
            </w:r>
            <w:r>
              <w:rPr>
                <w:rFonts w:hint="default" w:ascii="Arial" w:hAnsi="Arial" w:eastAsia="宋体" w:cs="Arial"/>
                <w:i w:val="0"/>
                <w:iCs w:val="0"/>
                <w:color w:val="auto"/>
                <w:kern w:val="0"/>
                <w:sz w:val="22"/>
                <w:szCs w:val="22"/>
                <w:u w:val="none"/>
                <w:lang w:val="en-US" w:eastAsia="zh-CN" w:bidi="ar"/>
              </w:rPr>
              <w:t>集成</w:t>
            </w:r>
            <w:r>
              <w:rPr>
                <w:rFonts w:hint="eastAsia" w:ascii="Arial" w:hAnsi="Arial" w:eastAsia="宋体" w:cs="Arial"/>
                <w:i w:val="0"/>
                <w:iCs w:val="0"/>
                <w:color w:val="auto"/>
                <w:kern w:val="0"/>
                <w:sz w:val="22"/>
                <w:szCs w:val="22"/>
                <w:u w:val="none"/>
                <w:lang w:val="en-US" w:eastAsia="zh-CN" w:bidi="ar"/>
              </w:rPr>
              <w:t>、对接、</w:t>
            </w:r>
            <w:r>
              <w:rPr>
                <w:rFonts w:hint="default" w:ascii="Arial" w:hAnsi="Arial" w:eastAsia="宋体" w:cs="Arial"/>
                <w:i w:val="0"/>
                <w:iCs w:val="0"/>
                <w:color w:val="auto"/>
                <w:kern w:val="0"/>
                <w:sz w:val="22"/>
                <w:szCs w:val="22"/>
                <w:u w:val="none"/>
                <w:lang w:val="en-US" w:eastAsia="zh-CN" w:bidi="ar"/>
              </w:rPr>
              <w:t>改造能力（12分）</w:t>
            </w:r>
          </w:p>
        </w:tc>
        <w:tc>
          <w:tcPr>
            <w:tcW w:w="5770" w:type="dxa"/>
            <w:tcBorders>
              <w:tl2br w:val="nil"/>
              <w:tr2bl w:val="nil"/>
            </w:tcBorders>
            <w:shd w:val="clear" w:color="auto" w:fill="FFFFFF"/>
            <w:noWrap w:val="0"/>
            <w:vAlign w:val="center"/>
          </w:tcPr>
          <w:p w14:paraId="4E3C060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Arial" w:hAnsi="Arial" w:eastAsia="宋体" w:cs="Arial"/>
                <w:i w:val="0"/>
                <w:iCs w:val="0"/>
                <w:color w:val="auto"/>
                <w:kern w:val="0"/>
                <w:sz w:val="22"/>
                <w:szCs w:val="22"/>
                <w:u w:val="none"/>
                <w:lang w:val="en-US" w:eastAsia="zh-CN" w:bidi="ar"/>
              </w:rPr>
              <w:t>13.</w:t>
            </w:r>
            <w:r>
              <w:rPr>
                <w:rFonts w:hint="eastAsia" w:ascii="宋体" w:hAnsi="宋体" w:eastAsia="宋体" w:cs="宋体"/>
                <w:color w:val="auto"/>
                <w:kern w:val="0"/>
                <w:sz w:val="22"/>
                <w:szCs w:val="22"/>
              </w:rPr>
              <w:t>投标需针</w:t>
            </w:r>
            <w:r>
              <w:rPr>
                <w:rFonts w:hint="eastAsia" w:ascii="宋体" w:hAnsi="宋体" w:eastAsia="宋体" w:cs="宋体"/>
                <w:color w:val="auto"/>
                <w:kern w:val="0"/>
                <w:sz w:val="22"/>
                <w:szCs w:val="22"/>
              </w:rPr>
              <w:t>对本项目的招标建设要求提</w:t>
            </w:r>
            <w:r>
              <w:rPr>
                <w:rFonts w:hint="eastAsia" w:ascii="宋体" w:hAnsi="宋体" w:eastAsia="宋体" w:cs="宋体"/>
                <w:color w:val="auto"/>
                <w:kern w:val="0"/>
                <w:sz w:val="22"/>
                <w:szCs w:val="22"/>
              </w:rPr>
              <w:t>供现有区域系统</w:t>
            </w:r>
            <w:r>
              <w:rPr>
                <w:rFonts w:hint="eastAsia" w:ascii="Arial" w:hAnsi="Arial" w:eastAsia="宋体" w:cs="Arial"/>
                <w:i w:val="0"/>
                <w:iCs w:val="0"/>
                <w:color w:val="auto"/>
                <w:kern w:val="0"/>
                <w:sz w:val="22"/>
                <w:szCs w:val="22"/>
                <w:u w:val="none"/>
                <w:lang w:val="en-US" w:eastAsia="zh-CN" w:bidi="ar"/>
              </w:rPr>
              <w:t>软件</w:t>
            </w:r>
            <w:r>
              <w:rPr>
                <w:rFonts w:hint="default" w:ascii="Arial" w:hAnsi="Arial" w:eastAsia="宋体" w:cs="Arial"/>
                <w:i w:val="0"/>
                <w:iCs w:val="0"/>
                <w:color w:val="auto"/>
                <w:kern w:val="0"/>
                <w:sz w:val="22"/>
                <w:szCs w:val="22"/>
                <w:u w:val="none"/>
                <w:lang w:val="en-US" w:eastAsia="zh-CN" w:bidi="ar"/>
              </w:rPr>
              <w:t>集成</w:t>
            </w:r>
            <w:r>
              <w:rPr>
                <w:rFonts w:hint="eastAsia" w:ascii="Arial" w:hAnsi="Arial" w:eastAsia="宋体" w:cs="Arial"/>
                <w:i w:val="0"/>
                <w:iCs w:val="0"/>
                <w:color w:val="auto"/>
                <w:kern w:val="0"/>
                <w:sz w:val="22"/>
                <w:szCs w:val="22"/>
                <w:u w:val="none"/>
                <w:lang w:val="en-US" w:eastAsia="zh-CN" w:bidi="ar"/>
              </w:rPr>
              <w:t>、</w:t>
            </w:r>
            <w:r>
              <w:rPr>
                <w:rFonts w:hint="eastAsia" w:ascii="Arial" w:hAnsi="Arial" w:eastAsia="宋体" w:cs="Arial"/>
                <w:i w:val="0"/>
                <w:iCs w:val="0"/>
                <w:color w:val="auto"/>
                <w:kern w:val="0"/>
                <w:sz w:val="22"/>
                <w:szCs w:val="22"/>
                <w:u w:val="none"/>
                <w:lang w:val="en-US" w:eastAsia="zh-CN" w:bidi="ar"/>
              </w:rPr>
              <w:t>改造</w:t>
            </w:r>
            <w:r>
              <w:rPr>
                <w:rFonts w:hint="eastAsia" w:ascii="宋体" w:hAnsi="宋体" w:eastAsia="宋体" w:cs="宋体"/>
                <w:color w:val="auto"/>
                <w:kern w:val="0"/>
                <w:sz w:val="22"/>
                <w:szCs w:val="22"/>
              </w:rPr>
              <w:t>方案，包含对鄞州区现有健康大脑健康服务专题库、检验检查互认共享系统、麻精毒药品闭环管控系统、智慧共享中药房等业务应用的国产化改造，并实现与新一代全民健康信息平台的集成融合，经专家审定综合评议：</w:t>
            </w:r>
          </w:p>
          <w:p w14:paraId="42CB1B8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对现有区域系统了解程度高，国产化改造和集成方案合理可行的得3分；</w:t>
            </w:r>
          </w:p>
          <w:p w14:paraId="6A58721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对现有区域系统了解程度一般，国产化改造和集成方案基本合理可行的得2分；</w:t>
            </w:r>
          </w:p>
          <w:p w14:paraId="5A36D09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对现有区域系统了解程度低，国产化改造和集成方案欠合理的得1分；</w:t>
            </w:r>
          </w:p>
          <w:p w14:paraId="2EC9933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无相关内容不得分。</w:t>
            </w:r>
          </w:p>
        </w:tc>
        <w:tc>
          <w:tcPr>
            <w:tcW w:w="510" w:type="dxa"/>
            <w:tcBorders>
              <w:tl2br w:val="nil"/>
              <w:tr2bl w:val="nil"/>
            </w:tcBorders>
            <w:shd w:val="clear" w:color="auto" w:fill="FFFFFF"/>
            <w:noWrap w:val="0"/>
            <w:vAlign w:val="center"/>
          </w:tcPr>
          <w:p w14:paraId="418D98F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w:t>
            </w:r>
          </w:p>
        </w:tc>
        <w:tc>
          <w:tcPr>
            <w:tcW w:w="951" w:type="dxa"/>
            <w:tcBorders>
              <w:tl2br w:val="nil"/>
              <w:tr2bl w:val="nil"/>
            </w:tcBorders>
            <w:shd w:val="clear" w:color="auto" w:fill="FFFFFF"/>
            <w:noWrap w:val="0"/>
            <w:vAlign w:val="center"/>
          </w:tcPr>
          <w:p w14:paraId="1A3503F0">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3D6EA0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continue"/>
            <w:tcBorders>
              <w:tl2br w:val="nil"/>
              <w:tr2bl w:val="nil"/>
            </w:tcBorders>
            <w:shd w:val="clear" w:color="auto" w:fill="FFFFFF"/>
            <w:noWrap w:val="0"/>
            <w:vAlign w:val="center"/>
          </w:tcPr>
          <w:p w14:paraId="2A0FA30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FF"/>
            <w:noWrap w:val="0"/>
            <w:vAlign w:val="center"/>
          </w:tcPr>
          <w:p w14:paraId="116CCBEB">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618E38A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Arial" w:hAnsi="Arial" w:eastAsia="宋体" w:cs="Arial"/>
                <w:i w:val="0"/>
                <w:iCs w:val="0"/>
                <w:color w:val="auto"/>
                <w:kern w:val="0"/>
                <w:sz w:val="22"/>
                <w:szCs w:val="22"/>
                <w:u w:val="none"/>
                <w:lang w:val="en-US" w:eastAsia="zh-CN" w:bidi="ar"/>
              </w:rPr>
              <w:t>14.</w:t>
            </w:r>
            <w:r>
              <w:rPr>
                <w:rFonts w:hint="eastAsia" w:ascii="宋体" w:hAnsi="宋体" w:eastAsia="宋体" w:cs="宋体"/>
                <w:color w:val="auto"/>
                <w:kern w:val="0"/>
                <w:sz w:val="22"/>
                <w:szCs w:val="22"/>
              </w:rPr>
              <w:t>投标</w:t>
            </w:r>
            <w:r>
              <w:rPr>
                <w:rFonts w:hint="eastAsia" w:ascii="宋体" w:hAnsi="宋体" w:eastAsia="宋体" w:cs="宋体"/>
                <w:color w:val="auto"/>
                <w:kern w:val="0"/>
                <w:sz w:val="22"/>
                <w:szCs w:val="22"/>
              </w:rPr>
              <w:t>人需针对本项目的招标建设要求</w:t>
            </w:r>
            <w:r>
              <w:rPr>
                <w:rFonts w:hint="eastAsia" w:ascii="宋体" w:hAnsi="宋体" w:eastAsia="宋体" w:cs="宋体"/>
                <w:color w:val="auto"/>
                <w:kern w:val="0"/>
                <w:sz w:val="22"/>
                <w:szCs w:val="22"/>
              </w:rPr>
              <w:t>提供鄞州全民健康信息平台与各类上级平台的对接集成方案，包含与宁波市全民健康信息平台、宁波市妇幼保健电子监测系统</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rPr>
              <w:t>浙江省一体化电子健康档案系统等上级平台，经专家审定综合评议：</w:t>
            </w:r>
          </w:p>
          <w:p w14:paraId="73D61FF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对上级平台了解程度高，与上级平台对接方案合理可行的得3分；</w:t>
            </w:r>
          </w:p>
          <w:p w14:paraId="5F03309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对上级平台了解程度一般，与上级平台对接方案基本合理可行的得2分；</w:t>
            </w:r>
          </w:p>
          <w:p w14:paraId="4E2851B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对上级平台了解程度低，与上级平台对接方案欠合理的得1分；</w:t>
            </w:r>
          </w:p>
          <w:p w14:paraId="18B5C3B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宋体" w:hAnsi="宋体" w:eastAsia="宋体" w:cs="宋体"/>
                <w:color w:val="auto"/>
                <w:kern w:val="0"/>
                <w:sz w:val="22"/>
                <w:szCs w:val="22"/>
              </w:rPr>
              <w:t>无相关内容不得分。无相关内容不得分。</w:t>
            </w:r>
          </w:p>
        </w:tc>
        <w:tc>
          <w:tcPr>
            <w:tcW w:w="510" w:type="dxa"/>
            <w:tcBorders>
              <w:tl2br w:val="nil"/>
              <w:tr2bl w:val="nil"/>
            </w:tcBorders>
            <w:shd w:val="clear" w:color="auto" w:fill="FFFFFF"/>
            <w:noWrap w:val="0"/>
            <w:vAlign w:val="center"/>
          </w:tcPr>
          <w:p w14:paraId="182098C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w:t>
            </w:r>
          </w:p>
        </w:tc>
        <w:tc>
          <w:tcPr>
            <w:tcW w:w="951" w:type="dxa"/>
            <w:tcBorders>
              <w:tl2br w:val="nil"/>
              <w:tr2bl w:val="nil"/>
            </w:tcBorders>
            <w:shd w:val="clear" w:color="auto" w:fill="FFFFFF"/>
            <w:noWrap w:val="0"/>
            <w:vAlign w:val="center"/>
          </w:tcPr>
          <w:p w14:paraId="09D58ACB">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7BFC6F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690" w:type="dxa"/>
            <w:vMerge w:val="continue"/>
            <w:tcBorders>
              <w:tl2br w:val="nil"/>
              <w:tr2bl w:val="nil"/>
            </w:tcBorders>
            <w:shd w:val="clear" w:color="auto" w:fill="FFFFFF"/>
            <w:noWrap w:val="0"/>
            <w:vAlign w:val="center"/>
          </w:tcPr>
          <w:p w14:paraId="65A26703">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00"/>
            <w:noWrap w:val="0"/>
            <w:vAlign w:val="center"/>
          </w:tcPr>
          <w:p w14:paraId="11893A50">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4A3CD873">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Arial" w:hAnsi="Arial" w:eastAsia="宋体" w:cs="Arial"/>
                <w:i w:val="0"/>
                <w:iCs w:val="0"/>
                <w:color w:val="auto"/>
                <w:kern w:val="0"/>
                <w:sz w:val="22"/>
                <w:szCs w:val="22"/>
                <w:u w:val="none"/>
                <w:lang w:val="en-US" w:eastAsia="zh-CN" w:bidi="ar"/>
              </w:rPr>
              <w:t>15.</w:t>
            </w:r>
            <w:r>
              <w:rPr>
                <w:rFonts w:hint="eastAsia" w:ascii="宋体" w:hAnsi="宋体" w:eastAsia="宋体" w:cs="宋体"/>
                <w:color w:val="auto"/>
                <w:kern w:val="0"/>
                <w:sz w:val="22"/>
                <w:szCs w:val="22"/>
              </w:rPr>
              <w:t>投标</w:t>
            </w:r>
            <w:r>
              <w:rPr>
                <w:rFonts w:hint="eastAsia" w:ascii="宋体" w:hAnsi="宋体" w:eastAsia="宋体" w:cs="宋体"/>
                <w:color w:val="auto"/>
                <w:kern w:val="0"/>
                <w:sz w:val="22"/>
                <w:szCs w:val="22"/>
              </w:rPr>
              <w:t>人需针对本项目的招标建设要求</w:t>
            </w:r>
            <w:r>
              <w:rPr>
                <w:rFonts w:hint="eastAsia" w:ascii="宋体" w:hAnsi="宋体" w:eastAsia="宋体" w:cs="宋体"/>
                <w:color w:val="auto"/>
                <w:kern w:val="0"/>
                <w:sz w:val="22"/>
                <w:szCs w:val="22"/>
              </w:rPr>
              <w:t>提供现有区域系统的信创改造升级方案，包括区域检验、分级诊疗、区域医后付、电子病历质控、影像质控、药事质控、学生健康护航、基层机构补偿机制改革绩效考核评价等系统，经专家审定综合评议：</w:t>
            </w:r>
          </w:p>
          <w:p w14:paraId="60C420E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对现有区域系统了解程度高，改造方案合理可行的得3分；</w:t>
            </w:r>
          </w:p>
          <w:p w14:paraId="19352E0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对现有区域系统了解程度一般，改造方案基本合理可行的得2分；</w:t>
            </w:r>
          </w:p>
          <w:p w14:paraId="64A7F41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对现有区域系统了解程度低，改造方案欠合理的得1分；</w:t>
            </w:r>
          </w:p>
          <w:p w14:paraId="238DFEF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无相关内容不得分。</w:t>
            </w:r>
          </w:p>
        </w:tc>
        <w:tc>
          <w:tcPr>
            <w:tcW w:w="510" w:type="dxa"/>
            <w:tcBorders>
              <w:tl2br w:val="nil"/>
              <w:tr2bl w:val="nil"/>
            </w:tcBorders>
            <w:shd w:val="clear" w:color="auto" w:fill="FFFFFF"/>
            <w:noWrap w:val="0"/>
            <w:vAlign w:val="center"/>
          </w:tcPr>
          <w:p w14:paraId="7C1244D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w:t>
            </w:r>
          </w:p>
        </w:tc>
        <w:tc>
          <w:tcPr>
            <w:tcW w:w="951" w:type="dxa"/>
            <w:tcBorders>
              <w:tl2br w:val="nil"/>
              <w:tr2bl w:val="nil"/>
            </w:tcBorders>
            <w:shd w:val="clear" w:color="auto" w:fill="FFFFFF"/>
            <w:noWrap w:val="0"/>
            <w:vAlign w:val="center"/>
          </w:tcPr>
          <w:p w14:paraId="30019CC7">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28392C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690" w:type="dxa"/>
            <w:vMerge w:val="continue"/>
            <w:tcBorders>
              <w:tl2br w:val="nil"/>
              <w:tr2bl w:val="nil"/>
            </w:tcBorders>
            <w:shd w:val="clear" w:color="auto" w:fill="FFFFFF"/>
            <w:noWrap w:val="0"/>
            <w:vAlign w:val="center"/>
          </w:tcPr>
          <w:p w14:paraId="3E0DDF8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00"/>
            <w:noWrap w:val="0"/>
            <w:vAlign w:val="center"/>
          </w:tcPr>
          <w:p w14:paraId="19D65020">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5F086873">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Arial" w:hAnsi="Arial" w:eastAsia="宋体" w:cs="Arial"/>
                <w:i w:val="0"/>
                <w:iCs w:val="0"/>
                <w:color w:val="auto"/>
                <w:kern w:val="0"/>
                <w:sz w:val="22"/>
                <w:szCs w:val="22"/>
                <w:u w:val="none"/>
                <w:lang w:val="en-US" w:eastAsia="zh-CN" w:bidi="ar"/>
              </w:rPr>
              <w:t>16.</w:t>
            </w:r>
            <w:r>
              <w:rPr>
                <w:rFonts w:hint="eastAsia" w:ascii="宋体" w:hAnsi="宋体" w:eastAsia="宋体" w:cs="宋体"/>
                <w:color w:val="auto"/>
                <w:kern w:val="0"/>
                <w:sz w:val="22"/>
                <w:szCs w:val="22"/>
              </w:rPr>
              <w:t>投</w:t>
            </w:r>
            <w:r>
              <w:rPr>
                <w:rFonts w:hint="eastAsia" w:ascii="宋体" w:hAnsi="宋体" w:eastAsia="宋体" w:cs="宋体"/>
                <w:color w:val="auto"/>
                <w:kern w:val="0"/>
                <w:sz w:val="22"/>
                <w:szCs w:val="22"/>
              </w:rPr>
              <w:t>标人需针对本项目的招标建设要求</w:t>
            </w:r>
            <w:r>
              <w:rPr>
                <w:rFonts w:hint="eastAsia" w:ascii="宋体" w:hAnsi="宋体" w:eastAsia="宋体" w:cs="宋体"/>
                <w:color w:val="auto"/>
                <w:kern w:val="0"/>
                <w:sz w:val="22"/>
                <w:szCs w:val="22"/>
              </w:rPr>
              <w:t>提供现有基层医疗卫生机构信息系统的适应性改造方案，包含一体化门诊升级、智能辅助诊断、数据采集改造、协同应用对接等内容，经专家审定综合评议：</w:t>
            </w:r>
          </w:p>
          <w:p w14:paraId="29A5C7F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对现有基层系统了解程度高，改造方案合理可行的得3分；</w:t>
            </w:r>
          </w:p>
          <w:p w14:paraId="24431E32">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对现有基层系统了解程度一般，改造方案基本合理可行的得2分；</w:t>
            </w:r>
          </w:p>
          <w:p w14:paraId="4D67FB4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对现有基层系统了解程度低，改造方案欠合理的得1分；</w:t>
            </w:r>
          </w:p>
          <w:p w14:paraId="3EDA2CB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无相关内容不得分。</w:t>
            </w:r>
          </w:p>
        </w:tc>
        <w:tc>
          <w:tcPr>
            <w:tcW w:w="510" w:type="dxa"/>
            <w:tcBorders>
              <w:tl2br w:val="nil"/>
              <w:tr2bl w:val="nil"/>
            </w:tcBorders>
            <w:shd w:val="clear" w:color="auto" w:fill="FFFFFF"/>
            <w:noWrap w:val="0"/>
            <w:vAlign w:val="center"/>
          </w:tcPr>
          <w:p w14:paraId="35A233C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w:t>
            </w:r>
          </w:p>
        </w:tc>
        <w:tc>
          <w:tcPr>
            <w:tcW w:w="951" w:type="dxa"/>
            <w:tcBorders>
              <w:tl2br w:val="nil"/>
              <w:tr2bl w:val="nil"/>
            </w:tcBorders>
            <w:shd w:val="clear" w:color="auto" w:fill="FFFFFF"/>
            <w:noWrap w:val="0"/>
            <w:vAlign w:val="center"/>
          </w:tcPr>
          <w:p w14:paraId="51C885F2">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6180D3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690" w:type="dxa"/>
            <w:vMerge w:val="continue"/>
            <w:tcBorders>
              <w:tl2br w:val="nil"/>
              <w:tr2bl w:val="nil"/>
            </w:tcBorders>
            <w:shd w:val="clear" w:color="auto" w:fill="FFFFFF"/>
            <w:noWrap w:val="0"/>
            <w:vAlign w:val="center"/>
          </w:tcPr>
          <w:p w14:paraId="7A534A1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shd w:val="clear" w:color="auto" w:fill="auto"/>
            <w:noWrap w:val="0"/>
            <w:vAlign w:val="center"/>
          </w:tcPr>
          <w:p w14:paraId="1C02CD30">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数据迁移方案（2分）</w:t>
            </w:r>
          </w:p>
        </w:tc>
        <w:tc>
          <w:tcPr>
            <w:tcW w:w="5770" w:type="dxa"/>
            <w:tcBorders>
              <w:tl2br w:val="nil"/>
              <w:tr2bl w:val="nil"/>
            </w:tcBorders>
            <w:shd w:val="clear" w:color="auto" w:fill="auto"/>
            <w:noWrap w:val="0"/>
            <w:vAlign w:val="center"/>
          </w:tcPr>
          <w:p w14:paraId="3D23A03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Arial" w:hAnsi="Arial" w:eastAsia="宋体" w:cs="Arial"/>
                <w:i w:val="0"/>
                <w:iCs w:val="0"/>
                <w:color w:val="auto"/>
                <w:kern w:val="0"/>
                <w:sz w:val="22"/>
                <w:szCs w:val="22"/>
                <w:u w:val="none"/>
                <w:lang w:val="en-US" w:eastAsia="zh-CN" w:bidi="ar"/>
              </w:rPr>
              <w:t>17.</w:t>
            </w:r>
            <w:r>
              <w:rPr>
                <w:rFonts w:hint="eastAsia" w:ascii="宋体" w:hAnsi="宋体" w:eastAsia="宋体" w:cs="宋体"/>
                <w:color w:val="auto"/>
                <w:kern w:val="0"/>
                <w:sz w:val="22"/>
                <w:szCs w:val="22"/>
              </w:rPr>
              <w:t>投标人需针对本项目提供将原有全民健康信息平台的全量数据迁移方案，包含对现有标准以及升级标准的差异分析、迁移过程的数据质量保障措施、防止数据泄露措施及医疗隐私</w:t>
            </w:r>
            <w:r>
              <w:rPr>
                <w:rFonts w:hint="eastAsia" w:ascii="宋体" w:hAnsi="宋体" w:eastAsia="宋体" w:cs="宋体"/>
                <w:color w:val="auto"/>
                <w:kern w:val="0"/>
                <w:sz w:val="22"/>
                <w:szCs w:val="22"/>
                <w:lang w:val="en-US" w:eastAsia="zh-CN"/>
              </w:rPr>
              <w:t>的相关技术、</w:t>
            </w:r>
            <w:r>
              <w:rPr>
                <w:rFonts w:hint="eastAsia" w:ascii="宋体" w:hAnsi="宋体" w:eastAsia="宋体" w:cs="宋体"/>
                <w:color w:val="auto"/>
                <w:kern w:val="0"/>
                <w:sz w:val="22"/>
                <w:szCs w:val="22"/>
              </w:rPr>
              <w:t>全民健康信息平台全量数据数据迁移</w:t>
            </w:r>
            <w:r>
              <w:rPr>
                <w:rFonts w:hint="eastAsia" w:ascii="宋体" w:hAnsi="宋体" w:eastAsia="宋体" w:cs="宋体"/>
                <w:color w:val="auto"/>
                <w:kern w:val="0"/>
                <w:sz w:val="22"/>
                <w:szCs w:val="22"/>
                <w:lang w:val="en-US" w:eastAsia="zh-CN"/>
              </w:rPr>
              <w:t>经验</w:t>
            </w:r>
            <w:r>
              <w:rPr>
                <w:rFonts w:hint="eastAsia" w:ascii="宋体" w:hAnsi="宋体" w:eastAsia="宋体" w:cs="宋体"/>
                <w:color w:val="auto"/>
                <w:kern w:val="0"/>
                <w:sz w:val="22"/>
                <w:szCs w:val="22"/>
              </w:rPr>
              <w:t>等内容，经专家审定综合评议：</w:t>
            </w:r>
          </w:p>
          <w:p w14:paraId="37969E4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方案合理可行，</w:t>
            </w:r>
            <w:r>
              <w:rPr>
                <w:rFonts w:hint="eastAsia" w:ascii="宋体" w:hAnsi="宋体" w:eastAsia="宋体" w:cs="宋体"/>
                <w:color w:val="auto"/>
                <w:kern w:val="0"/>
                <w:sz w:val="22"/>
                <w:szCs w:val="22"/>
                <w:lang w:val="en-US" w:eastAsia="zh-CN"/>
              </w:rPr>
              <w:t>相关</w:t>
            </w:r>
            <w:r>
              <w:rPr>
                <w:rFonts w:hint="eastAsia" w:ascii="宋体" w:hAnsi="宋体" w:eastAsia="宋体" w:cs="宋体"/>
                <w:color w:val="auto"/>
                <w:kern w:val="0"/>
                <w:sz w:val="22"/>
                <w:szCs w:val="22"/>
              </w:rPr>
              <w:t>技术</w:t>
            </w:r>
            <w:r>
              <w:rPr>
                <w:rFonts w:hint="eastAsia" w:ascii="宋体" w:hAnsi="宋体" w:eastAsia="宋体" w:cs="宋体"/>
                <w:color w:val="auto"/>
                <w:kern w:val="0"/>
                <w:sz w:val="22"/>
                <w:szCs w:val="22"/>
              </w:rPr>
              <w:t>完全符合要求，迁移</w:t>
            </w:r>
            <w:r>
              <w:rPr>
                <w:rFonts w:hint="eastAsia" w:ascii="宋体" w:hAnsi="宋体" w:eastAsia="宋体" w:cs="宋体"/>
                <w:color w:val="auto"/>
                <w:kern w:val="0"/>
                <w:sz w:val="22"/>
                <w:szCs w:val="22"/>
                <w:lang w:val="en-US" w:eastAsia="zh-CN"/>
              </w:rPr>
              <w:t>经验</w:t>
            </w:r>
            <w:r>
              <w:rPr>
                <w:rFonts w:hint="eastAsia" w:ascii="宋体" w:hAnsi="宋体" w:eastAsia="宋体" w:cs="宋体"/>
                <w:color w:val="auto"/>
                <w:kern w:val="0"/>
                <w:sz w:val="22"/>
                <w:szCs w:val="22"/>
              </w:rPr>
              <w:t>符合程度高的得2分；</w:t>
            </w:r>
          </w:p>
          <w:p w14:paraId="6FA86ED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方案基本合理可行，</w:t>
            </w:r>
            <w:r>
              <w:rPr>
                <w:rFonts w:hint="eastAsia" w:ascii="宋体" w:hAnsi="宋体" w:eastAsia="宋体" w:cs="宋体"/>
                <w:color w:val="auto"/>
                <w:kern w:val="0"/>
                <w:sz w:val="22"/>
                <w:szCs w:val="22"/>
              </w:rPr>
              <w:t>具有相关技术，</w:t>
            </w:r>
            <w:r>
              <w:rPr>
                <w:rFonts w:hint="eastAsia" w:ascii="宋体" w:hAnsi="宋体" w:eastAsia="宋体" w:cs="宋体"/>
                <w:color w:val="auto"/>
                <w:kern w:val="0"/>
                <w:sz w:val="22"/>
                <w:szCs w:val="22"/>
              </w:rPr>
              <w:t>迁移</w:t>
            </w:r>
            <w:r>
              <w:rPr>
                <w:rFonts w:hint="eastAsia" w:ascii="宋体" w:hAnsi="宋体" w:eastAsia="宋体" w:cs="宋体"/>
                <w:color w:val="auto"/>
                <w:kern w:val="0"/>
                <w:sz w:val="22"/>
                <w:szCs w:val="22"/>
                <w:lang w:val="en-US" w:eastAsia="zh-CN"/>
              </w:rPr>
              <w:t>经验</w:t>
            </w:r>
            <w:r>
              <w:rPr>
                <w:rFonts w:hint="eastAsia" w:ascii="宋体" w:hAnsi="宋体" w:eastAsia="宋体" w:cs="宋体"/>
                <w:color w:val="auto"/>
                <w:kern w:val="0"/>
                <w:sz w:val="22"/>
                <w:szCs w:val="22"/>
              </w:rPr>
              <w:t>符合程度一般的得1分；</w:t>
            </w:r>
          </w:p>
          <w:p w14:paraId="170F374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方案欠合理的得1分，</w:t>
            </w:r>
            <w:r>
              <w:rPr>
                <w:rFonts w:hint="eastAsia" w:ascii="宋体" w:hAnsi="宋体" w:eastAsia="宋体" w:cs="宋体"/>
                <w:color w:val="auto"/>
                <w:kern w:val="0"/>
                <w:sz w:val="22"/>
                <w:szCs w:val="22"/>
              </w:rPr>
              <w:t>没有相关技术</w:t>
            </w:r>
            <w:r>
              <w:rPr>
                <w:rFonts w:hint="eastAsia" w:ascii="宋体" w:hAnsi="宋体" w:eastAsia="宋体" w:cs="宋体"/>
                <w:color w:val="auto"/>
                <w:kern w:val="0"/>
                <w:sz w:val="22"/>
                <w:szCs w:val="22"/>
              </w:rPr>
              <w:t>，迁移</w:t>
            </w:r>
            <w:r>
              <w:rPr>
                <w:rFonts w:hint="eastAsia" w:ascii="宋体" w:hAnsi="宋体" w:eastAsia="宋体" w:cs="宋体"/>
                <w:color w:val="auto"/>
                <w:kern w:val="0"/>
                <w:sz w:val="22"/>
                <w:szCs w:val="22"/>
                <w:lang w:val="en-US" w:eastAsia="zh-CN"/>
              </w:rPr>
              <w:t>经验</w:t>
            </w:r>
            <w:r>
              <w:rPr>
                <w:rFonts w:hint="eastAsia" w:ascii="宋体" w:hAnsi="宋体" w:eastAsia="宋体" w:cs="宋体"/>
                <w:color w:val="auto"/>
                <w:kern w:val="0"/>
                <w:sz w:val="22"/>
                <w:szCs w:val="22"/>
              </w:rPr>
              <w:t>符合程度低</w:t>
            </w:r>
            <w:r>
              <w:rPr>
                <w:rFonts w:hint="eastAsia" w:ascii="宋体" w:hAnsi="宋体" w:eastAsia="宋体" w:cs="宋体"/>
                <w:color w:val="auto"/>
                <w:kern w:val="0"/>
                <w:sz w:val="22"/>
                <w:szCs w:val="22"/>
                <w:lang w:val="en-US" w:eastAsia="zh-CN"/>
              </w:rPr>
              <w:t>或无</w:t>
            </w:r>
            <w:r>
              <w:rPr>
                <w:rFonts w:hint="eastAsia" w:ascii="宋体" w:hAnsi="宋体" w:eastAsia="宋体" w:cs="宋体"/>
                <w:color w:val="auto"/>
                <w:kern w:val="0"/>
                <w:sz w:val="22"/>
                <w:szCs w:val="22"/>
              </w:rPr>
              <w:t>的得0.5分；</w:t>
            </w:r>
          </w:p>
          <w:p w14:paraId="16A653D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val="en-US" w:eastAsia="zh-CN"/>
              </w:rPr>
              <w:t>注：技术商务文件中附</w:t>
            </w:r>
            <w:r>
              <w:rPr>
                <w:rFonts w:hint="eastAsia" w:ascii="宋体" w:hAnsi="宋体" w:eastAsia="宋体" w:cs="宋体"/>
                <w:b/>
                <w:bCs/>
                <w:color w:val="auto"/>
                <w:kern w:val="0"/>
                <w:sz w:val="22"/>
                <w:szCs w:val="22"/>
              </w:rPr>
              <w:t>全民健康信息平台全量数据从非国产化数据库迁移至国产化数据库</w:t>
            </w:r>
            <w:r>
              <w:rPr>
                <w:rFonts w:hint="eastAsia" w:ascii="宋体" w:hAnsi="宋体" w:eastAsia="宋体" w:cs="宋体"/>
                <w:b/>
                <w:bCs/>
                <w:color w:val="auto"/>
                <w:kern w:val="0"/>
                <w:sz w:val="22"/>
                <w:szCs w:val="22"/>
              </w:rPr>
              <w:t>经验</w:t>
            </w:r>
            <w:r>
              <w:rPr>
                <w:rFonts w:hint="eastAsia" w:ascii="宋体" w:hAnsi="宋体" w:eastAsia="宋体" w:cs="宋体"/>
                <w:b/>
                <w:bCs/>
                <w:color w:val="auto"/>
                <w:kern w:val="0"/>
                <w:sz w:val="22"/>
                <w:szCs w:val="22"/>
              </w:rPr>
              <w:t>的用户</w:t>
            </w:r>
            <w:r>
              <w:rPr>
                <w:rFonts w:hint="eastAsia" w:ascii="宋体" w:hAnsi="宋体" w:eastAsia="宋体" w:cs="宋体"/>
                <w:b/>
                <w:bCs/>
                <w:color w:val="auto"/>
                <w:kern w:val="0"/>
                <w:sz w:val="22"/>
                <w:szCs w:val="22"/>
              </w:rPr>
              <w:t>盖章</w:t>
            </w:r>
            <w:r>
              <w:rPr>
                <w:rFonts w:hint="eastAsia" w:ascii="宋体" w:hAnsi="宋体" w:eastAsia="宋体" w:cs="宋体"/>
                <w:b/>
                <w:bCs/>
                <w:color w:val="auto"/>
                <w:kern w:val="0"/>
                <w:sz w:val="22"/>
                <w:szCs w:val="22"/>
              </w:rPr>
              <w:t>证明材料和</w:t>
            </w:r>
            <w:r>
              <w:rPr>
                <w:rFonts w:hint="eastAsia" w:ascii="宋体" w:hAnsi="宋体" w:eastAsia="宋体" w:cs="宋体"/>
                <w:b/>
                <w:bCs/>
                <w:color w:val="auto"/>
                <w:kern w:val="0"/>
                <w:sz w:val="22"/>
                <w:szCs w:val="22"/>
              </w:rPr>
              <w:t>相关技术</w:t>
            </w:r>
            <w:r>
              <w:rPr>
                <w:rFonts w:hint="eastAsia" w:ascii="宋体" w:hAnsi="宋体" w:eastAsia="宋体" w:cs="宋体"/>
                <w:b/>
                <w:bCs/>
                <w:color w:val="auto"/>
                <w:kern w:val="0"/>
                <w:sz w:val="22"/>
                <w:szCs w:val="22"/>
              </w:rPr>
              <w:t>证明材料</w:t>
            </w:r>
            <w:r>
              <w:rPr>
                <w:rFonts w:hint="eastAsia" w:ascii="宋体" w:hAnsi="宋体" w:eastAsia="宋体" w:cs="宋体"/>
                <w:b/>
                <w:bCs/>
                <w:color w:val="auto"/>
                <w:kern w:val="0"/>
                <w:sz w:val="22"/>
                <w:szCs w:val="22"/>
              </w:rPr>
              <w:t>。</w:t>
            </w:r>
          </w:p>
          <w:p w14:paraId="6448E361">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无相关内容不得分。</w:t>
            </w:r>
          </w:p>
        </w:tc>
        <w:tc>
          <w:tcPr>
            <w:tcW w:w="510" w:type="dxa"/>
            <w:tcBorders>
              <w:tl2br w:val="nil"/>
              <w:tr2bl w:val="nil"/>
            </w:tcBorders>
            <w:shd w:val="clear" w:color="auto" w:fill="auto"/>
            <w:noWrap w:val="0"/>
            <w:vAlign w:val="center"/>
          </w:tcPr>
          <w:p w14:paraId="2D05360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2E189748">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等线"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54EA9A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690" w:type="dxa"/>
            <w:vMerge w:val="continue"/>
            <w:tcBorders>
              <w:tl2br w:val="nil"/>
              <w:tr2bl w:val="nil"/>
            </w:tcBorders>
            <w:shd w:val="clear" w:color="auto" w:fill="FFFFFF"/>
            <w:noWrap w:val="0"/>
            <w:vAlign w:val="center"/>
          </w:tcPr>
          <w:p w14:paraId="4D652613">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restart"/>
            <w:tcBorders>
              <w:tl2br w:val="nil"/>
              <w:tr2bl w:val="nil"/>
            </w:tcBorders>
            <w:shd w:val="clear" w:color="auto" w:fill="auto"/>
            <w:noWrap w:val="0"/>
            <w:vAlign w:val="center"/>
          </w:tcPr>
          <w:p w14:paraId="0564C3D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项目组实施人员配置情况</w:t>
            </w:r>
          </w:p>
          <w:p w14:paraId="5B86215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w:t>
            </w:r>
            <w:r>
              <w:rPr>
                <w:rFonts w:hint="eastAsia" w:ascii="Arial" w:hAnsi="Arial" w:eastAsia="宋体" w:cs="Arial"/>
                <w:i w:val="0"/>
                <w:iCs w:val="0"/>
                <w:color w:val="auto"/>
                <w:kern w:val="0"/>
                <w:sz w:val="22"/>
                <w:szCs w:val="22"/>
                <w:u w:val="none"/>
                <w:lang w:val="en-US" w:eastAsia="zh-CN" w:bidi="ar"/>
              </w:rPr>
              <w:t>6</w:t>
            </w:r>
            <w:r>
              <w:rPr>
                <w:rFonts w:hint="default" w:ascii="Arial" w:hAnsi="Arial" w:eastAsia="宋体" w:cs="Arial"/>
                <w:i w:val="0"/>
                <w:iCs w:val="0"/>
                <w:color w:val="auto"/>
                <w:kern w:val="0"/>
                <w:sz w:val="22"/>
                <w:szCs w:val="22"/>
                <w:u w:val="none"/>
                <w:lang w:val="en-US" w:eastAsia="zh-CN" w:bidi="ar"/>
              </w:rPr>
              <w:t>分</w:t>
            </w:r>
            <w:r>
              <w:rPr>
                <w:rFonts w:hint="default" w:ascii="Arial" w:hAnsi="Arial" w:eastAsia="宋体" w:cs="Arial"/>
                <w:i w:val="0"/>
                <w:iCs w:val="0"/>
                <w:color w:val="auto"/>
                <w:kern w:val="0"/>
                <w:sz w:val="22"/>
                <w:szCs w:val="22"/>
                <w:u w:val="none"/>
                <w:lang w:val="en-US" w:eastAsia="zh-CN" w:bidi="ar"/>
              </w:rPr>
              <w:t>）</w:t>
            </w:r>
          </w:p>
        </w:tc>
        <w:tc>
          <w:tcPr>
            <w:tcW w:w="5770" w:type="dxa"/>
            <w:tcBorders>
              <w:tl2br w:val="nil"/>
              <w:tr2bl w:val="nil"/>
            </w:tcBorders>
            <w:shd w:val="clear" w:color="auto" w:fill="auto"/>
            <w:noWrap w:val="0"/>
            <w:vAlign w:val="center"/>
          </w:tcPr>
          <w:p w14:paraId="0E1C87A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18.</w:t>
            </w:r>
            <w:r>
              <w:rPr>
                <w:rFonts w:hint="default" w:ascii="Arial" w:hAnsi="Arial" w:eastAsia="宋体" w:cs="Arial"/>
                <w:i w:val="0"/>
                <w:iCs w:val="0"/>
                <w:color w:val="auto"/>
                <w:kern w:val="0"/>
                <w:sz w:val="22"/>
                <w:szCs w:val="22"/>
                <w:u w:val="none"/>
                <w:lang w:val="en-US" w:eastAsia="zh-CN" w:bidi="ar"/>
              </w:rPr>
              <w:t>项目团队的项目负责人需具备丰富的相关管理经验，同时</w:t>
            </w:r>
            <w:r>
              <w:rPr>
                <w:rFonts w:hint="eastAsia" w:ascii="Arial" w:hAnsi="Arial" w:eastAsia="宋体" w:cs="Arial"/>
                <w:i w:val="0"/>
                <w:iCs w:val="0"/>
                <w:color w:val="auto"/>
                <w:kern w:val="0"/>
                <w:sz w:val="22"/>
                <w:szCs w:val="22"/>
                <w:u w:val="none"/>
                <w:lang w:val="en-US" w:eastAsia="zh-CN" w:bidi="ar"/>
              </w:rPr>
              <w:t>具备</w:t>
            </w:r>
            <w:r>
              <w:rPr>
                <w:rFonts w:hint="default" w:ascii="Arial" w:hAnsi="Arial" w:eastAsia="宋体" w:cs="Arial"/>
                <w:i w:val="0"/>
                <w:iCs w:val="0"/>
                <w:color w:val="auto"/>
                <w:kern w:val="0"/>
                <w:sz w:val="22"/>
                <w:szCs w:val="22"/>
                <w:u w:val="none"/>
                <w:lang w:val="en-US" w:eastAsia="zh-CN" w:bidi="ar"/>
              </w:rPr>
              <w:t>以下条件：</w:t>
            </w:r>
          </w:p>
          <w:p w14:paraId="1638BBD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1）具有网络规划设计师证书（计算机技术与软件专业技术资格考试）。</w:t>
            </w:r>
          </w:p>
          <w:p w14:paraId="2C7E9EC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i w:val="0"/>
                <w:iCs w:val="0"/>
                <w:color w:val="auto"/>
                <w:kern w:val="0"/>
                <w:sz w:val="22"/>
                <w:szCs w:val="22"/>
                <w:u w:val="none"/>
                <w:lang w:val="en-US" w:eastAsia="zh-CN" w:bidi="ar"/>
              </w:rPr>
              <w:t>（2</w:t>
            </w:r>
            <w:r>
              <w:rPr>
                <w:rFonts w:hint="default" w:ascii="Arial" w:hAnsi="Arial" w:eastAsia="宋体" w:cs="Arial"/>
                <w:i w:val="0"/>
                <w:iCs w:val="0"/>
                <w:color w:val="auto"/>
                <w:kern w:val="0"/>
                <w:sz w:val="22"/>
                <w:szCs w:val="22"/>
                <w:u w:val="none"/>
                <w:lang w:val="en-US" w:eastAsia="zh-CN" w:bidi="ar"/>
              </w:rPr>
              <w:t>）具有信息系统项目管理师证书（计算机技术与软件专业技术资格考试）。</w:t>
            </w:r>
          </w:p>
          <w:p w14:paraId="714EC0B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i w:val="0"/>
                <w:iCs w:val="0"/>
                <w:color w:val="auto"/>
                <w:kern w:val="0"/>
                <w:sz w:val="22"/>
                <w:szCs w:val="22"/>
                <w:highlight w:val="none"/>
                <w:u w:val="none"/>
                <w:lang w:val="en-US" w:eastAsia="zh-CN" w:bidi="ar"/>
              </w:rPr>
              <w:t>（</w:t>
            </w:r>
            <w:r>
              <w:rPr>
                <w:rFonts w:hint="default" w:ascii="Arial" w:hAnsi="Arial" w:eastAsia="宋体" w:cs="Arial"/>
                <w:i w:val="0"/>
                <w:iCs w:val="0"/>
                <w:color w:val="auto"/>
                <w:kern w:val="0"/>
                <w:sz w:val="22"/>
                <w:szCs w:val="22"/>
                <w:highlight w:val="none"/>
                <w:u w:val="none"/>
                <w:lang w:val="en-US" w:eastAsia="zh-CN" w:bidi="ar"/>
              </w:rPr>
              <w:t>3）具有注册信息安全工程师（CISE）。</w:t>
            </w:r>
          </w:p>
          <w:p w14:paraId="28E1F71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i w:val="0"/>
                <w:iCs w:val="0"/>
                <w:color w:val="auto"/>
                <w:kern w:val="0"/>
                <w:sz w:val="22"/>
                <w:szCs w:val="22"/>
                <w:highlight w:val="none"/>
                <w:u w:val="none"/>
                <w:lang w:val="en-US" w:eastAsia="zh-CN" w:bidi="ar"/>
              </w:rPr>
              <w:t>（</w:t>
            </w:r>
            <w:r>
              <w:rPr>
                <w:rFonts w:hint="default" w:ascii="Arial" w:hAnsi="Arial" w:eastAsia="宋体" w:cs="Arial"/>
                <w:i w:val="0"/>
                <w:iCs w:val="0"/>
                <w:color w:val="auto"/>
                <w:kern w:val="0"/>
                <w:sz w:val="22"/>
                <w:szCs w:val="22"/>
                <w:highlight w:val="none"/>
                <w:u w:val="none"/>
                <w:lang w:val="en-US" w:eastAsia="zh-CN" w:bidi="ar"/>
              </w:rPr>
              <w:t>4</w:t>
            </w:r>
            <w:r>
              <w:rPr>
                <w:rFonts w:hint="default" w:ascii="Arial" w:hAnsi="Arial" w:eastAsia="宋体" w:cs="Arial"/>
                <w:i w:val="0"/>
                <w:iCs w:val="0"/>
                <w:color w:val="auto"/>
                <w:kern w:val="0"/>
                <w:sz w:val="22"/>
                <w:szCs w:val="22"/>
                <w:highlight w:val="none"/>
                <w:u w:val="none"/>
                <w:lang w:val="en-US" w:eastAsia="zh-CN" w:bidi="ar"/>
              </w:rPr>
              <w:t>）具有通信专业技术人员职业资格证书（互联网技术专业）</w:t>
            </w:r>
          </w:p>
          <w:p w14:paraId="5F04E26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须同一个人具备以上条件，满足一条得0.5分，其他不得分。</w:t>
            </w:r>
          </w:p>
          <w:p w14:paraId="4EC43103">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Arial" w:hAnsi="Arial" w:eastAsia="宋体" w:cs="Arial"/>
                <w:b/>
                <w:bCs/>
                <w:i w:val="0"/>
                <w:iCs w:val="0"/>
                <w:color w:val="auto"/>
                <w:kern w:val="0"/>
                <w:sz w:val="22"/>
                <w:szCs w:val="22"/>
                <w:highlight w:val="none"/>
                <w:u w:val="none"/>
                <w:lang w:val="en-US" w:eastAsia="zh-CN" w:bidi="ar"/>
              </w:rPr>
              <w:t>注：技术商务文件中附</w:t>
            </w:r>
            <w:r>
              <w:rPr>
                <w:rFonts w:hint="eastAsia" w:ascii="Arial" w:hAnsi="Arial" w:eastAsia="宋体" w:cs="Arial"/>
                <w:b/>
                <w:bCs/>
                <w:i w:val="0"/>
                <w:iCs w:val="0"/>
                <w:color w:val="auto"/>
                <w:kern w:val="0"/>
                <w:sz w:val="22"/>
                <w:szCs w:val="22"/>
                <w:highlight w:val="none"/>
                <w:u w:val="none"/>
                <w:lang w:val="en-US" w:eastAsia="zh-CN" w:bidi="ar"/>
              </w:rPr>
              <w:t>上述</w:t>
            </w:r>
            <w:r>
              <w:rPr>
                <w:rFonts w:hint="eastAsia" w:ascii="Arial" w:hAnsi="Arial" w:eastAsia="宋体" w:cs="Arial"/>
                <w:b/>
                <w:bCs/>
                <w:i w:val="0"/>
                <w:iCs w:val="0"/>
                <w:color w:val="auto"/>
                <w:kern w:val="0"/>
                <w:sz w:val="22"/>
                <w:szCs w:val="22"/>
                <w:highlight w:val="none"/>
                <w:u w:val="none"/>
                <w:lang w:val="en-US" w:eastAsia="zh-CN" w:bidi="ar"/>
              </w:rPr>
              <w:t>证书复印件</w:t>
            </w:r>
            <w:r>
              <w:rPr>
                <w:rFonts w:hint="default" w:ascii="Arial" w:hAnsi="Arial" w:eastAsia="宋体" w:cs="Arial"/>
                <w:b/>
                <w:bCs/>
                <w:i w:val="0"/>
                <w:iCs w:val="0"/>
                <w:color w:val="auto"/>
                <w:kern w:val="0"/>
                <w:sz w:val="22"/>
                <w:szCs w:val="22"/>
                <w:highlight w:val="none"/>
                <w:u w:val="none"/>
                <w:lang w:val="en-US" w:eastAsia="zh-CN" w:bidi="ar"/>
              </w:rPr>
              <w:t>、</w:t>
            </w:r>
            <w:r>
              <w:rPr>
                <w:rFonts w:hint="eastAsia" w:ascii="Arial" w:hAnsi="Arial" w:eastAsia="宋体" w:cs="Arial"/>
                <w:b/>
                <w:bCs/>
                <w:i w:val="0"/>
                <w:iCs w:val="0"/>
                <w:color w:val="auto"/>
                <w:kern w:val="0"/>
                <w:sz w:val="22"/>
                <w:szCs w:val="22"/>
                <w:highlight w:val="none"/>
                <w:u w:val="none"/>
                <w:lang w:val="en-US" w:eastAsia="zh-CN" w:bidi="ar"/>
              </w:rPr>
              <w:t>开标</w:t>
            </w:r>
            <w:r>
              <w:rPr>
                <w:rFonts w:hint="eastAsia" w:ascii="Arial" w:hAnsi="Arial" w:eastAsia="宋体" w:cs="Arial"/>
                <w:b/>
                <w:bCs/>
                <w:i w:val="0"/>
                <w:iCs w:val="0"/>
                <w:color w:val="auto"/>
                <w:kern w:val="0"/>
                <w:sz w:val="22"/>
                <w:szCs w:val="22"/>
                <w:u w:val="none"/>
                <w:lang w:val="en-US" w:eastAsia="zh-CN" w:bidi="ar"/>
              </w:rPr>
              <w:t>前</w:t>
            </w:r>
            <w:r>
              <w:rPr>
                <w:rFonts w:hint="default" w:ascii="Arial" w:hAnsi="Arial" w:eastAsia="宋体" w:cs="Arial"/>
                <w:b/>
                <w:bCs/>
                <w:i w:val="0"/>
                <w:iCs w:val="0"/>
                <w:color w:val="auto"/>
                <w:kern w:val="0"/>
                <w:sz w:val="22"/>
                <w:szCs w:val="22"/>
                <w:u w:val="none"/>
                <w:lang w:val="en-US" w:eastAsia="zh-CN" w:bidi="ar"/>
              </w:rPr>
              <w:t>近3个月</w:t>
            </w:r>
            <w:r>
              <w:rPr>
                <w:rFonts w:hint="default" w:ascii="Arial" w:hAnsi="Arial" w:eastAsia="宋体" w:cs="Arial"/>
                <w:b/>
                <w:bCs/>
                <w:i w:val="0"/>
                <w:iCs w:val="0"/>
                <w:color w:val="auto"/>
                <w:kern w:val="0"/>
                <w:sz w:val="22"/>
                <w:szCs w:val="22"/>
                <w:u w:val="none"/>
                <w:lang w:val="en-US" w:eastAsia="zh-CN" w:bidi="ar"/>
              </w:rPr>
              <w:t>项目负责人</w:t>
            </w:r>
            <w:r>
              <w:rPr>
                <w:rFonts w:hint="default" w:ascii="Arial" w:hAnsi="Arial" w:eastAsia="宋体" w:cs="Arial"/>
                <w:b/>
                <w:bCs/>
                <w:i w:val="0"/>
                <w:iCs w:val="0"/>
                <w:color w:val="auto"/>
                <w:kern w:val="0"/>
                <w:sz w:val="22"/>
                <w:szCs w:val="22"/>
                <w:u w:val="none"/>
                <w:lang w:val="en-US" w:eastAsia="zh-CN" w:bidi="ar"/>
              </w:rPr>
              <w:t>在投标人单位的社保缴纳记录复印件</w:t>
            </w:r>
            <w:r>
              <w:rPr>
                <w:rFonts w:hint="default" w:ascii="Arial" w:hAnsi="Arial" w:eastAsia="宋体" w:cs="Arial"/>
                <w:b/>
                <w:bCs/>
                <w:i w:val="0"/>
                <w:iCs w:val="0"/>
                <w:color w:val="auto"/>
                <w:kern w:val="0"/>
                <w:sz w:val="22"/>
                <w:szCs w:val="22"/>
                <w:u w:val="none"/>
                <w:lang w:val="en-US" w:eastAsia="zh-CN" w:bidi="ar"/>
              </w:rPr>
              <w:t>，否则不得分</w:t>
            </w:r>
            <w:r>
              <w:rPr>
                <w:rFonts w:hint="default" w:ascii="Arial" w:hAnsi="Arial" w:eastAsia="宋体" w:cs="Arial"/>
                <w:b/>
                <w:bCs/>
                <w:i w:val="0"/>
                <w:iCs w:val="0"/>
                <w:color w:val="auto"/>
                <w:kern w:val="0"/>
                <w:sz w:val="22"/>
                <w:szCs w:val="22"/>
                <w:u w:val="none"/>
                <w:lang w:val="en-US" w:eastAsia="zh-CN" w:bidi="ar"/>
              </w:rPr>
              <w:t>。若联合体参加投标的证书为联合体牵头人提供。</w:t>
            </w:r>
          </w:p>
        </w:tc>
        <w:tc>
          <w:tcPr>
            <w:tcW w:w="510" w:type="dxa"/>
            <w:tcBorders>
              <w:tl2br w:val="nil"/>
              <w:tr2bl w:val="nil"/>
            </w:tcBorders>
            <w:shd w:val="clear" w:color="auto" w:fill="FFFFFF"/>
            <w:noWrap w:val="0"/>
            <w:vAlign w:val="center"/>
          </w:tcPr>
          <w:p w14:paraId="0D1DAAA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35CECF4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2E1455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continue"/>
            <w:tcBorders>
              <w:tl2br w:val="nil"/>
              <w:tr2bl w:val="nil"/>
            </w:tcBorders>
            <w:shd w:val="clear" w:color="auto" w:fill="FFFFFF"/>
            <w:noWrap w:val="0"/>
            <w:vAlign w:val="center"/>
          </w:tcPr>
          <w:p w14:paraId="28FDE424">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00"/>
            <w:noWrap w:val="0"/>
            <w:vAlign w:val="center"/>
          </w:tcPr>
          <w:p w14:paraId="65226C26">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0BA21CF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19.</w:t>
            </w:r>
            <w:r>
              <w:rPr>
                <w:rFonts w:hint="default" w:ascii="Arial" w:hAnsi="Arial" w:eastAsia="宋体" w:cs="Arial"/>
                <w:i w:val="0"/>
                <w:iCs w:val="0"/>
                <w:color w:val="auto"/>
                <w:kern w:val="0"/>
                <w:sz w:val="22"/>
                <w:szCs w:val="22"/>
                <w:u w:val="none"/>
                <w:lang w:val="en-US" w:eastAsia="zh-CN" w:bidi="ar"/>
              </w:rPr>
              <w:t>项目团队的技术负责人需具备丰富的相关管理经验，同时满足以下条件：</w:t>
            </w:r>
          </w:p>
          <w:p w14:paraId="0012029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1）具有信息技术（系统集成）专业的高级工程师证书。</w:t>
            </w:r>
          </w:p>
          <w:p w14:paraId="4AE39F2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2）具有网络工程师证书（计算机技术与软件专业技术资格考试）。</w:t>
            </w:r>
          </w:p>
          <w:p w14:paraId="7D3934C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3）具有系统集成项目管理工程师证书。（计算机技术与软件专业技术资格考试）。</w:t>
            </w:r>
          </w:p>
          <w:p w14:paraId="4FF35A4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4）</w:t>
            </w:r>
            <w:r>
              <w:rPr>
                <w:rFonts w:hint="default" w:ascii="Arial" w:hAnsi="Arial" w:eastAsia="宋体" w:cs="Arial"/>
                <w:i w:val="0"/>
                <w:iCs w:val="0"/>
                <w:color w:val="auto"/>
                <w:kern w:val="0"/>
                <w:sz w:val="22"/>
                <w:szCs w:val="22"/>
                <w:u w:val="none"/>
                <w:lang w:val="en-US" w:eastAsia="zh-CN" w:bidi="ar"/>
              </w:rPr>
              <w:t>具有注册信息安全工程师（CISE）。</w:t>
            </w:r>
          </w:p>
          <w:p w14:paraId="50B00D8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eastAsia" w:ascii="Arial" w:hAnsi="Arial" w:eastAsia="宋体" w:cs="Arial"/>
                <w:b/>
                <w:bCs/>
                <w:i w:val="0"/>
                <w:iCs w:val="0"/>
                <w:color w:val="auto"/>
                <w:kern w:val="0"/>
                <w:sz w:val="22"/>
                <w:szCs w:val="22"/>
                <w:u w:val="none"/>
                <w:lang w:val="en-US" w:eastAsia="zh-CN" w:bidi="ar"/>
              </w:rPr>
              <w:t>注：上述证书</w:t>
            </w:r>
            <w:r>
              <w:rPr>
                <w:rFonts w:hint="default" w:ascii="Arial" w:hAnsi="Arial" w:eastAsia="宋体" w:cs="Arial"/>
                <w:b/>
                <w:bCs/>
                <w:i w:val="0"/>
                <w:iCs w:val="0"/>
                <w:color w:val="auto"/>
                <w:kern w:val="0"/>
                <w:sz w:val="22"/>
                <w:szCs w:val="22"/>
                <w:u w:val="none"/>
                <w:lang w:val="en-US" w:eastAsia="zh-CN" w:bidi="ar"/>
              </w:rPr>
              <w:t>须同一个人具备以上条件，满足一条得0.5分，其他不得分。</w:t>
            </w:r>
            <w:r>
              <w:rPr>
                <w:rFonts w:hint="eastAsia" w:ascii="Arial" w:hAnsi="Arial" w:eastAsia="宋体" w:cs="Arial"/>
                <w:b/>
                <w:bCs/>
                <w:i w:val="0"/>
                <w:iCs w:val="0"/>
                <w:color w:val="auto"/>
                <w:kern w:val="0"/>
                <w:sz w:val="22"/>
                <w:szCs w:val="22"/>
                <w:u w:val="none"/>
                <w:lang w:val="en-US" w:eastAsia="zh-CN" w:bidi="ar"/>
              </w:rPr>
              <w:t>本项最高得2分。</w:t>
            </w:r>
          </w:p>
          <w:p w14:paraId="281C025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Arial" w:hAnsi="Arial" w:eastAsia="宋体" w:cs="Arial"/>
                <w:b/>
                <w:bCs/>
                <w:i w:val="0"/>
                <w:iCs w:val="0"/>
                <w:color w:val="auto"/>
                <w:kern w:val="0"/>
                <w:sz w:val="22"/>
                <w:szCs w:val="22"/>
                <w:u w:val="none"/>
                <w:lang w:val="en-US" w:eastAsia="zh-CN" w:bidi="ar"/>
              </w:rPr>
              <w:t>技术商务文件中附</w:t>
            </w:r>
            <w:r>
              <w:rPr>
                <w:rFonts w:hint="eastAsia" w:ascii="Arial" w:hAnsi="Arial" w:eastAsia="宋体" w:cs="Arial"/>
                <w:b/>
                <w:bCs/>
                <w:i w:val="0"/>
                <w:iCs w:val="0"/>
                <w:color w:val="auto"/>
                <w:kern w:val="0"/>
                <w:sz w:val="22"/>
                <w:szCs w:val="22"/>
                <w:u w:val="none"/>
                <w:lang w:val="en-US" w:eastAsia="zh-CN" w:bidi="ar"/>
              </w:rPr>
              <w:t>上述</w:t>
            </w:r>
            <w:r>
              <w:rPr>
                <w:rFonts w:hint="eastAsia" w:ascii="Arial" w:hAnsi="Arial" w:eastAsia="宋体" w:cs="Arial"/>
                <w:b/>
                <w:bCs/>
                <w:i w:val="0"/>
                <w:iCs w:val="0"/>
                <w:color w:val="auto"/>
                <w:kern w:val="0"/>
                <w:sz w:val="22"/>
                <w:szCs w:val="22"/>
                <w:u w:val="none"/>
                <w:lang w:val="en-US" w:eastAsia="zh-CN" w:bidi="ar"/>
              </w:rPr>
              <w:t>证书复印件</w:t>
            </w:r>
            <w:r>
              <w:rPr>
                <w:rFonts w:hint="default" w:ascii="Arial" w:hAnsi="Arial" w:eastAsia="宋体" w:cs="Arial"/>
                <w:b/>
                <w:bCs/>
                <w:i w:val="0"/>
                <w:iCs w:val="0"/>
                <w:color w:val="auto"/>
                <w:kern w:val="0"/>
                <w:sz w:val="22"/>
                <w:szCs w:val="22"/>
                <w:u w:val="none"/>
                <w:lang w:val="en-US" w:eastAsia="zh-CN" w:bidi="ar"/>
              </w:rPr>
              <w:t>、</w:t>
            </w:r>
            <w:r>
              <w:rPr>
                <w:rFonts w:hint="eastAsia" w:ascii="Arial" w:hAnsi="Arial" w:eastAsia="宋体" w:cs="Arial"/>
                <w:b/>
                <w:bCs/>
                <w:i w:val="0"/>
                <w:iCs w:val="0"/>
                <w:color w:val="auto"/>
                <w:kern w:val="0"/>
                <w:sz w:val="22"/>
                <w:szCs w:val="22"/>
                <w:u w:val="none"/>
                <w:lang w:val="en-US" w:eastAsia="zh-CN" w:bidi="ar"/>
              </w:rPr>
              <w:t>开标前</w:t>
            </w:r>
            <w:r>
              <w:rPr>
                <w:rFonts w:hint="default" w:ascii="Arial" w:hAnsi="Arial" w:eastAsia="宋体" w:cs="Arial"/>
                <w:b/>
                <w:bCs/>
                <w:i w:val="0"/>
                <w:iCs w:val="0"/>
                <w:color w:val="auto"/>
                <w:kern w:val="0"/>
                <w:sz w:val="22"/>
                <w:szCs w:val="22"/>
                <w:u w:val="none"/>
                <w:lang w:val="en-US" w:eastAsia="zh-CN" w:bidi="ar"/>
              </w:rPr>
              <w:t>近3个月</w:t>
            </w:r>
            <w:r>
              <w:rPr>
                <w:rFonts w:hint="default" w:ascii="Arial" w:hAnsi="Arial" w:eastAsia="宋体" w:cs="Arial"/>
                <w:b/>
                <w:bCs/>
                <w:i w:val="0"/>
                <w:iCs w:val="0"/>
                <w:color w:val="auto"/>
                <w:kern w:val="0"/>
                <w:sz w:val="22"/>
                <w:szCs w:val="22"/>
                <w:u w:val="none"/>
                <w:lang w:val="en-US" w:eastAsia="zh-CN" w:bidi="ar"/>
              </w:rPr>
              <w:t>项目</w:t>
            </w:r>
            <w:r>
              <w:rPr>
                <w:rFonts w:hint="eastAsia" w:ascii="Arial" w:hAnsi="Arial" w:eastAsia="宋体" w:cs="Arial"/>
                <w:b/>
                <w:bCs/>
                <w:i w:val="0"/>
                <w:iCs w:val="0"/>
                <w:color w:val="auto"/>
                <w:kern w:val="0"/>
                <w:sz w:val="22"/>
                <w:szCs w:val="22"/>
                <w:u w:val="none"/>
                <w:lang w:val="en-US" w:eastAsia="zh-CN" w:bidi="ar"/>
              </w:rPr>
              <w:t>技术</w:t>
            </w:r>
            <w:r>
              <w:rPr>
                <w:rFonts w:hint="default" w:ascii="Arial" w:hAnsi="Arial" w:eastAsia="宋体" w:cs="Arial"/>
                <w:b/>
                <w:bCs/>
                <w:i w:val="0"/>
                <w:iCs w:val="0"/>
                <w:color w:val="auto"/>
                <w:kern w:val="0"/>
                <w:sz w:val="22"/>
                <w:szCs w:val="22"/>
                <w:u w:val="none"/>
                <w:lang w:val="en-US" w:eastAsia="zh-CN" w:bidi="ar"/>
              </w:rPr>
              <w:t>负责人</w:t>
            </w:r>
            <w:r>
              <w:rPr>
                <w:rFonts w:hint="default" w:ascii="Arial" w:hAnsi="Arial" w:eastAsia="宋体" w:cs="Arial"/>
                <w:b/>
                <w:bCs/>
                <w:i w:val="0"/>
                <w:iCs w:val="0"/>
                <w:color w:val="auto"/>
                <w:kern w:val="0"/>
                <w:sz w:val="22"/>
                <w:szCs w:val="22"/>
                <w:u w:val="none"/>
                <w:lang w:val="en-US" w:eastAsia="zh-CN" w:bidi="ar"/>
              </w:rPr>
              <w:t>在投标人单位的社保缴纳记录复印件</w:t>
            </w:r>
            <w:r>
              <w:rPr>
                <w:rFonts w:hint="default" w:ascii="Arial" w:hAnsi="Arial" w:eastAsia="宋体" w:cs="Arial"/>
                <w:b/>
                <w:bCs/>
                <w:i w:val="0"/>
                <w:iCs w:val="0"/>
                <w:color w:val="auto"/>
                <w:kern w:val="0"/>
                <w:sz w:val="22"/>
                <w:szCs w:val="22"/>
                <w:u w:val="none"/>
                <w:lang w:val="en-US" w:eastAsia="zh-CN" w:bidi="ar"/>
              </w:rPr>
              <w:t>，否则不得分</w:t>
            </w:r>
            <w:r>
              <w:rPr>
                <w:rFonts w:hint="default" w:ascii="Arial" w:hAnsi="Arial" w:eastAsia="宋体" w:cs="Arial"/>
                <w:b/>
                <w:bCs/>
                <w:i w:val="0"/>
                <w:iCs w:val="0"/>
                <w:color w:val="auto"/>
                <w:kern w:val="0"/>
                <w:sz w:val="22"/>
                <w:szCs w:val="22"/>
                <w:u w:val="none"/>
                <w:lang w:val="en-US" w:eastAsia="zh-CN" w:bidi="ar"/>
              </w:rPr>
              <w:t>。项目负责人和技术负责人不能为同一人</w:t>
            </w:r>
            <w:r>
              <w:rPr>
                <w:rFonts w:hint="eastAsia" w:ascii="Arial" w:hAnsi="Arial" w:eastAsia="宋体" w:cs="Arial"/>
                <w:b/>
                <w:bCs/>
                <w:i w:val="0"/>
                <w:iCs w:val="0"/>
                <w:color w:val="auto"/>
                <w:kern w:val="0"/>
                <w:sz w:val="22"/>
                <w:szCs w:val="22"/>
                <w:u w:val="none"/>
                <w:lang w:val="en-US" w:eastAsia="zh-CN" w:bidi="ar"/>
              </w:rPr>
              <w:t>，</w:t>
            </w:r>
            <w:r>
              <w:rPr>
                <w:rFonts w:hint="default" w:ascii="Arial" w:hAnsi="Arial" w:eastAsia="宋体" w:cs="Arial"/>
                <w:b/>
                <w:bCs/>
                <w:i w:val="0"/>
                <w:iCs w:val="0"/>
                <w:color w:val="auto"/>
                <w:kern w:val="0"/>
                <w:sz w:val="22"/>
                <w:szCs w:val="22"/>
                <w:u w:val="none"/>
                <w:lang w:val="en-US" w:eastAsia="zh-CN" w:bidi="ar"/>
              </w:rPr>
              <w:t>否则不得分。若联合体参加投标的证书为联合体牵头人提供。</w:t>
            </w:r>
          </w:p>
        </w:tc>
        <w:tc>
          <w:tcPr>
            <w:tcW w:w="510" w:type="dxa"/>
            <w:tcBorders>
              <w:tl2br w:val="nil"/>
              <w:tr2bl w:val="nil"/>
            </w:tcBorders>
            <w:shd w:val="clear" w:color="auto" w:fill="FFFFFF"/>
            <w:noWrap w:val="0"/>
            <w:vAlign w:val="center"/>
          </w:tcPr>
          <w:p w14:paraId="0C52A21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4F76BAA3">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05E3B2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continue"/>
            <w:tcBorders>
              <w:tl2br w:val="nil"/>
              <w:tr2bl w:val="nil"/>
            </w:tcBorders>
            <w:shd w:val="clear" w:color="auto" w:fill="FFFFFF"/>
            <w:noWrap w:val="0"/>
            <w:vAlign w:val="center"/>
          </w:tcPr>
          <w:p w14:paraId="5E3CCC3D">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00"/>
            <w:noWrap w:val="0"/>
            <w:vAlign w:val="center"/>
          </w:tcPr>
          <w:p w14:paraId="7474F56E">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2C3310F2">
            <w:pPr>
              <w:keepNext w:val="0"/>
              <w:keepLines w:val="0"/>
              <w:pageBreakBefore w:val="0"/>
              <w:widowControl/>
              <w:numPr>
                <w:ilvl w:val="0"/>
                <w:numId w:val="410"/>
              </w:numPr>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eastAsia="zh-CN" w:bidi="ar"/>
              </w:rPr>
            </w:pPr>
            <w:r>
              <w:rPr>
                <w:rFonts w:hint="default" w:ascii="Arial" w:hAnsi="Arial" w:eastAsia="宋体" w:cs="Arial"/>
                <w:i w:val="0"/>
                <w:iCs w:val="0"/>
                <w:color w:val="auto"/>
                <w:kern w:val="0"/>
                <w:sz w:val="22"/>
                <w:szCs w:val="22"/>
                <w:u w:val="none"/>
                <w:lang w:val="en-US" w:eastAsia="zh-CN" w:bidi="ar"/>
              </w:rPr>
              <w:t>项目团队成员（除项目经理、技术负责人外）</w:t>
            </w:r>
            <w:r>
              <w:rPr>
                <w:rFonts w:hint="default" w:ascii="Arial" w:hAnsi="Arial" w:eastAsia="宋体" w:cs="Arial"/>
                <w:i w:val="0"/>
                <w:iCs w:val="0"/>
                <w:color w:val="auto"/>
                <w:kern w:val="0"/>
                <w:sz w:val="22"/>
                <w:szCs w:val="22"/>
                <w:u w:val="none"/>
                <w:lang w:eastAsia="zh-CN" w:bidi="ar"/>
              </w:rPr>
              <w:t>配备：</w:t>
            </w:r>
          </w:p>
          <w:p w14:paraId="1C6F2CDE">
            <w:pPr>
              <w:keepNext w:val="0"/>
              <w:keepLines w:val="0"/>
              <w:pageBreakBefore w:val="0"/>
              <w:widowControl/>
              <w:numPr>
                <w:ilvl w:val="0"/>
                <w:numId w:val="0"/>
              </w:numPr>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eastAsia="zh-CN" w:bidi="ar"/>
              </w:rPr>
              <w:t>20.1</w:t>
            </w:r>
            <w:r>
              <w:rPr>
                <w:rFonts w:hint="default" w:ascii="Arial" w:hAnsi="Arial" w:eastAsia="宋体" w:cs="Arial"/>
                <w:i w:val="0"/>
                <w:iCs w:val="0"/>
                <w:color w:val="auto"/>
                <w:kern w:val="0"/>
                <w:sz w:val="22"/>
                <w:szCs w:val="22"/>
                <w:u w:val="none"/>
                <w:lang w:val="en-US" w:eastAsia="zh-CN" w:bidi="ar"/>
              </w:rPr>
              <w:t>具备系统分析师（高级）、系统架构设计师（高级）、系统集成项目管理工程师（中级）、注册信息安全专业人员、信息系统项目管理师（高级）、软件设计师（中级），全部满足得1分，每有一个证书不满足扣0.25分，扣完为止。</w:t>
            </w:r>
            <w:r>
              <w:rPr>
                <w:rFonts w:hint="eastAsia" w:ascii="Arial" w:hAnsi="Arial" w:eastAsia="宋体" w:cs="Arial"/>
                <w:i w:val="0"/>
                <w:iCs w:val="0"/>
                <w:color w:val="auto"/>
                <w:kern w:val="0"/>
                <w:sz w:val="22"/>
                <w:szCs w:val="22"/>
                <w:u w:val="none"/>
                <w:lang w:val="en-US" w:eastAsia="zh-CN" w:bidi="ar"/>
              </w:rPr>
              <w:t>本项最高得1分。</w:t>
            </w:r>
            <w:r>
              <w:rPr>
                <w:rFonts w:hint="default" w:ascii="Arial" w:hAnsi="Arial" w:eastAsia="宋体" w:cs="Arial"/>
                <w:i w:val="0"/>
                <w:iCs w:val="0"/>
                <w:color w:val="auto"/>
                <w:kern w:val="0"/>
                <w:sz w:val="22"/>
                <w:szCs w:val="22"/>
                <w:u w:val="none"/>
                <w:lang w:val="en-US" w:eastAsia="zh-CN" w:bidi="ar"/>
              </w:rPr>
              <w:t>（以上要求中提供多个同类证</w:t>
            </w:r>
            <w:r>
              <w:rPr>
                <w:rFonts w:hint="eastAsia" w:ascii="Arial" w:hAnsi="Arial" w:eastAsia="宋体" w:cs="Arial"/>
                <w:i w:val="0"/>
                <w:iCs w:val="0"/>
                <w:color w:val="auto"/>
                <w:kern w:val="0"/>
                <w:sz w:val="22"/>
                <w:szCs w:val="22"/>
                <w:u w:val="none"/>
                <w:lang w:val="en-US" w:eastAsia="zh-CN" w:bidi="ar"/>
              </w:rPr>
              <w:t>书</w:t>
            </w:r>
            <w:r>
              <w:rPr>
                <w:rFonts w:hint="default" w:ascii="Arial" w:hAnsi="Arial" w:eastAsia="宋体" w:cs="Arial"/>
                <w:i w:val="0"/>
                <w:iCs w:val="0"/>
                <w:color w:val="auto"/>
                <w:kern w:val="0"/>
                <w:sz w:val="22"/>
                <w:szCs w:val="22"/>
                <w:u w:val="none"/>
                <w:lang w:val="en-US" w:eastAsia="zh-CN" w:bidi="ar"/>
              </w:rPr>
              <w:t>只计1次；同一个人具备以上要求的多个</w:t>
            </w:r>
            <w:r>
              <w:rPr>
                <w:rFonts w:hint="default" w:ascii="Arial" w:hAnsi="Arial" w:eastAsia="宋体" w:cs="Arial"/>
                <w:i w:val="0"/>
                <w:iCs w:val="0"/>
                <w:color w:val="auto"/>
                <w:kern w:val="0"/>
                <w:sz w:val="22"/>
                <w:szCs w:val="22"/>
                <w:u w:val="none"/>
                <w:lang w:val="en-US" w:eastAsia="zh-CN" w:bidi="ar"/>
              </w:rPr>
              <w:t>证书</w:t>
            </w:r>
            <w:r>
              <w:rPr>
                <w:rFonts w:hint="default" w:ascii="Arial" w:hAnsi="Arial" w:eastAsia="宋体" w:cs="Arial"/>
                <w:i w:val="0"/>
                <w:iCs w:val="0"/>
                <w:color w:val="auto"/>
                <w:kern w:val="0"/>
                <w:sz w:val="22"/>
                <w:szCs w:val="22"/>
                <w:u w:val="none"/>
                <w:lang w:val="en-US" w:eastAsia="zh-CN" w:bidi="ar"/>
              </w:rPr>
              <w:t>的只计1次）。</w:t>
            </w:r>
          </w:p>
          <w:p w14:paraId="355717A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eastAsia" w:ascii="Arial" w:hAnsi="Arial" w:eastAsia="宋体" w:cs="Arial"/>
                <w:b/>
                <w:bCs/>
                <w:i w:val="0"/>
                <w:iCs w:val="0"/>
                <w:color w:val="auto"/>
                <w:kern w:val="0"/>
                <w:sz w:val="22"/>
                <w:szCs w:val="22"/>
                <w:u w:val="none"/>
                <w:lang w:val="en-US" w:eastAsia="zh-CN" w:bidi="ar"/>
              </w:rPr>
              <w:t>注：技术商务文件中附</w:t>
            </w:r>
            <w:r>
              <w:rPr>
                <w:rFonts w:hint="eastAsia" w:ascii="Arial" w:hAnsi="Arial" w:eastAsia="宋体" w:cs="Arial"/>
                <w:b/>
                <w:bCs/>
                <w:i w:val="0"/>
                <w:iCs w:val="0"/>
                <w:color w:val="auto"/>
                <w:kern w:val="0"/>
                <w:sz w:val="22"/>
                <w:szCs w:val="22"/>
                <w:u w:val="none"/>
                <w:lang w:val="en-US" w:eastAsia="zh-CN" w:bidi="ar"/>
              </w:rPr>
              <w:t>上述</w:t>
            </w:r>
            <w:r>
              <w:rPr>
                <w:rFonts w:hint="default" w:ascii="Arial" w:hAnsi="Arial" w:eastAsia="宋体" w:cs="Arial"/>
                <w:b/>
                <w:bCs/>
                <w:i w:val="0"/>
                <w:iCs w:val="0"/>
                <w:color w:val="auto"/>
                <w:kern w:val="0"/>
                <w:sz w:val="22"/>
                <w:szCs w:val="22"/>
                <w:u w:val="none"/>
                <w:lang w:val="en-US" w:eastAsia="zh-CN" w:bidi="ar"/>
              </w:rPr>
              <w:t>证书复印件、近3个月</w:t>
            </w:r>
            <w:r>
              <w:rPr>
                <w:rFonts w:hint="eastAsia" w:ascii="Arial" w:hAnsi="Arial" w:eastAsia="宋体" w:cs="Arial"/>
                <w:b/>
                <w:bCs/>
                <w:i w:val="0"/>
                <w:iCs w:val="0"/>
                <w:color w:val="auto"/>
                <w:kern w:val="0"/>
                <w:sz w:val="22"/>
                <w:szCs w:val="22"/>
                <w:u w:val="none"/>
                <w:lang w:val="en-US" w:eastAsia="zh-CN" w:bidi="ar"/>
              </w:rPr>
              <w:t>上述团队成员</w:t>
            </w:r>
            <w:r>
              <w:rPr>
                <w:rFonts w:hint="default" w:ascii="Arial" w:hAnsi="Arial" w:eastAsia="宋体" w:cs="Arial"/>
                <w:b/>
                <w:bCs/>
                <w:i w:val="0"/>
                <w:iCs w:val="0"/>
                <w:color w:val="auto"/>
                <w:kern w:val="0"/>
                <w:sz w:val="22"/>
                <w:szCs w:val="22"/>
                <w:u w:val="none"/>
                <w:lang w:val="en-US" w:eastAsia="zh-CN" w:bidi="ar"/>
              </w:rPr>
              <w:t>在投标人单位的社保缴纳记录复印件，否则不得分。若联合体参加投标的，联合体任意一方具备上述证书即可。</w:t>
            </w:r>
          </w:p>
          <w:p w14:paraId="2AD18B71">
            <w:pPr>
              <w:keepNext w:val="0"/>
              <w:keepLines w:val="0"/>
              <w:pageBreakBefore w:val="0"/>
              <w:widowControl/>
              <w:numPr>
                <w:ilvl w:val="0"/>
                <w:numId w:val="0"/>
              </w:numPr>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default" w:ascii="Arial" w:hAnsi="Arial" w:eastAsia="宋体" w:cs="Arial"/>
                <w:i w:val="0"/>
                <w:iCs w:val="0"/>
                <w:color w:val="auto"/>
                <w:kern w:val="0"/>
                <w:sz w:val="22"/>
                <w:szCs w:val="22"/>
                <w:u w:val="none"/>
                <w:lang w:val="en-US" w:eastAsia="zh-CN" w:bidi="ar"/>
              </w:rPr>
              <w:t>20.2</w:t>
            </w:r>
            <w:r>
              <w:rPr>
                <w:rFonts w:hint="eastAsia" w:ascii="宋体" w:hAnsi="宋体" w:eastAsia="宋体" w:cs="宋体"/>
                <w:color w:val="auto"/>
                <w:kern w:val="0"/>
                <w:sz w:val="22"/>
                <w:szCs w:val="22"/>
              </w:rPr>
              <w:t>项目团队成员具备参与过由国家标准化管理委员会发布的卫生或软件信息技术行业信息化标准、规范、指南等编制工作的经验。每一位有经验的人员，得0.25分，</w:t>
            </w:r>
            <w:r>
              <w:rPr>
                <w:rFonts w:hint="eastAsia" w:ascii="宋体" w:hAnsi="宋体" w:eastAsia="宋体" w:cs="宋体"/>
                <w:color w:val="auto"/>
                <w:kern w:val="0"/>
                <w:sz w:val="22"/>
                <w:szCs w:val="22"/>
                <w:lang w:eastAsia="zh-CN"/>
              </w:rPr>
              <w:t>本项</w:t>
            </w:r>
            <w:r>
              <w:rPr>
                <w:rFonts w:hint="eastAsia" w:ascii="宋体" w:hAnsi="宋体" w:eastAsia="宋体" w:cs="宋体"/>
                <w:color w:val="auto"/>
                <w:kern w:val="0"/>
                <w:sz w:val="22"/>
                <w:szCs w:val="22"/>
              </w:rPr>
              <w:t>最高得1分。 （一人拥有多个经验证明的只计分1次）</w:t>
            </w:r>
          </w:p>
          <w:p w14:paraId="07F426F8">
            <w:pPr>
              <w:keepNext w:val="0"/>
              <w:keepLines w:val="0"/>
              <w:pageBreakBefore w:val="0"/>
              <w:widowControl/>
              <w:numPr>
                <w:ilvl w:val="0"/>
                <w:numId w:val="0"/>
              </w:numPr>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b/>
                <w:bCs/>
                <w:color w:val="auto"/>
                <w:kern w:val="0"/>
                <w:sz w:val="22"/>
                <w:szCs w:val="22"/>
              </w:rPr>
            </w:pPr>
            <w:r>
              <w:rPr>
                <w:rFonts w:hint="eastAsia" w:ascii="Arial" w:hAnsi="Arial" w:eastAsia="宋体" w:cs="Arial"/>
                <w:b/>
                <w:bCs/>
                <w:i w:val="0"/>
                <w:iCs w:val="0"/>
                <w:color w:val="auto"/>
                <w:kern w:val="0"/>
                <w:sz w:val="22"/>
                <w:szCs w:val="22"/>
                <w:u w:val="none"/>
                <w:lang w:val="en-US" w:eastAsia="zh-CN" w:bidi="ar"/>
              </w:rPr>
              <w:t>注：技术商务文件中附</w:t>
            </w:r>
            <w:r>
              <w:rPr>
                <w:rFonts w:hint="eastAsia" w:ascii="宋体" w:hAnsi="宋体" w:eastAsia="宋体" w:cs="宋体"/>
                <w:b/>
                <w:bCs/>
                <w:color w:val="auto"/>
                <w:kern w:val="0"/>
                <w:sz w:val="22"/>
                <w:szCs w:val="22"/>
              </w:rPr>
              <w:t>发布的标准（以标准中主要起草人名单作为证明），否则不得分。</w:t>
            </w:r>
          </w:p>
          <w:p w14:paraId="123DDE3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宋体" w:hAnsi="宋体" w:eastAsia="宋体" w:cs="宋体"/>
                <w:b/>
                <w:bCs/>
                <w:color w:val="auto"/>
                <w:kern w:val="0"/>
                <w:sz w:val="22"/>
                <w:szCs w:val="22"/>
                <w:lang w:eastAsia="zh-CN"/>
              </w:rPr>
            </w:pPr>
            <w:r>
              <w:rPr>
                <w:rFonts w:hint="default" w:ascii="Arial" w:hAnsi="Arial" w:eastAsia="宋体" w:cs="Arial"/>
                <w:b/>
                <w:bCs/>
                <w:i w:val="0"/>
                <w:iCs w:val="0"/>
                <w:color w:val="auto"/>
                <w:kern w:val="0"/>
                <w:sz w:val="22"/>
                <w:szCs w:val="22"/>
                <w:u w:val="none"/>
                <w:lang w:val="en-US" w:eastAsia="zh-CN" w:bidi="ar"/>
              </w:rPr>
              <w:t>若联合体参加投标的，联合体任意一方具备上述证书即可。</w:t>
            </w:r>
          </w:p>
        </w:tc>
        <w:tc>
          <w:tcPr>
            <w:tcW w:w="510" w:type="dxa"/>
            <w:tcBorders>
              <w:tl2br w:val="nil"/>
              <w:tr2bl w:val="nil"/>
            </w:tcBorders>
            <w:shd w:val="clear" w:color="auto" w:fill="FFFFFF"/>
            <w:noWrap w:val="0"/>
            <w:vAlign w:val="center"/>
          </w:tcPr>
          <w:p w14:paraId="251D3C21">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eastAsia"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7684359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客观分</w:t>
            </w:r>
          </w:p>
        </w:tc>
      </w:tr>
      <w:tr w14:paraId="4AE7FF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continue"/>
            <w:tcBorders>
              <w:tl2br w:val="nil"/>
              <w:tr2bl w:val="nil"/>
            </w:tcBorders>
            <w:shd w:val="clear" w:color="auto" w:fill="FFFFFF"/>
            <w:noWrap w:val="0"/>
            <w:vAlign w:val="center"/>
          </w:tcPr>
          <w:p w14:paraId="039EE715">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tcBorders>
              <w:tl2br w:val="nil"/>
              <w:tr2bl w:val="nil"/>
            </w:tcBorders>
            <w:noWrap w:val="0"/>
            <w:vAlign w:val="center"/>
          </w:tcPr>
          <w:p w14:paraId="68BE162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项目集成实施方案</w:t>
            </w:r>
            <w:r>
              <w:rPr>
                <w:rFonts w:hint="default" w:ascii="Arial" w:hAnsi="Arial" w:eastAsia="宋体" w:cs="Arial"/>
                <w:i w:val="0"/>
                <w:iCs w:val="0"/>
                <w:color w:val="auto"/>
                <w:kern w:val="0"/>
                <w:sz w:val="22"/>
                <w:szCs w:val="22"/>
                <w:u w:val="none"/>
                <w:lang w:val="en-US" w:eastAsia="zh-CN" w:bidi="ar"/>
              </w:rPr>
              <w:t>（2分）</w:t>
            </w:r>
          </w:p>
        </w:tc>
        <w:tc>
          <w:tcPr>
            <w:tcW w:w="5770" w:type="dxa"/>
            <w:tcBorders>
              <w:tl2br w:val="nil"/>
              <w:tr2bl w:val="nil"/>
            </w:tcBorders>
            <w:noWrap w:val="0"/>
            <w:vAlign w:val="center"/>
          </w:tcPr>
          <w:p w14:paraId="7BDE966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rPr>
            </w:pPr>
            <w:r>
              <w:rPr>
                <w:rFonts w:hint="eastAsia" w:ascii="Arial" w:hAnsi="Arial" w:eastAsia="宋体" w:cs="Arial"/>
                <w:i w:val="0"/>
                <w:iCs w:val="0"/>
                <w:color w:val="auto"/>
                <w:kern w:val="0"/>
                <w:sz w:val="22"/>
                <w:szCs w:val="22"/>
                <w:u w:val="none"/>
                <w:lang w:val="en-US" w:eastAsia="zh-CN" w:bidi="ar"/>
              </w:rPr>
              <w:t>21.</w:t>
            </w:r>
            <w:r>
              <w:rPr>
                <w:rFonts w:hint="eastAsia" w:ascii="宋体" w:hAnsi="宋体" w:eastAsia="宋体" w:cs="宋体"/>
                <w:color w:val="auto"/>
                <w:kern w:val="0"/>
                <w:sz w:val="22"/>
                <w:szCs w:val="22"/>
              </w:rPr>
              <w:t>投标人需针对本项目提供项目集成实施方案，包含项目集成实施计划、项目集成管理、项目组织结构、设备安装调试、网络和安全系统集成，信创测试和联调、整体系统验收、文档管理、质量管理、进度管理、安全管理等内容，经专家审定综合评议：</w:t>
            </w:r>
          </w:p>
          <w:p w14:paraId="782F00C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方案全面完整，方案合理可行，与项目实际需求契合度高的得</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分；</w:t>
            </w:r>
          </w:p>
          <w:p w14:paraId="6CE62D31">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方案完整但不够全面，方案基本合理可行，基本符合项目需求得</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分；</w:t>
            </w:r>
          </w:p>
          <w:p w14:paraId="4022EFF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方案不够完整、方案欠合理、难以满足项目需求的得</w:t>
            </w:r>
            <w:r>
              <w:rPr>
                <w:rFonts w:hint="eastAsia" w:ascii="宋体" w:hAnsi="宋体" w:eastAsia="宋体" w:cs="宋体"/>
                <w:color w:val="auto"/>
                <w:kern w:val="0"/>
                <w:sz w:val="22"/>
                <w:szCs w:val="22"/>
                <w:lang w:val="en-US" w:eastAsia="zh-CN"/>
              </w:rPr>
              <w:t>0.5</w:t>
            </w:r>
            <w:r>
              <w:rPr>
                <w:rFonts w:hint="eastAsia" w:ascii="宋体" w:hAnsi="宋体" w:eastAsia="宋体" w:cs="宋体"/>
                <w:color w:val="auto"/>
                <w:kern w:val="0"/>
                <w:sz w:val="22"/>
                <w:szCs w:val="22"/>
              </w:rPr>
              <w:t>分；</w:t>
            </w:r>
          </w:p>
          <w:p w14:paraId="68E4A06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无相关内容不得分。</w:t>
            </w:r>
          </w:p>
        </w:tc>
        <w:tc>
          <w:tcPr>
            <w:tcW w:w="510" w:type="dxa"/>
            <w:tcBorders>
              <w:tl2br w:val="nil"/>
              <w:tr2bl w:val="nil"/>
            </w:tcBorders>
            <w:noWrap w:val="0"/>
            <w:vAlign w:val="center"/>
          </w:tcPr>
          <w:p w14:paraId="690167D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noWrap w:val="0"/>
            <w:vAlign w:val="center"/>
          </w:tcPr>
          <w:p w14:paraId="3B05AEB1">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7901AC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690" w:type="dxa"/>
            <w:vMerge w:val="continue"/>
            <w:tcBorders>
              <w:tl2br w:val="nil"/>
              <w:tr2bl w:val="nil"/>
            </w:tcBorders>
            <w:shd w:val="clear" w:color="auto" w:fill="FFFFFF"/>
            <w:noWrap w:val="0"/>
            <w:vAlign w:val="center"/>
          </w:tcPr>
          <w:p w14:paraId="68D6A54A">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restart"/>
            <w:tcBorders>
              <w:tl2br w:val="nil"/>
              <w:tr2bl w:val="nil"/>
            </w:tcBorders>
            <w:shd w:val="clear" w:color="auto" w:fill="FFFFFF"/>
            <w:noWrap w:val="0"/>
            <w:vAlign w:val="center"/>
          </w:tcPr>
          <w:p w14:paraId="06D40BC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售后服务能力（</w:t>
            </w:r>
            <w:r>
              <w:rPr>
                <w:rFonts w:hint="eastAsia" w:ascii="Arial" w:hAnsi="Arial" w:eastAsia="宋体" w:cs="Arial"/>
                <w:i w:val="0"/>
                <w:iCs w:val="0"/>
                <w:color w:val="auto"/>
                <w:kern w:val="0"/>
                <w:sz w:val="22"/>
                <w:szCs w:val="22"/>
                <w:u w:val="none"/>
                <w:lang w:val="en-US" w:eastAsia="zh-CN" w:bidi="ar"/>
              </w:rPr>
              <w:t>3</w:t>
            </w:r>
            <w:r>
              <w:rPr>
                <w:rFonts w:hint="default" w:ascii="Arial" w:hAnsi="Arial" w:eastAsia="宋体" w:cs="Arial"/>
                <w:i w:val="0"/>
                <w:iCs w:val="0"/>
                <w:color w:val="auto"/>
                <w:kern w:val="0"/>
                <w:sz w:val="22"/>
                <w:szCs w:val="22"/>
                <w:u w:val="none"/>
                <w:lang w:val="en-US" w:eastAsia="zh-CN" w:bidi="ar"/>
              </w:rPr>
              <w:t>分）</w:t>
            </w:r>
          </w:p>
        </w:tc>
        <w:tc>
          <w:tcPr>
            <w:tcW w:w="5770" w:type="dxa"/>
            <w:tcBorders>
              <w:tl2br w:val="nil"/>
              <w:tr2bl w:val="nil"/>
            </w:tcBorders>
            <w:shd w:val="clear" w:color="auto" w:fill="auto"/>
            <w:noWrap w:val="0"/>
            <w:vAlign w:val="center"/>
          </w:tcPr>
          <w:p w14:paraId="17665615">
            <w:pPr>
              <w:keepNext w:val="0"/>
              <w:keepLines w:val="0"/>
              <w:pageBreakBefore w:val="0"/>
              <w:widowControl/>
              <w:numPr>
                <w:ilvl w:val="0"/>
                <w:numId w:val="0"/>
              </w:numPr>
              <w:suppressLineNumbers w:val="0"/>
              <w:kinsoku/>
              <w:wordWrap/>
              <w:overflowPunct/>
              <w:topLinePunct w:val="0"/>
              <w:autoSpaceDE/>
              <w:autoSpaceDN/>
              <w:bidi w:val="0"/>
              <w:adjustRightInd/>
              <w:snapToGrid/>
              <w:spacing w:line="350" w:lineRule="exact"/>
              <w:ind w:leftChars="0"/>
              <w:jc w:val="left"/>
              <w:textAlignment w:val="center"/>
              <w:rPr>
                <w:rFonts w:hint="eastAsia"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22.</w:t>
            </w:r>
            <w:r>
              <w:rPr>
                <w:rFonts w:hint="default" w:ascii="Arial" w:hAnsi="Arial" w:eastAsia="宋体" w:cs="Arial"/>
                <w:i w:val="0"/>
                <w:iCs w:val="0"/>
                <w:color w:val="auto"/>
                <w:kern w:val="0"/>
                <w:sz w:val="22"/>
                <w:szCs w:val="22"/>
                <w:u w:val="none"/>
                <w:lang w:val="en-US" w:eastAsia="zh-CN" w:bidi="ar"/>
              </w:rPr>
              <w:t>售后服务能力</w:t>
            </w:r>
            <w:r>
              <w:rPr>
                <w:rFonts w:hint="eastAsia" w:ascii="Arial" w:hAnsi="Arial" w:eastAsia="宋体" w:cs="Arial"/>
                <w:i w:val="0"/>
                <w:iCs w:val="0"/>
                <w:color w:val="auto"/>
                <w:kern w:val="0"/>
                <w:sz w:val="22"/>
                <w:szCs w:val="22"/>
                <w:u w:val="none"/>
                <w:lang w:val="en-US" w:eastAsia="zh-CN" w:bidi="ar"/>
              </w:rPr>
              <w:t>：</w:t>
            </w:r>
          </w:p>
          <w:p w14:paraId="0D9168EA">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eastAsia" w:ascii="Arial" w:hAnsi="Arial" w:eastAsia="宋体" w:cs="Arial"/>
                <w:i w:val="0"/>
                <w:iCs w:val="0"/>
                <w:color w:val="auto"/>
                <w:kern w:val="0"/>
                <w:sz w:val="22"/>
                <w:szCs w:val="22"/>
                <w:u w:val="none"/>
                <w:lang w:val="en-US" w:eastAsia="zh-CN" w:bidi="ar"/>
              </w:rPr>
              <w:t>22.1</w:t>
            </w:r>
            <w:r>
              <w:rPr>
                <w:rFonts w:hint="default" w:ascii="Arial" w:hAnsi="Arial" w:eastAsia="宋体" w:cs="Arial"/>
                <w:i w:val="0"/>
                <w:iCs w:val="0"/>
                <w:color w:val="auto"/>
                <w:kern w:val="0"/>
                <w:sz w:val="22"/>
                <w:szCs w:val="22"/>
                <w:u w:val="none"/>
                <w:lang w:val="en-US" w:eastAsia="zh-CN" w:bidi="ar"/>
              </w:rPr>
              <w:t>投标人需针对本项目提供售后服务方案，包含售后服务响应时间</w:t>
            </w:r>
            <w:r>
              <w:rPr>
                <w:rFonts w:hint="default" w:ascii="Arial" w:hAnsi="Arial" w:eastAsia="宋体" w:cs="Arial"/>
                <w:i w:val="0"/>
                <w:iCs w:val="0"/>
                <w:color w:val="auto"/>
                <w:kern w:val="0"/>
                <w:sz w:val="22"/>
                <w:szCs w:val="22"/>
                <w:highlight w:val="none"/>
                <w:u w:val="none"/>
                <w:lang w:val="en-US" w:eastAsia="zh-CN" w:bidi="ar"/>
              </w:rPr>
              <w:t>、售后</w:t>
            </w:r>
            <w:r>
              <w:rPr>
                <w:rFonts w:hint="eastAsia" w:ascii="Arial" w:hAnsi="Arial" w:eastAsia="宋体" w:cs="Arial"/>
                <w:i w:val="0"/>
                <w:iCs w:val="0"/>
                <w:color w:val="auto"/>
                <w:kern w:val="0"/>
                <w:sz w:val="22"/>
                <w:szCs w:val="22"/>
                <w:highlight w:val="none"/>
                <w:u w:val="none"/>
                <w:lang w:val="en-US" w:eastAsia="zh-CN" w:bidi="ar"/>
              </w:rPr>
              <w:t>团队服务人员</w:t>
            </w:r>
            <w:r>
              <w:rPr>
                <w:rFonts w:hint="default" w:ascii="Arial" w:hAnsi="Arial" w:eastAsia="宋体" w:cs="Arial"/>
                <w:i w:val="0"/>
                <w:iCs w:val="0"/>
                <w:color w:val="auto"/>
                <w:kern w:val="0"/>
                <w:sz w:val="22"/>
                <w:szCs w:val="22"/>
                <w:highlight w:val="none"/>
                <w:u w:val="none"/>
                <w:lang w:val="en-US" w:eastAsia="zh-CN" w:bidi="ar"/>
              </w:rPr>
              <w:t>的投入、售后维护方案及承诺等内容，经专家审定综合评议：</w:t>
            </w:r>
          </w:p>
          <w:p w14:paraId="46323493">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方案的售后服务响应时间、售后</w:t>
            </w:r>
            <w:r>
              <w:rPr>
                <w:rFonts w:hint="eastAsia" w:ascii="Arial" w:hAnsi="Arial" w:eastAsia="宋体" w:cs="Arial"/>
                <w:i w:val="0"/>
                <w:iCs w:val="0"/>
                <w:color w:val="auto"/>
                <w:kern w:val="0"/>
                <w:sz w:val="22"/>
                <w:szCs w:val="22"/>
                <w:highlight w:val="none"/>
                <w:u w:val="none"/>
                <w:lang w:val="en-US" w:eastAsia="zh-CN" w:bidi="ar"/>
              </w:rPr>
              <w:t>团队服务人员</w:t>
            </w:r>
            <w:r>
              <w:rPr>
                <w:rFonts w:hint="default" w:ascii="Arial" w:hAnsi="Arial" w:eastAsia="宋体" w:cs="Arial"/>
                <w:i w:val="0"/>
                <w:iCs w:val="0"/>
                <w:color w:val="auto"/>
                <w:kern w:val="0"/>
                <w:sz w:val="22"/>
                <w:szCs w:val="22"/>
                <w:highlight w:val="none"/>
                <w:u w:val="none"/>
                <w:lang w:val="en-US" w:eastAsia="zh-CN" w:bidi="ar"/>
              </w:rPr>
              <w:t>的投入、售后维护方案及承诺，完全满足项目需求的，得2分；</w:t>
            </w:r>
          </w:p>
          <w:p w14:paraId="1071E62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方案的售后服务响应时间、售后</w:t>
            </w:r>
            <w:r>
              <w:rPr>
                <w:rFonts w:hint="eastAsia" w:ascii="Arial" w:hAnsi="Arial" w:eastAsia="宋体" w:cs="Arial"/>
                <w:i w:val="0"/>
                <w:iCs w:val="0"/>
                <w:color w:val="auto"/>
                <w:kern w:val="0"/>
                <w:sz w:val="22"/>
                <w:szCs w:val="22"/>
                <w:highlight w:val="none"/>
                <w:u w:val="none"/>
                <w:lang w:val="en-US" w:eastAsia="zh-CN" w:bidi="ar"/>
              </w:rPr>
              <w:t>团队服务人员</w:t>
            </w:r>
            <w:r>
              <w:rPr>
                <w:rFonts w:hint="default" w:ascii="Arial" w:hAnsi="Arial" w:eastAsia="宋体" w:cs="Arial"/>
                <w:i w:val="0"/>
                <w:iCs w:val="0"/>
                <w:color w:val="auto"/>
                <w:kern w:val="0"/>
                <w:sz w:val="22"/>
                <w:szCs w:val="22"/>
                <w:highlight w:val="none"/>
                <w:u w:val="none"/>
                <w:lang w:val="en-US" w:eastAsia="zh-CN" w:bidi="ar"/>
              </w:rPr>
              <w:t>的投入、售后维护方案及承诺，基本满足项目需求的，得1分；</w:t>
            </w:r>
          </w:p>
          <w:p w14:paraId="77255CE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kern w:val="0"/>
                <w:sz w:val="22"/>
                <w:szCs w:val="22"/>
                <w:highlight w:val="none"/>
                <w:u w:val="none"/>
                <w:lang w:val="en-US" w:eastAsia="zh-CN" w:bidi="ar"/>
              </w:rPr>
            </w:pPr>
            <w:r>
              <w:rPr>
                <w:rFonts w:hint="default" w:ascii="Arial" w:hAnsi="Arial" w:eastAsia="宋体" w:cs="Arial"/>
                <w:i w:val="0"/>
                <w:iCs w:val="0"/>
                <w:color w:val="auto"/>
                <w:kern w:val="0"/>
                <w:sz w:val="22"/>
                <w:szCs w:val="22"/>
                <w:highlight w:val="none"/>
                <w:u w:val="none"/>
                <w:lang w:val="en-US" w:eastAsia="zh-CN" w:bidi="ar"/>
              </w:rPr>
              <w:t>方案的售后服务响应时间、售后</w:t>
            </w:r>
            <w:r>
              <w:rPr>
                <w:rFonts w:hint="eastAsia" w:ascii="Arial" w:hAnsi="Arial" w:eastAsia="宋体" w:cs="Arial"/>
                <w:i w:val="0"/>
                <w:iCs w:val="0"/>
                <w:color w:val="auto"/>
                <w:kern w:val="0"/>
                <w:sz w:val="22"/>
                <w:szCs w:val="22"/>
                <w:highlight w:val="none"/>
                <w:u w:val="none"/>
                <w:lang w:val="en-US" w:eastAsia="zh-CN" w:bidi="ar"/>
              </w:rPr>
              <w:t>团队服务人员</w:t>
            </w:r>
            <w:r>
              <w:rPr>
                <w:rFonts w:hint="default" w:ascii="Arial" w:hAnsi="Arial" w:eastAsia="宋体" w:cs="Arial"/>
                <w:i w:val="0"/>
                <w:iCs w:val="0"/>
                <w:color w:val="auto"/>
                <w:kern w:val="0"/>
                <w:sz w:val="22"/>
                <w:szCs w:val="22"/>
                <w:highlight w:val="none"/>
                <w:u w:val="none"/>
                <w:lang w:val="en-US" w:eastAsia="zh-CN" w:bidi="ar"/>
              </w:rPr>
              <w:t>的投入、售后维护方案及承诺，不满足项目需求的，得0分；</w:t>
            </w:r>
          </w:p>
          <w:p w14:paraId="05E66A3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b/>
                <w:bCs/>
                <w:i w:val="0"/>
                <w:iCs w:val="0"/>
                <w:color w:val="auto"/>
                <w:kern w:val="0"/>
                <w:sz w:val="22"/>
                <w:szCs w:val="22"/>
                <w:u w:val="none"/>
                <w:lang w:val="en-US" w:eastAsia="zh-CN" w:bidi="ar"/>
              </w:rPr>
            </w:pPr>
            <w:r>
              <w:rPr>
                <w:rFonts w:hint="eastAsia" w:ascii="Arial" w:hAnsi="Arial" w:eastAsia="宋体" w:cs="Arial"/>
                <w:b/>
                <w:bCs/>
                <w:i w:val="0"/>
                <w:iCs w:val="0"/>
                <w:color w:val="auto"/>
                <w:kern w:val="0"/>
                <w:sz w:val="22"/>
                <w:szCs w:val="22"/>
                <w:highlight w:val="none"/>
                <w:u w:val="none"/>
                <w:lang w:val="en-US" w:eastAsia="zh-CN" w:bidi="ar"/>
              </w:rPr>
              <w:t>注：技术商务文件中附</w:t>
            </w:r>
            <w:r>
              <w:rPr>
                <w:rFonts w:hint="default" w:ascii="Arial" w:hAnsi="Arial" w:eastAsia="宋体" w:cs="Arial"/>
                <w:b/>
                <w:bCs/>
                <w:i w:val="0"/>
                <w:iCs w:val="0"/>
                <w:color w:val="auto"/>
                <w:kern w:val="0"/>
                <w:sz w:val="22"/>
                <w:szCs w:val="22"/>
                <w:highlight w:val="none"/>
                <w:u w:val="none"/>
                <w:lang w:val="en-US" w:eastAsia="zh-CN" w:bidi="ar"/>
              </w:rPr>
              <w:t>售后服务机构的营业执照、服</w:t>
            </w:r>
            <w:r>
              <w:rPr>
                <w:rFonts w:hint="default" w:ascii="Arial" w:hAnsi="Arial" w:eastAsia="宋体" w:cs="Arial"/>
                <w:b/>
                <w:bCs/>
                <w:i w:val="0"/>
                <w:iCs w:val="0"/>
                <w:color w:val="auto"/>
                <w:kern w:val="0"/>
                <w:sz w:val="22"/>
                <w:szCs w:val="22"/>
                <w:u w:val="none"/>
                <w:lang w:val="en-US" w:eastAsia="zh-CN" w:bidi="ar"/>
              </w:rPr>
              <w:t>务人员的</w:t>
            </w:r>
            <w:r>
              <w:rPr>
                <w:rFonts w:hint="eastAsia" w:ascii="Arial" w:hAnsi="Arial" w:eastAsia="宋体" w:cs="Arial"/>
                <w:b/>
                <w:bCs/>
                <w:i w:val="0"/>
                <w:iCs w:val="0"/>
                <w:color w:val="auto"/>
                <w:kern w:val="0"/>
                <w:sz w:val="22"/>
                <w:szCs w:val="22"/>
                <w:u w:val="none"/>
                <w:lang w:val="en-US" w:eastAsia="zh-CN" w:bidi="ar"/>
              </w:rPr>
              <w:t>开标前</w:t>
            </w:r>
            <w:r>
              <w:rPr>
                <w:rFonts w:hint="default" w:ascii="Arial" w:hAnsi="Arial" w:eastAsia="宋体" w:cs="Arial"/>
                <w:b/>
                <w:bCs/>
                <w:i w:val="0"/>
                <w:iCs w:val="0"/>
                <w:color w:val="auto"/>
                <w:kern w:val="0"/>
                <w:sz w:val="22"/>
                <w:szCs w:val="22"/>
                <w:u w:val="none"/>
                <w:lang w:val="en-US" w:eastAsia="zh-CN" w:bidi="ar"/>
              </w:rPr>
              <w:t>近3个月本单位的缴纳社保记录及相关工作经验资料</w:t>
            </w:r>
            <w:r>
              <w:rPr>
                <w:rFonts w:hint="eastAsia" w:ascii="Arial" w:hAnsi="Arial" w:eastAsia="宋体" w:cs="Arial"/>
                <w:b/>
                <w:bCs/>
                <w:i w:val="0"/>
                <w:iCs w:val="0"/>
                <w:color w:val="auto"/>
                <w:kern w:val="0"/>
                <w:sz w:val="22"/>
                <w:szCs w:val="22"/>
                <w:u w:val="none"/>
                <w:lang w:val="en-US" w:eastAsia="zh-CN" w:bidi="ar"/>
              </w:rPr>
              <w:t>。</w:t>
            </w:r>
          </w:p>
          <w:p w14:paraId="3B3B4048">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default" w:ascii="Arial" w:hAnsi="Arial" w:eastAsia="宋体" w:cs="Arial"/>
                <w:b/>
                <w:bCs/>
                <w:i w:val="0"/>
                <w:iCs w:val="0"/>
                <w:color w:val="auto"/>
                <w:kern w:val="0"/>
                <w:sz w:val="22"/>
                <w:szCs w:val="22"/>
                <w:u w:val="none"/>
                <w:lang w:val="en-US" w:eastAsia="zh-CN" w:bidi="ar"/>
              </w:rPr>
              <w:t>若联合体参加投标的</w:t>
            </w:r>
            <w:r>
              <w:rPr>
                <w:rFonts w:hint="eastAsia" w:ascii="Arial" w:hAnsi="Arial" w:eastAsia="宋体" w:cs="Arial"/>
                <w:b/>
                <w:bCs/>
                <w:i w:val="0"/>
                <w:iCs w:val="0"/>
                <w:color w:val="auto"/>
                <w:kern w:val="0"/>
                <w:sz w:val="22"/>
                <w:szCs w:val="22"/>
                <w:u w:val="none"/>
                <w:lang w:val="en-US" w:eastAsia="zh-CN" w:bidi="ar"/>
              </w:rPr>
              <w:t>，则上述证明资料由</w:t>
            </w:r>
            <w:r>
              <w:rPr>
                <w:rFonts w:hint="default" w:ascii="Arial" w:hAnsi="Arial" w:eastAsia="宋体" w:cs="Arial"/>
                <w:b/>
                <w:bCs/>
                <w:i w:val="0"/>
                <w:iCs w:val="0"/>
                <w:color w:val="auto"/>
                <w:kern w:val="0"/>
                <w:sz w:val="22"/>
                <w:szCs w:val="22"/>
                <w:u w:val="none"/>
                <w:lang w:val="en-US" w:eastAsia="zh-CN" w:bidi="ar"/>
              </w:rPr>
              <w:t>为联合体牵头人提供。</w:t>
            </w:r>
          </w:p>
        </w:tc>
        <w:tc>
          <w:tcPr>
            <w:tcW w:w="510" w:type="dxa"/>
            <w:tcBorders>
              <w:tl2br w:val="nil"/>
              <w:tr2bl w:val="nil"/>
            </w:tcBorders>
            <w:shd w:val="clear" w:color="auto" w:fill="FFFFFF"/>
            <w:noWrap w:val="0"/>
            <w:vAlign w:val="center"/>
          </w:tcPr>
          <w:p w14:paraId="29ED47A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w:t>
            </w:r>
          </w:p>
        </w:tc>
        <w:tc>
          <w:tcPr>
            <w:tcW w:w="951" w:type="dxa"/>
            <w:tcBorders>
              <w:tl2br w:val="nil"/>
              <w:tr2bl w:val="nil"/>
            </w:tcBorders>
            <w:shd w:val="clear" w:color="auto" w:fill="FFFFFF"/>
            <w:noWrap w:val="0"/>
            <w:vAlign w:val="center"/>
          </w:tcPr>
          <w:p w14:paraId="74B63594">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r>
              <w:rPr>
                <w:rFonts w:hint="eastAsia" w:ascii="Arial" w:hAnsi="Arial" w:eastAsia="宋体" w:cs="Arial"/>
                <w:i w:val="0"/>
                <w:iCs w:val="0"/>
                <w:color w:val="auto"/>
                <w:sz w:val="22"/>
                <w:szCs w:val="22"/>
                <w:u w:val="none"/>
                <w:lang w:val="en-US" w:eastAsia="zh-CN"/>
              </w:rPr>
              <w:t>主观分</w:t>
            </w:r>
          </w:p>
        </w:tc>
      </w:tr>
      <w:tr w14:paraId="0AD8F6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690" w:type="dxa"/>
            <w:vMerge w:val="continue"/>
            <w:tcBorders>
              <w:tl2br w:val="nil"/>
              <w:tr2bl w:val="nil"/>
            </w:tcBorders>
            <w:shd w:val="clear" w:color="auto" w:fill="FFFFFF"/>
            <w:noWrap w:val="0"/>
            <w:vAlign w:val="center"/>
          </w:tcPr>
          <w:p w14:paraId="15F73794">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FF"/>
            <w:noWrap w:val="0"/>
            <w:vAlign w:val="center"/>
          </w:tcPr>
          <w:p w14:paraId="14D8C900">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1D732F6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Arial" w:hAnsi="Arial" w:eastAsia="宋体" w:cs="Arial"/>
                <w:i w:val="0"/>
                <w:iCs w:val="0"/>
                <w:strike w:val="0"/>
                <w:dstrike w:val="0"/>
                <w:color w:val="auto"/>
                <w:kern w:val="0"/>
                <w:sz w:val="22"/>
                <w:szCs w:val="22"/>
                <w:u w:val="none"/>
                <w:lang w:val="en-US" w:eastAsia="zh-CN" w:bidi="ar"/>
              </w:rPr>
            </w:pPr>
            <w:r>
              <w:rPr>
                <w:rFonts w:hint="eastAsia" w:ascii="Arial" w:hAnsi="Arial" w:eastAsia="宋体" w:cs="Arial"/>
                <w:i w:val="0"/>
                <w:iCs w:val="0"/>
                <w:strike w:val="0"/>
                <w:dstrike w:val="0"/>
                <w:color w:val="auto"/>
                <w:kern w:val="0"/>
                <w:sz w:val="22"/>
                <w:szCs w:val="22"/>
                <w:u w:val="none"/>
                <w:lang w:val="en-US" w:eastAsia="zh-CN" w:bidi="ar"/>
              </w:rPr>
              <w:t>22.2投标人拟派售后团队服务人员中具有中国电子技术标准化研究院颁发的IT服务项目经理证书的得，每本得0.5分，IT服务工程师证书的，每本得0.25分；</w:t>
            </w:r>
            <w:r>
              <w:rPr>
                <w:rFonts w:hint="eastAsia" w:ascii="Arial" w:hAnsi="Arial" w:eastAsia="宋体" w:cs="Arial"/>
                <w:i w:val="0"/>
                <w:iCs w:val="0"/>
                <w:strike w:val="0"/>
                <w:dstrike w:val="0"/>
                <w:color w:val="auto"/>
                <w:kern w:val="0"/>
                <w:sz w:val="22"/>
                <w:szCs w:val="22"/>
                <w:u w:val="none"/>
                <w:lang w:val="en-US" w:eastAsia="zh-CN" w:bidi="ar"/>
              </w:rPr>
              <w:t>本项</w:t>
            </w:r>
            <w:r>
              <w:rPr>
                <w:rFonts w:hint="eastAsia" w:ascii="Arial" w:hAnsi="Arial" w:eastAsia="宋体" w:cs="Arial"/>
                <w:i w:val="0"/>
                <w:iCs w:val="0"/>
                <w:strike w:val="0"/>
                <w:dstrike w:val="0"/>
                <w:color w:val="auto"/>
                <w:kern w:val="0"/>
                <w:sz w:val="22"/>
                <w:szCs w:val="22"/>
                <w:u w:val="none"/>
                <w:lang w:val="en-US" w:eastAsia="zh-CN" w:bidi="ar"/>
              </w:rPr>
              <w:t>最高得1分。</w:t>
            </w:r>
          </w:p>
          <w:p w14:paraId="6A80138C">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Arial" w:hAnsi="Arial" w:eastAsia="宋体" w:cs="Arial"/>
                <w:b/>
                <w:bCs/>
                <w:i w:val="0"/>
                <w:iCs w:val="0"/>
                <w:strike w:val="0"/>
                <w:dstrike w:val="0"/>
                <w:color w:val="auto"/>
                <w:kern w:val="0"/>
                <w:sz w:val="22"/>
                <w:szCs w:val="22"/>
                <w:u w:val="none"/>
                <w:lang w:val="en-US" w:eastAsia="zh-CN" w:bidi="ar"/>
              </w:rPr>
            </w:pPr>
            <w:r>
              <w:rPr>
                <w:rFonts w:hint="eastAsia" w:ascii="Arial" w:hAnsi="Arial" w:eastAsia="宋体" w:cs="Arial"/>
                <w:b/>
                <w:bCs/>
                <w:i w:val="0"/>
                <w:iCs w:val="0"/>
                <w:strike w:val="0"/>
                <w:dstrike w:val="0"/>
                <w:color w:val="auto"/>
                <w:kern w:val="0"/>
                <w:sz w:val="22"/>
                <w:szCs w:val="22"/>
                <w:u w:val="none"/>
                <w:lang w:val="en-US" w:eastAsia="zh-CN" w:bidi="ar"/>
              </w:rPr>
              <w:t>注：技术商务文件中附证书证明材料、开标前近3个月在投标人单位的社保缴纳记录复印件；</w:t>
            </w:r>
            <w:r>
              <w:rPr>
                <w:rFonts w:hint="eastAsia" w:ascii="Arial" w:hAnsi="Arial" w:eastAsia="宋体" w:cs="Arial"/>
                <w:b/>
                <w:bCs/>
                <w:i w:val="0"/>
                <w:iCs w:val="0"/>
                <w:strike w:val="0"/>
                <w:dstrike w:val="0"/>
                <w:color w:val="auto"/>
                <w:kern w:val="0"/>
                <w:sz w:val="22"/>
                <w:szCs w:val="22"/>
                <w:u w:val="none"/>
                <w:lang w:val="en-US" w:eastAsia="zh-CN" w:bidi="ar"/>
              </w:rPr>
              <w:t>同一人就高计取一次。</w:t>
            </w:r>
          </w:p>
          <w:p w14:paraId="353A341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strike/>
                <w:dstrike w:val="0"/>
                <w:color w:val="auto"/>
                <w:sz w:val="22"/>
                <w:szCs w:val="22"/>
                <w:u w:val="none"/>
                <w:lang w:val="en-US"/>
              </w:rPr>
            </w:pPr>
            <w:r>
              <w:rPr>
                <w:rFonts w:hint="default" w:ascii="Arial" w:hAnsi="Arial" w:eastAsia="宋体" w:cs="Arial"/>
                <w:b/>
                <w:bCs/>
                <w:i w:val="0"/>
                <w:iCs w:val="0"/>
                <w:color w:val="auto"/>
                <w:kern w:val="0"/>
                <w:sz w:val="22"/>
                <w:szCs w:val="22"/>
                <w:u w:val="none"/>
                <w:lang w:val="en-US" w:eastAsia="zh-CN" w:bidi="ar"/>
              </w:rPr>
              <w:t>若联合体参加投标的</w:t>
            </w:r>
            <w:r>
              <w:rPr>
                <w:rFonts w:hint="eastAsia" w:ascii="Arial" w:hAnsi="Arial" w:eastAsia="宋体" w:cs="Arial"/>
                <w:b/>
                <w:bCs/>
                <w:i w:val="0"/>
                <w:iCs w:val="0"/>
                <w:color w:val="auto"/>
                <w:kern w:val="0"/>
                <w:sz w:val="22"/>
                <w:szCs w:val="22"/>
                <w:u w:val="none"/>
                <w:lang w:val="en-US" w:eastAsia="zh-CN" w:bidi="ar"/>
              </w:rPr>
              <w:t>，则上述人员证书复印件由</w:t>
            </w:r>
            <w:r>
              <w:rPr>
                <w:rFonts w:hint="default" w:ascii="Arial" w:hAnsi="Arial" w:eastAsia="宋体" w:cs="Arial"/>
                <w:b/>
                <w:bCs/>
                <w:i w:val="0"/>
                <w:iCs w:val="0"/>
                <w:color w:val="auto"/>
                <w:kern w:val="0"/>
                <w:sz w:val="22"/>
                <w:szCs w:val="22"/>
                <w:u w:val="none"/>
                <w:lang w:val="en-US" w:eastAsia="zh-CN" w:bidi="ar"/>
              </w:rPr>
              <w:t>联合体牵头人提供。</w:t>
            </w:r>
          </w:p>
        </w:tc>
        <w:tc>
          <w:tcPr>
            <w:tcW w:w="510" w:type="dxa"/>
            <w:tcBorders>
              <w:tl2br w:val="nil"/>
              <w:tr2bl w:val="nil"/>
            </w:tcBorders>
            <w:shd w:val="clear" w:color="auto" w:fill="FFFFFF"/>
            <w:noWrap w:val="0"/>
            <w:vAlign w:val="center"/>
          </w:tcPr>
          <w:p w14:paraId="6AE291E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strike w:val="0"/>
                <w:dstrike w:val="0"/>
                <w:color w:val="auto"/>
                <w:kern w:val="0"/>
                <w:sz w:val="22"/>
                <w:szCs w:val="22"/>
                <w:u w:val="none"/>
                <w:lang w:val="en-US" w:eastAsia="zh-CN" w:bidi="ar"/>
              </w:rPr>
            </w:pPr>
            <w:r>
              <w:rPr>
                <w:rFonts w:hint="eastAsia" w:ascii="Arial" w:hAnsi="Arial" w:eastAsia="宋体" w:cs="Arial"/>
                <w:i w:val="0"/>
                <w:iCs w:val="0"/>
                <w:strike w:val="0"/>
                <w:dstrike w:val="0"/>
                <w:color w:val="auto"/>
                <w:kern w:val="0"/>
                <w:sz w:val="22"/>
                <w:szCs w:val="22"/>
                <w:u w:val="none"/>
                <w:lang w:val="en-US" w:eastAsia="zh-CN" w:bidi="ar"/>
              </w:rPr>
              <w:t>1</w:t>
            </w:r>
          </w:p>
        </w:tc>
        <w:tc>
          <w:tcPr>
            <w:tcW w:w="951" w:type="dxa"/>
            <w:tcBorders>
              <w:tl2br w:val="nil"/>
              <w:tr2bl w:val="nil"/>
            </w:tcBorders>
            <w:shd w:val="clear" w:color="auto" w:fill="FFFFFF"/>
            <w:noWrap w:val="0"/>
            <w:vAlign w:val="center"/>
          </w:tcPr>
          <w:p w14:paraId="55A6A72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strike w:val="0"/>
                <w:dstrike w:val="0"/>
                <w:color w:val="auto"/>
                <w:kern w:val="0"/>
                <w:sz w:val="22"/>
                <w:szCs w:val="22"/>
                <w:u w:val="none"/>
                <w:lang w:val="en-US" w:eastAsia="zh-CN" w:bidi="ar"/>
              </w:rPr>
            </w:pPr>
            <w:r>
              <w:rPr>
                <w:rFonts w:hint="default" w:ascii="Arial" w:hAnsi="Arial" w:eastAsia="宋体" w:cs="Arial"/>
                <w:i w:val="0"/>
                <w:iCs w:val="0"/>
                <w:strike w:val="0"/>
                <w:dstrike w:val="0"/>
                <w:color w:val="auto"/>
                <w:kern w:val="0"/>
                <w:sz w:val="22"/>
                <w:szCs w:val="22"/>
                <w:u w:val="none"/>
                <w:lang w:val="en-US" w:eastAsia="zh-CN" w:bidi="ar"/>
              </w:rPr>
              <w:t>客观分</w:t>
            </w:r>
          </w:p>
        </w:tc>
      </w:tr>
      <w:tr w14:paraId="2BD5BB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4" w:hRule="atLeast"/>
        </w:trPr>
        <w:tc>
          <w:tcPr>
            <w:tcW w:w="690" w:type="dxa"/>
            <w:vMerge w:val="continue"/>
            <w:tcBorders>
              <w:tl2br w:val="nil"/>
              <w:tr2bl w:val="nil"/>
            </w:tcBorders>
            <w:shd w:val="clear" w:color="auto" w:fill="FFFFFF"/>
            <w:noWrap w:val="0"/>
            <w:vAlign w:val="center"/>
          </w:tcPr>
          <w:p w14:paraId="018FBE66">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restart"/>
            <w:tcBorders>
              <w:tl2br w:val="nil"/>
              <w:tr2bl w:val="nil"/>
            </w:tcBorders>
            <w:shd w:val="clear" w:color="auto" w:fill="FFFFFF"/>
            <w:noWrap w:val="0"/>
            <w:vAlign w:val="center"/>
          </w:tcPr>
          <w:p w14:paraId="581381C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系统演示（9分）</w:t>
            </w:r>
          </w:p>
        </w:tc>
        <w:tc>
          <w:tcPr>
            <w:tcW w:w="5770" w:type="dxa"/>
            <w:tcBorders>
              <w:tl2br w:val="nil"/>
              <w:tr2bl w:val="nil"/>
            </w:tcBorders>
            <w:shd w:val="clear" w:color="auto" w:fill="FFFFFF"/>
            <w:noWrap w:val="0"/>
            <w:vAlign w:val="center"/>
          </w:tcPr>
          <w:p w14:paraId="0AA30C26">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24.</w:t>
            </w:r>
            <w:r>
              <w:rPr>
                <w:rFonts w:hint="eastAsia" w:ascii="宋体" w:hAnsi="宋体" w:eastAsia="宋体" w:cs="宋体"/>
                <w:color w:val="auto"/>
                <w:kern w:val="0"/>
                <w:sz w:val="22"/>
                <w:szCs w:val="22"/>
              </w:rPr>
              <w:t>投标人需使用开发完成的同类软件系统自行进行演示录屏，演示视频时长不超</w:t>
            </w:r>
            <w:r>
              <w:rPr>
                <w:rFonts w:hint="eastAsia" w:ascii="宋体" w:hAnsi="宋体" w:eastAsia="宋体" w:cs="宋体"/>
                <w:color w:val="auto"/>
                <w:kern w:val="0"/>
                <w:sz w:val="22"/>
                <w:szCs w:val="22"/>
              </w:rPr>
              <w:t>过20分钟</w:t>
            </w:r>
            <w:r>
              <w:rPr>
                <w:rFonts w:hint="eastAsia" w:ascii="宋体" w:hAnsi="宋体" w:eastAsia="宋体" w:cs="宋体"/>
                <w:color w:val="auto"/>
                <w:kern w:val="0"/>
                <w:sz w:val="22"/>
                <w:szCs w:val="22"/>
              </w:rPr>
              <w:t>，通过WORD或PPT等截取软件产品系统界面演示的视为不满足；</w:t>
            </w:r>
          </w:p>
          <w:p w14:paraId="5AA0C1BF">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演示1：全民健康信息平台相关功能演示</w:t>
            </w:r>
          </w:p>
          <w:p w14:paraId="7FE2D75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演示资源配置功能：允许配置数据资源的共享方式，如数据高铁、消息消费、消息推送、数据下载以及数据API等模式（0.5分）；其中数据API模式可支持接口地址、请求方式、类型、限制调用频次、入参等内容配置（0.5分）。</w:t>
            </w:r>
          </w:p>
          <w:p w14:paraId="54A7B191">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演示主数据管理功能：通过AI标化功能将机构端药品与中心端药品进行映射，并展示相似度判断的匹配项、权重、得分等（0.5分）；展示机构端的业务采集范围，允许通过问卷形式实现业务采集范围的自动配置（0.5分）。</w:t>
            </w:r>
          </w:p>
          <w:p w14:paraId="0A3F91A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演示数据质控功能：允许对质控方案规则进行准确性、逻辑性、完整性、及时性和稳定性等维度的权重设置，提供不同规则维度倾斜分数的手动设置和自动生成功能（0.5分）；查看质控服务器的使用情况，并允许新增或者关闭质控服务器（0.5分）。</w:t>
            </w:r>
          </w:p>
          <w:p w14:paraId="66A13017">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（4）演示患者变更审查功能：在通知中心接收患者基本信息变更通知，查看变更情况，允许人工介入进行恢复归并处理（0.5分）。</w:t>
            </w:r>
          </w:p>
          <w:p w14:paraId="6B345275">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（5）演示菜单智能导航功能：在智能导航中输入需要查找的功能菜单关键词，自动答复相应的菜单路径，并支持点击路径直接跳转至对应功能模块（0.5分）。</w:t>
            </w:r>
          </w:p>
          <w:p w14:paraId="57BE2B1E">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（6）演示数据库监控功能：支持以实例视图和拓扑视图的形式展示数据库实例在线情况（0.5分）；支持对慢SQL、高频SQL的监控，允许查看慢SQL的耗时详细情况，如最大内存、总执行时间、SQL语句等（0.5分）。</w:t>
            </w:r>
          </w:p>
        </w:tc>
        <w:tc>
          <w:tcPr>
            <w:tcW w:w="510" w:type="dxa"/>
            <w:tcBorders>
              <w:tl2br w:val="nil"/>
              <w:tr2bl w:val="nil"/>
            </w:tcBorders>
            <w:shd w:val="clear" w:color="auto" w:fill="FFFFFF"/>
            <w:noWrap w:val="0"/>
            <w:vAlign w:val="center"/>
          </w:tcPr>
          <w:p w14:paraId="003AD24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w:t>
            </w:r>
          </w:p>
        </w:tc>
        <w:tc>
          <w:tcPr>
            <w:tcW w:w="951" w:type="dxa"/>
            <w:tcBorders>
              <w:tl2br w:val="nil"/>
              <w:tr2bl w:val="nil"/>
            </w:tcBorders>
            <w:shd w:val="clear" w:color="auto" w:fill="FFFFFF"/>
            <w:noWrap w:val="0"/>
            <w:vAlign w:val="center"/>
          </w:tcPr>
          <w:p w14:paraId="7F76045A">
            <w:pPr>
              <w:keepNext w:val="0"/>
              <w:keepLines w:val="0"/>
              <w:pageBreakBefore w:val="0"/>
              <w:widowControl/>
              <w:kinsoku/>
              <w:wordWrap/>
              <w:overflowPunct/>
              <w:topLinePunct w:val="0"/>
              <w:autoSpaceDE/>
              <w:autoSpaceDN/>
              <w:bidi w:val="0"/>
              <w:adjustRightInd/>
              <w:snapToGrid/>
              <w:spacing w:line="350" w:lineRule="exact"/>
              <w:jc w:val="center"/>
              <w:rPr>
                <w:rFonts w:hint="eastAsia" w:ascii="Arial" w:hAnsi="Arial" w:eastAsia="宋体" w:cs="Arial"/>
                <w:i w:val="0"/>
                <w:iCs w:val="0"/>
                <w:color w:val="auto"/>
                <w:sz w:val="22"/>
                <w:szCs w:val="22"/>
                <w:u w:val="none"/>
                <w:lang w:val="en-US" w:eastAsia="zh-CN"/>
              </w:rPr>
            </w:pPr>
            <w:r>
              <w:rPr>
                <w:rFonts w:hint="default" w:ascii="Arial" w:hAnsi="Arial" w:eastAsia="宋体" w:cs="Arial"/>
                <w:i w:val="0"/>
                <w:iCs w:val="0"/>
                <w:strike w:val="0"/>
                <w:dstrike w:val="0"/>
                <w:color w:val="auto"/>
                <w:kern w:val="0"/>
                <w:sz w:val="22"/>
                <w:szCs w:val="22"/>
                <w:u w:val="none"/>
                <w:lang w:val="en-US" w:eastAsia="zh-CN" w:bidi="ar"/>
              </w:rPr>
              <w:t>客观分</w:t>
            </w:r>
          </w:p>
        </w:tc>
      </w:tr>
      <w:tr w14:paraId="424C4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vMerge w:val="continue"/>
            <w:tcBorders>
              <w:tl2br w:val="nil"/>
              <w:tr2bl w:val="nil"/>
            </w:tcBorders>
            <w:shd w:val="clear" w:color="auto" w:fill="FFFFFF"/>
            <w:noWrap w:val="0"/>
            <w:vAlign w:val="center"/>
          </w:tcPr>
          <w:p w14:paraId="1B4AAEA9">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980" w:type="dxa"/>
            <w:vMerge w:val="continue"/>
            <w:tcBorders>
              <w:tl2br w:val="nil"/>
              <w:tr2bl w:val="nil"/>
            </w:tcBorders>
            <w:shd w:val="clear" w:color="auto" w:fill="FFFFFF"/>
            <w:noWrap w:val="0"/>
            <w:vAlign w:val="center"/>
          </w:tcPr>
          <w:p w14:paraId="1519F1A1">
            <w:pPr>
              <w:keepNext w:val="0"/>
              <w:keepLines w:val="0"/>
              <w:pageBreakBefore w:val="0"/>
              <w:widowControl/>
              <w:kinsoku/>
              <w:wordWrap/>
              <w:overflowPunct/>
              <w:topLinePunct w:val="0"/>
              <w:autoSpaceDE/>
              <w:autoSpaceDN/>
              <w:bidi w:val="0"/>
              <w:adjustRightInd/>
              <w:snapToGrid/>
              <w:spacing w:line="350" w:lineRule="exact"/>
              <w:jc w:val="center"/>
              <w:rPr>
                <w:rFonts w:hint="default" w:ascii="Arial" w:hAnsi="Arial" w:eastAsia="宋体" w:cs="Arial"/>
                <w:i w:val="0"/>
                <w:iCs w:val="0"/>
                <w:color w:val="auto"/>
                <w:sz w:val="22"/>
                <w:szCs w:val="22"/>
                <w:u w:val="none"/>
              </w:rPr>
            </w:pPr>
          </w:p>
        </w:tc>
        <w:tc>
          <w:tcPr>
            <w:tcW w:w="5770" w:type="dxa"/>
            <w:tcBorders>
              <w:tl2br w:val="nil"/>
              <w:tr2bl w:val="nil"/>
            </w:tcBorders>
            <w:shd w:val="clear" w:color="auto" w:fill="FFFFFF"/>
            <w:noWrap w:val="0"/>
            <w:vAlign w:val="center"/>
          </w:tcPr>
          <w:p w14:paraId="4DE19279">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default" w:ascii="Arial" w:hAnsi="Arial" w:eastAsia="宋体" w:cs="Arial"/>
                <w:i w:val="0"/>
                <w:iCs w:val="0"/>
                <w:color w:val="auto"/>
                <w:kern w:val="0"/>
                <w:sz w:val="22"/>
                <w:szCs w:val="22"/>
                <w:u w:val="none"/>
                <w:lang w:val="en-US" w:eastAsia="zh-CN" w:bidi="ar"/>
              </w:rPr>
              <w:t>演示2：</w:t>
            </w:r>
            <w:r>
              <w:rPr>
                <w:rFonts w:hint="eastAsia" w:ascii="宋体" w:hAnsi="宋体" w:eastAsia="宋体" w:cs="宋体"/>
                <w:color w:val="auto"/>
                <w:kern w:val="0"/>
                <w:sz w:val="22"/>
                <w:szCs w:val="22"/>
              </w:rPr>
              <w:t>业务系统相关功能演示</w:t>
            </w:r>
          </w:p>
          <w:p w14:paraId="38128CDB">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演示一体化学科功能：展示根据疾病筛查条件获得的不同疾病疑似人群名单，并将疑似人群下发至指定机构（0.5分）；展示疾病筛查条件设置界面，条件涉及有诊断、检查、检验、ICD、生活习惯、症状、体征等，允许调整规则中的阈值、包含项等内容（0.5分）。</w:t>
            </w:r>
          </w:p>
          <w:p w14:paraId="711853C4">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2）演示伤害监测功能：针对伤害个案可通过地图打点方式直观展示管辖区域内每一例伤害个案的发生位置（0.5分）；通过地图上的打点计算出同类伤害的距离，形成伤害事件重点关注区域，标记为低危、中危、中高危、高危、超危，允许下钻查看伤害的个案数量（0.5分）。</w:t>
            </w:r>
          </w:p>
          <w:p w14:paraId="59DE8BF0">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3）演示鄞领妇幼功能：展示妊娠风险智能评估规则设置界面，允许在每一个高危因素下维护诊断规则、指标规则、电子监测规则、手术规则等（0.5分）；展示根据妊娠风险智能评估规则获得的产检孕妇等级，查看孕妇的评估记录，允许手动勾选对应高危因素，允许手动排除系统中标指征（0.5分）。</w:t>
            </w:r>
          </w:p>
          <w:p w14:paraId="17C3338D">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Arial" w:hAnsi="Arial" w:eastAsia="宋体" w:cs="Arial"/>
                <w:i w:val="0"/>
                <w:iCs w:val="0"/>
                <w:color w:val="auto"/>
                <w:sz w:val="22"/>
                <w:szCs w:val="22"/>
                <w:u w:val="none"/>
              </w:rPr>
            </w:pPr>
            <w:r>
              <w:rPr>
                <w:rFonts w:hint="eastAsia" w:ascii="宋体" w:hAnsi="宋体" w:eastAsia="宋体" w:cs="宋体"/>
                <w:color w:val="auto"/>
                <w:kern w:val="0"/>
                <w:sz w:val="22"/>
                <w:szCs w:val="22"/>
              </w:rPr>
              <w:t>（4）演示医务社工质控功能：演示个案登记、接案、服务、结案、评价的业务全流程（0.5分），其中允许记录多次会谈记录；展示服务记录信息，包含问题预估，问题/需求分析、干预目标、服务模式、服务理论等（0.5分）。</w:t>
            </w:r>
          </w:p>
        </w:tc>
        <w:tc>
          <w:tcPr>
            <w:tcW w:w="510" w:type="dxa"/>
            <w:tcBorders>
              <w:tl2br w:val="nil"/>
              <w:tr2bl w:val="nil"/>
            </w:tcBorders>
            <w:shd w:val="clear" w:color="auto" w:fill="FFFFFF"/>
            <w:noWrap w:val="0"/>
            <w:vAlign w:val="center"/>
          </w:tcPr>
          <w:p w14:paraId="6B7155F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Arial" w:hAnsi="Arial" w:eastAsia="宋体"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w:t>
            </w:r>
          </w:p>
        </w:tc>
        <w:tc>
          <w:tcPr>
            <w:tcW w:w="951" w:type="dxa"/>
            <w:tcBorders>
              <w:tl2br w:val="nil"/>
              <w:tr2bl w:val="nil"/>
            </w:tcBorders>
            <w:shd w:val="clear" w:color="auto" w:fill="FFFFFF"/>
            <w:noWrap w:val="0"/>
            <w:vAlign w:val="center"/>
          </w:tcPr>
          <w:p w14:paraId="72B6B248">
            <w:pPr>
              <w:keepNext w:val="0"/>
              <w:keepLines w:val="0"/>
              <w:pageBreakBefore w:val="0"/>
              <w:widowControl/>
              <w:kinsoku/>
              <w:wordWrap/>
              <w:overflowPunct/>
              <w:topLinePunct w:val="0"/>
              <w:autoSpaceDE/>
              <w:autoSpaceDN/>
              <w:bidi w:val="0"/>
              <w:adjustRightInd/>
              <w:snapToGrid/>
              <w:spacing w:line="350" w:lineRule="exact"/>
              <w:rPr>
                <w:rFonts w:hint="default" w:ascii="Arial" w:hAnsi="Arial" w:eastAsia="宋体" w:cs="Arial"/>
                <w:i w:val="0"/>
                <w:iCs w:val="0"/>
                <w:color w:val="auto"/>
                <w:sz w:val="22"/>
                <w:szCs w:val="22"/>
                <w:u w:val="none"/>
              </w:rPr>
            </w:pPr>
          </w:p>
        </w:tc>
      </w:tr>
    </w:tbl>
    <w:p w14:paraId="600A9D4F">
      <w:pPr>
        <w:spacing w:line="360" w:lineRule="auto"/>
        <w:ind w:left="450" w:right="-334"/>
        <w:rPr>
          <w:rFonts w:hint="default" w:ascii="Arial" w:hAnsi="Arial" w:cs="Arial"/>
          <w:b/>
          <w:bCs/>
          <w:color w:val="auto"/>
          <w:sz w:val="21"/>
          <w:szCs w:val="21"/>
        </w:rPr>
      </w:pPr>
      <w:r>
        <w:rPr>
          <w:rFonts w:hint="default" w:ascii="Arial" w:hAnsi="Arial" w:cs="Arial"/>
          <w:b/>
          <w:bCs/>
          <w:color w:val="auto"/>
          <w:sz w:val="21"/>
          <w:szCs w:val="21"/>
          <w:highlight w:val="none"/>
          <w:lang w:bidi="ar"/>
        </w:rPr>
        <w:t>备注：</w:t>
      </w:r>
      <w:r>
        <w:rPr>
          <w:rFonts w:hint="default" w:ascii="Arial" w:hAnsi="Arial" w:eastAsia="宋体" w:cs="Arial"/>
          <w:b/>
          <w:bCs/>
          <w:i w:val="0"/>
          <w:iCs w:val="0"/>
          <w:color w:val="auto"/>
          <w:kern w:val="0"/>
          <w:sz w:val="21"/>
          <w:szCs w:val="21"/>
          <w:u w:val="none"/>
          <w:lang w:val="en-US" w:eastAsia="zh-CN" w:bidi="ar"/>
        </w:rPr>
        <w:t>投标人提供的资质证书、认证证书等材料应在法律规定的有效期内。</w:t>
      </w:r>
      <w:r>
        <w:rPr>
          <w:rFonts w:hint="default" w:ascii="Arial" w:hAnsi="Arial" w:cs="Arial"/>
          <w:b/>
          <w:bCs/>
          <w:color w:val="auto"/>
          <w:sz w:val="21"/>
          <w:szCs w:val="21"/>
          <w:highlight w:val="none"/>
          <w:lang w:bidi="ar"/>
        </w:rPr>
        <w:t>评委独立打分，每栏分值不得超出本栏规定的分值范围</w:t>
      </w:r>
      <w:r>
        <w:rPr>
          <w:rFonts w:hint="default" w:ascii="Arial" w:hAnsi="Arial" w:eastAsia="宋体" w:cs="Arial"/>
          <w:b/>
          <w:bCs/>
          <w:color w:val="auto"/>
          <w:sz w:val="21"/>
          <w:szCs w:val="21"/>
          <w:highlight w:val="none"/>
          <w:lang w:val="en-US" w:eastAsia="zh-CN"/>
        </w:rPr>
        <w:t>。</w:t>
      </w:r>
    </w:p>
    <w:p w14:paraId="17756F95">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leftChars="-72"/>
        <w:jc w:val="both"/>
        <w:textAlignment w:val="auto"/>
        <w:rPr>
          <w:rFonts w:hint="eastAsia" w:ascii="Arial" w:hAnsi="Arial" w:cs="Arial"/>
          <w:bCs/>
          <w:color w:val="auto"/>
          <w:kern w:val="2"/>
          <w:sz w:val="21"/>
          <w:szCs w:val="21"/>
          <w:highlight w:val="none"/>
          <w:lang w:val="en-US" w:eastAsia="zh-CN" w:bidi="ar"/>
        </w:rPr>
      </w:pPr>
      <w:bookmarkStart w:id="22" w:name="_GoBack"/>
      <w:bookmarkEnd w:id="22"/>
    </w:p>
    <w:p w14:paraId="17AB832B">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360" w:lineRule="auto"/>
        <w:ind w:leftChars="-72"/>
        <w:jc w:val="both"/>
        <w:textAlignment w:val="auto"/>
        <w:rPr>
          <w:rFonts w:hint="default" w:ascii="Arial" w:hAnsi="Arial" w:cs="Arial"/>
          <w:bCs/>
          <w:color w:val="auto"/>
          <w:kern w:val="2"/>
          <w:sz w:val="21"/>
          <w:szCs w:val="21"/>
          <w:highlight w:val="none"/>
          <w:lang w:val="en-US" w:eastAsia="zh-CN" w:bidi="ar"/>
        </w:rPr>
      </w:pPr>
    </w:p>
    <w:sectPr>
      <w:footerReference r:id="rId3" w:type="default"/>
      <w:pgSz w:w="11906" w:h="16838"/>
      <w:pgMar w:top="1134" w:right="1800" w:bottom="1134"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FF1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69C6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969C6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66F5C"/>
    <w:multiLevelType w:val="singleLevel"/>
    <w:tmpl w:val="81166F5C"/>
    <w:lvl w:ilvl="0" w:tentative="0">
      <w:start w:val="1"/>
      <w:numFmt w:val="chineseCounting"/>
      <w:suff w:val="nothing"/>
      <w:lvlText w:val="%1、"/>
      <w:lvlJc w:val="left"/>
      <w:pPr>
        <w:ind w:left="0" w:firstLine="420"/>
      </w:pPr>
      <w:rPr>
        <w:rFonts w:hint="eastAsia"/>
      </w:rPr>
    </w:lvl>
  </w:abstractNum>
  <w:abstractNum w:abstractNumId="1">
    <w:nsid w:val="819A0293"/>
    <w:multiLevelType w:val="singleLevel"/>
    <w:tmpl w:val="819A0293"/>
    <w:lvl w:ilvl="0" w:tentative="0">
      <w:start w:val="1"/>
      <w:numFmt w:val="decimal"/>
      <w:suff w:val="nothing"/>
      <w:lvlText w:val="%1．"/>
      <w:lvlJc w:val="left"/>
      <w:pPr>
        <w:ind w:left="0" w:firstLine="400"/>
      </w:pPr>
      <w:rPr>
        <w:rFonts w:hint="default"/>
      </w:rPr>
    </w:lvl>
  </w:abstractNum>
  <w:abstractNum w:abstractNumId="2">
    <w:nsid w:val="829CB333"/>
    <w:multiLevelType w:val="singleLevel"/>
    <w:tmpl w:val="829CB333"/>
    <w:lvl w:ilvl="0" w:tentative="0">
      <w:start w:val="1"/>
      <w:numFmt w:val="decimal"/>
      <w:lvlText w:val="%1."/>
      <w:lvlJc w:val="left"/>
      <w:pPr>
        <w:ind w:left="425" w:hanging="425"/>
      </w:pPr>
      <w:rPr>
        <w:rFonts w:hint="default"/>
      </w:rPr>
    </w:lvl>
  </w:abstractNum>
  <w:abstractNum w:abstractNumId="3">
    <w:nsid w:val="8458BA9B"/>
    <w:multiLevelType w:val="singleLevel"/>
    <w:tmpl w:val="8458BA9B"/>
    <w:lvl w:ilvl="0" w:tentative="0">
      <w:start w:val="1"/>
      <w:numFmt w:val="decimal"/>
      <w:lvlText w:val="%1."/>
      <w:lvlJc w:val="left"/>
      <w:pPr>
        <w:ind w:left="425" w:hanging="425"/>
      </w:pPr>
      <w:rPr>
        <w:rFonts w:hint="default"/>
      </w:rPr>
    </w:lvl>
  </w:abstractNum>
  <w:abstractNum w:abstractNumId="4">
    <w:nsid w:val="86D2E02E"/>
    <w:multiLevelType w:val="singleLevel"/>
    <w:tmpl w:val="86D2E02E"/>
    <w:lvl w:ilvl="0" w:tentative="0">
      <w:start w:val="1"/>
      <w:numFmt w:val="decimal"/>
      <w:suff w:val="nothing"/>
      <w:lvlText w:val="%1．"/>
      <w:lvlJc w:val="left"/>
      <w:pPr>
        <w:ind w:left="0" w:firstLine="400"/>
      </w:pPr>
      <w:rPr>
        <w:rFonts w:hint="default"/>
      </w:rPr>
    </w:lvl>
  </w:abstractNum>
  <w:abstractNum w:abstractNumId="5">
    <w:nsid w:val="86DA69D4"/>
    <w:multiLevelType w:val="singleLevel"/>
    <w:tmpl w:val="86DA69D4"/>
    <w:lvl w:ilvl="0" w:tentative="0">
      <w:start w:val="1"/>
      <w:numFmt w:val="decimal"/>
      <w:suff w:val="nothing"/>
      <w:lvlText w:val="%1．"/>
      <w:lvlJc w:val="left"/>
      <w:pPr>
        <w:ind w:left="0" w:firstLine="567"/>
      </w:pPr>
      <w:rPr>
        <w:rFonts w:hint="default"/>
      </w:rPr>
    </w:lvl>
  </w:abstractNum>
  <w:abstractNum w:abstractNumId="6">
    <w:nsid w:val="87400A8D"/>
    <w:multiLevelType w:val="singleLevel"/>
    <w:tmpl w:val="87400A8D"/>
    <w:lvl w:ilvl="0" w:tentative="0">
      <w:start w:val="1"/>
      <w:numFmt w:val="decimal"/>
      <w:lvlText w:val="%1)"/>
      <w:lvlJc w:val="left"/>
      <w:pPr>
        <w:ind w:left="425" w:hanging="425"/>
      </w:pPr>
      <w:rPr>
        <w:rFonts w:hint="default"/>
      </w:rPr>
    </w:lvl>
  </w:abstractNum>
  <w:abstractNum w:abstractNumId="7">
    <w:nsid w:val="8779F686"/>
    <w:multiLevelType w:val="singleLevel"/>
    <w:tmpl w:val="8779F686"/>
    <w:lvl w:ilvl="0" w:tentative="0">
      <w:start w:val="1"/>
      <w:numFmt w:val="decimal"/>
      <w:lvlText w:val="%1)"/>
      <w:lvlJc w:val="left"/>
      <w:pPr>
        <w:ind w:left="425" w:hanging="425"/>
      </w:pPr>
      <w:rPr>
        <w:rFonts w:hint="default"/>
      </w:rPr>
    </w:lvl>
  </w:abstractNum>
  <w:abstractNum w:abstractNumId="8">
    <w:nsid w:val="88220353"/>
    <w:multiLevelType w:val="singleLevel"/>
    <w:tmpl w:val="88220353"/>
    <w:lvl w:ilvl="0" w:tentative="0">
      <w:start w:val="1"/>
      <w:numFmt w:val="chineseCounting"/>
      <w:suff w:val="nothing"/>
      <w:lvlText w:val="%1、"/>
      <w:lvlJc w:val="left"/>
      <w:pPr>
        <w:ind w:left="0" w:firstLine="420"/>
      </w:pPr>
      <w:rPr>
        <w:rFonts w:hint="eastAsia"/>
      </w:rPr>
    </w:lvl>
  </w:abstractNum>
  <w:abstractNum w:abstractNumId="9">
    <w:nsid w:val="883CF0C1"/>
    <w:multiLevelType w:val="singleLevel"/>
    <w:tmpl w:val="883CF0C1"/>
    <w:lvl w:ilvl="0" w:tentative="0">
      <w:start w:val="1"/>
      <w:numFmt w:val="chineseCounting"/>
      <w:suff w:val="nothing"/>
      <w:lvlText w:val="%1、"/>
      <w:lvlJc w:val="left"/>
      <w:pPr>
        <w:ind w:left="0" w:firstLine="420"/>
      </w:pPr>
      <w:rPr>
        <w:rFonts w:hint="eastAsia"/>
      </w:rPr>
    </w:lvl>
  </w:abstractNum>
  <w:abstractNum w:abstractNumId="10">
    <w:nsid w:val="885494B9"/>
    <w:multiLevelType w:val="singleLevel"/>
    <w:tmpl w:val="885494B9"/>
    <w:lvl w:ilvl="0" w:tentative="0">
      <w:start w:val="1"/>
      <w:numFmt w:val="decimal"/>
      <w:lvlText w:val="%1."/>
      <w:lvlJc w:val="left"/>
      <w:pPr>
        <w:ind w:left="425" w:hanging="425"/>
      </w:pPr>
      <w:rPr>
        <w:rFonts w:hint="default"/>
      </w:rPr>
    </w:lvl>
  </w:abstractNum>
  <w:abstractNum w:abstractNumId="11">
    <w:nsid w:val="89297493"/>
    <w:multiLevelType w:val="singleLevel"/>
    <w:tmpl w:val="89297493"/>
    <w:lvl w:ilvl="0" w:tentative="0">
      <w:start w:val="1"/>
      <w:numFmt w:val="chineseCounting"/>
      <w:suff w:val="nothing"/>
      <w:lvlText w:val="%1、"/>
      <w:lvlJc w:val="left"/>
      <w:pPr>
        <w:ind w:left="0" w:firstLine="420"/>
      </w:pPr>
      <w:rPr>
        <w:rFonts w:hint="eastAsia"/>
      </w:rPr>
    </w:lvl>
  </w:abstractNum>
  <w:abstractNum w:abstractNumId="12">
    <w:nsid w:val="894C698D"/>
    <w:multiLevelType w:val="singleLevel"/>
    <w:tmpl w:val="894C698D"/>
    <w:lvl w:ilvl="0" w:tentative="0">
      <w:start w:val="1"/>
      <w:numFmt w:val="decimal"/>
      <w:suff w:val="nothing"/>
      <w:lvlText w:val="%1．"/>
      <w:lvlJc w:val="left"/>
      <w:pPr>
        <w:ind w:left="0" w:firstLine="567"/>
      </w:pPr>
      <w:rPr>
        <w:rFonts w:hint="default"/>
      </w:rPr>
    </w:lvl>
  </w:abstractNum>
  <w:abstractNum w:abstractNumId="13">
    <w:nsid w:val="89F70415"/>
    <w:multiLevelType w:val="singleLevel"/>
    <w:tmpl w:val="89F70415"/>
    <w:lvl w:ilvl="0" w:tentative="0">
      <w:start w:val="1"/>
      <w:numFmt w:val="decimal"/>
      <w:suff w:val="nothing"/>
      <w:lvlText w:val="%1．"/>
      <w:lvlJc w:val="left"/>
      <w:pPr>
        <w:ind w:left="0" w:firstLine="400"/>
      </w:pPr>
      <w:rPr>
        <w:rFonts w:hint="default"/>
      </w:rPr>
    </w:lvl>
  </w:abstractNum>
  <w:abstractNum w:abstractNumId="14">
    <w:nsid w:val="8B50367B"/>
    <w:multiLevelType w:val="singleLevel"/>
    <w:tmpl w:val="8B50367B"/>
    <w:lvl w:ilvl="0" w:tentative="0">
      <w:start w:val="1"/>
      <w:numFmt w:val="decimal"/>
      <w:suff w:val="nothing"/>
      <w:lvlText w:val="%1."/>
      <w:lvlJc w:val="left"/>
      <w:pPr>
        <w:ind w:left="0" w:firstLine="0"/>
      </w:pPr>
      <w:rPr>
        <w:rFonts w:hint="default"/>
      </w:rPr>
    </w:lvl>
  </w:abstractNum>
  <w:abstractNum w:abstractNumId="15">
    <w:nsid w:val="8C1DBE50"/>
    <w:multiLevelType w:val="singleLevel"/>
    <w:tmpl w:val="8C1DBE50"/>
    <w:lvl w:ilvl="0" w:tentative="0">
      <w:start w:val="1"/>
      <w:numFmt w:val="chineseCounting"/>
      <w:suff w:val="nothing"/>
      <w:lvlText w:val="%1、"/>
      <w:lvlJc w:val="left"/>
      <w:pPr>
        <w:ind w:left="0" w:firstLine="420"/>
      </w:pPr>
      <w:rPr>
        <w:rFonts w:hint="eastAsia"/>
      </w:rPr>
    </w:lvl>
  </w:abstractNum>
  <w:abstractNum w:abstractNumId="16">
    <w:nsid w:val="8C7845D5"/>
    <w:multiLevelType w:val="singleLevel"/>
    <w:tmpl w:val="8C7845D5"/>
    <w:lvl w:ilvl="0" w:tentative="0">
      <w:start w:val="1"/>
      <w:numFmt w:val="chineseCounting"/>
      <w:suff w:val="nothing"/>
      <w:lvlText w:val="%1、"/>
      <w:lvlJc w:val="left"/>
      <w:pPr>
        <w:ind w:left="0" w:firstLine="420"/>
      </w:pPr>
      <w:rPr>
        <w:rFonts w:hint="eastAsia"/>
      </w:rPr>
    </w:lvl>
  </w:abstractNum>
  <w:abstractNum w:abstractNumId="17">
    <w:nsid w:val="8CDC4045"/>
    <w:multiLevelType w:val="singleLevel"/>
    <w:tmpl w:val="8CDC4045"/>
    <w:lvl w:ilvl="0" w:tentative="0">
      <w:start w:val="1"/>
      <w:numFmt w:val="chineseCounting"/>
      <w:suff w:val="nothing"/>
      <w:lvlText w:val="%1、"/>
      <w:lvlJc w:val="left"/>
      <w:pPr>
        <w:ind w:left="0" w:firstLine="420"/>
      </w:pPr>
      <w:rPr>
        <w:rFonts w:hint="eastAsia"/>
      </w:rPr>
    </w:lvl>
  </w:abstractNum>
  <w:abstractNum w:abstractNumId="18">
    <w:nsid w:val="8CF4BA4D"/>
    <w:multiLevelType w:val="singleLevel"/>
    <w:tmpl w:val="8CF4BA4D"/>
    <w:lvl w:ilvl="0" w:tentative="0">
      <w:start w:val="1"/>
      <w:numFmt w:val="decimal"/>
      <w:suff w:val="nothing"/>
      <w:lvlText w:val="%1)"/>
      <w:lvlJc w:val="left"/>
      <w:pPr>
        <w:ind w:left="454" w:hanging="454"/>
      </w:pPr>
      <w:rPr>
        <w:rFonts w:hint="default"/>
      </w:rPr>
    </w:lvl>
  </w:abstractNum>
  <w:abstractNum w:abstractNumId="19">
    <w:nsid w:val="8CF5A909"/>
    <w:multiLevelType w:val="singleLevel"/>
    <w:tmpl w:val="8CF5A909"/>
    <w:lvl w:ilvl="0" w:tentative="0">
      <w:start w:val="1"/>
      <w:numFmt w:val="decimal"/>
      <w:lvlText w:val="%1)"/>
      <w:lvlJc w:val="left"/>
      <w:pPr>
        <w:ind w:left="425" w:hanging="425"/>
      </w:pPr>
      <w:rPr>
        <w:rFonts w:hint="default"/>
      </w:rPr>
    </w:lvl>
  </w:abstractNum>
  <w:abstractNum w:abstractNumId="20">
    <w:nsid w:val="8DA74322"/>
    <w:multiLevelType w:val="singleLevel"/>
    <w:tmpl w:val="8DA74322"/>
    <w:lvl w:ilvl="0" w:tentative="0">
      <w:start w:val="1"/>
      <w:numFmt w:val="decimal"/>
      <w:suff w:val="nothing"/>
      <w:lvlText w:val="%1."/>
      <w:lvlJc w:val="left"/>
      <w:pPr>
        <w:ind w:left="0" w:firstLine="0"/>
      </w:pPr>
      <w:rPr>
        <w:rFonts w:hint="default"/>
      </w:rPr>
    </w:lvl>
  </w:abstractNum>
  <w:abstractNum w:abstractNumId="21">
    <w:nsid w:val="8DDCAE4D"/>
    <w:multiLevelType w:val="singleLevel"/>
    <w:tmpl w:val="8DDCAE4D"/>
    <w:lvl w:ilvl="0" w:tentative="0">
      <w:start w:val="1"/>
      <w:numFmt w:val="decimal"/>
      <w:suff w:val="nothing"/>
      <w:lvlText w:val="%1．"/>
      <w:lvlJc w:val="left"/>
      <w:pPr>
        <w:ind w:left="0" w:firstLine="400"/>
      </w:pPr>
      <w:rPr>
        <w:rFonts w:hint="default"/>
      </w:rPr>
    </w:lvl>
  </w:abstractNum>
  <w:abstractNum w:abstractNumId="22">
    <w:nsid w:val="8E3709F1"/>
    <w:multiLevelType w:val="singleLevel"/>
    <w:tmpl w:val="8E3709F1"/>
    <w:lvl w:ilvl="0" w:tentative="0">
      <w:start w:val="1"/>
      <w:numFmt w:val="decimal"/>
      <w:lvlText w:val="%1)"/>
      <w:lvlJc w:val="left"/>
      <w:pPr>
        <w:ind w:left="425" w:hanging="425"/>
      </w:pPr>
      <w:rPr>
        <w:rFonts w:hint="default"/>
      </w:rPr>
    </w:lvl>
  </w:abstractNum>
  <w:abstractNum w:abstractNumId="23">
    <w:nsid w:val="8EF3DE16"/>
    <w:multiLevelType w:val="singleLevel"/>
    <w:tmpl w:val="8EF3DE16"/>
    <w:lvl w:ilvl="0" w:tentative="0">
      <w:start w:val="1"/>
      <w:numFmt w:val="decimal"/>
      <w:suff w:val="nothing"/>
      <w:lvlText w:val="%1．"/>
      <w:lvlJc w:val="left"/>
      <w:pPr>
        <w:ind w:left="0" w:firstLine="400"/>
      </w:pPr>
      <w:rPr>
        <w:rFonts w:hint="default"/>
      </w:rPr>
    </w:lvl>
  </w:abstractNum>
  <w:abstractNum w:abstractNumId="24">
    <w:nsid w:val="8F13AD51"/>
    <w:multiLevelType w:val="singleLevel"/>
    <w:tmpl w:val="8F13AD51"/>
    <w:lvl w:ilvl="0" w:tentative="0">
      <w:start w:val="1"/>
      <w:numFmt w:val="decimal"/>
      <w:lvlText w:val="%1)"/>
      <w:lvlJc w:val="left"/>
      <w:pPr>
        <w:ind w:left="425" w:hanging="425"/>
      </w:pPr>
      <w:rPr>
        <w:rFonts w:hint="default"/>
      </w:rPr>
    </w:lvl>
  </w:abstractNum>
  <w:abstractNum w:abstractNumId="25">
    <w:nsid w:val="8FE8EDBB"/>
    <w:multiLevelType w:val="singleLevel"/>
    <w:tmpl w:val="8FE8EDBB"/>
    <w:lvl w:ilvl="0" w:tentative="0">
      <w:start w:val="1"/>
      <w:numFmt w:val="decimal"/>
      <w:lvlText w:val="%1."/>
      <w:lvlJc w:val="left"/>
      <w:pPr>
        <w:ind w:left="425" w:hanging="425"/>
      </w:pPr>
      <w:rPr>
        <w:rFonts w:hint="default"/>
      </w:rPr>
    </w:lvl>
  </w:abstractNum>
  <w:abstractNum w:abstractNumId="26">
    <w:nsid w:val="900AE813"/>
    <w:multiLevelType w:val="singleLevel"/>
    <w:tmpl w:val="900AE813"/>
    <w:lvl w:ilvl="0" w:tentative="0">
      <w:start w:val="1"/>
      <w:numFmt w:val="decimal"/>
      <w:lvlText w:val="%1."/>
      <w:lvlJc w:val="left"/>
      <w:pPr>
        <w:ind w:left="425" w:hanging="425"/>
      </w:pPr>
      <w:rPr>
        <w:rFonts w:hint="default"/>
      </w:rPr>
    </w:lvl>
  </w:abstractNum>
  <w:abstractNum w:abstractNumId="27">
    <w:nsid w:val="90F679BA"/>
    <w:multiLevelType w:val="singleLevel"/>
    <w:tmpl w:val="90F679BA"/>
    <w:lvl w:ilvl="0" w:tentative="0">
      <w:start w:val="1"/>
      <w:numFmt w:val="decimal"/>
      <w:suff w:val="nothing"/>
      <w:lvlText w:val="%1．"/>
      <w:lvlJc w:val="left"/>
      <w:pPr>
        <w:ind w:left="0" w:firstLine="400"/>
      </w:pPr>
      <w:rPr>
        <w:rFonts w:hint="default"/>
      </w:rPr>
    </w:lvl>
  </w:abstractNum>
  <w:abstractNum w:abstractNumId="28">
    <w:nsid w:val="91032829"/>
    <w:multiLevelType w:val="singleLevel"/>
    <w:tmpl w:val="91032829"/>
    <w:lvl w:ilvl="0" w:tentative="0">
      <w:start w:val="1"/>
      <w:numFmt w:val="decimal"/>
      <w:lvlText w:val="%1."/>
      <w:lvlJc w:val="left"/>
      <w:pPr>
        <w:ind w:left="425" w:hanging="425"/>
      </w:pPr>
      <w:rPr>
        <w:rFonts w:hint="default"/>
      </w:rPr>
    </w:lvl>
  </w:abstractNum>
  <w:abstractNum w:abstractNumId="29">
    <w:nsid w:val="91366511"/>
    <w:multiLevelType w:val="singleLevel"/>
    <w:tmpl w:val="91366511"/>
    <w:lvl w:ilvl="0" w:tentative="0">
      <w:start w:val="1"/>
      <w:numFmt w:val="decimal"/>
      <w:lvlText w:val="%1."/>
      <w:lvlJc w:val="left"/>
      <w:pPr>
        <w:ind w:left="425" w:hanging="425"/>
      </w:pPr>
      <w:rPr>
        <w:rFonts w:hint="default"/>
      </w:rPr>
    </w:lvl>
  </w:abstractNum>
  <w:abstractNum w:abstractNumId="30">
    <w:nsid w:val="91DCC913"/>
    <w:multiLevelType w:val="singleLevel"/>
    <w:tmpl w:val="91DCC913"/>
    <w:lvl w:ilvl="0" w:tentative="0">
      <w:start w:val="1"/>
      <w:numFmt w:val="decimal"/>
      <w:lvlText w:val="%1)"/>
      <w:lvlJc w:val="left"/>
      <w:pPr>
        <w:ind w:left="425" w:hanging="425"/>
      </w:pPr>
      <w:rPr>
        <w:rFonts w:hint="default"/>
      </w:rPr>
    </w:lvl>
  </w:abstractNum>
  <w:abstractNum w:abstractNumId="31">
    <w:nsid w:val="91EC14B9"/>
    <w:multiLevelType w:val="singleLevel"/>
    <w:tmpl w:val="91EC14B9"/>
    <w:lvl w:ilvl="0" w:tentative="0">
      <w:start w:val="1"/>
      <w:numFmt w:val="chineseCounting"/>
      <w:suff w:val="nothing"/>
      <w:lvlText w:val="%1、"/>
      <w:lvlJc w:val="left"/>
      <w:pPr>
        <w:ind w:left="0" w:firstLine="420"/>
      </w:pPr>
      <w:rPr>
        <w:rFonts w:hint="eastAsia"/>
      </w:rPr>
    </w:lvl>
  </w:abstractNum>
  <w:abstractNum w:abstractNumId="32">
    <w:nsid w:val="926436F5"/>
    <w:multiLevelType w:val="singleLevel"/>
    <w:tmpl w:val="926436F5"/>
    <w:lvl w:ilvl="0" w:tentative="0">
      <w:start w:val="1"/>
      <w:numFmt w:val="decimal"/>
      <w:suff w:val="nothing"/>
      <w:lvlText w:val="%1．"/>
      <w:lvlJc w:val="left"/>
      <w:pPr>
        <w:ind w:left="0" w:firstLine="400"/>
      </w:pPr>
      <w:rPr>
        <w:rFonts w:hint="default"/>
      </w:rPr>
    </w:lvl>
  </w:abstractNum>
  <w:abstractNum w:abstractNumId="33">
    <w:nsid w:val="927BF2CE"/>
    <w:multiLevelType w:val="singleLevel"/>
    <w:tmpl w:val="927BF2CE"/>
    <w:lvl w:ilvl="0" w:tentative="0">
      <w:start w:val="1"/>
      <w:numFmt w:val="decimal"/>
      <w:suff w:val="nothing"/>
      <w:lvlText w:val="%1．"/>
      <w:lvlJc w:val="left"/>
      <w:pPr>
        <w:ind w:left="0" w:firstLine="400"/>
      </w:pPr>
      <w:rPr>
        <w:rFonts w:hint="default"/>
      </w:rPr>
    </w:lvl>
  </w:abstractNum>
  <w:abstractNum w:abstractNumId="34">
    <w:nsid w:val="9304BAA6"/>
    <w:multiLevelType w:val="singleLevel"/>
    <w:tmpl w:val="9304BAA6"/>
    <w:lvl w:ilvl="0" w:tentative="0">
      <w:start w:val="1"/>
      <w:numFmt w:val="decimal"/>
      <w:lvlText w:val="%1)"/>
      <w:lvlJc w:val="left"/>
      <w:pPr>
        <w:ind w:left="425" w:hanging="425"/>
      </w:pPr>
      <w:rPr>
        <w:rFonts w:hint="default"/>
      </w:rPr>
    </w:lvl>
  </w:abstractNum>
  <w:abstractNum w:abstractNumId="35">
    <w:nsid w:val="93BB73C5"/>
    <w:multiLevelType w:val="singleLevel"/>
    <w:tmpl w:val="93BB73C5"/>
    <w:lvl w:ilvl="0" w:tentative="0">
      <w:start w:val="1"/>
      <w:numFmt w:val="decimal"/>
      <w:suff w:val="nothing"/>
      <w:lvlText w:val="%1．"/>
      <w:lvlJc w:val="left"/>
      <w:pPr>
        <w:ind w:left="0" w:firstLine="400"/>
      </w:pPr>
      <w:rPr>
        <w:rFonts w:hint="default"/>
      </w:rPr>
    </w:lvl>
  </w:abstractNum>
  <w:abstractNum w:abstractNumId="36">
    <w:nsid w:val="95669A2E"/>
    <w:multiLevelType w:val="singleLevel"/>
    <w:tmpl w:val="95669A2E"/>
    <w:lvl w:ilvl="0" w:tentative="0">
      <w:start w:val="1"/>
      <w:numFmt w:val="decimal"/>
      <w:suff w:val="nothing"/>
      <w:lvlText w:val="%1)"/>
      <w:lvlJc w:val="left"/>
      <w:pPr>
        <w:ind w:left="454" w:hanging="454"/>
      </w:pPr>
      <w:rPr>
        <w:rFonts w:hint="default"/>
      </w:rPr>
    </w:lvl>
  </w:abstractNum>
  <w:abstractNum w:abstractNumId="37">
    <w:nsid w:val="95A83F3D"/>
    <w:multiLevelType w:val="singleLevel"/>
    <w:tmpl w:val="95A83F3D"/>
    <w:lvl w:ilvl="0" w:tentative="0">
      <w:start w:val="1"/>
      <w:numFmt w:val="decimal"/>
      <w:lvlText w:val="%1)"/>
      <w:lvlJc w:val="left"/>
      <w:pPr>
        <w:ind w:left="425" w:hanging="425"/>
      </w:pPr>
      <w:rPr>
        <w:rFonts w:hint="default"/>
      </w:rPr>
    </w:lvl>
  </w:abstractNum>
  <w:abstractNum w:abstractNumId="38">
    <w:nsid w:val="95EA88E9"/>
    <w:multiLevelType w:val="singleLevel"/>
    <w:tmpl w:val="95EA88E9"/>
    <w:lvl w:ilvl="0" w:tentative="0">
      <w:start w:val="1"/>
      <w:numFmt w:val="decimal"/>
      <w:suff w:val="nothing"/>
      <w:lvlText w:val="%1."/>
      <w:lvlJc w:val="left"/>
      <w:pPr>
        <w:ind w:left="0" w:firstLine="0"/>
      </w:pPr>
      <w:rPr>
        <w:rFonts w:hint="default"/>
      </w:rPr>
    </w:lvl>
  </w:abstractNum>
  <w:abstractNum w:abstractNumId="39">
    <w:nsid w:val="96A61685"/>
    <w:multiLevelType w:val="singleLevel"/>
    <w:tmpl w:val="96A61685"/>
    <w:lvl w:ilvl="0" w:tentative="0">
      <w:start w:val="1"/>
      <w:numFmt w:val="decimal"/>
      <w:lvlText w:val="%1."/>
      <w:lvlJc w:val="left"/>
      <w:pPr>
        <w:ind w:left="425" w:hanging="425"/>
      </w:pPr>
      <w:rPr>
        <w:rFonts w:hint="default"/>
      </w:rPr>
    </w:lvl>
  </w:abstractNum>
  <w:abstractNum w:abstractNumId="40">
    <w:nsid w:val="96BF4F14"/>
    <w:multiLevelType w:val="singleLevel"/>
    <w:tmpl w:val="96BF4F14"/>
    <w:lvl w:ilvl="0" w:tentative="0">
      <w:start w:val="1"/>
      <w:numFmt w:val="decimal"/>
      <w:lvlText w:val="%1)"/>
      <w:lvlJc w:val="left"/>
      <w:pPr>
        <w:ind w:left="425" w:hanging="425"/>
      </w:pPr>
      <w:rPr>
        <w:rFonts w:hint="default"/>
      </w:rPr>
    </w:lvl>
  </w:abstractNum>
  <w:abstractNum w:abstractNumId="41">
    <w:nsid w:val="976E19CD"/>
    <w:multiLevelType w:val="singleLevel"/>
    <w:tmpl w:val="976E19CD"/>
    <w:lvl w:ilvl="0" w:tentative="0">
      <w:start w:val="1"/>
      <w:numFmt w:val="decimal"/>
      <w:lvlText w:val="%1)"/>
      <w:lvlJc w:val="left"/>
      <w:pPr>
        <w:ind w:left="425" w:hanging="425"/>
      </w:pPr>
      <w:rPr>
        <w:rFonts w:hint="default"/>
      </w:rPr>
    </w:lvl>
  </w:abstractNum>
  <w:abstractNum w:abstractNumId="42">
    <w:nsid w:val="97759D4A"/>
    <w:multiLevelType w:val="singleLevel"/>
    <w:tmpl w:val="97759D4A"/>
    <w:lvl w:ilvl="0" w:tentative="0">
      <w:start w:val="1"/>
      <w:numFmt w:val="decimal"/>
      <w:lvlText w:val="%1)"/>
      <w:lvlJc w:val="left"/>
      <w:pPr>
        <w:ind w:left="425" w:hanging="425"/>
      </w:pPr>
      <w:rPr>
        <w:rFonts w:hint="default"/>
      </w:rPr>
    </w:lvl>
  </w:abstractNum>
  <w:abstractNum w:abstractNumId="43">
    <w:nsid w:val="9830EA6B"/>
    <w:multiLevelType w:val="singleLevel"/>
    <w:tmpl w:val="9830EA6B"/>
    <w:lvl w:ilvl="0" w:tentative="0">
      <w:start w:val="1"/>
      <w:numFmt w:val="decimal"/>
      <w:lvlText w:val="%1."/>
      <w:lvlJc w:val="left"/>
      <w:pPr>
        <w:ind w:left="425" w:hanging="425"/>
      </w:pPr>
      <w:rPr>
        <w:rFonts w:hint="default"/>
      </w:rPr>
    </w:lvl>
  </w:abstractNum>
  <w:abstractNum w:abstractNumId="44">
    <w:nsid w:val="98B1716E"/>
    <w:multiLevelType w:val="singleLevel"/>
    <w:tmpl w:val="98B1716E"/>
    <w:lvl w:ilvl="0" w:tentative="0">
      <w:start w:val="1"/>
      <w:numFmt w:val="decimal"/>
      <w:lvlText w:val="%1)"/>
      <w:lvlJc w:val="left"/>
      <w:pPr>
        <w:ind w:left="425" w:hanging="425"/>
      </w:pPr>
      <w:rPr>
        <w:rFonts w:hint="default"/>
      </w:rPr>
    </w:lvl>
  </w:abstractNum>
  <w:abstractNum w:abstractNumId="45">
    <w:nsid w:val="99DC9D2D"/>
    <w:multiLevelType w:val="singleLevel"/>
    <w:tmpl w:val="99DC9D2D"/>
    <w:lvl w:ilvl="0" w:tentative="0">
      <w:start w:val="1"/>
      <w:numFmt w:val="decimal"/>
      <w:lvlText w:val="%1."/>
      <w:lvlJc w:val="left"/>
      <w:pPr>
        <w:ind w:left="425" w:hanging="425"/>
      </w:pPr>
      <w:rPr>
        <w:rFonts w:hint="default"/>
      </w:rPr>
    </w:lvl>
  </w:abstractNum>
  <w:abstractNum w:abstractNumId="46">
    <w:nsid w:val="9A191C32"/>
    <w:multiLevelType w:val="singleLevel"/>
    <w:tmpl w:val="9A191C32"/>
    <w:lvl w:ilvl="0" w:tentative="0">
      <w:start w:val="1"/>
      <w:numFmt w:val="decimal"/>
      <w:lvlText w:val="%1."/>
      <w:lvlJc w:val="left"/>
      <w:pPr>
        <w:ind w:left="425" w:hanging="425"/>
      </w:pPr>
      <w:rPr>
        <w:rFonts w:hint="default"/>
      </w:rPr>
    </w:lvl>
  </w:abstractNum>
  <w:abstractNum w:abstractNumId="47">
    <w:nsid w:val="9A506BD8"/>
    <w:multiLevelType w:val="singleLevel"/>
    <w:tmpl w:val="9A506BD8"/>
    <w:lvl w:ilvl="0" w:tentative="0">
      <w:start w:val="1"/>
      <w:numFmt w:val="decimal"/>
      <w:lvlText w:val="%1)"/>
      <w:lvlJc w:val="left"/>
      <w:pPr>
        <w:ind w:left="425" w:hanging="425"/>
      </w:pPr>
      <w:rPr>
        <w:rFonts w:hint="default"/>
      </w:rPr>
    </w:lvl>
  </w:abstractNum>
  <w:abstractNum w:abstractNumId="48">
    <w:nsid w:val="9A624D2A"/>
    <w:multiLevelType w:val="singleLevel"/>
    <w:tmpl w:val="9A624D2A"/>
    <w:lvl w:ilvl="0" w:tentative="0">
      <w:start w:val="1"/>
      <w:numFmt w:val="decimal"/>
      <w:lvlText w:val="%1."/>
      <w:lvlJc w:val="left"/>
      <w:pPr>
        <w:ind w:left="425" w:hanging="425"/>
      </w:pPr>
      <w:rPr>
        <w:rFonts w:hint="default"/>
      </w:rPr>
    </w:lvl>
  </w:abstractNum>
  <w:abstractNum w:abstractNumId="49">
    <w:nsid w:val="9ADF338C"/>
    <w:multiLevelType w:val="singleLevel"/>
    <w:tmpl w:val="9ADF338C"/>
    <w:lvl w:ilvl="0" w:tentative="0">
      <w:start w:val="1"/>
      <w:numFmt w:val="decimal"/>
      <w:suff w:val="nothing"/>
      <w:lvlText w:val="%1."/>
      <w:lvlJc w:val="left"/>
      <w:pPr>
        <w:ind w:left="454" w:hanging="454"/>
      </w:pPr>
      <w:rPr>
        <w:rFonts w:hint="default"/>
      </w:rPr>
    </w:lvl>
  </w:abstractNum>
  <w:abstractNum w:abstractNumId="50">
    <w:nsid w:val="9B3FB46A"/>
    <w:multiLevelType w:val="singleLevel"/>
    <w:tmpl w:val="9B3FB46A"/>
    <w:lvl w:ilvl="0" w:tentative="0">
      <w:start w:val="1"/>
      <w:numFmt w:val="decimal"/>
      <w:lvlText w:val="%1)"/>
      <w:lvlJc w:val="left"/>
      <w:pPr>
        <w:ind w:left="425" w:hanging="425"/>
      </w:pPr>
      <w:rPr>
        <w:rFonts w:hint="default"/>
      </w:rPr>
    </w:lvl>
  </w:abstractNum>
  <w:abstractNum w:abstractNumId="51">
    <w:nsid w:val="9CF9A875"/>
    <w:multiLevelType w:val="singleLevel"/>
    <w:tmpl w:val="9CF9A875"/>
    <w:lvl w:ilvl="0" w:tentative="0">
      <w:start w:val="1"/>
      <w:numFmt w:val="decimal"/>
      <w:lvlText w:val="%1)"/>
      <w:lvlJc w:val="left"/>
      <w:pPr>
        <w:ind w:left="425" w:hanging="425"/>
      </w:pPr>
      <w:rPr>
        <w:rFonts w:hint="default"/>
      </w:rPr>
    </w:lvl>
  </w:abstractNum>
  <w:abstractNum w:abstractNumId="52">
    <w:nsid w:val="9DBD0BF7"/>
    <w:multiLevelType w:val="singleLevel"/>
    <w:tmpl w:val="9DBD0BF7"/>
    <w:lvl w:ilvl="0" w:tentative="0">
      <w:start w:val="1"/>
      <w:numFmt w:val="chineseCounting"/>
      <w:suff w:val="nothing"/>
      <w:lvlText w:val="%1、"/>
      <w:lvlJc w:val="left"/>
      <w:pPr>
        <w:ind w:left="0" w:firstLine="420"/>
      </w:pPr>
      <w:rPr>
        <w:rFonts w:hint="eastAsia"/>
      </w:rPr>
    </w:lvl>
  </w:abstractNum>
  <w:abstractNum w:abstractNumId="53">
    <w:nsid w:val="9DD7FC4B"/>
    <w:multiLevelType w:val="singleLevel"/>
    <w:tmpl w:val="9DD7FC4B"/>
    <w:lvl w:ilvl="0" w:tentative="0">
      <w:start w:val="1"/>
      <w:numFmt w:val="decimal"/>
      <w:lvlText w:val="%1)"/>
      <w:lvlJc w:val="left"/>
      <w:pPr>
        <w:ind w:left="425" w:hanging="425"/>
      </w:pPr>
      <w:rPr>
        <w:rFonts w:hint="default"/>
      </w:rPr>
    </w:lvl>
  </w:abstractNum>
  <w:abstractNum w:abstractNumId="54">
    <w:nsid w:val="9DFD4535"/>
    <w:multiLevelType w:val="singleLevel"/>
    <w:tmpl w:val="9DFD4535"/>
    <w:lvl w:ilvl="0" w:tentative="0">
      <w:start w:val="1"/>
      <w:numFmt w:val="chineseCounting"/>
      <w:suff w:val="nothing"/>
      <w:lvlText w:val="%1、"/>
      <w:lvlJc w:val="left"/>
      <w:pPr>
        <w:ind w:left="0" w:firstLine="0"/>
      </w:pPr>
      <w:rPr>
        <w:rFonts w:hint="eastAsia"/>
      </w:rPr>
    </w:lvl>
  </w:abstractNum>
  <w:abstractNum w:abstractNumId="55">
    <w:nsid w:val="9FEC3792"/>
    <w:multiLevelType w:val="singleLevel"/>
    <w:tmpl w:val="9FEC3792"/>
    <w:lvl w:ilvl="0" w:tentative="0">
      <w:start w:val="1"/>
      <w:numFmt w:val="decimal"/>
      <w:lvlText w:val="%1."/>
      <w:lvlJc w:val="left"/>
      <w:pPr>
        <w:ind w:left="425" w:hanging="425"/>
      </w:pPr>
      <w:rPr>
        <w:rFonts w:hint="default"/>
      </w:rPr>
    </w:lvl>
  </w:abstractNum>
  <w:abstractNum w:abstractNumId="56">
    <w:nsid w:val="9FEDE33F"/>
    <w:multiLevelType w:val="singleLevel"/>
    <w:tmpl w:val="9FEDE33F"/>
    <w:lvl w:ilvl="0" w:tentative="0">
      <w:start w:val="1"/>
      <w:numFmt w:val="decimal"/>
      <w:suff w:val="nothing"/>
      <w:lvlText w:val="%1．"/>
      <w:lvlJc w:val="left"/>
      <w:pPr>
        <w:ind w:left="0" w:firstLine="400"/>
      </w:pPr>
      <w:rPr>
        <w:rFonts w:hint="default"/>
      </w:rPr>
    </w:lvl>
  </w:abstractNum>
  <w:abstractNum w:abstractNumId="57">
    <w:nsid w:val="A0122CC9"/>
    <w:multiLevelType w:val="singleLevel"/>
    <w:tmpl w:val="A0122CC9"/>
    <w:lvl w:ilvl="0" w:tentative="0">
      <w:start w:val="1"/>
      <w:numFmt w:val="decimal"/>
      <w:suff w:val="nothing"/>
      <w:lvlText w:val="%1．"/>
      <w:lvlJc w:val="left"/>
      <w:pPr>
        <w:ind w:left="0" w:firstLine="400"/>
      </w:pPr>
      <w:rPr>
        <w:rFonts w:hint="default"/>
      </w:rPr>
    </w:lvl>
  </w:abstractNum>
  <w:abstractNum w:abstractNumId="58">
    <w:nsid w:val="A02C907B"/>
    <w:multiLevelType w:val="singleLevel"/>
    <w:tmpl w:val="A02C907B"/>
    <w:lvl w:ilvl="0" w:tentative="0">
      <w:start w:val="1"/>
      <w:numFmt w:val="decimal"/>
      <w:lvlText w:val="%1)"/>
      <w:lvlJc w:val="left"/>
      <w:pPr>
        <w:ind w:left="425" w:hanging="425"/>
      </w:pPr>
      <w:rPr>
        <w:rFonts w:hint="default"/>
      </w:rPr>
    </w:lvl>
  </w:abstractNum>
  <w:abstractNum w:abstractNumId="59">
    <w:nsid w:val="A076A384"/>
    <w:multiLevelType w:val="singleLevel"/>
    <w:tmpl w:val="A076A384"/>
    <w:lvl w:ilvl="0" w:tentative="0">
      <w:start w:val="1"/>
      <w:numFmt w:val="decimal"/>
      <w:lvlText w:val="%1)"/>
      <w:lvlJc w:val="left"/>
      <w:pPr>
        <w:ind w:left="425" w:hanging="425"/>
      </w:pPr>
      <w:rPr>
        <w:rFonts w:hint="default"/>
      </w:rPr>
    </w:lvl>
  </w:abstractNum>
  <w:abstractNum w:abstractNumId="60">
    <w:nsid w:val="A099BC62"/>
    <w:multiLevelType w:val="singleLevel"/>
    <w:tmpl w:val="A099BC62"/>
    <w:lvl w:ilvl="0" w:tentative="0">
      <w:start w:val="1"/>
      <w:numFmt w:val="decimal"/>
      <w:lvlText w:val="%1)"/>
      <w:lvlJc w:val="left"/>
      <w:pPr>
        <w:ind w:left="425" w:hanging="425"/>
      </w:pPr>
      <w:rPr>
        <w:rFonts w:hint="default"/>
      </w:rPr>
    </w:lvl>
  </w:abstractNum>
  <w:abstractNum w:abstractNumId="61">
    <w:nsid w:val="A3249687"/>
    <w:multiLevelType w:val="singleLevel"/>
    <w:tmpl w:val="A3249687"/>
    <w:lvl w:ilvl="0" w:tentative="0">
      <w:start w:val="1"/>
      <w:numFmt w:val="decimal"/>
      <w:lvlText w:val="%1)"/>
      <w:lvlJc w:val="left"/>
      <w:pPr>
        <w:ind w:left="425" w:hanging="425"/>
      </w:pPr>
      <w:rPr>
        <w:rFonts w:hint="default"/>
      </w:rPr>
    </w:lvl>
  </w:abstractNum>
  <w:abstractNum w:abstractNumId="62">
    <w:nsid w:val="A419CFBE"/>
    <w:multiLevelType w:val="singleLevel"/>
    <w:tmpl w:val="A419CFBE"/>
    <w:lvl w:ilvl="0" w:tentative="0">
      <w:start w:val="1"/>
      <w:numFmt w:val="decimal"/>
      <w:suff w:val="nothing"/>
      <w:lvlText w:val="%1．"/>
      <w:lvlJc w:val="left"/>
      <w:pPr>
        <w:ind w:left="0" w:firstLine="400"/>
      </w:pPr>
      <w:rPr>
        <w:rFonts w:hint="default"/>
      </w:rPr>
    </w:lvl>
  </w:abstractNum>
  <w:abstractNum w:abstractNumId="63">
    <w:nsid w:val="A441EAD8"/>
    <w:multiLevelType w:val="singleLevel"/>
    <w:tmpl w:val="A441EAD8"/>
    <w:lvl w:ilvl="0" w:tentative="0">
      <w:start w:val="1"/>
      <w:numFmt w:val="decimal"/>
      <w:suff w:val="nothing"/>
      <w:lvlText w:val="%1．"/>
      <w:lvlJc w:val="left"/>
      <w:pPr>
        <w:ind w:left="0" w:firstLine="400"/>
      </w:pPr>
      <w:rPr>
        <w:rFonts w:hint="default"/>
      </w:rPr>
    </w:lvl>
  </w:abstractNum>
  <w:abstractNum w:abstractNumId="64">
    <w:nsid w:val="A7CAD21E"/>
    <w:multiLevelType w:val="singleLevel"/>
    <w:tmpl w:val="A7CAD21E"/>
    <w:lvl w:ilvl="0" w:tentative="0">
      <w:start w:val="1"/>
      <w:numFmt w:val="chineseCounting"/>
      <w:suff w:val="nothing"/>
      <w:lvlText w:val="%1、"/>
      <w:lvlJc w:val="left"/>
      <w:pPr>
        <w:ind w:left="0" w:firstLine="420"/>
      </w:pPr>
      <w:rPr>
        <w:rFonts w:hint="eastAsia"/>
      </w:rPr>
    </w:lvl>
  </w:abstractNum>
  <w:abstractNum w:abstractNumId="65">
    <w:nsid w:val="A7DF3571"/>
    <w:multiLevelType w:val="singleLevel"/>
    <w:tmpl w:val="A7DF3571"/>
    <w:lvl w:ilvl="0" w:tentative="0">
      <w:start w:val="1"/>
      <w:numFmt w:val="decimal"/>
      <w:suff w:val="nothing"/>
      <w:lvlText w:val="%1."/>
      <w:lvlJc w:val="left"/>
      <w:pPr>
        <w:ind w:left="0" w:firstLine="0"/>
      </w:pPr>
      <w:rPr>
        <w:rFonts w:hint="default"/>
      </w:rPr>
    </w:lvl>
  </w:abstractNum>
  <w:abstractNum w:abstractNumId="66">
    <w:nsid w:val="A7FED742"/>
    <w:multiLevelType w:val="singleLevel"/>
    <w:tmpl w:val="A7FED742"/>
    <w:lvl w:ilvl="0" w:tentative="0">
      <w:start w:val="1"/>
      <w:numFmt w:val="decimal"/>
      <w:lvlText w:val="%1)"/>
      <w:lvlJc w:val="left"/>
      <w:pPr>
        <w:ind w:left="425" w:hanging="425"/>
      </w:pPr>
      <w:rPr>
        <w:rFonts w:hint="default"/>
      </w:rPr>
    </w:lvl>
  </w:abstractNum>
  <w:abstractNum w:abstractNumId="67">
    <w:nsid w:val="A9816959"/>
    <w:multiLevelType w:val="singleLevel"/>
    <w:tmpl w:val="A9816959"/>
    <w:lvl w:ilvl="0" w:tentative="0">
      <w:start w:val="1"/>
      <w:numFmt w:val="decimal"/>
      <w:suff w:val="nothing"/>
      <w:lvlText w:val="%1．"/>
      <w:lvlJc w:val="left"/>
      <w:pPr>
        <w:ind w:left="0" w:firstLine="400"/>
      </w:pPr>
      <w:rPr>
        <w:rFonts w:hint="default"/>
      </w:rPr>
    </w:lvl>
  </w:abstractNum>
  <w:abstractNum w:abstractNumId="68">
    <w:nsid w:val="AA7105AC"/>
    <w:multiLevelType w:val="singleLevel"/>
    <w:tmpl w:val="AA7105AC"/>
    <w:lvl w:ilvl="0" w:tentative="0">
      <w:start w:val="1"/>
      <w:numFmt w:val="decimal"/>
      <w:suff w:val="nothing"/>
      <w:lvlText w:val="%1．"/>
      <w:lvlJc w:val="left"/>
      <w:pPr>
        <w:ind w:left="0" w:firstLine="0"/>
      </w:pPr>
      <w:rPr>
        <w:rFonts w:hint="default"/>
      </w:rPr>
    </w:lvl>
  </w:abstractNum>
  <w:abstractNum w:abstractNumId="69">
    <w:nsid w:val="AA86CA05"/>
    <w:multiLevelType w:val="singleLevel"/>
    <w:tmpl w:val="AA86CA05"/>
    <w:lvl w:ilvl="0" w:tentative="0">
      <w:start w:val="1"/>
      <w:numFmt w:val="decimal"/>
      <w:lvlText w:val="%1."/>
      <w:lvlJc w:val="left"/>
      <w:pPr>
        <w:ind w:left="425" w:hanging="425"/>
      </w:pPr>
      <w:rPr>
        <w:rFonts w:hint="default"/>
      </w:rPr>
    </w:lvl>
  </w:abstractNum>
  <w:abstractNum w:abstractNumId="70">
    <w:nsid w:val="AABA54F1"/>
    <w:multiLevelType w:val="singleLevel"/>
    <w:tmpl w:val="AABA54F1"/>
    <w:lvl w:ilvl="0" w:tentative="0">
      <w:start w:val="1"/>
      <w:numFmt w:val="decimal"/>
      <w:lvlText w:val="%1)"/>
      <w:lvlJc w:val="left"/>
      <w:pPr>
        <w:ind w:left="425" w:hanging="425"/>
      </w:pPr>
      <w:rPr>
        <w:rFonts w:hint="default"/>
      </w:rPr>
    </w:lvl>
  </w:abstractNum>
  <w:abstractNum w:abstractNumId="71">
    <w:nsid w:val="AB6D3F3B"/>
    <w:multiLevelType w:val="singleLevel"/>
    <w:tmpl w:val="AB6D3F3B"/>
    <w:lvl w:ilvl="0" w:tentative="0">
      <w:start w:val="1"/>
      <w:numFmt w:val="decimal"/>
      <w:suff w:val="nothing"/>
      <w:lvlText w:val="%1．"/>
      <w:lvlJc w:val="left"/>
      <w:pPr>
        <w:ind w:left="0" w:firstLine="400"/>
      </w:pPr>
      <w:rPr>
        <w:rFonts w:hint="default"/>
      </w:rPr>
    </w:lvl>
  </w:abstractNum>
  <w:abstractNum w:abstractNumId="72">
    <w:nsid w:val="ABFF3149"/>
    <w:multiLevelType w:val="singleLevel"/>
    <w:tmpl w:val="ABFF3149"/>
    <w:lvl w:ilvl="0" w:tentative="0">
      <w:start w:val="1"/>
      <w:numFmt w:val="chineseCounting"/>
      <w:suff w:val="nothing"/>
      <w:lvlText w:val="%1、"/>
      <w:lvlJc w:val="left"/>
      <w:pPr>
        <w:ind w:left="0" w:firstLine="420"/>
      </w:pPr>
      <w:rPr>
        <w:rFonts w:hint="eastAsia"/>
      </w:rPr>
    </w:lvl>
  </w:abstractNum>
  <w:abstractNum w:abstractNumId="73">
    <w:nsid w:val="ACA95C59"/>
    <w:multiLevelType w:val="singleLevel"/>
    <w:tmpl w:val="ACA95C59"/>
    <w:lvl w:ilvl="0" w:tentative="0">
      <w:start w:val="1"/>
      <w:numFmt w:val="decimal"/>
      <w:suff w:val="nothing"/>
      <w:lvlText w:val="%1．"/>
      <w:lvlJc w:val="left"/>
      <w:pPr>
        <w:ind w:left="0" w:firstLine="400"/>
      </w:pPr>
      <w:rPr>
        <w:rFonts w:hint="default"/>
      </w:rPr>
    </w:lvl>
  </w:abstractNum>
  <w:abstractNum w:abstractNumId="74">
    <w:nsid w:val="ACC5BFCA"/>
    <w:multiLevelType w:val="singleLevel"/>
    <w:tmpl w:val="ACC5BFCA"/>
    <w:lvl w:ilvl="0" w:tentative="0">
      <w:start w:val="1"/>
      <w:numFmt w:val="decimal"/>
      <w:lvlText w:val="%1."/>
      <w:lvlJc w:val="left"/>
      <w:pPr>
        <w:ind w:left="425" w:hanging="425"/>
      </w:pPr>
      <w:rPr>
        <w:rFonts w:hint="default"/>
      </w:rPr>
    </w:lvl>
  </w:abstractNum>
  <w:abstractNum w:abstractNumId="75">
    <w:nsid w:val="ACFC8574"/>
    <w:multiLevelType w:val="singleLevel"/>
    <w:tmpl w:val="ACFC8574"/>
    <w:lvl w:ilvl="0" w:tentative="0">
      <w:start w:val="1"/>
      <w:numFmt w:val="decimal"/>
      <w:suff w:val="nothing"/>
      <w:lvlText w:val="%1．"/>
      <w:lvlJc w:val="left"/>
      <w:pPr>
        <w:ind w:left="0" w:firstLine="567"/>
      </w:pPr>
      <w:rPr>
        <w:rFonts w:hint="default"/>
      </w:rPr>
    </w:lvl>
  </w:abstractNum>
  <w:abstractNum w:abstractNumId="76">
    <w:nsid w:val="AE747E26"/>
    <w:multiLevelType w:val="singleLevel"/>
    <w:tmpl w:val="AE747E26"/>
    <w:lvl w:ilvl="0" w:tentative="0">
      <w:start w:val="1"/>
      <w:numFmt w:val="decimal"/>
      <w:suff w:val="nothing"/>
      <w:lvlText w:val="%1．"/>
      <w:lvlJc w:val="left"/>
      <w:pPr>
        <w:ind w:left="0" w:firstLine="400"/>
      </w:pPr>
      <w:rPr>
        <w:rFonts w:hint="default"/>
      </w:rPr>
    </w:lvl>
  </w:abstractNum>
  <w:abstractNum w:abstractNumId="77">
    <w:nsid w:val="AF2D27AF"/>
    <w:multiLevelType w:val="singleLevel"/>
    <w:tmpl w:val="AF2D27AF"/>
    <w:lvl w:ilvl="0" w:tentative="0">
      <w:start w:val="1"/>
      <w:numFmt w:val="chineseCounting"/>
      <w:suff w:val="nothing"/>
      <w:lvlText w:val="%1、"/>
      <w:lvlJc w:val="left"/>
      <w:pPr>
        <w:ind w:left="0" w:firstLine="420"/>
      </w:pPr>
      <w:rPr>
        <w:rFonts w:hint="eastAsia"/>
      </w:rPr>
    </w:lvl>
  </w:abstractNum>
  <w:abstractNum w:abstractNumId="78">
    <w:nsid w:val="AF409148"/>
    <w:multiLevelType w:val="singleLevel"/>
    <w:tmpl w:val="AF409148"/>
    <w:lvl w:ilvl="0" w:tentative="0">
      <w:start w:val="1"/>
      <w:numFmt w:val="decimal"/>
      <w:suff w:val="nothing"/>
      <w:lvlText w:val="%1．"/>
      <w:lvlJc w:val="left"/>
      <w:pPr>
        <w:ind w:left="0" w:firstLine="400"/>
      </w:pPr>
      <w:rPr>
        <w:rFonts w:hint="default"/>
      </w:rPr>
    </w:lvl>
  </w:abstractNum>
  <w:abstractNum w:abstractNumId="79">
    <w:nsid w:val="AF468211"/>
    <w:multiLevelType w:val="singleLevel"/>
    <w:tmpl w:val="AF468211"/>
    <w:lvl w:ilvl="0" w:tentative="0">
      <w:start w:val="1"/>
      <w:numFmt w:val="chineseCounting"/>
      <w:suff w:val="nothing"/>
      <w:lvlText w:val="%1、"/>
      <w:lvlJc w:val="left"/>
      <w:pPr>
        <w:ind w:left="0" w:firstLine="420"/>
      </w:pPr>
      <w:rPr>
        <w:rFonts w:hint="eastAsia"/>
      </w:rPr>
    </w:lvl>
  </w:abstractNum>
  <w:abstractNum w:abstractNumId="80">
    <w:nsid w:val="AFCBFEEB"/>
    <w:multiLevelType w:val="singleLevel"/>
    <w:tmpl w:val="AFCBFEEB"/>
    <w:lvl w:ilvl="0" w:tentative="0">
      <w:start w:val="1"/>
      <w:numFmt w:val="decimal"/>
      <w:suff w:val="nothing"/>
      <w:lvlText w:val="%1．"/>
      <w:lvlJc w:val="left"/>
      <w:pPr>
        <w:ind w:left="0" w:firstLine="400"/>
      </w:pPr>
      <w:rPr>
        <w:rFonts w:hint="default"/>
      </w:rPr>
    </w:lvl>
  </w:abstractNum>
  <w:abstractNum w:abstractNumId="81">
    <w:nsid w:val="B03276ED"/>
    <w:multiLevelType w:val="singleLevel"/>
    <w:tmpl w:val="B03276ED"/>
    <w:lvl w:ilvl="0" w:tentative="0">
      <w:start w:val="1"/>
      <w:numFmt w:val="decimal"/>
      <w:suff w:val="nothing"/>
      <w:lvlText w:val="%1."/>
      <w:lvlJc w:val="left"/>
      <w:pPr>
        <w:ind w:left="0" w:firstLine="0"/>
      </w:pPr>
      <w:rPr>
        <w:rFonts w:hint="default"/>
      </w:rPr>
    </w:lvl>
  </w:abstractNum>
  <w:abstractNum w:abstractNumId="82">
    <w:nsid w:val="B29D77C9"/>
    <w:multiLevelType w:val="singleLevel"/>
    <w:tmpl w:val="B29D77C9"/>
    <w:lvl w:ilvl="0" w:tentative="0">
      <w:start w:val="1"/>
      <w:numFmt w:val="decimal"/>
      <w:lvlText w:val="%1)"/>
      <w:lvlJc w:val="left"/>
      <w:pPr>
        <w:ind w:left="425" w:hanging="425"/>
      </w:pPr>
      <w:rPr>
        <w:rFonts w:hint="default"/>
      </w:rPr>
    </w:lvl>
  </w:abstractNum>
  <w:abstractNum w:abstractNumId="83">
    <w:nsid w:val="B3A0864F"/>
    <w:multiLevelType w:val="singleLevel"/>
    <w:tmpl w:val="B3A0864F"/>
    <w:lvl w:ilvl="0" w:tentative="0">
      <w:start w:val="1"/>
      <w:numFmt w:val="decimal"/>
      <w:suff w:val="nothing"/>
      <w:lvlText w:val="%1．"/>
      <w:lvlJc w:val="left"/>
      <w:pPr>
        <w:ind w:left="0" w:firstLine="400"/>
      </w:pPr>
      <w:rPr>
        <w:rFonts w:hint="default"/>
      </w:rPr>
    </w:lvl>
  </w:abstractNum>
  <w:abstractNum w:abstractNumId="84">
    <w:nsid w:val="B4CD2ED1"/>
    <w:multiLevelType w:val="singleLevel"/>
    <w:tmpl w:val="B4CD2ED1"/>
    <w:lvl w:ilvl="0" w:tentative="0">
      <w:start w:val="1"/>
      <w:numFmt w:val="decimal"/>
      <w:suff w:val="nothing"/>
      <w:lvlText w:val="%1．"/>
      <w:lvlJc w:val="left"/>
      <w:pPr>
        <w:ind w:left="0" w:firstLine="400"/>
      </w:pPr>
      <w:rPr>
        <w:rFonts w:hint="default"/>
      </w:rPr>
    </w:lvl>
  </w:abstractNum>
  <w:abstractNum w:abstractNumId="85">
    <w:nsid w:val="B567C2EA"/>
    <w:multiLevelType w:val="singleLevel"/>
    <w:tmpl w:val="B567C2EA"/>
    <w:lvl w:ilvl="0" w:tentative="0">
      <w:start w:val="1"/>
      <w:numFmt w:val="chineseCounting"/>
      <w:suff w:val="nothing"/>
      <w:lvlText w:val="%1、"/>
      <w:lvlJc w:val="left"/>
      <w:pPr>
        <w:ind w:left="0" w:firstLine="420"/>
      </w:pPr>
      <w:rPr>
        <w:rFonts w:hint="eastAsia"/>
      </w:rPr>
    </w:lvl>
  </w:abstractNum>
  <w:abstractNum w:abstractNumId="86">
    <w:nsid w:val="B5C667AB"/>
    <w:multiLevelType w:val="singleLevel"/>
    <w:tmpl w:val="B5C667AB"/>
    <w:lvl w:ilvl="0" w:tentative="0">
      <w:start w:val="1"/>
      <w:numFmt w:val="decimal"/>
      <w:lvlText w:val="%1)"/>
      <w:lvlJc w:val="left"/>
      <w:pPr>
        <w:ind w:left="425" w:hanging="425"/>
      </w:pPr>
      <w:rPr>
        <w:rFonts w:hint="default"/>
      </w:rPr>
    </w:lvl>
  </w:abstractNum>
  <w:abstractNum w:abstractNumId="87">
    <w:nsid w:val="B72931A0"/>
    <w:multiLevelType w:val="singleLevel"/>
    <w:tmpl w:val="B72931A0"/>
    <w:lvl w:ilvl="0" w:tentative="0">
      <w:start w:val="1"/>
      <w:numFmt w:val="chineseCounting"/>
      <w:suff w:val="nothing"/>
      <w:lvlText w:val="%1、"/>
      <w:lvlJc w:val="left"/>
      <w:pPr>
        <w:ind w:left="0" w:firstLine="420"/>
      </w:pPr>
      <w:rPr>
        <w:rFonts w:hint="eastAsia"/>
      </w:rPr>
    </w:lvl>
  </w:abstractNum>
  <w:abstractNum w:abstractNumId="88">
    <w:nsid w:val="B7D8CF1E"/>
    <w:multiLevelType w:val="singleLevel"/>
    <w:tmpl w:val="B7D8CF1E"/>
    <w:lvl w:ilvl="0" w:tentative="0">
      <w:start w:val="1"/>
      <w:numFmt w:val="decimal"/>
      <w:suff w:val="nothing"/>
      <w:lvlText w:val="%1．"/>
      <w:lvlJc w:val="left"/>
      <w:pPr>
        <w:ind w:left="0" w:firstLine="400"/>
      </w:pPr>
      <w:rPr>
        <w:rFonts w:hint="default"/>
      </w:rPr>
    </w:lvl>
  </w:abstractNum>
  <w:abstractNum w:abstractNumId="89">
    <w:nsid w:val="BA20E000"/>
    <w:multiLevelType w:val="singleLevel"/>
    <w:tmpl w:val="BA20E000"/>
    <w:lvl w:ilvl="0" w:tentative="0">
      <w:start w:val="1"/>
      <w:numFmt w:val="chineseCounting"/>
      <w:suff w:val="nothing"/>
      <w:lvlText w:val="%1、"/>
      <w:lvlJc w:val="left"/>
      <w:pPr>
        <w:ind w:left="0" w:firstLine="420"/>
      </w:pPr>
      <w:rPr>
        <w:rFonts w:hint="eastAsia"/>
      </w:rPr>
    </w:lvl>
  </w:abstractNum>
  <w:abstractNum w:abstractNumId="90">
    <w:nsid w:val="BA76425B"/>
    <w:multiLevelType w:val="singleLevel"/>
    <w:tmpl w:val="BA76425B"/>
    <w:lvl w:ilvl="0" w:tentative="0">
      <w:start w:val="1"/>
      <w:numFmt w:val="decimal"/>
      <w:suff w:val="nothing"/>
      <w:lvlText w:val="%1."/>
      <w:lvlJc w:val="left"/>
      <w:pPr>
        <w:ind w:left="454" w:hanging="454"/>
      </w:pPr>
      <w:rPr>
        <w:rFonts w:hint="default"/>
      </w:rPr>
    </w:lvl>
  </w:abstractNum>
  <w:abstractNum w:abstractNumId="91">
    <w:nsid w:val="BA93A3E1"/>
    <w:multiLevelType w:val="singleLevel"/>
    <w:tmpl w:val="BA93A3E1"/>
    <w:lvl w:ilvl="0" w:tentative="0">
      <w:start w:val="1"/>
      <w:numFmt w:val="chineseCounting"/>
      <w:suff w:val="nothing"/>
      <w:lvlText w:val="%1、"/>
      <w:lvlJc w:val="left"/>
      <w:pPr>
        <w:ind w:left="0" w:firstLine="420"/>
      </w:pPr>
      <w:rPr>
        <w:rFonts w:hint="eastAsia"/>
      </w:rPr>
    </w:lvl>
  </w:abstractNum>
  <w:abstractNum w:abstractNumId="92">
    <w:nsid w:val="BABB90D0"/>
    <w:multiLevelType w:val="singleLevel"/>
    <w:tmpl w:val="BABB90D0"/>
    <w:lvl w:ilvl="0" w:tentative="0">
      <w:start w:val="1"/>
      <w:numFmt w:val="chineseCounting"/>
      <w:suff w:val="nothing"/>
      <w:lvlText w:val="%1、"/>
      <w:lvlJc w:val="left"/>
      <w:pPr>
        <w:ind w:left="0" w:firstLine="420"/>
      </w:pPr>
      <w:rPr>
        <w:rFonts w:hint="eastAsia"/>
      </w:rPr>
    </w:lvl>
  </w:abstractNum>
  <w:abstractNum w:abstractNumId="93">
    <w:nsid w:val="BB56DDDA"/>
    <w:multiLevelType w:val="singleLevel"/>
    <w:tmpl w:val="BB56DDDA"/>
    <w:lvl w:ilvl="0" w:tentative="0">
      <w:start w:val="20"/>
      <w:numFmt w:val="decimal"/>
      <w:lvlText w:val="%1."/>
      <w:lvlJc w:val="left"/>
      <w:pPr>
        <w:tabs>
          <w:tab w:val="left" w:pos="312"/>
        </w:tabs>
      </w:pPr>
    </w:lvl>
  </w:abstractNum>
  <w:abstractNum w:abstractNumId="94">
    <w:nsid w:val="BB90EAFD"/>
    <w:multiLevelType w:val="singleLevel"/>
    <w:tmpl w:val="BB90EAFD"/>
    <w:lvl w:ilvl="0" w:tentative="0">
      <w:start w:val="1"/>
      <w:numFmt w:val="decimal"/>
      <w:suff w:val="nothing"/>
      <w:lvlText w:val="%1．"/>
      <w:lvlJc w:val="left"/>
      <w:pPr>
        <w:ind w:left="0" w:firstLine="400"/>
      </w:pPr>
      <w:rPr>
        <w:rFonts w:hint="default"/>
      </w:rPr>
    </w:lvl>
  </w:abstractNum>
  <w:abstractNum w:abstractNumId="95">
    <w:nsid w:val="BC2808F2"/>
    <w:multiLevelType w:val="singleLevel"/>
    <w:tmpl w:val="BC2808F2"/>
    <w:lvl w:ilvl="0" w:tentative="0">
      <w:start w:val="1"/>
      <w:numFmt w:val="decimal"/>
      <w:suff w:val="nothing"/>
      <w:lvlText w:val="%1．"/>
      <w:lvlJc w:val="left"/>
      <w:pPr>
        <w:ind w:left="0" w:firstLine="400"/>
      </w:pPr>
      <w:rPr>
        <w:rFonts w:hint="default"/>
      </w:rPr>
    </w:lvl>
  </w:abstractNum>
  <w:abstractNum w:abstractNumId="96">
    <w:nsid w:val="BCF0CE83"/>
    <w:multiLevelType w:val="singleLevel"/>
    <w:tmpl w:val="BCF0CE83"/>
    <w:lvl w:ilvl="0" w:tentative="0">
      <w:start w:val="1"/>
      <w:numFmt w:val="decimal"/>
      <w:lvlText w:val="%1)"/>
      <w:lvlJc w:val="left"/>
      <w:pPr>
        <w:ind w:left="425" w:hanging="425"/>
      </w:pPr>
      <w:rPr>
        <w:rFonts w:hint="default"/>
      </w:rPr>
    </w:lvl>
  </w:abstractNum>
  <w:abstractNum w:abstractNumId="97">
    <w:nsid w:val="BD2C95F0"/>
    <w:multiLevelType w:val="singleLevel"/>
    <w:tmpl w:val="BD2C95F0"/>
    <w:lvl w:ilvl="0" w:tentative="0">
      <w:start w:val="1"/>
      <w:numFmt w:val="decimal"/>
      <w:suff w:val="nothing"/>
      <w:lvlText w:val="%1．"/>
      <w:lvlJc w:val="left"/>
      <w:pPr>
        <w:ind w:left="0" w:firstLine="400"/>
      </w:pPr>
      <w:rPr>
        <w:rFonts w:hint="default"/>
      </w:rPr>
    </w:lvl>
  </w:abstractNum>
  <w:abstractNum w:abstractNumId="98">
    <w:nsid w:val="BD41BC08"/>
    <w:multiLevelType w:val="singleLevel"/>
    <w:tmpl w:val="BD41BC08"/>
    <w:lvl w:ilvl="0" w:tentative="0">
      <w:start w:val="1"/>
      <w:numFmt w:val="decimal"/>
      <w:lvlText w:val="%1)"/>
      <w:lvlJc w:val="left"/>
      <w:pPr>
        <w:ind w:left="425" w:hanging="425"/>
      </w:pPr>
      <w:rPr>
        <w:rFonts w:hint="default"/>
      </w:rPr>
    </w:lvl>
  </w:abstractNum>
  <w:abstractNum w:abstractNumId="99">
    <w:nsid w:val="BDD30C6E"/>
    <w:multiLevelType w:val="singleLevel"/>
    <w:tmpl w:val="BDD30C6E"/>
    <w:lvl w:ilvl="0" w:tentative="0">
      <w:start w:val="1"/>
      <w:numFmt w:val="decimal"/>
      <w:lvlText w:val="%1)"/>
      <w:lvlJc w:val="left"/>
      <w:pPr>
        <w:ind w:left="425" w:hanging="425"/>
      </w:pPr>
      <w:rPr>
        <w:rFonts w:hint="default"/>
      </w:rPr>
    </w:lvl>
  </w:abstractNum>
  <w:abstractNum w:abstractNumId="100">
    <w:nsid w:val="BE0BE21B"/>
    <w:multiLevelType w:val="singleLevel"/>
    <w:tmpl w:val="BE0BE21B"/>
    <w:lvl w:ilvl="0" w:tentative="0">
      <w:start w:val="1"/>
      <w:numFmt w:val="decimal"/>
      <w:lvlText w:val="%1."/>
      <w:lvlJc w:val="left"/>
      <w:pPr>
        <w:ind w:left="425" w:hanging="425"/>
      </w:pPr>
      <w:rPr>
        <w:rFonts w:hint="default"/>
      </w:rPr>
    </w:lvl>
  </w:abstractNum>
  <w:abstractNum w:abstractNumId="101">
    <w:nsid w:val="BE8C85F0"/>
    <w:multiLevelType w:val="singleLevel"/>
    <w:tmpl w:val="BE8C85F0"/>
    <w:lvl w:ilvl="0" w:tentative="0">
      <w:start w:val="1"/>
      <w:numFmt w:val="decimal"/>
      <w:suff w:val="nothing"/>
      <w:lvlText w:val="%1．"/>
      <w:lvlJc w:val="left"/>
      <w:pPr>
        <w:ind w:left="0" w:firstLine="400"/>
      </w:pPr>
      <w:rPr>
        <w:rFonts w:hint="default"/>
      </w:rPr>
    </w:lvl>
  </w:abstractNum>
  <w:abstractNum w:abstractNumId="102">
    <w:nsid w:val="BEBA2AC5"/>
    <w:multiLevelType w:val="singleLevel"/>
    <w:tmpl w:val="BEBA2AC5"/>
    <w:lvl w:ilvl="0" w:tentative="0">
      <w:start w:val="1"/>
      <w:numFmt w:val="decimal"/>
      <w:suff w:val="nothing"/>
      <w:lvlText w:val="%1."/>
      <w:lvlJc w:val="left"/>
      <w:pPr>
        <w:ind w:left="0" w:firstLine="0"/>
      </w:pPr>
      <w:rPr>
        <w:rFonts w:hint="default"/>
      </w:rPr>
    </w:lvl>
  </w:abstractNum>
  <w:abstractNum w:abstractNumId="103">
    <w:nsid w:val="BEDEFE3C"/>
    <w:multiLevelType w:val="singleLevel"/>
    <w:tmpl w:val="BEDEFE3C"/>
    <w:lvl w:ilvl="0" w:tentative="0">
      <w:start w:val="1"/>
      <w:numFmt w:val="decimal"/>
      <w:suff w:val="nothing"/>
      <w:lvlText w:val="%1)"/>
      <w:lvlJc w:val="left"/>
      <w:pPr>
        <w:ind w:left="454" w:hanging="454"/>
      </w:pPr>
      <w:rPr>
        <w:rFonts w:hint="default"/>
      </w:rPr>
    </w:lvl>
  </w:abstractNum>
  <w:abstractNum w:abstractNumId="104">
    <w:nsid w:val="BF9E31FA"/>
    <w:multiLevelType w:val="singleLevel"/>
    <w:tmpl w:val="BF9E31FA"/>
    <w:lvl w:ilvl="0" w:tentative="0">
      <w:start w:val="1"/>
      <w:numFmt w:val="decimal"/>
      <w:lvlText w:val="%1)"/>
      <w:lvlJc w:val="left"/>
      <w:pPr>
        <w:ind w:left="425" w:hanging="425"/>
      </w:pPr>
      <w:rPr>
        <w:rFonts w:hint="default"/>
      </w:rPr>
    </w:lvl>
  </w:abstractNum>
  <w:abstractNum w:abstractNumId="105">
    <w:nsid w:val="BFBF4AD8"/>
    <w:multiLevelType w:val="singleLevel"/>
    <w:tmpl w:val="BFBF4AD8"/>
    <w:lvl w:ilvl="0" w:tentative="0">
      <w:start w:val="1"/>
      <w:numFmt w:val="chineseCounting"/>
      <w:suff w:val="nothing"/>
      <w:lvlText w:val="%1、"/>
      <w:lvlJc w:val="left"/>
      <w:pPr>
        <w:ind w:left="0" w:firstLine="420"/>
      </w:pPr>
      <w:rPr>
        <w:rFonts w:hint="eastAsia"/>
      </w:rPr>
    </w:lvl>
  </w:abstractNum>
  <w:abstractNum w:abstractNumId="106">
    <w:nsid w:val="BFD890D5"/>
    <w:multiLevelType w:val="singleLevel"/>
    <w:tmpl w:val="BFD890D5"/>
    <w:lvl w:ilvl="0" w:tentative="0">
      <w:start w:val="1"/>
      <w:numFmt w:val="chineseCounting"/>
      <w:suff w:val="nothing"/>
      <w:lvlText w:val="%1、"/>
      <w:lvlJc w:val="left"/>
      <w:pPr>
        <w:ind w:left="0" w:firstLine="420"/>
      </w:pPr>
      <w:rPr>
        <w:rFonts w:hint="eastAsia"/>
      </w:rPr>
    </w:lvl>
  </w:abstractNum>
  <w:abstractNum w:abstractNumId="107">
    <w:nsid w:val="C09BD62C"/>
    <w:multiLevelType w:val="singleLevel"/>
    <w:tmpl w:val="C09BD62C"/>
    <w:lvl w:ilvl="0" w:tentative="0">
      <w:start w:val="1"/>
      <w:numFmt w:val="decimal"/>
      <w:lvlText w:val="%1."/>
      <w:lvlJc w:val="left"/>
      <w:pPr>
        <w:ind w:left="425" w:hanging="425"/>
      </w:pPr>
      <w:rPr>
        <w:rFonts w:hint="default"/>
      </w:rPr>
    </w:lvl>
  </w:abstractNum>
  <w:abstractNum w:abstractNumId="108">
    <w:nsid w:val="C127E192"/>
    <w:multiLevelType w:val="singleLevel"/>
    <w:tmpl w:val="C127E192"/>
    <w:lvl w:ilvl="0" w:tentative="0">
      <w:start w:val="1"/>
      <w:numFmt w:val="decimal"/>
      <w:suff w:val="nothing"/>
      <w:lvlText w:val="%1．"/>
      <w:lvlJc w:val="left"/>
      <w:pPr>
        <w:ind w:left="0" w:firstLine="400"/>
      </w:pPr>
      <w:rPr>
        <w:rFonts w:hint="default"/>
      </w:rPr>
    </w:lvl>
  </w:abstractNum>
  <w:abstractNum w:abstractNumId="109">
    <w:nsid w:val="C24A8A92"/>
    <w:multiLevelType w:val="singleLevel"/>
    <w:tmpl w:val="C24A8A92"/>
    <w:lvl w:ilvl="0" w:tentative="0">
      <w:start w:val="1"/>
      <w:numFmt w:val="chineseCounting"/>
      <w:suff w:val="nothing"/>
      <w:lvlText w:val="%1、"/>
      <w:lvlJc w:val="left"/>
      <w:pPr>
        <w:ind w:left="0" w:firstLine="420"/>
      </w:pPr>
      <w:rPr>
        <w:rFonts w:hint="eastAsia"/>
      </w:rPr>
    </w:lvl>
  </w:abstractNum>
  <w:abstractNum w:abstractNumId="110">
    <w:nsid w:val="C448783B"/>
    <w:multiLevelType w:val="singleLevel"/>
    <w:tmpl w:val="C448783B"/>
    <w:lvl w:ilvl="0" w:tentative="0">
      <w:start w:val="1"/>
      <w:numFmt w:val="decimal"/>
      <w:lvlText w:val="%1."/>
      <w:lvlJc w:val="left"/>
      <w:pPr>
        <w:ind w:left="425" w:hanging="425"/>
      </w:pPr>
      <w:rPr>
        <w:rFonts w:hint="default"/>
      </w:rPr>
    </w:lvl>
  </w:abstractNum>
  <w:abstractNum w:abstractNumId="111">
    <w:nsid w:val="C618DF27"/>
    <w:multiLevelType w:val="singleLevel"/>
    <w:tmpl w:val="C618DF27"/>
    <w:lvl w:ilvl="0" w:tentative="0">
      <w:start w:val="1"/>
      <w:numFmt w:val="decimal"/>
      <w:suff w:val="nothing"/>
      <w:lvlText w:val="%1."/>
      <w:lvlJc w:val="left"/>
      <w:pPr>
        <w:ind w:left="0" w:firstLine="0"/>
      </w:pPr>
      <w:rPr>
        <w:rFonts w:hint="default"/>
      </w:rPr>
    </w:lvl>
  </w:abstractNum>
  <w:abstractNum w:abstractNumId="112">
    <w:nsid w:val="C631BB1B"/>
    <w:multiLevelType w:val="singleLevel"/>
    <w:tmpl w:val="C631BB1B"/>
    <w:lvl w:ilvl="0" w:tentative="0">
      <w:start w:val="1"/>
      <w:numFmt w:val="decimal"/>
      <w:suff w:val="nothing"/>
      <w:lvlText w:val="%1．"/>
      <w:lvlJc w:val="left"/>
      <w:pPr>
        <w:ind w:left="0" w:firstLine="400"/>
      </w:pPr>
      <w:rPr>
        <w:rFonts w:hint="default"/>
      </w:rPr>
    </w:lvl>
  </w:abstractNum>
  <w:abstractNum w:abstractNumId="113">
    <w:nsid w:val="C66E5518"/>
    <w:multiLevelType w:val="singleLevel"/>
    <w:tmpl w:val="C66E5518"/>
    <w:lvl w:ilvl="0" w:tentative="0">
      <w:start w:val="1"/>
      <w:numFmt w:val="decimal"/>
      <w:lvlText w:val="%1)"/>
      <w:lvlJc w:val="left"/>
      <w:pPr>
        <w:ind w:left="425" w:hanging="425"/>
      </w:pPr>
      <w:rPr>
        <w:rFonts w:hint="default"/>
      </w:rPr>
    </w:lvl>
  </w:abstractNum>
  <w:abstractNum w:abstractNumId="114">
    <w:nsid w:val="C72AA5D2"/>
    <w:multiLevelType w:val="singleLevel"/>
    <w:tmpl w:val="C72AA5D2"/>
    <w:lvl w:ilvl="0" w:tentative="0">
      <w:start w:val="1"/>
      <w:numFmt w:val="chineseCounting"/>
      <w:suff w:val="nothing"/>
      <w:lvlText w:val="%1、"/>
      <w:lvlJc w:val="left"/>
      <w:pPr>
        <w:ind w:left="0" w:firstLine="420"/>
      </w:pPr>
      <w:rPr>
        <w:rFonts w:hint="eastAsia"/>
      </w:rPr>
    </w:lvl>
  </w:abstractNum>
  <w:abstractNum w:abstractNumId="115">
    <w:nsid w:val="C85749D1"/>
    <w:multiLevelType w:val="singleLevel"/>
    <w:tmpl w:val="C85749D1"/>
    <w:lvl w:ilvl="0" w:tentative="0">
      <w:start w:val="1"/>
      <w:numFmt w:val="decimal"/>
      <w:suff w:val="nothing"/>
      <w:lvlText w:val="%1．"/>
      <w:lvlJc w:val="left"/>
      <w:pPr>
        <w:ind w:left="0" w:firstLine="400"/>
      </w:pPr>
      <w:rPr>
        <w:rFonts w:hint="default"/>
      </w:rPr>
    </w:lvl>
  </w:abstractNum>
  <w:abstractNum w:abstractNumId="116">
    <w:nsid w:val="C9786DA5"/>
    <w:multiLevelType w:val="singleLevel"/>
    <w:tmpl w:val="C9786DA5"/>
    <w:lvl w:ilvl="0" w:tentative="0">
      <w:start w:val="1"/>
      <w:numFmt w:val="decimal"/>
      <w:suff w:val="nothing"/>
      <w:lvlText w:val="%1．"/>
      <w:lvlJc w:val="left"/>
      <w:pPr>
        <w:ind w:left="0" w:firstLine="400"/>
      </w:pPr>
      <w:rPr>
        <w:rFonts w:hint="default"/>
      </w:rPr>
    </w:lvl>
  </w:abstractNum>
  <w:abstractNum w:abstractNumId="117">
    <w:nsid w:val="C9CBE8A3"/>
    <w:multiLevelType w:val="singleLevel"/>
    <w:tmpl w:val="C9CBE8A3"/>
    <w:lvl w:ilvl="0" w:tentative="0">
      <w:start w:val="1"/>
      <w:numFmt w:val="decimal"/>
      <w:lvlText w:val="%1)"/>
      <w:lvlJc w:val="left"/>
      <w:pPr>
        <w:ind w:left="425" w:hanging="425"/>
      </w:pPr>
      <w:rPr>
        <w:rFonts w:hint="default"/>
      </w:rPr>
    </w:lvl>
  </w:abstractNum>
  <w:abstractNum w:abstractNumId="118">
    <w:nsid w:val="CA9979C7"/>
    <w:multiLevelType w:val="singleLevel"/>
    <w:tmpl w:val="CA9979C7"/>
    <w:lvl w:ilvl="0" w:tentative="0">
      <w:start w:val="1"/>
      <w:numFmt w:val="decimal"/>
      <w:lvlText w:val="%1)"/>
      <w:lvlJc w:val="left"/>
      <w:pPr>
        <w:ind w:left="425" w:hanging="425"/>
      </w:pPr>
      <w:rPr>
        <w:rFonts w:hint="default"/>
      </w:rPr>
    </w:lvl>
  </w:abstractNum>
  <w:abstractNum w:abstractNumId="119">
    <w:nsid w:val="CDFD3D06"/>
    <w:multiLevelType w:val="singleLevel"/>
    <w:tmpl w:val="CDFD3D06"/>
    <w:lvl w:ilvl="0" w:tentative="0">
      <w:start w:val="1"/>
      <w:numFmt w:val="decimal"/>
      <w:suff w:val="nothing"/>
      <w:lvlText w:val="%1．"/>
      <w:lvlJc w:val="left"/>
      <w:pPr>
        <w:ind w:left="0" w:firstLine="400"/>
      </w:pPr>
      <w:rPr>
        <w:rFonts w:hint="default"/>
      </w:rPr>
    </w:lvl>
  </w:abstractNum>
  <w:abstractNum w:abstractNumId="120">
    <w:nsid w:val="CE29C5E2"/>
    <w:multiLevelType w:val="singleLevel"/>
    <w:tmpl w:val="CE29C5E2"/>
    <w:lvl w:ilvl="0" w:tentative="0">
      <w:start w:val="1"/>
      <w:numFmt w:val="chineseCounting"/>
      <w:suff w:val="nothing"/>
      <w:lvlText w:val="%1、"/>
      <w:lvlJc w:val="left"/>
      <w:pPr>
        <w:ind w:left="0" w:firstLine="420"/>
      </w:pPr>
      <w:rPr>
        <w:rFonts w:hint="eastAsia"/>
      </w:rPr>
    </w:lvl>
  </w:abstractNum>
  <w:abstractNum w:abstractNumId="121">
    <w:nsid w:val="CF04FE87"/>
    <w:multiLevelType w:val="singleLevel"/>
    <w:tmpl w:val="CF04FE87"/>
    <w:lvl w:ilvl="0" w:tentative="0">
      <w:start w:val="1"/>
      <w:numFmt w:val="decimal"/>
      <w:lvlText w:val="%1)"/>
      <w:lvlJc w:val="left"/>
      <w:pPr>
        <w:ind w:left="425" w:hanging="425"/>
      </w:pPr>
      <w:rPr>
        <w:rFonts w:hint="default"/>
      </w:rPr>
    </w:lvl>
  </w:abstractNum>
  <w:abstractNum w:abstractNumId="122">
    <w:nsid w:val="CF63253F"/>
    <w:multiLevelType w:val="singleLevel"/>
    <w:tmpl w:val="CF63253F"/>
    <w:lvl w:ilvl="0" w:tentative="0">
      <w:start w:val="1"/>
      <w:numFmt w:val="decimal"/>
      <w:lvlText w:val="%1)"/>
      <w:lvlJc w:val="left"/>
      <w:pPr>
        <w:ind w:left="425" w:hanging="425"/>
      </w:pPr>
      <w:rPr>
        <w:rFonts w:hint="default"/>
      </w:rPr>
    </w:lvl>
  </w:abstractNum>
  <w:abstractNum w:abstractNumId="123">
    <w:nsid w:val="D0687F61"/>
    <w:multiLevelType w:val="singleLevel"/>
    <w:tmpl w:val="D0687F61"/>
    <w:lvl w:ilvl="0" w:tentative="0">
      <w:start w:val="1"/>
      <w:numFmt w:val="decimal"/>
      <w:lvlText w:val="%1."/>
      <w:lvlJc w:val="left"/>
      <w:pPr>
        <w:ind w:left="425" w:hanging="425"/>
      </w:pPr>
      <w:rPr>
        <w:rFonts w:hint="default"/>
      </w:rPr>
    </w:lvl>
  </w:abstractNum>
  <w:abstractNum w:abstractNumId="124">
    <w:nsid w:val="D1321513"/>
    <w:multiLevelType w:val="singleLevel"/>
    <w:tmpl w:val="D1321513"/>
    <w:lvl w:ilvl="0" w:tentative="0">
      <w:start w:val="1"/>
      <w:numFmt w:val="chineseCounting"/>
      <w:suff w:val="nothing"/>
      <w:lvlText w:val="%1、"/>
      <w:lvlJc w:val="left"/>
      <w:pPr>
        <w:ind w:left="0" w:firstLine="420"/>
      </w:pPr>
      <w:rPr>
        <w:rFonts w:hint="eastAsia"/>
      </w:rPr>
    </w:lvl>
  </w:abstractNum>
  <w:abstractNum w:abstractNumId="125">
    <w:nsid w:val="D297E121"/>
    <w:multiLevelType w:val="singleLevel"/>
    <w:tmpl w:val="D297E121"/>
    <w:lvl w:ilvl="0" w:tentative="0">
      <w:start w:val="1"/>
      <w:numFmt w:val="decimal"/>
      <w:lvlText w:val="%1."/>
      <w:lvlJc w:val="left"/>
      <w:pPr>
        <w:ind w:left="425" w:hanging="425"/>
      </w:pPr>
      <w:rPr>
        <w:rFonts w:hint="default"/>
      </w:rPr>
    </w:lvl>
  </w:abstractNum>
  <w:abstractNum w:abstractNumId="126">
    <w:nsid w:val="D2CFBECB"/>
    <w:multiLevelType w:val="singleLevel"/>
    <w:tmpl w:val="D2CFBECB"/>
    <w:lvl w:ilvl="0" w:tentative="0">
      <w:start w:val="1"/>
      <w:numFmt w:val="decimal"/>
      <w:lvlText w:val="%1)"/>
      <w:lvlJc w:val="left"/>
      <w:pPr>
        <w:ind w:left="425" w:hanging="425"/>
      </w:pPr>
      <w:rPr>
        <w:rFonts w:hint="default"/>
      </w:rPr>
    </w:lvl>
  </w:abstractNum>
  <w:abstractNum w:abstractNumId="127">
    <w:nsid w:val="D3D55187"/>
    <w:multiLevelType w:val="singleLevel"/>
    <w:tmpl w:val="D3D55187"/>
    <w:lvl w:ilvl="0" w:tentative="0">
      <w:start w:val="1"/>
      <w:numFmt w:val="decimal"/>
      <w:suff w:val="nothing"/>
      <w:lvlText w:val="%1．"/>
      <w:lvlJc w:val="left"/>
      <w:pPr>
        <w:ind w:left="0" w:firstLine="400"/>
      </w:pPr>
      <w:rPr>
        <w:rFonts w:hint="default"/>
      </w:rPr>
    </w:lvl>
  </w:abstractNum>
  <w:abstractNum w:abstractNumId="128">
    <w:nsid w:val="D451EFB3"/>
    <w:multiLevelType w:val="singleLevel"/>
    <w:tmpl w:val="D451EFB3"/>
    <w:lvl w:ilvl="0" w:tentative="0">
      <w:start w:val="1"/>
      <w:numFmt w:val="decimal"/>
      <w:lvlText w:val="%1)"/>
      <w:lvlJc w:val="left"/>
      <w:pPr>
        <w:ind w:left="425" w:hanging="425"/>
      </w:pPr>
      <w:rPr>
        <w:rFonts w:hint="default"/>
      </w:rPr>
    </w:lvl>
  </w:abstractNum>
  <w:abstractNum w:abstractNumId="129">
    <w:nsid w:val="D4634C4F"/>
    <w:multiLevelType w:val="singleLevel"/>
    <w:tmpl w:val="D4634C4F"/>
    <w:lvl w:ilvl="0" w:tentative="0">
      <w:start w:val="1"/>
      <w:numFmt w:val="decimal"/>
      <w:suff w:val="nothing"/>
      <w:lvlText w:val="%1．"/>
      <w:lvlJc w:val="left"/>
      <w:pPr>
        <w:ind w:left="0" w:firstLine="400"/>
      </w:pPr>
      <w:rPr>
        <w:rFonts w:hint="default"/>
      </w:rPr>
    </w:lvl>
  </w:abstractNum>
  <w:abstractNum w:abstractNumId="130">
    <w:nsid w:val="D46F3C9B"/>
    <w:multiLevelType w:val="singleLevel"/>
    <w:tmpl w:val="D46F3C9B"/>
    <w:lvl w:ilvl="0" w:tentative="0">
      <w:start w:val="1"/>
      <w:numFmt w:val="decimal"/>
      <w:lvlText w:val="%1)"/>
      <w:lvlJc w:val="left"/>
      <w:pPr>
        <w:ind w:left="425" w:hanging="425"/>
      </w:pPr>
      <w:rPr>
        <w:rFonts w:hint="default"/>
      </w:rPr>
    </w:lvl>
  </w:abstractNum>
  <w:abstractNum w:abstractNumId="131">
    <w:nsid w:val="D5BDA68C"/>
    <w:multiLevelType w:val="singleLevel"/>
    <w:tmpl w:val="D5BDA68C"/>
    <w:lvl w:ilvl="0" w:tentative="0">
      <w:start w:val="1"/>
      <w:numFmt w:val="chineseCounting"/>
      <w:suff w:val="nothing"/>
      <w:lvlText w:val="%1、"/>
      <w:lvlJc w:val="left"/>
      <w:pPr>
        <w:ind w:left="0" w:firstLine="420"/>
      </w:pPr>
      <w:rPr>
        <w:rFonts w:hint="eastAsia"/>
      </w:rPr>
    </w:lvl>
  </w:abstractNum>
  <w:abstractNum w:abstractNumId="132">
    <w:nsid w:val="D641B47B"/>
    <w:multiLevelType w:val="singleLevel"/>
    <w:tmpl w:val="D641B47B"/>
    <w:lvl w:ilvl="0" w:tentative="0">
      <w:start w:val="1"/>
      <w:numFmt w:val="decimal"/>
      <w:suff w:val="nothing"/>
      <w:lvlText w:val="%1．"/>
      <w:lvlJc w:val="left"/>
      <w:pPr>
        <w:ind w:left="0" w:firstLine="400"/>
      </w:pPr>
      <w:rPr>
        <w:rFonts w:hint="default"/>
      </w:rPr>
    </w:lvl>
  </w:abstractNum>
  <w:abstractNum w:abstractNumId="133">
    <w:nsid w:val="D786B620"/>
    <w:multiLevelType w:val="singleLevel"/>
    <w:tmpl w:val="D786B620"/>
    <w:lvl w:ilvl="0" w:tentative="0">
      <w:start w:val="1"/>
      <w:numFmt w:val="decimal"/>
      <w:suff w:val="nothing"/>
      <w:lvlText w:val="%1．"/>
      <w:lvlJc w:val="left"/>
      <w:pPr>
        <w:ind w:left="0" w:firstLine="400"/>
      </w:pPr>
      <w:rPr>
        <w:rFonts w:hint="default"/>
      </w:rPr>
    </w:lvl>
  </w:abstractNum>
  <w:abstractNum w:abstractNumId="134">
    <w:nsid w:val="D8FD4F20"/>
    <w:multiLevelType w:val="singleLevel"/>
    <w:tmpl w:val="D8FD4F20"/>
    <w:lvl w:ilvl="0" w:tentative="0">
      <w:start w:val="1"/>
      <w:numFmt w:val="chineseCounting"/>
      <w:suff w:val="nothing"/>
      <w:lvlText w:val="%1、"/>
      <w:lvlJc w:val="left"/>
      <w:pPr>
        <w:ind w:left="0" w:firstLine="420"/>
      </w:pPr>
      <w:rPr>
        <w:rFonts w:hint="eastAsia"/>
      </w:rPr>
    </w:lvl>
  </w:abstractNum>
  <w:abstractNum w:abstractNumId="135">
    <w:nsid w:val="D998947E"/>
    <w:multiLevelType w:val="singleLevel"/>
    <w:tmpl w:val="D998947E"/>
    <w:lvl w:ilvl="0" w:tentative="0">
      <w:start w:val="1"/>
      <w:numFmt w:val="decimal"/>
      <w:suff w:val="nothing"/>
      <w:lvlText w:val="%1)"/>
      <w:lvlJc w:val="left"/>
      <w:pPr>
        <w:ind w:left="0" w:firstLine="0"/>
      </w:pPr>
      <w:rPr>
        <w:rFonts w:hint="default"/>
      </w:rPr>
    </w:lvl>
  </w:abstractNum>
  <w:abstractNum w:abstractNumId="136">
    <w:nsid w:val="D99DA96A"/>
    <w:multiLevelType w:val="singleLevel"/>
    <w:tmpl w:val="D99DA96A"/>
    <w:lvl w:ilvl="0" w:tentative="0">
      <w:start w:val="1"/>
      <w:numFmt w:val="chineseCounting"/>
      <w:suff w:val="nothing"/>
      <w:lvlText w:val="%1、"/>
      <w:lvlJc w:val="left"/>
      <w:pPr>
        <w:ind w:left="0" w:firstLine="420"/>
      </w:pPr>
      <w:rPr>
        <w:rFonts w:hint="eastAsia"/>
      </w:rPr>
    </w:lvl>
  </w:abstractNum>
  <w:abstractNum w:abstractNumId="137">
    <w:nsid w:val="DAD5E348"/>
    <w:multiLevelType w:val="singleLevel"/>
    <w:tmpl w:val="DAD5E348"/>
    <w:lvl w:ilvl="0" w:tentative="0">
      <w:start w:val="1"/>
      <w:numFmt w:val="decimal"/>
      <w:lvlText w:val="%1)"/>
      <w:lvlJc w:val="left"/>
      <w:pPr>
        <w:ind w:left="425" w:hanging="425"/>
      </w:pPr>
      <w:rPr>
        <w:rFonts w:hint="default"/>
      </w:rPr>
    </w:lvl>
  </w:abstractNum>
  <w:abstractNum w:abstractNumId="138">
    <w:nsid w:val="DAE2BCB2"/>
    <w:multiLevelType w:val="singleLevel"/>
    <w:tmpl w:val="DAE2BCB2"/>
    <w:lvl w:ilvl="0" w:tentative="0">
      <w:start w:val="1"/>
      <w:numFmt w:val="decimal"/>
      <w:suff w:val="nothing"/>
      <w:lvlText w:val="%1．"/>
      <w:lvlJc w:val="left"/>
      <w:pPr>
        <w:ind w:left="0" w:firstLine="400"/>
      </w:pPr>
      <w:rPr>
        <w:rFonts w:hint="default"/>
      </w:rPr>
    </w:lvl>
  </w:abstractNum>
  <w:abstractNum w:abstractNumId="139">
    <w:nsid w:val="DAFA25FB"/>
    <w:multiLevelType w:val="singleLevel"/>
    <w:tmpl w:val="DAFA25FB"/>
    <w:lvl w:ilvl="0" w:tentative="0">
      <w:start w:val="1"/>
      <w:numFmt w:val="decimal"/>
      <w:suff w:val="nothing"/>
      <w:lvlText w:val="%1．"/>
      <w:lvlJc w:val="left"/>
      <w:pPr>
        <w:ind w:left="0" w:firstLine="400"/>
      </w:pPr>
      <w:rPr>
        <w:rFonts w:hint="default"/>
      </w:rPr>
    </w:lvl>
  </w:abstractNum>
  <w:abstractNum w:abstractNumId="140">
    <w:nsid w:val="DB76F3EF"/>
    <w:multiLevelType w:val="singleLevel"/>
    <w:tmpl w:val="DB76F3EF"/>
    <w:lvl w:ilvl="0" w:tentative="0">
      <w:start w:val="1"/>
      <w:numFmt w:val="decimal"/>
      <w:lvlText w:val="%1."/>
      <w:lvlJc w:val="left"/>
      <w:pPr>
        <w:ind w:left="425" w:hanging="425"/>
      </w:pPr>
      <w:rPr>
        <w:rFonts w:hint="default"/>
      </w:rPr>
    </w:lvl>
  </w:abstractNum>
  <w:abstractNum w:abstractNumId="141">
    <w:nsid w:val="DCDB6A74"/>
    <w:multiLevelType w:val="singleLevel"/>
    <w:tmpl w:val="DCDB6A74"/>
    <w:lvl w:ilvl="0" w:tentative="0">
      <w:start w:val="1"/>
      <w:numFmt w:val="decimal"/>
      <w:lvlText w:val="%1."/>
      <w:lvlJc w:val="left"/>
      <w:pPr>
        <w:ind w:left="425" w:hanging="425"/>
      </w:pPr>
      <w:rPr>
        <w:rFonts w:hint="default"/>
      </w:rPr>
    </w:lvl>
  </w:abstractNum>
  <w:abstractNum w:abstractNumId="142">
    <w:nsid w:val="DD4B19F9"/>
    <w:multiLevelType w:val="singleLevel"/>
    <w:tmpl w:val="DD4B19F9"/>
    <w:lvl w:ilvl="0" w:tentative="0">
      <w:start w:val="1"/>
      <w:numFmt w:val="decimal"/>
      <w:suff w:val="nothing"/>
      <w:lvlText w:val="%1．"/>
      <w:lvlJc w:val="left"/>
      <w:pPr>
        <w:ind w:left="0" w:firstLine="400"/>
      </w:pPr>
      <w:rPr>
        <w:rFonts w:hint="default"/>
      </w:rPr>
    </w:lvl>
  </w:abstractNum>
  <w:abstractNum w:abstractNumId="143">
    <w:nsid w:val="DD4BE46A"/>
    <w:multiLevelType w:val="singleLevel"/>
    <w:tmpl w:val="DD4BE46A"/>
    <w:lvl w:ilvl="0" w:tentative="0">
      <w:start w:val="1"/>
      <w:numFmt w:val="decimal"/>
      <w:lvlText w:val="%1)"/>
      <w:lvlJc w:val="left"/>
      <w:pPr>
        <w:ind w:left="425" w:hanging="425"/>
      </w:pPr>
      <w:rPr>
        <w:rFonts w:hint="default"/>
      </w:rPr>
    </w:lvl>
  </w:abstractNum>
  <w:abstractNum w:abstractNumId="144">
    <w:nsid w:val="DD7CA6CC"/>
    <w:multiLevelType w:val="singleLevel"/>
    <w:tmpl w:val="DD7CA6CC"/>
    <w:lvl w:ilvl="0" w:tentative="0">
      <w:start w:val="1"/>
      <w:numFmt w:val="decimal"/>
      <w:suff w:val="nothing"/>
      <w:lvlText w:val="%1．"/>
      <w:lvlJc w:val="left"/>
      <w:pPr>
        <w:ind w:left="0" w:firstLine="400"/>
      </w:pPr>
      <w:rPr>
        <w:rFonts w:hint="default"/>
      </w:rPr>
    </w:lvl>
  </w:abstractNum>
  <w:abstractNum w:abstractNumId="145">
    <w:nsid w:val="DDBCB0A5"/>
    <w:multiLevelType w:val="singleLevel"/>
    <w:tmpl w:val="DDBCB0A5"/>
    <w:lvl w:ilvl="0" w:tentative="0">
      <w:start w:val="1"/>
      <w:numFmt w:val="decimal"/>
      <w:lvlText w:val="%1."/>
      <w:lvlJc w:val="left"/>
      <w:pPr>
        <w:ind w:left="425" w:hanging="425"/>
      </w:pPr>
      <w:rPr>
        <w:rFonts w:hint="default"/>
      </w:rPr>
    </w:lvl>
  </w:abstractNum>
  <w:abstractNum w:abstractNumId="146">
    <w:nsid w:val="DEDCB999"/>
    <w:multiLevelType w:val="singleLevel"/>
    <w:tmpl w:val="DEDCB999"/>
    <w:lvl w:ilvl="0" w:tentative="0">
      <w:start w:val="1"/>
      <w:numFmt w:val="chineseCounting"/>
      <w:suff w:val="nothing"/>
      <w:lvlText w:val="%1、"/>
      <w:lvlJc w:val="left"/>
      <w:pPr>
        <w:ind w:left="0" w:firstLine="420"/>
      </w:pPr>
      <w:rPr>
        <w:rFonts w:hint="eastAsia"/>
      </w:rPr>
    </w:lvl>
  </w:abstractNum>
  <w:abstractNum w:abstractNumId="147">
    <w:nsid w:val="DF7BE2D3"/>
    <w:multiLevelType w:val="singleLevel"/>
    <w:tmpl w:val="DF7BE2D3"/>
    <w:lvl w:ilvl="0" w:tentative="0">
      <w:start w:val="1"/>
      <w:numFmt w:val="decimal"/>
      <w:suff w:val="nothing"/>
      <w:lvlText w:val="%1."/>
      <w:lvlJc w:val="left"/>
      <w:pPr>
        <w:ind w:left="0" w:firstLine="0"/>
      </w:pPr>
      <w:rPr>
        <w:rFonts w:hint="default"/>
      </w:rPr>
    </w:lvl>
  </w:abstractNum>
  <w:abstractNum w:abstractNumId="148">
    <w:nsid w:val="DFAE97FF"/>
    <w:multiLevelType w:val="singleLevel"/>
    <w:tmpl w:val="DFAE97FF"/>
    <w:lvl w:ilvl="0" w:tentative="0">
      <w:start w:val="1"/>
      <w:numFmt w:val="decimal"/>
      <w:lvlText w:val="%1."/>
      <w:lvlJc w:val="left"/>
      <w:pPr>
        <w:ind w:left="425" w:hanging="425"/>
      </w:pPr>
      <w:rPr>
        <w:rFonts w:hint="default"/>
      </w:rPr>
    </w:lvl>
  </w:abstractNum>
  <w:abstractNum w:abstractNumId="149">
    <w:nsid w:val="DFFD736B"/>
    <w:multiLevelType w:val="singleLevel"/>
    <w:tmpl w:val="DFFD736B"/>
    <w:lvl w:ilvl="0" w:tentative="0">
      <w:start w:val="1"/>
      <w:numFmt w:val="decimal"/>
      <w:suff w:val="nothing"/>
      <w:lvlText w:val="%1)"/>
      <w:lvlJc w:val="left"/>
      <w:pPr>
        <w:ind w:left="0" w:firstLine="0"/>
      </w:pPr>
      <w:rPr>
        <w:rFonts w:hint="default"/>
      </w:rPr>
    </w:lvl>
  </w:abstractNum>
  <w:abstractNum w:abstractNumId="150">
    <w:nsid w:val="E1718EBF"/>
    <w:multiLevelType w:val="singleLevel"/>
    <w:tmpl w:val="E1718EBF"/>
    <w:lvl w:ilvl="0" w:tentative="0">
      <w:start w:val="1"/>
      <w:numFmt w:val="decimal"/>
      <w:suff w:val="nothing"/>
      <w:lvlText w:val="%1．"/>
      <w:lvlJc w:val="left"/>
      <w:pPr>
        <w:ind w:left="0" w:firstLine="400"/>
      </w:pPr>
      <w:rPr>
        <w:rFonts w:hint="default"/>
      </w:rPr>
    </w:lvl>
  </w:abstractNum>
  <w:abstractNum w:abstractNumId="151">
    <w:nsid w:val="E25CE541"/>
    <w:multiLevelType w:val="singleLevel"/>
    <w:tmpl w:val="E25CE541"/>
    <w:lvl w:ilvl="0" w:tentative="0">
      <w:start w:val="1"/>
      <w:numFmt w:val="decimal"/>
      <w:suff w:val="nothing"/>
      <w:lvlText w:val="%1．"/>
      <w:lvlJc w:val="left"/>
      <w:pPr>
        <w:ind w:left="0" w:firstLine="400"/>
      </w:pPr>
      <w:rPr>
        <w:rFonts w:hint="default"/>
      </w:rPr>
    </w:lvl>
  </w:abstractNum>
  <w:abstractNum w:abstractNumId="152">
    <w:nsid w:val="E2C18CF2"/>
    <w:multiLevelType w:val="singleLevel"/>
    <w:tmpl w:val="E2C18CF2"/>
    <w:lvl w:ilvl="0" w:tentative="0">
      <w:start w:val="1"/>
      <w:numFmt w:val="decimal"/>
      <w:suff w:val="nothing"/>
      <w:lvlText w:val="%1．"/>
      <w:lvlJc w:val="left"/>
      <w:pPr>
        <w:ind w:left="0" w:firstLine="0"/>
      </w:pPr>
      <w:rPr>
        <w:rFonts w:hint="default"/>
      </w:rPr>
    </w:lvl>
  </w:abstractNum>
  <w:abstractNum w:abstractNumId="153">
    <w:nsid w:val="E37244F7"/>
    <w:multiLevelType w:val="singleLevel"/>
    <w:tmpl w:val="E37244F7"/>
    <w:lvl w:ilvl="0" w:tentative="0">
      <w:start w:val="1"/>
      <w:numFmt w:val="decimal"/>
      <w:suff w:val="nothing"/>
      <w:lvlText w:val="%1．"/>
      <w:lvlJc w:val="left"/>
      <w:pPr>
        <w:ind w:left="0" w:firstLine="400"/>
      </w:pPr>
      <w:rPr>
        <w:rFonts w:hint="default"/>
      </w:rPr>
    </w:lvl>
  </w:abstractNum>
  <w:abstractNum w:abstractNumId="154">
    <w:nsid w:val="E5B76A27"/>
    <w:multiLevelType w:val="singleLevel"/>
    <w:tmpl w:val="E5B76A27"/>
    <w:lvl w:ilvl="0" w:tentative="0">
      <w:start w:val="1"/>
      <w:numFmt w:val="decimal"/>
      <w:suff w:val="nothing"/>
      <w:lvlText w:val="%1."/>
      <w:lvlJc w:val="left"/>
      <w:pPr>
        <w:ind w:left="0" w:firstLine="0"/>
      </w:pPr>
      <w:rPr>
        <w:rFonts w:hint="default"/>
      </w:rPr>
    </w:lvl>
  </w:abstractNum>
  <w:abstractNum w:abstractNumId="155">
    <w:nsid w:val="E70217EF"/>
    <w:multiLevelType w:val="singleLevel"/>
    <w:tmpl w:val="E70217EF"/>
    <w:lvl w:ilvl="0" w:tentative="0">
      <w:start w:val="1"/>
      <w:numFmt w:val="chineseCounting"/>
      <w:suff w:val="nothing"/>
      <w:lvlText w:val="%1、"/>
      <w:lvlJc w:val="left"/>
      <w:pPr>
        <w:ind w:left="0" w:firstLine="420"/>
      </w:pPr>
      <w:rPr>
        <w:rFonts w:hint="eastAsia"/>
      </w:rPr>
    </w:lvl>
  </w:abstractNum>
  <w:abstractNum w:abstractNumId="156">
    <w:nsid w:val="E713DF1B"/>
    <w:multiLevelType w:val="singleLevel"/>
    <w:tmpl w:val="E713DF1B"/>
    <w:lvl w:ilvl="0" w:tentative="0">
      <w:start w:val="1"/>
      <w:numFmt w:val="decimal"/>
      <w:suff w:val="nothing"/>
      <w:lvlText w:val="%1．"/>
      <w:lvlJc w:val="left"/>
      <w:pPr>
        <w:ind w:left="0" w:firstLine="400"/>
      </w:pPr>
      <w:rPr>
        <w:rFonts w:hint="default"/>
      </w:rPr>
    </w:lvl>
  </w:abstractNum>
  <w:abstractNum w:abstractNumId="157">
    <w:nsid w:val="E80DB481"/>
    <w:multiLevelType w:val="singleLevel"/>
    <w:tmpl w:val="E80DB481"/>
    <w:lvl w:ilvl="0" w:tentative="0">
      <w:start w:val="1"/>
      <w:numFmt w:val="decimal"/>
      <w:lvlText w:val="%1)"/>
      <w:lvlJc w:val="left"/>
      <w:pPr>
        <w:ind w:left="425" w:hanging="425"/>
      </w:pPr>
      <w:rPr>
        <w:rFonts w:hint="default"/>
      </w:rPr>
    </w:lvl>
  </w:abstractNum>
  <w:abstractNum w:abstractNumId="158">
    <w:nsid w:val="E890859C"/>
    <w:multiLevelType w:val="singleLevel"/>
    <w:tmpl w:val="E890859C"/>
    <w:lvl w:ilvl="0" w:tentative="0">
      <w:start w:val="1"/>
      <w:numFmt w:val="chineseCounting"/>
      <w:suff w:val="nothing"/>
      <w:lvlText w:val="%1、"/>
      <w:lvlJc w:val="left"/>
      <w:pPr>
        <w:ind w:left="0" w:firstLine="420"/>
      </w:pPr>
      <w:rPr>
        <w:rFonts w:hint="eastAsia"/>
      </w:rPr>
    </w:lvl>
  </w:abstractNum>
  <w:abstractNum w:abstractNumId="159">
    <w:nsid w:val="E9EE6AC2"/>
    <w:multiLevelType w:val="singleLevel"/>
    <w:tmpl w:val="E9EE6AC2"/>
    <w:lvl w:ilvl="0" w:tentative="0">
      <w:start w:val="1"/>
      <w:numFmt w:val="decimal"/>
      <w:lvlText w:val="%1)"/>
      <w:lvlJc w:val="left"/>
      <w:pPr>
        <w:ind w:left="425" w:hanging="425"/>
      </w:pPr>
      <w:rPr>
        <w:rFonts w:hint="default"/>
      </w:rPr>
    </w:lvl>
  </w:abstractNum>
  <w:abstractNum w:abstractNumId="160">
    <w:nsid w:val="EA2D2254"/>
    <w:multiLevelType w:val="singleLevel"/>
    <w:tmpl w:val="EA2D2254"/>
    <w:lvl w:ilvl="0" w:tentative="0">
      <w:start w:val="1"/>
      <w:numFmt w:val="decimal"/>
      <w:lvlText w:val="%1)"/>
      <w:lvlJc w:val="left"/>
      <w:pPr>
        <w:ind w:left="425" w:hanging="425"/>
      </w:pPr>
      <w:rPr>
        <w:rFonts w:hint="default"/>
      </w:rPr>
    </w:lvl>
  </w:abstractNum>
  <w:abstractNum w:abstractNumId="161">
    <w:nsid w:val="EA715120"/>
    <w:multiLevelType w:val="singleLevel"/>
    <w:tmpl w:val="EA715120"/>
    <w:lvl w:ilvl="0" w:tentative="0">
      <w:start w:val="1"/>
      <w:numFmt w:val="decimal"/>
      <w:suff w:val="nothing"/>
      <w:lvlText w:val="%1．"/>
      <w:lvlJc w:val="left"/>
      <w:pPr>
        <w:ind w:left="0" w:firstLine="400"/>
      </w:pPr>
      <w:rPr>
        <w:rFonts w:hint="default"/>
      </w:rPr>
    </w:lvl>
  </w:abstractNum>
  <w:abstractNum w:abstractNumId="162">
    <w:nsid w:val="EB3B33DC"/>
    <w:multiLevelType w:val="singleLevel"/>
    <w:tmpl w:val="EB3B33DC"/>
    <w:lvl w:ilvl="0" w:tentative="0">
      <w:start w:val="1"/>
      <w:numFmt w:val="decimal"/>
      <w:suff w:val="nothing"/>
      <w:lvlText w:val="%1．"/>
      <w:lvlJc w:val="left"/>
      <w:pPr>
        <w:ind w:left="0" w:firstLine="400"/>
      </w:pPr>
      <w:rPr>
        <w:rFonts w:hint="default"/>
      </w:rPr>
    </w:lvl>
  </w:abstractNum>
  <w:abstractNum w:abstractNumId="163">
    <w:nsid w:val="EB997A05"/>
    <w:multiLevelType w:val="singleLevel"/>
    <w:tmpl w:val="EB997A05"/>
    <w:lvl w:ilvl="0" w:tentative="0">
      <w:start w:val="1"/>
      <w:numFmt w:val="decimal"/>
      <w:suff w:val="nothing"/>
      <w:lvlText w:val="%1."/>
      <w:lvlJc w:val="left"/>
      <w:pPr>
        <w:ind w:left="0" w:firstLine="0"/>
      </w:pPr>
      <w:rPr>
        <w:rFonts w:hint="default"/>
      </w:rPr>
    </w:lvl>
  </w:abstractNum>
  <w:abstractNum w:abstractNumId="164">
    <w:nsid w:val="EBFEAEE6"/>
    <w:multiLevelType w:val="singleLevel"/>
    <w:tmpl w:val="EBFEAEE6"/>
    <w:lvl w:ilvl="0" w:tentative="0">
      <w:start w:val="1"/>
      <w:numFmt w:val="decimal"/>
      <w:suff w:val="nothing"/>
      <w:lvlText w:val="%1."/>
      <w:lvlJc w:val="left"/>
      <w:pPr>
        <w:ind w:left="0" w:firstLine="0"/>
      </w:pPr>
      <w:rPr>
        <w:rFonts w:hint="default"/>
      </w:rPr>
    </w:lvl>
  </w:abstractNum>
  <w:abstractNum w:abstractNumId="165">
    <w:nsid w:val="EC0C99A1"/>
    <w:multiLevelType w:val="singleLevel"/>
    <w:tmpl w:val="EC0C99A1"/>
    <w:lvl w:ilvl="0" w:tentative="0">
      <w:start w:val="1"/>
      <w:numFmt w:val="decimal"/>
      <w:lvlText w:val="%1)"/>
      <w:lvlJc w:val="left"/>
      <w:pPr>
        <w:ind w:left="425" w:hanging="425"/>
      </w:pPr>
      <w:rPr>
        <w:rFonts w:hint="default"/>
      </w:rPr>
    </w:lvl>
  </w:abstractNum>
  <w:abstractNum w:abstractNumId="166">
    <w:nsid w:val="EC6DC2D9"/>
    <w:multiLevelType w:val="singleLevel"/>
    <w:tmpl w:val="EC6DC2D9"/>
    <w:lvl w:ilvl="0" w:tentative="0">
      <w:start w:val="1"/>
      <w:numFmt w:val="decimal"/>
      <w:lvlText w:val="%1."/>
      <w:lvlJc w:val="left"/>
      <w:pPr>
        <w:ind w:left="425" w:hanging="425"/>
      </w:pPr>
      <w:rPr>
        <w:rFonts w:hint="default"/>
      </w:rPr>
    </w:lvl>
  </w:abstractNum>
  <w:abstractNum w:abstractNumId="167">
    <w:nsid w:val="ECC826C1"/>
    <w:multiLevelType w:val="singleLevel"/>
    <w:tmpl w:val="ECC826C1"/>
    <w:lvl w:ilvl="0" w:tentative="0">
      <w:start w:val="1"/>
      <w:numFmt w:val="decimal"/>
      <w:lvlText w:val="%1)"/>
      <w:lvlJc w:val="left"/>
      <w:pPr>
        <w:ind w:left="425" w:hanging="425"/>
      </w:pPr>
      <w:rPr>
        <w:rFonts w:hint="default"/>
      </w:rPr>
    </w:lvl>
  </w:abstractNum>
  <w:abstractNum w:abstractNumId="168">
    <w:nsid w:val="ED66704A"/>
    <w:multiLevelType w:val="singleLevel"/>
    <w:tmpl w:val="ED66704A"/>
    <w:lvl w:ilvl="0" w:tentative="0">
      <w:start w:val="1"/>
      <w:numFmt w:val="chineseCounting"/>
      <w:suff w:val="nothing"/>
      <w:lvlText w:val="%1、"/>
      <w:lvlJc w:val="left"/>
      <w:pPr>
        <w:ind w:left="0" w:firstLine="420"/>
      </w:pPr>
      <w:rPr>
        <w:rFonts w:hint="eastAsia"/>
      </w:rPr>
    </w:lvl>
  </w:abstractNum>
  <w:abstractNum w:abstractNumId="169">
    <w:nsid w:val="ED8F600C"/>
    <w:multiLevelType w:val="singleLevel"/>
    <w:tmpl w:val="ED8F600C"/>
    <w:lvl w:ilvl="0" w:tentative="0">
      <w:start w:val="1"/>
      <w:numFmt w:val="decimal"/>
      <w:lvlText w:val="%1)"/>
      <w:lvlJc w:val="left"/>
      <w:pPr>
        <w:ind w:left="425" w:hanging="425"/>
      </w:pPr>
      <w:rPr>
        <w:rFonts w:hint="default"/>
      </w:rPr>
    </w:lvl>
  </w:abstractNum>
  <w:abstractNum w:abstractNumId="170">
    <w:nsid w:val="EE1C87C9"/>
    <w:multiLevelType w:val="singleLevel"/>
    <w:tmpl w:val="EE1C87C9"/>
    <w:lvl w:ilvl="0" w:tentative="0">
      <w:start w:val="1"/>
      <w:numFmt w:val="decimal"/>
      <w:suff w:val="nothing"/>
      <w:lvlText w:val="%1．"/>
      <w:lvlJc w:val="left"/>
      <w:pPr>
        <w:ind w:left="0" w:firstLine="400"/>
      </w:pPr>
      <w:rPr>
        <w:rFonts w:hint="default"/>
      </w:rPr>
    </w:lvl>
  </w:abstractNum>
  <w:abstractNum w:abstractNumId="171">
    <w:nsid w:val="EE9C5BE0"/>
    <w:multiLevelType w:val="singleLevel"/>
    <w:tmpl w:val="EE9C5BE0"/>
    <w:lvl w:ilvl="0" w:tentative="0">
      <w:start w:val="1"/>
      <w:numFmt w:val="decimal"/>
      <w:suff w:val="nothing"/>
      <w:lvlText w:val="%1．"/>
      <w:lvlJc w:val="left"/>
      <w:pPr>
        <w:ind w:left="0" w:firstLine="400"/>
      </w:pPr>
      <w:rPr>
        <w:rFonts w:hint="default"/>
      </w:rPr>
    </w:lvl>
  </w:abstractNum>
  <w:abstractNum w:abstractNumId="172">
    <w:nsid w:val="EF56FF52"/>
    <w:multiLevelType w:val="singleLevel"/>
    <w:tmpl w:val="EF56FF52"/>
    <w:lvl w:ilvl="0" w:tentative="0">
      <w:start w:val="1"/>
      <w:numFmt w:val="decimal"/>
      <w:suff w:val="nothing"/>
      <w:lvlText w:val="%1)"/>
      <w:lvlJc w:val="left"/>
      <w:pPr>
        <w:ind w:left="454" w:hanging="454"/>
      </w:pPr>
      <w:rPr>
        <w:rFonts w:hint="default"/>
      </w:rPr>
    </w:lvl>
  </w:abstractNum>
  <w:abstractNum w:abstractNumId="173">
    <w:nsid w:val="F007B03A"/>
    <w:multiLevelType w:val="singleLevel"/>
    <w:tmpl w:val="F007B03A"/>
    <w:lvl w:ilvl="0" w:tentative="0">
      <w:start w:val="1"/>
      <w:numFmt w:val="decimal"/>
      <w:lvlText w:val="%1)"/>
      <w:lvlJc w:val="left"/>
      <w:pPr>
        <w:ind w:left="425" w:hanging="425"/>
      </w:pPr>
      <w:rPr>
        <w:rFonts w:hint="default"/>
      </w:rPr>
    </w:lvl>
  </w:abstractNum>
  <w:abstractNum w:abstractNumId="174">
    <w:nsid w:val="F0622F6E"/>
    <w:multiLevelType w:val="singleLevel"/>
    <w:tmpl w:val="F0622F6E"/>
    <w:lvl w:ilvl="0" w:tentative="0">
      <w:start w:val="1"/>
      <w:numFmt w:val="chineseCounting"/>
      <w:suff w:val="nothing"/>
      <w:lvlText w:val="%1、"/>
      <w:lvlJc w:val="left"/>
      <w:pPr>
        <w:ind w:left="0" w:firstLine="420"/>
      </w:pPr>
      <w:rPr>
        <w:rFonts w:hint="eastAsia"/>
      </w:rPr>
    </w:lvl>
  </w:abstractNum>
  <w:abstractNum w:abstractNumId="175">
    <w:nsid w:val="F0B129E8"/>
    <w:multiLevelType w:val="singleLevel"/>
    <w:tmpl w:val="F0B129E8"/>
    <w:lvl w:ilvl="0" w:tentative="0">
      <w:start w:val="1"/>
      <w:numFmt w:val="decimal"/>
      <w:suff w:val="nothing"/>
      <w:lvlText w:val="%1．"/>
      <w:lvlJc w:val="left"/>
      <w:pPr>
        <w:ind w:left="0" w:firstLine="400"/>
      </w:pPr>
      <w:rPr>
        <w:rFonts w:hint="default"/>
      </w:rPr>
    </w:lvl>
  </w:abstractNum>
  <w:abstractNum w:abstractNumId="176">
    <w:nsid w:val="F0C1D1C9"/>
    <w:multiLevelType w:val="singleLevel"/>
    <w:tmpl w:val="F0C1D1C9"/>
    <w:lvl w:ilvl="0" w:tentative="0">
      <w:start w:val="1"/>
      <w:numFmt w:val="chineseCounting"/>
      <w:suff w:val="nothing"/>
      <w:lvlText w:val="%1、"/>
      <w:lvlJc w:val="left"/>
      <w:pPr>
        <w:ind w:left="0" w:firstLine="420"/>
      </w:pPr>
      <w:rPr>
        <w:rFonts w:hint="eastAsia"/>
      </w:rPr>
    </w:lvl>
  </w:abstractNum>
  <w:abstractNum w:abstractNumId="177">
    <w:nsid w:val="F117E28F"/>
    <w:multiLevelType w:val="singleLevel"/>
    <w:tmpl w:val="F117E28F"/>
    <w:lvl w:ilvl="0" w:tentative="0">
      <w:start w:val="1"/>
      <w:numFmt w:val="decimal"/>
      <w:lvlText w:val="%1)"/>
      <w:lvlJc w:val="left"/>
      <w:pPr>
        <w:ind w:left="425" w:hanging="425"/>
      </w:pPr>
      <w:rPr>
        <w:rFonts w:hint="default"/>
      </w:rPr>
    </w:lvl>
  </w:abstractNum>
  <w:abstractNum w:abstractNumId="178">
    <w:nsid w:val="F133218A"/>
    <w:multiLevelType w:val="singleLevel"/>
    <w:tmpl w:val="F133218A"/>
    <w:lvl w:ilvl="0" w:tentative="0">
      <w:start w:val="1"/>
      <w:numFmt w:val="decimal"/>
      <w:suff w:val="nothing"/>
      <w:lvlText w:val="%1．"/>
      <w:lvlJc w:val="left"/>
      <w:pPr>
        <w:ind w:left="0" w:firstLine="400"/>
      </w:pPr>
      <w:rPr>
        <w:rFonts w:hint="default"/>
      </w:rPr>
    </w:lvl>
  </w:abstractNum>
  <w:abstractNum w:abstractNumId="179">
    <w:nsid w:val="F1483670"/>
    <w:multiLevelType w:val="singleLevel"/>
    <w:tmpl w:val="F1483670"/>
    <w:lvl w:ilvl="0" w:tentative="0">
      <w:start w:val="1"/>
      <w:numFmt w:val="decimal"/>
      <w:lvlText w:val="%1)"/>
      <w:lvlJc w:val="left"/>
      <w:pPr>
        <w:ind w:left="425" w:hanging="425"/>
      </w:pPr>
      <w:rPr>
        <w:rFonts w:hint="default"/>
      </w:rPr>
    </w:lvl>
  </w:abstractNum>
  <w:abstractNum w:abstractNumId="180">
    <w:nsid w:val="F469C339"/>
    <w:multiLevelType w:val="singleLevel"/>
    <w:tmpl w:val="F469C339"/>
    <w:lvl w:ilvl="0" w:tentative="0">
      <w:start w:val="1"/>
      <w:numFmt w:val="decimal"/>
      <w:suff w:val="nothing"/>
      <w:lvlText w:val="%1."/>
      <w:lvlJc w:val="left"/>
      <w:pPr>
        <w:ind w:left="0" w:firstLine="0"/>
      </w:pPr>
      <w:rPr>
        <w:rFonts w:hint="default"/>
      </w:rPr>
    </w:lvl>
  </w:abstractNum>
  <w:abstractNum w:abstractNumId="181">
    <w:nsid w:val="F534A75B"/>
    <w:multiLevelType w:val="singleLevel"/>
    <w:tmpl w:val="F534A75B"/>
    <w:lvl w:ilvl="0" w:tentative="0">
      <w:start w:val="1"/>
      <w:numFmt w:val="decimal"/>
      <w:suff w:val="nothing"/>
      <w:lvlText w:val="%1．"/>
      <w:lvlJc w:val="left"/>
      <w:pPr>
        <w:ind w:left="0" w:firstLine="400"/>
      </w:pPr>
      <w:rPr>
        <w:rFonts w:hint="default"/>
      </w:rPr>
    </w:lvl>
  </w:abstractNum>
  <w:abstractNum w:abstractNumId="182">
    <w:nsid w:val="F5CDA83F"/>
    <w:multiLevelType w:val="singleLevel"/>
    <w:tmpl w:val="F5CDA83F"/>
    <w:lvl w:ilvl="0" w:tentative="0">
      <w:start w:val="1"/>
      <w:numFmt w:val="chineseCounting"/>
      <w:suff w:val="nothing"/>
      <w:lvlText w:val="%1、"/>
      <w:lvlJc w:val="left"/>
      <w:pPr>
        <w:ind w:left="0" w:firstLine="420"/>
      </w:pPr>
      <w:rPr>
        <w:rFonts w:hint="eastAsia"/>
      </w:rPr>
    </w:lvl>
  </w:abstractNum>
  <w:abstractNum w:abstractNumId="183">
    <w:nsid w:val="F6503C92"/>
    <w:multiLevelType w:val="singleLevel"/>
    <w:tmpl w:val="F6503C92"/>
    <w:lvl w:ilvl="0" w:tentative="0">
      <w:start w:val="1"/>
      <w:numFmt w:val="decimal"/>
      <w:lvlText w:val="%1)"/>
      <w:lvlJc w:val="left"/>
      <w:pPr>
        <w:ind w:left="425" w:hanging="425"/>
      </w:pPr>
      <w:rPr>
        <w:rFonts w:hint="default"/>
      </w:rPr>
    </w:lvl>
  </w:abstractNum>
  <w:abstractNum w:abstractNumId="184">
    <w:nsid w:val="F6FC5FEA"/>
    <w:multiLevelType w:val="singleLevel"/>
    <w:tmpl w:val="F6FC5FEA"/>
    <w:lvl w:ilvl="0" w:tentative="0">
      <w:start w:val="1"/>
      <w:numFmt w:val="decimal"/>
      <w:suff w:val="nothing"/>
      <w:lvlText w:val="%1．"/>
      <w:lvlJc w:val="left"/>
      <w:pPr>
        <w:ind w:left="0" w:firstLine="400"/>
      </w:pPr>
      <w:rPr>
        <w:rFonts w:hint="default"/>
      </w:rPr>
    </w:lvl>
  </w:abstractNum>
  <w:abstractNum w:abstractNumId="185">
    <w:nsid w:val="F7E32DC1"/>
    <w:multiLevelType w:val="singleLevel"/>
    <w:tmpl w:val="F7E32DC1"/>
    <w:lvl w:ilvl="0" w:tentative="0">
      <w:start w:val="1"/>
      <w:numFmt w:val="decimal"/>
      <w:suff w:val="nothing"/>
      <w:lvlText w:val="%1．"/>
      <w:lvlJc w:val="left"/>
      <w:pPr>
        <w:ind w:left="0" w:firstLine="400"/>
      </w:pPr>
      <w:rPr>
        <w:rFonts w:hint="default"/>
      </w:rPr>
    </w:lvl>
  </w:abstractNum>
  <w:abstractNum w:abstractNumId="186">
    <w:nsid w:val="F7F7620A"/>
    <w:multiLevelType w:val="singleLevel"/>
    <w:tmpl w:val="F7F7620A"/>
    <w:lvl w:ilvl="0" w:tentative="0">
      <w:start w:val="1"/>
      <w:numFmt w:val="decimal"/>
      <w:suff w:val="nothing"/>
      <w:lvlText w:val="%1."/>
      <w:lvlJc w:val="left"/>
      <w:pPr>
        <w:ind w:left="0" w:firstLine="0"/>
      </w:pPr>
      <w:rPr>
        <w:rFonts w:hint="default"/>
      </w:rPr>
    </w:lvl>
  </w:abstractNum>
  <w:abstractNum w:abstractNumId="187">
    <w:nsid w:val="F86CA8AE"/>
    <w:multiLevelType w:val="singleLevel"/>
    <w:tmpl w:val="F86CA8AE"/>
    <w:lvl w:ilvl="0" w:tentative="0">
      <w:start w:val="1"/>
      <w:numFmt w:val="decimal"/>
      <w:lvlText w:val="%1)"/>
      <w:lvlJc w:val="left"/>
      <w:pPr>
        <w:ind w:left="425" w:hanging="425"/>
      </w:pPr>
      <w:rPr>
        <w:rFonts w:hint="default"/>
      </w:rPr>
    </w:lvl>
  </w:abstractNum>
  <w:abstractNum w:abstractNumId="188">
    <w:nsid w:val="F875C198"/>
    <w:multiLevelType w:val="singleLevel"/>
    <w:tmpl w:val="F875C198"/>
    <w:lvl w:ilvl="0" w:tentative="0">
      <w:start w:val="1"/>
      <w:numFmt w:val="decimal"/>
      <w:suff w:val="nothing"/>
      <w:lvlText w:val="%1．"/>
      <w:lvlJc w:val="left"/>
      <w:pPr>
        <w:ind w:left="0" w:firstLine="400"/>
      </w:pPr>
      <w:rPr>
        <w:rFonts w:hint="default"/>
      </w:rPr>
    </w:lvl>
  </w:abstractNum>
  <w:abstractNum w:abstractNumId="189">
    <w:nsid w:val="F8B7B6EA"/>
    <w:multiLevelType w:val="singleLevel"/>
    <w:tmpl w:val="F8B7B6EA"/>
    <w:lvl w:ilvl="0" w:tentative="0">
      <w:start w:val="1"/>
      <w:numFmt w:val="decimal"/>
      <w:suff w:val="nothing"/>
      <w:lvlText w:val="%1)"/>
      <w:lvlJc w:val="left"/>
      <w:pPr>
        <w:ind w:left="0" w:firstLine="0"/>
      </w:pPr>
      <w:rPr>
        <w:rFonts w:hint="default"/>
      </w:rPr>
    </w:lvl>
  </w:abstractNum>
  <w:abstractNum w:abstractNumId="190">
    <w:nsid w:val="F8DB26E2"/>
    <w:multiLevelType w:val="singleLevel"/>
    <w:tmpl w:val="F8DB26E2"/>
    <w:lvl w:ilvl="0" w:tentative="0">
      <w:start w:val="1"/>
      <w:numFmt w:val="decimal"/>
      <w:suff w:val="nothing"/>
      <w:lvlText w:val="%1．"/>
      <w:lvlJc w:val="left"/>
      <w:pPr>
        <w:ind w:left="0" w:firstLine="400"/>
      </w:pPr>
      <w:rPr>
        <w:rFonts w:hint="default"/>
      </w:rPr>
    </w:lvl>
  </w:abstractNum>
  <w:abstractNum w:abstractNumId="191">
    <w:nsid w:val="F985434C"/>
    <w:multiLevelType w:val="singleLevel"/>
    <w:tmpl w:val="F985434C"/>
    <w:lvl w:ilvl="0" w:tentative="0">
      <w:start w:val="1"/>
      <w:numFmt w:val="chineseCounting"/>
      <w:suff w:val="nothing"/>
      <w:lvlText w:val="%1、"/>
      <w:lvlJc w:val="left"/>
      <w:pPr>
        <w:ind w:left="0" w:firstLine="420"/>
      </w:pPr>
      <w:rPr>
        <w:rFonts w:hint="eastAsia"/>
      </w:rPr>
    </w:lvl>
  </w:abstractNum>
  <w:abstractNum w:abstractNumId="192">
    <w:nsid w:val="F9916A0E"/>
    <w:multiLevelType w:val="singleLevel"/>
    <w:tmpl w:val="F9916A0E"/>
    <w:lvl w:ilvl="0" w:tentative="0">
      <w:start w:val="1"/>
      <w:numFmt w:val="decimal"/>
      <w:suff w:val="nothing"/>
      <w:lvlText w:val="%1．"/>
      <w:lvlJc w:val="left"/>
      <w:pPr>
        <w:ind w:left="0" w:firstLine="567"/>
      </w:pPr>
      <w:rPr>
        <w:rFonts w:hint="default"/>
      </w:rPr>
    </w:lvl>
  </w:abstractNum>
  <w:abstractNum w:abstractNumId="193">
    <w:nsid w:val="FB47920A"/>
    <w:multiLevelType w:val="singleLevel"/>
    <w:tmpl w:val="FB47920A"/>
    <w:lvl w:ilvl="0" w:tentative="0">
      <w:start w:val="1"/>
      <w:numFmt w:val="decimal"/>
      <w:suff w:val="nothing"/>
      <w:lvlText w:val="%1．"/>
      <w:lvlJc w:val="left"/>
      <w:pPr>
        <w:ind w:left="0" w:firstLine="400"/>
      </w:pPr>
      <w:rPr>
        <w:rFonts w:hint="default"/>
      </w:rPr>
    </w:lvl>
  </w:abstractNum>
  <w:abstractNum w:abstractNumId="194">
    <w:nsid w:val="FB631D6A"/>
    <w:multiLevelType w:val="singleLevel"/>
    <w:tmpl w:val="FB631D6A"/>
    <w:lvl w:ilvl="0" w:tentative="0">
      <w:start w:val="1"/>
      <w:numFmt w:val="chineseCounting"/>
      <w:suff w:val="nothing"/>
      <w:lvlText w:val="%1、"/>
      <w:lvlJc w:val="left"/>
      <w:pPr>
        <w:ind w:left="0" w:firstLine="420"/>
      </w:pPr>
      <w:rPr>
        <w:rFonts w:hint="eastAsia"/>
      </w:rPr>
    </w:lvl>
  </w:abstractNum>
  <w:abstractNum w:abstractNumId="195">
    <w:nsid w:val="FB7AC594"/>
    <w:multiLevelType w:val="singleLevel"/>
    <w:tmpl w:val="FB7AC594"/>
    <w:lvl w:ilvl="0" w:tentative="0">
      <w:start w:val="1"/>
      <w:numFmt w:val="chineseCounting"/>
      <w:suff w:val="nothing"/>
      <w:lvlText w:val="%1、"/>
      <w:lvlJc w:val="left"/>
      <w:pPr>
        <w:ind w:left="0" w:firstLine="420"/>
      </w:pPr>
      <w:rPr>
        <w:rFonts w:hint="eastAsia"/>
      </w:rPr>
    </w:lvl>
  </w:abstractNum>
  <w:abstractNum w:abstractNumId="196">
    <w:nsid w:val="FB7E75C5"/>
    <w:multiLevelType w:val="singleLevel"/>
    <w:tmpl w:val="FB7E75C5"/>
    <w:lvl w:ilvl="0" w:tentative="0">
      <w:start w:val="1"/>
      <w:numFmt w:val="decimal"/>
      <w:suff w:val="nothing"/>
      <w:lvlText w:val="%1."/>
      <w:lvlJc w:val="left"/>
      <w:pPr>
        <w:ind w:left="0" w:firstLine="0"/>
      </w:pPr>
      <w:rPr>
        <w:rFonts w:hint="default"/>
      </w:rPr>
    </w:lvl>
  </w:abstractNum>
  <w:abstractNum w:abstractNumId="197">
    <w:nsid w:val="FB9AE974"/>
    <w:multiLevelType w:val="singleLevel"/>
    <w:tmpl w:val="FB9AE974"/>
    <w:lvl w:ilvl="0" w:tentative="0">
      <w:start w:val="1"/>
      <w:numFmt w:val="chineseCounting"/>
      <w:suff w:val="nothing"/>
      <w:lvlText w:val="%1、"/>
      <w:lvlJc w:val="left"/>
      <w:pPr>
        <w:ind w:left="0" w:firstLine="420"/>
      </w:pPr>
      <w:rPr>
        <w:rFonts w:hint="eastAsia"/>
      </w:rPr>
    </w:lvl>
  </w:abstractNum>
  <w:abstractNum w:abstractNumId="198">
    <w:nsid w:val="FBE67022"/>
    <w:multiLevelType w:val="singleLevel"/>
    <w:tmpl w:val="FBE67022"/>
    <w:lvl w:ilvl="0" w:tentative="0">
      <w:start w:val="1"/>
      <w:numFmt w:val="decimal"/>
      <w:suff w:val="nothing"/>
      <w:lvlText w:val="%1."/>
      <w:lvlJc w:val="left"/>
      <w:pPr>
        <w:ind w:left="0" w:firstLine="0"/>
      </w:pPr>
      <w:rPr>
        <w:rFonts w:hint="default"/>
      </w:rPr>
    </w:lvl>
  </w:abstractNum>
  <w:abstractNum w:abstractNumId="199">
    <w:nsid w:val="FC2C7ADC"/>
    <w:multiLevelType w:val="singleLevel"/>
    <w:tmpl w:val="FC2C7ADC"/>
    <w:lvl w:ilvl="0" w:tentative="0">
      <w:start w:val="1"/>
      <w:numFmt w:val="decimal"/>
      <w:suff w:val="nothing"/>
      <w:lvlText w:val="%1."/>
      <w:lvlJc w:val="left"/>
      <w:pPr>
        <w:ind w:left="0" w:firstLine="0"/>
      </w:pPr>
      <w:rPr>
        <w:rFonts w:hint="default"/>
      </w:rPr>
    </w:lvl>
  </w:abstractNum>
  <w:abstractNum w:abstractNumId="200">
    <w:nsid w:val="FC5E25B4"/>
    <w:multiLevelType w:val="singleLevel"/>
    <w:tmpl w:val="FC5E25B4"/>
    <w:lvl w:ilvl="0" w:tentative="0">
      <w:start w:val="1"/>
      <w:numFmt w:val="decimal"/>
      <w:suff w:val="nothing"/>
      <w:lvlText w:val="%1."/>
      <w:lvlJc w:val="left"/>
      <w:pPr>
        <w:ind w:left="454" w:hanging="454"/>
      </w:pPr>
      <w:rPr>
        <w:rFonts w:hint="default"/>
      </w:rPr>
    </w:lvl>
  </w:abstractNum>
  <w:abstractNum w:abstractNumId="201">
    <w:nsid w:val="FC9DC89E"/>
    <w:multiLevelType w:val="singleLevel"/>
    <w:tmpl w:val="FC9DC89E"/>
    <w:lvl w:ilvl="0" w:tentative="0">
      <w:start w:val="1"/>
      <w:numFmt w:val="decimal"/>
      <w:suff w:val="nothing"/>
      <w:lvlText w:val="%1."/>
      <w:lvlJc w:val="left"/>
      <w:pPr>
        <w:ind w:left="0" w:firstLine="0"/>
      </w:pPr>
      <w:rPr>
        <w:rFonts w:hint="default"/>
      </w:rPr>
    </w:lvl>
  </w:abstractNum>
  <w:abstractNum w:abstractNumId="202">
    <w:nsid w:val="FCADFCBC"/>
    <w:multiLevelType w:val="singleLevel"/>
    <w:tmpl w:val="FCADFCBC"/>
    <w:lvl w:ilvl="0" w:tentative="0">
      <w:start w:val="1"/>
      <w:numFmt w:val="decimal"/>
      <w:suff w:val="nothing"/>
      <w:lvlText w:val="%1."/>
      <w:lvlJc w:val="left"/>
      <w:pPr>
        <w:ind w:left="0" w:firstLine="0"/>
      </w:pPr>
      <w:rPr>
        <w:rFonts w:hint="default"/>
      </w:rPr>
    </w:lvl>
  </w:abstractNum>
  <w:abstractNum w:abstractNumId="203">
    <w:nsid w:val="FD13FB57"/>
    <w:multiLevelType w:val="singleLevel"/>
    <w:tmpl w:val="FD13FB57"/>
    <w:lvl w:ilvl="0" w:tentative="0">
      <w:start w:val="1"/>
      <w:numFmt w:val="decimal"/>
      <w:lvlText w:val="%1)"/>
      <w:lvlJc w:val="left"/>
      <w:pPr>
        <w:ind w:left="425" w:hanging="425"/>
      </w:pPr>
      <w:rPr>
        <w:rFonts w:hint="default"/>
      </w:rPr>
    </w:lvl>
  </w:abstractNum>
  <w:abstractNum w:abstractNumId="204">
    <w:nsid w:val="FD9EC9AE"/>
    <w:multiLevelType w:val="singleLevel"/>
    <w:tmpl w:val="FD9EC9AE"/>
    <w:lvl w:ilvl="0" w:tentative="0">
      <w:start w:val="1"/>
      <w:numFmt w:val="decimal"/>
      <w:suff w:val="nothing"/>
      <w:lvlText w:val="%1．"/>
      <w:lvlJc w:val="left"/>
      <w:pPr>
        <w:ind w:left="0" w:firstLine="400"/>
      </w:pPr>
      <w:rPr>
        <w:rFonts w:hint="default"/>
      </w:rPr>
    </w:lvl>
  </w:abstractNum>
  <w:abstractNum w:abstractNumId="205">
    <w:nsid w:val="FDBC9ACB"/>
    <w:multiLevelType w:val="singleLevel"/>
    <w:tmpl w:val="FDBC9ACB"/>
    <w:lvl w:ilvl="0" w:tentative="0">
      <w:start w:val="1"/>
      <w:numFmt w:val="decimal"/>
      <w:suff w:val="nothing"/>
      <w:lvlText w:val="%1."/>
      <w:lvlJc w:val="left"/>
      <w:pPr>
        <w:ind w:left="0" w:firstLine="0"/>
      </w:pPr>
      <w:rPr>
        <w:rFonts w:hint="default"/>
      </w:rPr>
    </w:lvl>
  </w:abstractNum>
  <w:abstractNum w:abstractNumId="206">
    <w:nsid w:val="FDF39B50"/>
    <w:multiLevelType w:val="singleLevel"/>
    <w:tmpl w:val="FDF39B50"/>
    <w:lvl w:ilvl="0" w:tentative="0">
      <w:start w:val="1"/>
      <w:numFmt w:val="decimal"/>
      <w:lvlText w:val="%1)"/>
      <w:lvlJc w:val="left"/>
      <w:pPr>
        <w:ind w:left="425" w:hanging="425"/>
      </w:pPr>
      <w:rPr>
        <w:rFonts w:hint="default"/>
      </w:rPr>
    </w:lvl>
  </w:abstractNum>
  <w:abstractNum w:abstractNumId="207">
    <w:nsid w:val="FDF8120D"/>
    <w:multiLevelType w:val="singleLevel"/>
    <w:tmpl w:val="FDF8120D"/>
    <w:lvl w:ilvl="0" w:tentative="0">
      <w:start w:val="1"/>
      <w:numFmt w:val="decimal"/>
      <w:suff w:val="nothing"/>
      <w:lvlText w:val="%1."/>
      <w:lvlJc w:val="left"/>
      <w:pPr>
        <w:ind w:left="0" w:firstLine="0"/>
      </w:pPr>
      <w:rPr>
        <w:rFonts w:hint="default"/>
      </w:rPr>
    </w:lvl>
  </w:abstractNum>
  <w:abstractNum w:abstractNumId="208">
    <w:nsid w:val="FE257263"/>
    <w:multiLevelType w:val="singleLevel"/>
    <w:tmpl w:val="FE257263"/>
    <w:lvl w:ilvl="0" w:tentative="0">
      <w:start w:val="1"/>
      <w:numFmt w:val="decimal"/>
      <w:lvlText w:val="%1)"/>
      <w:lvlJc w:val="left"/>
      <w:pPr>
        <w:ind w:left="425" w:hanging="425"/>
      </w:pPr>
      <w:rPr>
        <w:rFonts w:hint="default"/>
      </w:rPr>
    </w:lvl>
  </w:abstractNum>
  <w:abstractNum w:abstractNumId="209">
    <w:nsid w:val="FEE4AFE5"/>
    <w:multiLevelType w:val="singleLevel"/>
    <w:tmpl w:val="FEE4AFE5"/>
    <w:lvl w:ilvl="0" w:tentative="0">
      <w:start w:val="1"/>
      <w:numFmt w:val="chineseCounting"/>
      <w:suff w:val="nothing"/>
      <w:lvlText w:val="%1、"/>
      <w:lvlJc w:val="left"/>
      <w:pPr>
        <w:ind w:left="0" w:firstLine="420"/>
      </w:pPr>
      <w:rPr>
        <w:rFonts w:hint="eastAsia"/>
      </w:rPr>
    </w:lvl>
  </w:abstractNum>
  <w:abstractNum w:abstractNumId="210">
    <w:nsid w:val="FFBFDC58"/>
    <w:multiLevelType w:val="singleLevel"/>
    <w:tmpl w:val="FFBFDC58"/>
    <w:lvl w:ilvl="0" w:tentative="0">
      <w:start w:val="1"/>
      <w:numFmt w:val="decimal"/>
      <w:suff w:val="nothing"/>
      <w:lvlText w:val="%1)"/>
      <w:lvlJc w:val="left"/>
      <w:pPr>
        <w:ind w:left="0" w:firstLine="0"/>
      </w:pPr>
      <w:rPr>
        <w:rFonts w:hint="default"/>
      </w:rPr>
    </w:lvl>
  </w:abstractNum>
  <w:abstractNum w:abstractNumId="211">
    <w:nsid w:val="FFED9D65"/>
    <w:multiLevelType w:val="singleLevel"/>
    <w:tmpl w:val="FFED9D65"/>
    <w:lvl w:ilvl="0" w:tentative="0">
      <w:start w:val="1"/>
      <w:numFmt w:val="decimal"/>
      <w:suff w:val="nothing"/>
      <w:lvlText w:val="%1)"/>
      <w:lvlJc w:val="left"/>
      <w:pPr>
        <w:ind w:left="454" w:hanging="454"/>
      </w:pPr>
      <w:rPr>
        <w:rFonts w:hint="default"/>
      </w:rPr>
    </w:lvl>
  </w:abstractNum>
  <w:abstractNum w:abstractNumId="212">
    <w:nsid w:val="FFF892AE"/>
    <w:multiLevelType w:val="singleLevel"/>
    <w:tmpl w:val="FFF892AE"/>
    <w:lvl w:ilvl="0" w:tentative="0">
      <w:start w:val="1"/>
      <w:numFmt w:val="decimal"/>
      <w:suff w:val="nothing"/>
      <w:lvlText w:val="%1)"/>
      <w:lvlJc w:val="left"/>
      <w:pPr>
        <w:ind w:left="0" w:firstLine="0"/>
      </w:pPr>
      <w:rPr>
        <w:rFonts w:hint="default"/>
      </w:rPr>
    </w:lvl>
  </w:abstractNum>
  <w:abstractNum w:abstractNumId="213">
    <w:nsid w:val="FFFA535D"/>
    <w:multiLevelType w:val="singleLevel"/>
    <w:tmpl w:val="FFFA535D"/>
    <w:lvl w:ilvl="0" w:tentative="0">
      <w:start w:val="1"/>
      <w:numFmt w:val="decimal"/>
      <w:suff w:val="nothing"/>
      <w:lvlText w:val="%1."/>
      <w:lvlJc w:val="left"/>
      <w:pPr>
        <w:ind w:left="0" w:firstLine="0"/>
      </w:pPr>
      <w:rPr>
        <w:rFonts w:hint="default"/>
      </w:rPr>
    </w:lvl>
  </w:abstractNum>
  <w:abstractNum w:abstractNumId="214">
    <w:nsid w:val="FFFDB215"/>
    <w:multiLevelType w:val="singleLevel"/>
    <w:tmpl w:val="FFFDB215"/>
    <w:lvl w:ilvl="0" w:tentative="0">
      <w:start w:val="1"/>
      <w:numFmt w:val="decimal"/>
      <w:suff w:val="nothing"/>
      <w:lvlText w:val="%1."/>
      <w:lvlJc w:val="left"/>
      <w:pPr>
        <w:ind w:left="0" w:firstLine="0"/>
      </w:pPr>
      <w:rPr>
        <w:rFonts w:hint="default"/>
      </w:rPr>
    </w:lvl>
  </w:abstractNum>
  <w:abstractNum w:abstractNumId="215">
    <w:nsid w:val="FFFECCD6"/>
    <w:multiLevelType w:val="singleLevel"/>
    <w:tmpl w:val="FFFECCD6"/>
    <w:lvl w:ilvl="0" w:tentative="0">
      <w:start w:val="1"/>
      <w:numFmt w:val="decimal"/>
      <w:suff w:val="nothing"/>
      <w:lvlText w:val="%1)"/>
      <w:lvlJc w:val="left"/>
      <w:pPr>
        <w:ind w:left="0" w:firstLine="0"/>
      </w:pPr>
      <w:rPr>
        <w:rFonts w:hint="default"/>
      </w:rPr>
    </w:lvl>
  </w:abstractNum>
  <w:abstractNum w:abstractNumId="216">
    <w:nsid w:val="00000017"/>
    <w:multiLevelType w:val="multilevel"/>
    <w:tmpl w:val="00000017"/>
    <w:lvl w:ilvl="0" w:tentative="0">
      <w:start w:val="5"/>
      <w:numFmt w:val="japaneseCounting"/>
      <w:pStyle w:val="2"/>
      <w:lvlText w:val="第%1章、"/>
      <w:lvlJc w:val="left"/>
      <w:pPr>
        <w:tabs>
          <w:tab w:val="left" w:pos="5220"/>
        </w:tabs>
        <w:ind w:left="4530" w:hanging="1110"/>
      </w:pPr>
      <w:rPr>
        <w:rFonts w:hint="eastAsia"/>
      </w:rPr>
    </w:lvl>
    <w:lvl w:ilvl="1" w:tentative="0">
      <w:start w:val="1"/>
      <w:numFmt w:val="decimal"/>
      <w:lvlText w:val="%2."/>
      <w:lvlJc w:val="left"/>
      <w:pPr>
        <w:tabs>
          <w:tab w:val="left" w:pos="4200"/>
        </w:tabs>
        <w:ind w:left="4200" w:hanging="360"/>
      </w:pPr>
      <w:rPr>
        <w:rFonts w:hint="eastAsia"/>
      </w:rPr>
    </w:lvl>
    <w:lvl w:ilvl="2" w:tentative="0">
      <w:start w:val="1"/>
      <w:numFmt w:val="upperLetter"/>
      <w:lvlText w:val="%3."/>
      <w:lvlJc w:val="left"/>
      <w:pPr>
        <w:tabs>
          <w:tab w:val="left" w:pos="4620"/>
        </w:tabs>
        <w:ind w:left="4620" w:hanging="360"/>
      </w:pPr>
      <w:rPr>
        <w:rFonts w:hint="eastAsia"/>
      </w:rPr>
    </w:lvl>
    <w:lvl w:ilvl="3" w:tentative="0">
      <w:start w:val="1"/>
      <w:numFmt w:val="japaneseCounting"/>
      <w:lvlText w:val="%4、"/>
      <w:lvlJc w:val="left"/>
      <w:pPr>
        <w:tabs>
          <w:tab w:val="left" w:pos="5400"/>
        </w:tabs>
        <w:ind w:left="5400" w:hanging="720"/>
      </w:pPr>
      <w:rPr>
        <w:rFonts w:hint="eastAsia"/>
      </w:rPr>
    </w:lvl>
    <w:lvl w:ilvl="4" w:tentative="0">
      <w:start w:val="1"/>
      <w:numFmt w:val="decimal"/>
      <w:lvlText w:val="%5."/>
      <w:lvlJc w:val="left"/>
      <w:pPr>
        <w:tabs>
          <w:tab w:val="left" w:pos="5520"/>
        </w:tabs>
        <w:ind w:left="5520" w:hanging="420"/>
      </w:pPr>
      <w:rPr>
        <w:rFonts w:hint="eastAsia"/>
      </w:r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abstractNum w:abstractNumId="217">
    <w:nsid w:val="0099370B"/>
    <w:multiLevelType w:val="singleLevel"/>
    <w:tmpl w:val="0099370B"/>
    <w:lvl w:ilvl="0" w:tentative="0">
      <w:start w:val="1"/>
      <w:numFmt w:val="decimal"/>
      <w:lvlText w:val="%1)"/>
      <w:lvlJc w:val="left"/>
      <w:pPr>
        <w:ind w:left="425" w:hanging="425"/>
      </w:pPr>
      <w:rPr>
        <w:rFonts w:hint="default"/>
      </w:rPr>
    </w:lvl>
  </w:abstractNum>
  <w:abstractNum w:abstractNumId="218">
    <w:nsid w:val="00C3D43A"/>
    <w:multiLevelType w:val="singleLevel"/>
    <w:tmpl w:val="00C3D43A"/>
    <w:lvl w:ilvl="0" w:tentative="0">
      <w:start w:val="1"/>
      <w:numFmt w:val="decimal"/>
      <w:lvlText w:val="%1)"/>
      <w:lvlJc w:val="left"/>
      <w:pPr>
        <w:ind w:left="425" w:hanging="425"/>
      </w:pPr>
      <w:rPr>
        <w:rFonts w:hint="default"/>
      </w:rPr>
    </w:lvl>
  </w:abstractNum>
  <w:abstractNum w:abstractNumId="219">
    <w:nsid w:val="00DEB907"/>
    <w:multiLevelType w:val="singleLevel"/>
    <w:tmpl w:val="00DEB907"/>
    <w:lvl w:ilvl="0" w:tentative="0">
      <w:start w:val="1"/>
      <w:numFmt w:val="decimal"/>
      <w:suff w:val="nothing"/>
      <w:lvlText w:val="%1．"/>
      <w:lvlJc w:val="left"/>
      <w:pPr>
        <w:ind w:left="0" w:firstLine="400"/>
      </w:pPr>
      <w:rPr>
        <w:rFonts w:hint="default"/>
      </w:rPr>
    </w:lvl>
  </w:abstractNum>
  <w:abstractNum w:abstractNumId="220">
    <w:nsid w:val="00EF7BFE"/>
    <w:multiLevelType w:val="singleLevel"/>
    <w:tmpl w:val="00EF7BFE"/>
    <w:lvl w:ilvl="0" w:tentative="0">
      <w:start w:val="1"/>
      <w:numFmt w:val="decimal"/>
      <w:suff w:val="nothing"/>
      <w:lvlText w:val="%1．"/>
      <w:lvlJc w:val="left"/>
      <w:pPr>
        <w:ind w:left="0" w:firstLine="0"/>
      </w:pPr>
      <w:rPr>
        <w:rFonts w:hint="default"/>
      </w:rPr>
    </w:lvl>
  </w:abstractNum>
  <w:abstractNum w:abstractNumId="221">
    <w:nsid w:val="014941BB"/>
    <w:multiLevelType w:val="singleLevel"/>
    <w:tmpl w:val="014941BB"/>
    <w:lvl w:ilvl="0" w:tentative="0">
      <w:start w:val="1"/>
      <w:numFmt w:val="decimal"/>
      <w:suff w:val="nothing"/>
      <w:lvlText w:val="%1．"/>
      <w:lvlJc w:val="left"/>
      <w:pPr>
        <w:ind w:left="0" w:firstLine="400"/>
      </w:pPr>
      <w:rPr>
        <w:rFonts w:hint="default"/>
      </w:rPr>
    </w:lvl>
  </w:abstractNum>
  <w:abstractNum w:abstractNumId="222">
    <w:nsid w:val="01BD0793"/>
    <w:multiLevelType w:val="singleLevel"/>
    <w:tmpl w:val="01BD0793"/>
    <w:lvl w:ilvl="0" w:tentative="0">
      <w:start w:val="1"/>
      <w:numFmt w:val="decimal"/>
      <w:lvlText w:val="%1."/>
      <w:lvlJc w:val="left"/>
      <w:pPr>
        <w:ind w:left="425" w:hanging="425"/>
      </w:pPr>
      <w:rPr>
        <w:rFonts w:hint="default"/>
      </w:rPr>
    </w:lvl>
  </w:abstractNum>
  <w:abstractNum w:abstractNumId="223">
    <w:nsid w:val="01FF01A2"/>
    <w:multiLevelType w:val="singleLevel"/>
    <w:tmpl w:val="01FF01A2"/>
    <w:lvl w:ilvl="0" w:tentative="0">
      <w:start w:val="1"/>
      <w:numFmt w:val="decimal"/>
      <w:suff w:val="nothing"/>
      <w:lvlText w:val="%1)"/>
      <w:lvlJc w:val="left"/>
      <w:pPr>
        <w:ind w:left="0" w:firstLine="0"/>
      </w:pPr>
      <w:rPr>
        <w:rFonts w:hint="default"/>
      </w:rPr>
    </w:lvl>
  </w:abstractNum>
  <w:abstractNum w:abstractNumId="224">
    <w:nsid w:val="0277F5A0"/>
    <w:multiLevelType w:val="singleLevel"/>
    <w:tmpl w:val="0277F5A0"/>
    <w:lvl w:ilvl="0" w:tentative="0">
      <w:start w:val="1"/>
      <w:numFmt w:val="decimal"/>
      <w:suff w:val="nothing"/>
      <w:lvlText w:val="%1．"/>
      <w:lvlJc w:val="left"/>
      <w:pPr>
        <w:ind w:left="0" w:firstLine="400"/>
      </w:pPr>
      <w:rPr>
        <w:rFonts w:hint="default"/>
      </w:rPr>
    </w:lvl>
  </w:abstractNum>
  <w:abstractNum w:abstractNumId="225">
    <w:nsid w:val="039E38CB"/>
    <w:multiLevelType w:val="singleLevel"/>
    <w:tmpl w:val="039E38CB"/>
    <w:lvl w:ilvl="0" w:tentative="0">
      <w:start w:val="1"/>
      <w:numFmt w:val="decimal"/>
      <w:suff w:val="nothing"/>
      <w:lvlText w:val="%1．"/>
      <w:lvlJc w:val="left"/>
      <w:pPr>
        <w:ind w:left="0" w:firstLine="400"/>
      </w:pPr>
      <w:rPr>
        <w:rFonts w:hint="default"/>
      </w:rPr>
    </w:lvl>
  </w:abstractNum>
  <w:abstractNum w:abstractNumId="226">
    <w:nsid w:val="050CE676"/>
    <w:multiLevelType w:val="singleLevel"/>
    <w:tmpl w:val="050CE676"/>
    <w:lvl w:ilvl="0" w:tentative="0">
      <w:start w:val="1"/>
      <w:numFmt w:val="chineseCounting"/>
      <w:suff w:val="nothing"/>
      <w:lvlText w:val="%1、"/>
      <w:lvlJc w:val="left"/>
      <w:pPr>
        <w:ind w:left="0" w:firstLine="420"/>
      </w:pPr>
      <w:rPr>
        <w:rFonts w:hint="eastAsia"/>
      </w:rPr>
    </w:lvl>
  </w:abstractNum>
  <w:abstractNum w:abstractNumId="227">
    <w:nsid w:val="053DE0F9"/>
    <w:multiLevelType w:val="singleLevel"/>
    <w:tmpl w:val="053DE0F9"/>
    <w:lvl w:ilvl="0" w:tentative="0">
      <w:start w:val="1"/>
      <w:numFmt w:val="decimal"/>
      <w:lvlText w:val="%1."/>
      <w:lvlJc w:val="left"/>
      <w:pPr>
        <w:ind w:left="425" w:hanging="425"/>
      </w:pPr>
      <w:rPr>
        <w:rFonts w:hint="default"/>
      </w:rPr>
    </w:lvl>
  </w:abstractNum>
  <w:abstractNum w:abstractNumId="228">
    <w:nsid w:val="0621072B"/>
    <w:multiLevelType w:val="singleLevel"/>
    <w:tmpl w:val="0621072B"/>
    <w:lvl w:ilvl="0" w:tentative="0">
      <w:start w:val="1"/>
      <w:numFmt w:val="decimal"/>
      <w:suff w:val="nothing"/>
      <w:lvlText w:val="%1．"/>
      <w:lvlJc w:val="left"/>
      <w:pPr>
        <w:ind w:left="0" w:firstLine="400"/>
      </w:pPr>
      <w:rPr>
        <w:rFonts w:hint="default"/>
      </w:rPr>
    </w:lvl>
  </w:abstractNum>
  <w:abstractNum w:abstractNumId="229">
    <w:nsid w:val="063A03C1"/>
    <w:multiLevelType w:val="singleLevel"/>
    <w:tmpl w:val="063A03C1"/>
    <w:lvl w:ilvl="0" w:tentative="0">
      <w:start w:val="1"/>
      <w:numFmt w:val="decimal"/>
      <w:lvlText w:val="%1."/>
      <w:lvlJc w:val="left"/>
      <w:pPr>
        <w:ind w:left="425" w:hanging="425"/>
      </w:pPr>
      <w:rPr>
        <w:rFonts w:hint="default"/>
      </w:rPr>
    </w:lvl>
  </w:abstractNum>
  <w:abstractNum w:abstractNumId="230">
    <w:nsid w:val="065ECCCD"/>
    <w:multiLevelType w:val="singleLevel"/>
    <w:tmpl w:val="065ECCCD"/>
    <w:lvl w:ilvl="0" w:tentative="0">
      <w:start w:val="1"/>
      <w:numFmt w:val="decimal"/>
      <w:suff w:val="nothing"/>
      <w:lvlText w:val="%1．"/>
      <w:lvlJc w:val="left"/>
      <w:pPr>
        <w:ind w:left="0" w:firstLine="400"/>
      </w:pPr>
      <w:rPr>
        <w:rFonts w:hint="default"/>
      </w:rPr>
    </w:lvl>
  </w:abstractNum>
  <w:abstractNum w:abstractNumId="231">
    <w:nsid w:val="06CC144C"/>
    <w:multiLevelType w:val="singleLevel"/>
    <w:tmpl w:val="06CC144C"/>
    <w:lvl w:ilvl="0" w:tentative="0">
      <w:start w:val="1"/>
      <w:numFmt w:val="decimal"/>
      <w:lvlText w:val="%1)"/>
      <w:lvlJc w:val="left"/>
      <w:pPr>
        <w:ind w:left="425" w:hanging="425"/>
      </w:pPr>
      <w:rPr>
        <w:rFonts w:hint="default"/>
      </w:rPr>
    </w:lvl>
  </w:abstractNum>
  <w:abstractNum w:abstractNumId="232">
    <w:nsid w:val="0744EC1C"/>
    <w:multiLevelType w:val="singleLevel"/>
    <w:tmpl w:val="0744EC1C"/>
    <w:lvl w:ilvl="0" w:tentative="0">
      <w:start w:val="1"/>
      <w:numFmt w:val="decimal"/>
      <w:lvlText w:val="%1)"/>
      <w:lvlJc w:val="left"/>
      <w:pPr>
        <w:ind w:left="425" w:hanging="425"/>
      </w:pPr>
      <w:rPr>
        <w:rFonts w:hint="default"/>
      </w:rPr>
    </w:lvl>
  </w:abstractNum>
  <w:abstractNum w:abstractNumId="233">
    <w:nsid w:val="07A17A7A"/>
    <w:multiLevelType w:val="singleLevel"/>
    <w:tmpl w:val="07A17A7A"/>
    <w:lvl w:ilvl="0" w:tentative="0">
      <w:start w:val="1"/>
      <w:numFmt w:val="decimal"/>
      <w:lvlText w:val="%1)"/>
      <w:lvlJc w:val="left"/>
      <w:pPr>
        <w:ind w:left="425" w:hanging="425"/>
      </w:pPr>
      <w:rPr>
        <w:rFonts w:hint="default"/>
      </w:rPr>
    </w:lvl>
  </w:abstractNum>
  <w:abstractNum w:abstractNumId="234">
    <w:nsid w:val="07AFD4D6"/>
    <w:multiLevelType w:val="singleLevel"/>
    <w:tmpl w:val="07AFD4D6"/>
    <w:lvl w:ilvl="0" w:tentative="0">
      <w:start w:val="1"/>
      <w:numFmt w:val="decimal"/>
      <w:lvlText w:val="%1)"/>
      <w:lvlJc w:val="left"/>
      <w:pPr>
        <w:ind w:left="425" w:hanging="425"/>
      </w:pPr>
      <w:rPr>
        <w:rFonts w:hint="default"/>
      </w:rPr>
    </w:lvl>
  </w:abstractNum>
  <w:abstractNum w:abstractNumId="235">
    <w:nsid w:val="07BB74B0"/>
    <w:multiLevelType w:val="singleLevel"/>
    <w:tmpl w:val="07BB74B0"/>
    <w:lvl w:ilvl="0" w:tentative="0">
      <w:start w:val="1"/>
      <w:numFmt w:val="decimal"/>
      <w:suff w:val="nothing"/>
      <w:lvlText w:val="%1．"/>
      <w:lvlJc w:val="left"/>
      <w:pPr>
        <w:ind w:left="0" w:firstLine="400"/>
      </w:pPr>
      <w:rPr>
        <w:rFonts w:hint="default"/>
      </w:rPr>
    </w:lvl>
  </w:abstractNum>
  <w:abstractNum w:abstractNumId="236">
    <w:nsid w:val="0830AC43"/>
    <w:multiLevelType w:val="singleLevel"/>
    <w:tmpl w:val="0830AC43"/>
    <w:lvl w:ilvl="0" w:tentative="0">
      <w:start w:val="1"/>
      <w:numFmt w:val="chineseCounting"/>
      <w:suff w:val="nothing"/>
      <w:lvlText w:val="%1、"/>
      <w:lvlJc w:val="left"/>
      <w:pPr>
        <w:ind w:left="0" w:firstLine="420"/>
      </w:pPr>
      <w:rPr>
        <w:rFonts w:hint="eastAsia"/>
      </w:rPr>
    </w:lvl>
  </w:abstractNum>
  <w:abstractNum w:abstractNumId="237">
    <w:nsid w:val="086DFA0F"/>
    <w:multiLevelType w:val="singleLevel"/>
    <w:tmpl w:val="086DFA0F"/>
    <w:lvl w:ilvl="0" w:tentative="0">
      <w:start w:val="1"/>
      <w:numFmt w:val="decimal"/>
      <w:suff w:val="nothing"/>
      <w:lvlText w:val="%1．"/>
      <w:lvlJc w:val="left"/>
      <w:pPr>
        <w:ind w:left="0" w:firstLine="0"/>
      </w:pPr>
      <w:rPr>
        <w:rFonts w:hint="default"/>
      </w:rPr>
    </w:lvl>
  </w:abstractNum>
  <w:abstractNum w:abstractNumId="238">
    <w:nsid w:val="0A7708A0"/>
    <w:multiLevelType w:val="singleLevel"/>
    <w:tmpl w:val="0A7708A0"/>
    <w:lvl w:ilvl="0" w:tentative="0">
      <w:start w:val="1"/>
      <w:numFmt w:val="decimal"/>
      <w:lvlText w:val="%1."/>
      <w:lvlJc w:val="left"/>
      <w:pPr>
        <w:ind w:left="425" w:hanging="425"/>
      </w:pPr>
      <w:rPr>
        <w:rFonts w:hint="default"/>
      </w:rPr>
    </w:lvl>
  </w:abstractNum>
  <w:abstractNum w:abstractNumId="239">
    <w:nsid w:val="0B68FC44"/>
    <w:multiLevelType w:val="singleLevel"/>
    <w:tmpl w:val="0B68FC44"/>
    <w:lvl w:ilvl="0" w:tentative="0">
      <w:start w:val="1"/>
      <w:numFmt w:val="decimal"/>
      <w:suff w:val="nothing"/>
      <w:lvlText w:val="%1．"/>
      <w:lvlJc w:val="left"/>
      <w:pPr>
        <w:ind w:left="0" w:firstLine="400"/>
      </w:pPr>
      <w:rPr>
        <w:rFonts w:hint="default"/>
      </w:rPr>
    </w:lvl>
  </w:abstractNum>
  <w:abstractNum w:abstractNumId="240">
    <w:nsid w:val="0BD25190"/>
    <w:multiLevelType w:val="singleLevel"/>
    <w:tmpl w:val="0BD25190"/>
    <w:lvl w:ilvl="0" w:tentative="0">
      <w:start w:val="1"/>
      <w:numFmt w:val="decimal"/>
      <w:lvlText w:val="%1)"/>
      <w:lvlJc w:val="left"/>
      <w:pPr>
        <w:ind w:left="425" w:hanging="425"/>
      </w:pPr>
      <w:rPr>
        <w:rFonts w:hint="default"/>
      </w:rPr>
    </w:lvl>
  </w:abstractNum>
  <w:abstractNum w:abstractNumId="241">
    <w:nsid w:val="0BE983B6"/>
    <w:multiLevelType w:val="singleLevel"/>
    <w:tmpl w:val="0BE983B6"/>
    <w:lvl w:ilvl="0" w:tentative="0">
      <w:start w:val="1"/>
      <w:numFmt w:val="decimal"/>
      <w:lvlText w:val="%1)"/>
      <w:lvlJc w:val="left"/>
      <w:pPr>
        <w:ind w:left="425" w:hanging="425"/>
      </w:pPr>
      <w:rPr>
        <w:rFonts w:hint="default"/>
      </w:rPr>
    </w:lvl>
  </w:abstractNum>
  <w:abstractNum w:abstractNumId="242">
    <w:nsid w:val="0C2384D9"/>
    <w:multiLevelType w:val="singleLevel"/>
    <w:tmpl w:val="0C2384D9"/>
    <w:lvl w:ilvl="0" w:tentative="0">
      <w:start w:val="1"/>
      <w:numFmt w:val="decimal"/>
      <w:lvlText w:val="%1)"/>
      <w:lvlJc w:val="left"/>
      <w:pPr>
        <w:ind w:left="425" w:hanging="425"/>
      </w:pPr>
      <w:rPr>
        <w:rFonts w:hint="default"/>
      </w:rPr>
    </w:lvl>
  </w:abstractNum>
  <w:abstractNum w:abstractNumId="243">
    <w:nsid w:val="0D99B074"/>
    <w:multiLevelType w:val="singleLevel"/>
    <w:tmpl w:val="0D99B074"/>
    <w:lvl w:ilvl="0" w:tentative="0">
      <w:start w:val="1"/>
      <w:numFmt w:val="chineseCounting"/>
      <w:suff w:val="nothing"/>
      <w:lvlText w:val="%1、"/>
      <w:lvlJc w:val="left"/>
      <w:pPr>
        <w:ind w:left="0" w:firstLine="0"/>
      </w:pPr>
      <w:rPr>
        <w:rFonts w:hint="eastAsia"/>
      </w:rPr>
    </w:lvl>
  </w:abstractNum>
  <w:abstractNum w:abstractNumId="244">
    <w:nsid w:val="0DDD8CD3"/>
    <w:multiLevelType w:val="singleLevel"/>
    <w:tmpl w:val="0DDD8CD3"/>
    <w:lvl w:ilvl="0" w:tentative="0">
      <w:start w:val="1"/>
      <w:numFmt w:val="decimal"/>
      <w:lvlText w:val="%1)"/>
      <w:lvlJc w:val="left"/>
      <w:pPr>
        <w:ind w:left="425" w:hanging="425"/>
      </w:pPr>
      <w:rPr>
        <w:rFonts w:hint="default"/>
      </w:rPr>
    </w:lvl>
  </w:abstractNum>
  <w:abstractNum w:abstractNumId="245">
    <w:nsid w:val="0F46F593"/>
    <w:multiLevelType w:val="singleLevel"/>
    <w:tmpl w:val="0F46F593"/>
    <w:lvl w:ilvl="0" w:tentative="0">
      <w:start w:val="1"/>
      <w:numFmt w:val="decimal"/>
      <w:suff w:val="nothing"/>
      <w:lvlText w:val="%1．"/>
      <w:lvlJc w:val="left"/>
      <w:pPr>
        <w:ind w:left="0" w:firstLine="400"/>
      </w:pPr>
      <w:rPr>
        <w:rFonts w:hint="default"/>
      </w:rPr>
    </w:lvl>
  </w:abstractNum>
  <w:abstractNum w:abstractNumId="246">
    <w:nsid w:val="0F9D3FA3"/>
    <w:multiLevelType w:val="singleLevel"/>
    <w:tmpl w:val="0F9D3FA3"/>
    <w:lvl w:ilvl="0" w:tentative="0">
      <w:start w:val="1"/>
      <w:numFmt w:val="decimal"/>
      <w:lvlText w:val="%1)"/>
      <w:lvlJc w:val="left"/>
      <w:pPr>
        <w:ind w:left="425" w:hanging="425"/>
      </w:pPr>
      <w:rPr>
        <w:rFonts w:hint="default"/>
      </w:rPr>
    </w:lvl>
  </w:abstractNum>
  <w:abstractNum w:abstractNumId="247">
    <w:nsid w:val="10447770"/>
    <w:multiLevelType w:val="singleLevel"/>
    <w:tmpl w:val="10447770"/>
    <w:lvl w:ilvl="0" w:tentative="0">
      <w:start w:val="1"/>
      <w:numFmt w:val="decimal"/>
      <w:lvlText w:val="(%1)"/>
      <w:lvlJc w:val="left"/>
      <w:pPr>
        <w:ind w:left="425" w:hanging="425"/>
      </w:pPr>
      <w:rPr>
        <w:rFonts w:hint="default"/>
      </w:rPr>
    </w:lvl>
  </w:abstractNum>
  <w:abstractNum w:abstractNumId="248">
    <w:nsid w:val="10C42130"/>
    <w:multiLevelType w:val="singleLevel"/>
    <w:tmpl w:val="10C42130"/>
    <w:lvl w:ilvl="0" w:tentative="0">
      <w:start w:val="1"/>
      <w:numFmt w:val="decimal"/>
      <w:lvlText w:val="%1)"/>
      <w:lvlJc w:val="left"/>
      <w:pPr>
        <w:ind w:left="425" w:hanging="425"/>
      </w:pPr>
      <w:rPr>
        <w:rFonts w:hint="default"/>
      </w:rPr>
    </w:lvl>
  </w:abstractNum>
  <w:abstractNum w:abstractNumId="249">
    <w:nsid w:val="1122C979"/>
    <w:multiLevelType w:val="singleLevel"/>
    <w:tmpl w:val="1122C979"/>
    <w:lvl w:ilvl="0" w:tentative="0">
      <w:start w:val="1"/>
      <w:numFmt w:val="decimal"/>
      <w:suff w:val="nothing"/>
      <w:lvlText w:val="%1．"/>
      <w:lvlJc w:val="left"/>
      <w:pPr>
        <w:ind w:left="0" w:firstLine="400"/>
      </w:pPr>
      <w:rPr>
        <w:rFonts w:hint="default"/>
      </w:rPr>
    </w:lvl>
  </w:abstractNum>
  <w:abstractNum w:abstractNumId="250">
    <w:nsid w:val="12C33202"/>
    <w:multiLevelType w:val="singleLevel"/>
    <w:tmpl w:val="12C33202"/>
    <w:lvl w:ilvl="0" w:tentative="0">
      <w:start w:val="1"/>
      <w:numFmt w:val="decimal"/>
      <w:suff w:val="nothing"/>
      <w:lvlText w:val="%1．"/>
      <w:lvlJc w:val="left"/>
      <w:pPr>
        <w:ind w:left="0" w:firstLine="400"/>
      </w:pPr>
      <w:rPr>
        <w:rFonts w:hint="default"/>
      </w:rPr>
    </w:lvl>
  </w:abstractNum>
  <w:abstractNum w:abstractNumId="251">
    <w:nsid w:val="136113AE"/>
    <w:multiLevelType w:val="singleLevel"/>
    <w:tmpl w:val="136113AE"/>
    <w:lvl w:ilvl="0" w:tentative="0">
      <w:start w:val="1"/>
      <w:numFmt w:val="decimal"/>
      <w:lvlText w:val="%1."/>
      <w:lvlJc w:val="left"/>
      <w:pPr>
        <w:ind w:left="425" w:hanging="425"/>
      </w:pPr>
      <w:rPr>
        <w:rFonts w:hint="default"/>
      </w:rPr>
    </w:lvl>
  </w:abstractNum>
  <w:abstractNum w:abstractNumId="252">
    <w:nsid w:val="143AC491"/>
    <w:multiLevelType w:val="singleLevel"/>
    <w:tmpl w:val="143AC491"/>
    <w:lvl w:ilvl="0" w:tentative="0">
      <w:start w:val="1"/>
      <w:numFmt w:val="decimal"/>
      <w:lvlText w:val="%1."/>
      <w:lvlJc w:val="left"/>
      <w:pPr>
        <w:ind w:left="425" w:hanging="425"/>
      </w:pPr>
      <w:rPr>
        <w:rFonts w:hint="default"/>
      </w:rPr>
    </w:lvl>
  </w:abstractNum>
  <w:abstractNum w:abstractNumId="253">
    <w:nsid w:val="14F6E7B8"/>
    <w:multiLevelType w:val="singleLevel"/>
    <w:tmpl w:val="14F6E7B8"/>
    <w:lvl w:ilvl="0" w:tentative="0">
      <w:start w:val="1"/>
      <w:numFmt w:val="decimal"/>
      <w:suff w:val="nothing"/>
      <w:lvlText w:val="%1．"/>
      <w:lvlJc w:val="left"/>
      <w:pPr>
        <w:ind w:left="0" w:firstLine="400"/>
      </w:pPr>
      <w:rPr>
        <w:rFonts w:hint="default"/>
      </w:rPr>
    </w:lvl>
  </w:abstractNum>
  <w:abstractNum w:abstractNumId="254">
    <w:nsid w:val="1502FEB1"/>
    <w:multiLevelType w:val="singleLevel"/>
    <w:tmpl w:val="1502FEB1"/>
    <w:lvl w:ilvl="0" w:tentative="0">
      <w:start w:val="1"/>
      <w:numFmt w:val="decimal"/>
      <w:lvlText w:val="%1)"/>
      <w:lvlJc w:val="left"/>
      <w:pPr>
        <w:ind w:left="425" w:hanging="425"/>
      </w:pPr>
      <w:rPr>
        <w:rFonts w:hint="default"/>
      </w:rPr>
    </w:lvl>
  </w:abstractNum>
  <w:abstractNum w:abstractNumId="255">
    <w:nsid w:val="161592B8"/>
    <w:multiLevelType w:val="singleLevel"/>
    <w:tmpl w:val="161592B8"/>
    <w:lvl w:ilvl="0" w:tentative="0">
      <w:start w:val="1"/>
      <w:numFmt w:val="decimal"/>
      <w:suff w:val="nothing"/>
      <w:lvlText w:val="%1."/>
      <w:lvlJc w:val="left"/>
      <w:pPr>
        <w:ind w:left="0" w:firstLine="0"/>
      </w:pPr>
      <w:rPr>
        <w:rFonts w:hint="default"/>
      </w:rPr>
    </w:lvl>
  </w:abstractNum>
  <w:abstractNum w:abstractNumId="256">
    <w:nsid w:val="1617F996"/>
    <w:multiLevelType w:val="singleLevel"/>
    <w:tmpl w:val="1617F996"/>
    <w:lvl w:ilvl="0" w:tentative="0">
      <w:start w:val="1"/>
      <w:numFmt w:val="decimal"/>
      <w:lvlText w:val="%1)"/>
      <w:lvlJc w:val="left"/>
      <w:pPr>
        <w:ind w:left="425" w:hanging="425"/>
      </w:pPr>
      <w:rPr>
        <w:rFonts w:hint="default"/>
      </w:rPr>
    </w:lvl>
  </w:abstractNum>
  <w:abstractNum w:abstractNumId="257">
    <w:nsid w:val="16444FD5"/>
    <w:multiLevelType w:val="singleLevel"/>
    <w:tmpl w:val="16444FD5"/>
    <w:lvl w:ilvl="0" w:tentative="0">
      <w:start w:val="1"/>
      <w:numFmt w:val="decimal"/>
      <w:lvlText w:val="(%1)"/>
      <w:lvlJc w:val="left"/>
      <w:pPr>
        <w:ind w:left="425" w:hanging="425"/>
      </w:pPr>
      <w:rPr>
        <w:rFonts w:hint="default"/>
      </w:rPr>
    </w:lvl>
  </w:abstractNum>
  <w:abstractNum w:abstractNumId="258">
    <w:nsid w:val="16983624"/>
    <w:multiLevelType w:val="singleLevel"/>
    <w:tmpl w:val="16983624"/>
    <w:lvl w:ilvl="0" w:tentative="0">
      <w:start w:val="1"/>
      <w:numFmt w:val="decimal"/>
      <w:lvlText w:val="%1)"/>
      <w:lvlJc w:val="left"/>
      <w:pPr>
        <w:ind w:left="425" w:hanging="425"/>
      </w:pPr>
      <w:rPr>
        <w:rFonts w:hint="default"/>
      </w:rPr>
    </w:lvl>
  </w:abstractNum>
  <w:abstractNum w:abstractNumId="259">
    <w:nsid w:val="16E86028"/>
    <w:multiLevelType w:val="singleLevel"/>
    <w:tmpl w:val="16E86028"/>
    <w:lvl w:ilvl="0" w:tentative="0">
      <w:start w:val="1"/>
      <w:numFmt w:val="decimal"/>
      <w:lvlText w:val="%1)"/>
      <w:lvlJc w:val="left"/>
      <w:pPr>
        <w:ind w:left="425" w:hanging="425"/>
      </w:pPr>
      <w:rPr>
        <w:rFonts w:hint="default"/>
      </w:rPr>
    </w:lvl>
  </w:abstractNum>
  <w:abstractNum w:abstractNumId="260">
    <w:nsid w:val="186C2BF7"/>
    <w:multiLevelType w:val="singleLevel"/>
    <w:tmpl w:val="186C2BF7"/>
    <w:lvl w:ilvl="0" w:tentative="0">
      <w:start w:val="1"/>
      <w:numFmt w:val="chineseCounting"/>
      <w:suff w:val="nothing"/>
      <w:lvlText w:val="%1、"/>
      <w:lvlJc w:val="left"/>
      <w:pPr>
        <w:ind w:left="0" w:firstLine="420"/>
      </w:pPr>
      <w:rPr>
        <w:rFonts w:hint="eastAsia"/>
      </w:rPr>
    </w:lvl>
  </w:abstractNum>
  <w:abstractNum w:abstractNumId="261">
    <w:nsid w:val="18FFEF9D"/>
    <w:multiLevelType w:val="singleLevel"/>
    <w:tmpl w:val="18FFEF9D"/>
    <w:lvl w:ilvl="0" w:tentative="0">
      <w:start w:val="1"/>
      <w:numFmt w:val="decimal"/>
      <w:suff w:val="nothing"/>
      <w:lvlText w:val="%1."/>
      <w:lvlJc w:val="left"/>
      <w:pPr>
        <w:ind w:left="0" w:firstLine="0"/>
      </w:pPr>
      <w:rPr>
        <w:rFonts w:hint="default"/>
      </w:rPr>
    </w:lvl>
  </w:abstractNum>
  <w:abstractNum w:abstractNumId="262">
    <w:nsid w:val="1981E7D4"/>
    <w:multiLevelType w:val="singleLevel"/>
    <w:tmpl w:val="1981E7D4"/>
    <w:lvl w:ilvl="0" w:tentative="0">
      <w:start w:val="1"/>
      <w:numFmt w:val="chineseCounting"/>
      <w:suff w:val="nothing"/>
      <w:lvlText w:val="%1、"/>
      <w:lvlJc w:val="left"/>
      <w:pPr>
        <w:ind w:left="0" w:firstLine="420"/>
      </w:pPr>
      <w:rPr>
        <w:rFonts w:hint="eastAsia"/>
      </w:rPr>
    </w:lvl>
  </w:abstractNum>
  <w:abstractNum w:abstractNumId="263">
    <w:nsid w:val="1B040E2C"/>
    <w:multiLevelType w:val="singleLevel"/>
    <w:tmpl w:val="1B040E2C"/>
    <w:lvl w:ilvl="0" w:tentative="0">
      <w:start w:val="1"/>
      <w:numFmt w:val="chineseCounting"/>
      <w:suff w:val="nothing"/>
      <w:lvlText w:val="%1、"/>
      <w:lvlJc w:val="left"/>
      <w:pPr>
        <w:ind w:left="0" w:firstLine="420"/>
      </w:pPr>
      <w:rPr>
        <w:rFonts w:hint="eastAsia"/>
      </w:rPr>
    </w:lvl>
  </w:abstractNum>
  <w:abstractNum w:abstractNumId="264">
    <w:nsid w:val="1B4596E1"/>
    <w:multiLevelType w:val="singleLevel"/>
    <w:tmpl w:val="1B4596E1"/>
    <w:lvl w:ilvl="0" w:tentative="0">
      <w:start w:val="1"/>
      <w:numFmt w:val="decimal"/>
      <w:suff w:val="nothing"/>
      <w:lvlText w:val="%1．"/>
      <w:lvlJc w:val="left"/>
      <w:pPr>
        <w:ind w:left="0" w:firstLine="0"/>
      </w:pPr>
      <w:rPr>
        <w:rFonts w:hint="default"/>
      </w:rPr>
    </w:lvl>
  </w:abstractNum>
  <w:abstractNum w:abstractNumId="265">
    <w:nsid w:val="1C2CE8C1"/>
    <w:multiLevelType w:val="singleLevel"/>
    <w:tmpl w:val="1C2CE8C1"/>
    <w:lvl w:ilvl="0" w:tentative="0">
      <w:start w:val="1"/>
      <w:numFmt w:val="decimal"/>
      <w:lvlText w:val="%1."/>
      <w:lvlJc w:val="left"/>
      <w:pPr>
        <w:ind w:left="425" w:hanging="425"/>
      </w:pPr>
      <w:rPr>
        <w:rFonts w:hint="default"/>
      </w:rPr>
    </w:lvl>
  </w:abstractNum>
  <w:abstractNum w:abstractNumId="266">
    <w:nsid w:val="1CA9C193"/>
    <w:multiLevelType w:val="singleLevel"/>
    <w:tmpl w:val="1CA9C193"/>
    <w:lvl w:ilvl="0" w:tentative="0">
      <w:start w:val="1"/>
      <w:numFmt w:val="decimal"/>
      <w:lvlText w:val="%1)"/>
      <w:lvlJc w:val="left"/>
      <w:pPr>
        <w:ind w:left="425" w:hanging="425"/>
      </w:pPr>
      <w:rPr>
        <w:rFonts w:hint="default"/>
      </w:rPr>
    </w:lvl>
  </w:abstractNum>
  <w:abstractNum w:abstractNumId="267">
    <w:nsid w:val="1D813315"/>
    <w:multiLevelType w:val="singleLevel"/>
    <w:tmpl w:val="1D813315"/>
    <w:lvl w:ilvl="0" w:tentative="0">
      <w:start w:val="1"/>
      <w:numFmt w:val="decimal"/>
      <w:lvlText w:val="%1)"/>
      <w:lvlJc w:val="left"/>
      <w:pPr>
        <w:ind w:left="425" w:hanging="425"/>
      </w:pPr>
      <w:rPr>
        <w:rFonts w:hint="default"/>
      </w:rPr>
    </w:lvl>
  </w:abstractNum>
  <w:abstractNum w:abstractNumId="268">
    <w:nsid w:val="1DAE6ED3"/>
    <w:multiLevelType w:val="singleLevel"/>
    <w:tmpl w:val="1DAE6ED3"/>
    <w:lvl w:ilvl="0" w:tentative="0">
      <w:start w:val="1"/>
      <w:numFmt w:val="chineseCounting"/>
      <w:suff w:val="nothing"/>
      <w:lvlText w:val="%1、"/>
      <w:lvlJc w:val="left"/>
      <w:pPr>
        <w:ind w:left="0" w:firstLine="420"/>
      </w:pPr>
      <w:rPr>
        <w:rFonts w:hint="eastAsia"/>
      </w:rPr>
    </w:lvl>
  </w:abstractNum>
  <w:abstractNum w:abstractNumId="269">
    <w:nsid w:val="1DD9681B"/>
    <w:multiLevelType w:val="singleLevel"/>
    <w:tmpl w:val="1DD9681B"/>
    <w:lvl w:ilvl="0" w:tentative="0">
      <w:start w:val="1"/>
      <w:numFmt w:val="chineseCounting"/>
      <w:suff w:val="nothing"/>
      <w:lvlText w:val="%1、"/>
      <w:lvlJc w:val="left"/>
      <w:pPr>
        <w:ind w:left="0" w:firstLine="420"/>
      </w:pPr>
      <w:rPr>
        <w:rFonts w:hint="eastAsia"/>
      </w:rPr>
    </w:lvl>
  </w:abstractNum>
  <w:abstractNum w:abstractNumId="270">
    <w:nsid w:val="1EA90F24"/>
    <w:multiLevelType w:val="singleLevel"/>
    <w:tmpl w:val="1EA90F24"/>
    <w:lvl w:ilvl="0" w:tentative="0">
      <w:start w:val="1"/>
      <w:numFmt w:val="decimal"/>
      <w:suff w:val="nothing"/>
      <w:lvlText w:val="%1．"/>
      <w:lvlJc w:val="left"/>
      <w:pPr>
        <w:ind w:left="0" w:firstLine="400"/>
      </w:pPr>
      <w:rPr>
        <w:rFonts w:hint="default"/>
      </w:rPr>
    </w:lvl>
  </w:abstractNum>
  <w:abstractNum w:abstractNumId="271">
    <w:nsid w:val="1FD3FBA1"/>
    <w:multiLevelType w:val="singleLevel"/>
    <w:tmpl w:val="1FD3FBA1"/>
    <w:lvl w:ilvl="0" w:tentative="0">
      <w:start w:val="1"/>
      <w:numFmt w:val="chineseCounting"/>
      <w:suff w:val="nothing"/>
      <w:lvlText w:val="%1、"/>
      <w:lvlJc w:val="left"/>
      <w:pPr>
        <w:ind w:left="0" w:firstLine="420"/>
      </w:pPr>
      <w:rPr>
        <w:rFonts w:hint="eastAsia"/>
      </w:rPr>
    </w:lvl>
  </w:abstractNum>
  <w:abstractNum w:abstractNumId="272">
    <w:nsid w:val="1FECBCDC"/>
    <w:multiLevelType w:val="singleLevel"/>
    <w:tmpl w:val="1FECBCDC"/>
    <w:lvl w:ilvl="0" w:tentative="0">
      <w:start w:val="1"/>
      <w:numFmt w:val="decimal"/>
      <w:lvlText w:val="%1)"/>
      <w:lvlJc w:val="left"/>
      <w:pPr>
        <w:ind w:left="425" w:hanging="425"/>
      </w:pPr>
      <w:rPr>
        <w:rFonts w:hint="default"/>
      </w:rPr>
    </w:lvl>
  </w:abstractNum>
  <w:abstractNum w:abstractNumId="273">
    <w:nsid w:val="207C5BAF"/>
    <w:multiLevelType w:val="singleLevel"/>
    <w:tmpl w:val="207C5BAF"/>
    <w:lvl w:ilvl="0" w:tentative="0">
      <w:start w:val="1"/>
      <w:numFmt w:val="chineseCounting"/>
      <w:suff w:val="nothing"/>
      <w:lvlText w:val="%1、"/>
      <w:lvlJc w:val="left"/>
      <w:pPr>
        <w:ind w:left="0" w:firstLine="420"/>
      </w:pPr>
      <w:rPr>
        <w:rFonts w:hint="eastAsia"/>
      </w:rPr>
    </w:lvl>
  </w:abstractNum>
  <w:abstractNum w:abstractNumId="274">
    <w:nsid w:val="240DECC4"/>
    <w:multiLevelType w:val="singleLevel"/>
    <w:tmpl w:val="240DECC4"/>
    <w:lvl w:ilvl="0" w:tentative="0">
      <w:start w:val="1"/>
      <w:numFmt w:val="decimal"/>
      <w:lvlText w:val="%1)"/>
      <w:lvlJc w:val="left"/>
      <w:pPr>
        <w:ind w:left="425" w:hanging="425"/>
      </w:pPr>
      <w:rPr>
        <w:rFonts w:hint="default"/>
      </w:rPr>
    </w:lvl>
  </w:abstractNum>
  <w:abstractNum w:abstractNumId="275">
    <w:nsid w:val="24870DA0"/>
    <w:multiLevelType w:val="singleLevel"/>
    <w:tmpl w:val="24870DA0"/>
    <w:lvl w:ilvl="0" w:tentative="0">
      <w:start w:val="1"/>
      <w:numFmt w:val="decimal"/>
      <w:lvlText w:val="%1)"/>
      <w:lvlJc w:val="left"/>
      <w:pPr>
        <w:ind w:left="425" w:hanging="425"/>
      </w:pPr>
      <w:rPr>
        <w:rFonts w:hint="default"/>
      </w:rPr>
    </w:lvl>
  </w:abstractNum>
  <w:abstractNum w:abstractNumId="276">
    <w:nsid w:val="26E218FF"/>
    <w:multiLevelType w:val="singleLevel"/>
    <w:tmpl w:val="26E218FF"/>
    <w:lvl w:ilvl="0" w:tentative="0">
      <w:start w:val="1"/>
      <w:numFmt w:val="chineseCounting"/>
      <w:suff w:val="nothing"/>
      <w:lvlText w:val="%1、"/>
      <w:lvlJc w:val="left"/>
      <w:pPr>
        <w:ind w:left="0" w:firstLine="420"/>
      </w:pPr>
      <w:rPr>
        <w:rFonts w:hint="eastAsia"/>
      </w:rPr>
    </w:lvl>
  </w:abstractNum>
  <w:abstractNum w:abstractNumId="277">
    <w:nsid w:val="27D78A4E"/>
    <w:multiLevelType w:val="singleLevel"/>
    <w:tmpl w:val="27D78A4E"/>
    <w:lvl w:ilvl="0" w:tentative="0">
      <w:start w:val="1"/>
      <w:numFmt w:val="decimal"/>
      <w:suff w:val="nothing"/>
      <w:lvlText w:val="%1．"/>
      <w:lvlJc w:val="left"/>
      <w:pPr>
        <w:ind w:left="0" w:firstLine="400"/>
      </w:pPr>
      <w:rPr>
        <w:rFonts w:hint="default"/>
      </w:rPr>
    </w:lvl>
  </w:abstractNum>
  <w:abstractNum w:abstractNumId="278">
    <w:nsid w:val="29431301"/>
    <w:multiLevelType w:val="singleLevel"/>
    <w:tmpl w:val="29431301"/>
    <w:lvl w:ilvl="0" w:tentative="0">
      <w:start w:val="1"/>
      <w:numFmt w:val="chineseCounting"/>
      <w:suff w:val="nothing"/>
      <w:lvlText w:val="%1、"/>
      <w:lvlJc w:val="left"/>
      <w:pPr>
        <w:ind w:left="0" w:firstLine="420"/>
      </w:pPr>
      <w:rPr>
        <w:rFonts w:hint="eastAsia"/>
      </w:rPr>
    </w:lvl>
  </w:abstractNum>
  <w:abstractNum w:abstractNumId="279">
    <w:nsid w:val="295286D3"/>
    <w:multiLevelType w:val="singleLevel"/>
    <w:tmpl w:val="295286D3"/>
    <w:lvl w:ilvl="0" w:tentative="0">
      <w:start w:val="1"/>
      <w:numFmt w:val="decimal"/>
      <w:suff w:val="nothing"/>
      <w:lvlText w:val="%1．"/>
      <w:lvlJc w:val="left"/>
      <w:pPr>
        <w:ind w:left="0" w:firstLine="400"/>
      </w:pPr>
      <w:rPr>
        <w:rFonts w:hint="default"/>
      </w:rPr>
    </w:lvl>
  </w:abstractNum>
  <w:abstractNum w:abstractNumId="280">
    <w:nsid w:val="29691DDA"/>
    <w:multiLevelType w:val="singleLevel"/>
    <w:tmpl w:val="29691DDA"/>
    <w:lvl w:ilvl="0" w:tentative="0">
      <w:start w:val="1"/>
      <w:numFmt w:val="decimal"/>
      <w:lvlText w:val="%1)"/>
      <w:lvlJc w:val="left"/>
      <w:pPr>
        <w:ind w:left="425" w:hanging="425"/>
      </w:pPr>
      <w:rPr>
        <w:rFonts w:hint="default"/>
      </w:rPr>
    </w:lvl>
  </w:abstractNum>
  <w:abstractNum w:abstractNumId="281">
    <w:nsid w:val="2A023326"/>
    <w:multiLevelType w:val="singleLevel"/>
    <w:tmpl w:val="2A023326"/>
    <w:lvl w:ilvl="0" w:tentative="0">
      <w:start w:val="1"/>
      <w:numFmt w:val="decimal"/>
      <w:lvlText w:val="%1)"/>
      <w:lvlJc w:val="left"/>
      <w:pPr>
        <w:ind w:left="425" w:hanging="425"/>
      </w:pPr>
      <w:rPr>
        <w:rFonts w:hint="default"/>
      </w:rPr>
    </w:lvl>
  </w:abstractNum>
  <w:abstractNum w:abstractNumId="282">
    <w:nsid w:val="2A117A81"/>
    <w:multiLevelType w:val="singleLevel"/>
    <w:tmpl w:val="2A117A81"/>
    <w:lvl w:ilvl="0" w:tentative="0">
      <w:start w:val="1"/>
      <w:numFmt w:val="decimal"/>
      <w:suff w:val="nothing"/>
      <w:lvlText w:val="%1．"/>
      <w:lvlJc w:val="left"/>
      <w:pPr>
        <w:ind w:left="0" w:firstLine="400"/>
      </w:pPr>
      <w:rPr>
        <w:rFonts w:hint="default"/>
      </w:rPr>
    </w:lvl>
  </w:abstractNum>
  <w:abstractNum w:abstractNumId="283">
    <w:nsid w:val="2A68558D"/>
    <w:multiLevelType w:val="singleLevel"/>
    <w:tmpl w:val="2A68558D"/>
    <w:lvl w:ilvl="0" w:tentative="0">
      <w:start w:val="1"/>
      <w:numFmt w:val="decimal"/>
      <w:lvlText w:val="%1)"/>
      <w:lvlJc w:val="left"/>
      <w:pPr>
        <w:ind w:left="425" w:hanging="425"/>
      </w:pPr>
      <w:rPr>
        <w:rFonts w:hint="default"/>
      </w:rPr>
    </w:lvl>
  </w:abstractNum>
  <w:abstractNum w:abstractNumId="284">
    <w:nsid w:val="2A83ADAC"/>
    <w:multiLevelType w:val="singleLevel"/>
    <w:tmpl w:val="2A83ADAC"/>
    <w:lvl w:ilvl="0" w:tentative="0">
      <w:start w:val="1"/>
      <w:numFmt w:val="decimal"/>
      <w:lvlText w:val="%1."/>
      <w:lvlJc w:val="left"/>
      <w:pPr>
        <w:ind w:left="425" w:hanging="425"/>
      </w:pPr>
      <w:rPr>
        <w:rFonts w:hint="default"/>
      </w:rPr>
    </w:lvl>
  </w:abstractNum>
  <w:abstractNum w:abstractNumId="285">
    <w:nsid w:val="2B0A217A"/>
    <w:multiLevelType w:val="singleLevel"/>
    <w:tmpl w:val="2B0A217A"/>
    <w:lvl w:ilvl="0" w:tentative="0">
      <w:start w:val="1"/>
      <w:numFmt w:val="chineseCounting"/>
      <w:suff w:val="nothing"/>
      <w:lvlText w:val="%1、"/>
      <w:lvlJc w:val="left"/>
      <w:pPr>
        <w:ind w:left="0" w:firstLine="420"/>
      </w:pPr>
      <w:rPr>
        <w:rFonts w:hint="eastAsia"/>
      </w:rPr>
    </w:lvl>
  </w:abstractNum>
  <w:abstractNum w:abstractNumId="286">
    <w:nsid w:val="2DD012C1"/>
    <w:multiLevelType w:val="singleLevel"/>
    <w:tmpl w:val="2DD012C1"/>
    <w:lvl w:ilvl="0" w:tentative="0">
      <w:start w:val="1"/>
      <w:numFmt w:val="decimal"/>
      <w:suff w:val="nothing"/>
      <w:lvlText w:val="%1．"/>
      <w:lvlJc w:val="left"/>
      <w:pPr>
        <w:ind w:left="0" w:firstLine="400"/>
      </w:pPr>
      <w:rPr>
        <w:rFonts w:hint="default"/>
      </w:rPr>
    </w:lvl>
  </w:abstractNum>
  <w:abstractNum w:abstractNumId="287">
    <w:nsid w:val="2E04F82D"/>
    <w:multiLevelType w:val="singleLevel"/>
    <w:tmpl w:val="2E04F82D"/>
    <w:lvl w:ilvl="0" w:tentative="0">
      <w:start w:val="1"/>
      <w:numFmt w:val="decimal"/>
      <w:suff w:val="nothing"/>
      <w:lvlText w:val="%1．"/>
      <w:lvlJc w:val="left"/>
      <w:pPr>
        <w:ind w:left="0" w:firstLine="400"/>
      </w:pPr>
      <w:rPr>
        <w:rFonts w:hint="default"/>
      </w:rPr>
    </w:lvl>
  </w:abstractNum>
  <w:abstractNum w:abstractNumId="288">
    <w:nsid w:val="2E06BCF1"/>
    <w:multiLevelType w:val="singleLevel"/>
    <w:tmpl w:val="2E06BCF1"/>
    <w:lvl w:ilvl="0" w:tentative="0">
      <w:start w:val="1"/>
      <w:numFmt w:val="decimal"/>
      <w:suff w:val="nothing"/>
      <w:lvlText w:val="%1．"/>
      <w:lvlJc w:val="left"/>
      <w:pPr>
        <w:ind w:left="0" w:firstLine="400"/>
      </w:pPr>
      <w:rPr>
        <w:rFonts w:hint="default"/>
      </w:rPr>
    </w:lvl>
  </w:abstractNum>
  <w:abstractNum w:abstractNumId="289">
    <w:nsid w:val="2E0C115A"/>
    <w:multiLevelType w:val="singleLevel"/>
    <w:tmpl w:val="2E0C115A"/>
    <w:lvl w:ilvl="0" w:tentative="0">
      <w:start w:val="1"/>
      <w:numFmt w:val="chineseCounting"/>
      <w:suff w:val="nothing"/>
      <w:lvlText w:val="%1、"/>
      <w:lvlJc w:val="left"/>
      <w:pPr>
        <w:ind w:left="0" w:firstLine="420"/>
      </w:pPr>
      <w:rPr>
        <w:rFonts w:hint="eastAsia"/>
      </w:rPr>
    </w:lvl>
  </w:abstractNum>
  <w:abstractNum w:abstractNumId="290">
    <w:nsid w:val="2F1329AB"/>
    <w:multiLevelType w:val="singleLevel"/>
    <w:tmpl w:val="2F1329AB"/>
    <w:lvl w:ilvl="0" w:tentative="0">
      <w:start w:val="1"/>
      <w:numFmt w:val="decimal"/>
      <w:lvlText w:val="%1)"/>
      <w:lvlJc w:val="left"/>
      <w:pPr>
        <w:ind w:left="425" w:hanging="425"/>
      </w:pPr>
      <w:rPr>
        <w:rFonts w:hint="default"/>
      </w:rPr>
    </w:lvl>
  </w:abstractNum>
  <w:abstractNum w:abstractNumId="291">
    <w:nsid w:val="3031FE04"/>
    <w:multiLevelType w:val="singleLevel"/>
    <w:tmpl w:val="3031FE04"/>
    <w:lvl w:ilvl="0" w:tentative="0">
      <w:start w:val="1"/>
      <w:numFmt w:val="decimal"/>
      <w:suff w:val="nothing"/>
      <w:lvlText w:val="%1．"/>
      <w:lvlJc w:val="left"/>
      <w:pPr>
        <w:ind w:left="0" w:firstLine="400"/>
      </w:pPr>
      <w:rPr>
        <w:rFonts w:hint="default"/>
      </w:rPr>
    </w:lvl>
  </w:abstractNum>
  <w:abstractNum w:abstractNumId="292">
    <w:nsid w:val="31A32AE6"/>
    <w:multiLevelType w:val="singleLevel"/>
    <w:tmpl w:val="31A32AE6"/>
    <w:lvl w:ilvl="0" w:tentative="0">
      <w:start w:val="1"/>
      <w:numFmt w:val="decimal"/>
      <w:suff w:val="nothing"/>
      <w:lvlText w:val="%1．"/>
      <w:lvlJc w:val="left"/>
      <w:pPr>
        <w:ind w:left="0" w:firstLine="0"/>
      </w:pPr>
      <w:rPr>
        <w:rFonts w:hint="default"/>
      </w:rPr>
    </w:lvl>
  </w:abstractNum>
  <w:abstractNum w:abstractNumId="293">
    <w:nsid w:val="31BB42BF"/>
    <w:multiLevelType w:val="singleLevel"/>
    <w:tmpl w:val="31BB42BF"/>
    <w:lvl w:ilvl="0" w:tentative="0">
      <w:start w:val="1"/>
      <w:numFmt w:val="decimal"/>
      <w:suff w:val="nothing"/>
      <w:lvlText w:val="%1．"/>
      <w:lvlJc w:val="left"/>
      <w:pPr>
        <w:ind w:left="0" w:firstLine="400"/>
      </w:pPr>
      <w:rPr>
        <w:rFonts w:hint="default"/>
      </w:rPr>
    </w:lvl>
  </w:abstractNum>
  <w:abstractNum w:abstractNumId="294">
    <w:nsid w:val="3207EF0F"/>
    <w:multiLevelType w:val="singleLevel"/>
    <w:tmpl w:val="3207EF0F"/>
    <w:lvl w:ilvl="0" w:tentative="0">
      <w:start w:val="1"/>
      <w:numFmt w:val="chineseCounting"/>
      <w:suff w:val="nothing"/>
      <w:lvlText w:val="%1、"/>
      <w:lvlJc w:val="left"/>
      <w:pPr>
        <w:ind w:left="0" w:firstLine="420"/>
      </w:pPr>
      <w:rPr>
        <w:rFonts w:hint="eastAsia"/>
      </w:rPr>
    </w:lvl>
  </w:abstractNum>
  <w:abstractNum w:abstractNumId="295">
    <w:nsid w:val="32115A4A"/>
    <w:multiLevelType w:val="singleLevel"/>
    <w:tmpl w:val="32115A4A"/>
    <w:lvl w:ilvl="0" w:tentative="0">
      <w:start w:val="1"/>
      <w:numFmt w:val="chineseCounting"/>
      <w:suff w:val="nothing"/>
      <w:lvlText w:val="%1、"/>
      <w:lvlJc w:val="left"/>
      <w:pPr>
        <w:ind w:left="0" w:firstLine="420"/>
      </w:pPr>
      <w:rPr>
        <w:rFonts w:hint="eastAsia"/>
      </w:rPr>
    </w:lvl>
  </w:abstractNum>
  <w:abstractNum w:abstractNumId="296">
    <w:nsid w:val="33C3BD70"/>
    <w:multiLevelType w:val="singleLevel"/>
    <w:tmpl w:val="33C3BD70"/>
    <w:lvl w:ilvl="0" w:tentative="0">
      <w:start w:val="1"/>
      <w:numFmt w:val="decimal"/>
      <w:lvlText w:val="%1)"/>
      <w:lvlJc w:val="left"/>
      <w:pPr>
        <w:ind w:left="425" w:hanging="425"/>
      </w:pPr>
      <w:rPr>
        <w:rFonts w:hint="default"/>
      </w:rPr>
    </w:lvl>
  </w:abstractNum>
  <w:abstractNum w:abstractNumId="297">
    <w:nsid w:val="33D73823"/>
    <w:multiLevelType w:val="singleLevel"/>
    <w:tmpl w:val="33D73823"/>
    <w:lvl w:ilvl="0" w:tentative="0">
      <w:start w:val="1"/>
      <w:numFmt w:val="decimal"/>
      <w:lvlText w:val="%1)"/>
      <w:lvlJc w:val="left"/>
      <w:pPr>
        <w:ind w:left="425" w:hanging="425"/>
      </w:pPr>
      <w:rPr>
        <w:rFonts w:hint="default"/>
      </w:rPr>
    </w:lvl>
  </w:abstractNum>
  <w:abstractNum w:abstractNumId="298">
    <w:nsid w:val="35380A2E"/>
    <w:multiLevelType w:val="singleLevel"/>
    <w:tmpl w:val="35380A2E"/>
    <w:lvl w:ilvl="0" w:tentative="0">
      <w:start w:val="1"/>
      <w:numFmt w:val="decimal"/>
      <w:suff w:val="nothing"/>
      <w:lvlText w:val="%1．"/>
      <w:lvlJc w:val="left"/>
      <w:pPr>
        <w:ind w:left="0" w:firstLine="400"/>
      </w:pPr>
      <w:rPr>
        <w:rFonts w:hint="default"/>
      </w:rPr>
    </w:lvl>
  </w:abstractNum>
  <w:abstractNum w:abstractNumId="299">
    <w:nsid w:val="35AAC266"/>
    <w:multiLevelType w:val="singleLevel"/>
    <w:tmpl w:val="35AAC266"/>
    <w:lvl w:ilvl="0" w:tentative="0">
      <w:start w:val="1"/>
      <w:numFmt w:val="chineseCounting"/>
      <w:suff w:val="nothing"/>
      <w:lvlText w:val="%1、"/>
      <w:lvlJc w:val="left"/>
      <w:pPr>
        <w:ind w:left="0" w:firstLine="420"/>
      </w:pPr>
      <w:rPr>
        <w:rFonts w:hint="eastAsia"/>
      </w:rPr>
    </w:lvl>
  </w:abstractNum>
  <w:abstractNum w:abstractNumId="300">
    <w:nsid w:val="36167AE1"/>
    <w:multiLevelType w:val="singleLevel"/>
    <w:tmpl w:val="36167AE1"/>
    <w:lvl w:ilvl="0" w:tentative="0">
      <w:start w:val="1"/>
      <w:numFmt w:val="chineseCounting"/>
      <w:suff w:val="nothing"/>
      <w:lvlText w:val="%1、"/>
      <w:lvlJc w:val="left"/>
      <w:pPr>
        <w:ind w:left="0" w:firstLine="420"/>
      </w:pPr>
      <w:rPr>
        <w:rFonts w:hint="eastAsia"/>
      </w:rPr>
    </w:lvl>
  </w:abstractNum>
  <w:abstractNum w:abstractNumId="301">
    <w:nsid w:val="3771B0BD"/>
    <w:multiLevelType w:val="singleLevel"/>
    <w:tmpl w:val="3771B0BD"/>
    <w:lvl w:ilvl="0" w:tentative="0">
      <w:start w:val="1"/>
      <w:numFmt w:val="chineseCounting"/>
      <w:suff w:val="nothing"/>
      <w:lvlText w:val="%1、"/>
      <w:lvlJc w:val="left"/>
      <w:pPr>
        <w:ind w:left="0" w:firstLine="420"/>
      </w:pPr>
      <w:rPr>
        <w:rFonts w:hint="eastAsia"/>
      </w:rPr>
    </w:lvl>
  </w:abstractNum>
  <w:abstractNum w:abstractNumId="302">
    <w:nsid w:val="37FECA63"/>
    <w:multiLevelType w:val="singleLevel"/>
    <w:tmpl w:val="37FECA63"/>
    <w:lvl w:ilvl="0" w:tentative="0">
      <w:start w:val="1"/>
      <w:numFmt w:val="decimal"/>
      <w:lvlText w:val="%1)"/>
      <w:lvlJc w:val="left"/>
      <w:pPr>
        <w:ind w:left="425" w:hanging="425"/>
      </w:pPr>
      <w:rPr>
        <w:rFonts w:hint="default"/>
      </w:rPr>
    </w:lvl>
  </w:abstractNum>
  <w:abstractNum w:abstractNumId="303">
    <w:nsid w:val="39633DCC"/>
    <w:multiLevelType w:val="singleLevel"/>
    <w:tmpl w:val="39633DCC"/>
    <w:lvl w:ilvl="0" w:tentative="0">
      <w:start w:val="1"/>
      <w:numFmt w:val="decimal"/>
      <w:suff w:val="nothing"/>
      <w:lvlText w:val="%1．"/>
      <w:lvlJc w:val="left"/>
      <w:pPr>
        <w:ind w:left="0" w:firstLine="400"/>
      </w:pPr>
      <w:rPr>
        <w:rFonts w:hint="default"/>
      </w:rPr>
    </w:lvl>
  </w:abstractNum>
  <w:abstractNum w:abstractNumId="304">
    <w:nsid w:val="3AE3A28F"/>
    <w:multiLevelType w:val="singleLevel"/>
    <w:tmpl w:val="3AE3A28F"/>
    <w:lvl w:ilvl="0" w:tentative="0">
      <w:start w:val="1"/>
      <w:numFmt w:val="decimal"/>
      <w:suff w:val="nothing"/>
      <w:lvlText w:val="%1)"/>
      <w:lvlJc w:val="left"/>
      <w:pPr>
        <w:ind w:left="0" w:firstLine="0"/>
      </w:pPr>
      <w:rPr>
        <w:rFonts w:hint="default"/>
      </w:rPr>
    </w:lvl>
  </w:abstractNum>
  <w:abstractNum w:abstractNumId="305">
    <w:nsid w:val="3B452F62"/>
    <w:multiLevelType w:val="singleLevel"/>
    <w:tmpl w:val="3B452F62"/>
    <w:lvl w:ilvl="0" w:tentative="0">
      <w:start w:val="1"/>
      <w:numFmt w:val="decimal"/>
      <w:lvlText w:val="%1."/>
      <w:lvlJc w:val="left"/>
      <w:pPr>
        <w:ind w:left="425" w:hanging="425"/>
      </w:pPr>
      <w:rPr>
        <w:rFonts w:hint="default"/>
      </w:rPr>
    </w:lvl>
  </w:abstractNum>
  <w:abstractNum w:abstractNumId="306">
    <w:nsid w:val="3BF8EDD1"/>
    <w:multiLevelType w:val="singleLevel"/>
    <w:tmpl w:val="3BF8EDD1"/>
    <w:lvl w:ilvl="0" w:tentative="0">
      <w:start w:val="1"/>
      <w:numFmt w:val="decimal"/>
      <w:lvlText w:val="%1)"/>
      <w:lvlJc w:val="left"/>
      <w:pPr>
        <w:ind w:left="425" w:hanging="425"/>
      </w:pPr>
      <w:rPr>
        <w:rFonts w:hint="default"/>
      </w:rPr>
    </w:lvl>
  </w:abstractNum>
  <w:abstractNum w:abstractNumId="307">
    <w:nsid w:val="3D9C31BC"/>
    <w:multiLevelType w:val="singleLevel"/>
    <w:tmpl w:val="3D9C31BC"/>
    <w:lvl w:ilvl="0" w:tentative="0">
      <w:start w:val="1"/>
      <w:numFmt w:val="chineseCounting"/>
      <w:suff w:val="nothing"/>
      <w:lvlText w:val="%1、"/>
      <w:lvlJc w:val="left"/>
      <w:pPr>
        <w:ind w:left="0" w:firstLine="420"/>
      </w:pPr>
      <w:rPr>
        <w:rFonts w:hint="eastAsia"/>
      </w:rPr>
    </w:lvl>
  </w:abstractNum>
  <w:abstractNum w:abstractNumId="308">
    <w:nsid w:val="3DBF43CF"/>
    <w:multiLevelType w:val="singleLevel"/>
    <w:tmpl w:val="3DBF43CF"/>
    <w:lvl w:ilvl="0" w:tentative="0">
      <w:start w:val="1"/>
      <w:numFmt w:val="chineseCounting"/>
      <w:suff w:val="nothing"/>
      <w:lvlText w:val="%1、"/>
      <w:lvlJc w:val="left"/>
      <w:pPr>
        <w:ind w:left="0" w:firstLine="420"/>
      </w:pPr>
      <w:rPr>
        <w:rFonts w:hint="eastAsia"/>
      </w:rPr>
    </w:lvl>
  </w:abstractNum>
  <w:abstractNum w:abstractNumId="309">
    <w:nsid w:val="3E29A050"/>
    <w:multiLevelType w:val="singleLevel"/>
    <w:tmpl w:val="3E29A050"/>
    <w:lvl w:ilvl="0" w:tentative="0">
      <w:start w:val="1"/>
      <w:numFmt w:val="chineseCounting"/>
      <w:suff w:val="nothing"/>
      <w:lvlText w:val="%1、"/>
      <w:lvlJc w:val="left"/>
      <w:pPr>
        <w:ind w:left="0" w:firstLine="420"/>
      </w:pPr>
      <w:rPr>
        <w:rFonts w:hint="eastAsia"/>
      </w:rPr>
    </w:lvl>
  </w:abstractNum>
  <w:abstractNum w:abstractNumId="310">
    <w:nsid w:val="3E3F200E"/>
    <w:multiLevelType w:val="singleLevel"/>
    <w:tmpl w:val="3E3F200E"/>
    <w:lvl w:ilvl="0" w:tentative="0">
      <w:start w:val="1"/>
      <w:numFmt w:val="decimal"/>
      <w:suff w:val="nothing"/>
      <w:lvlText w:val="%1．"/>
      <w:lvlJc w:val="left"/>
      <w:pPr>
        <w:ind w:left="0" w:firstLine="400"/>
      </w:pPr>
      <w:rPr>
        <w:rFonts w:hint="default"/>
      </w:rPr>
    </w:lvl>
  </w:abstractNum>
  <w:abstractNum w:abstractNumId="311">
    <w:nsid w:val="3EA30E4B"/>
    <w:multiLevelType w:val="singleLevel"/>
    <w:tmpl w:val="3EA30E4B"/>
    <w:lvl w:ilvl="0" w:tentative="0">
      <w:start w:val="1"/>
      <w:numFmt w:val="decimal"/>
      <w:suff w:val="nothing"/>
      <w:lvlText w:val="%1．"/>
      <w:lvlJc w:val="left"/>
      <w:pPr>
        <w:ind w:left="0" w:firstLine="400"/>
      </w:pPr>
      <w:rPr>
        <w:rFonts w:hint="default"/>
      </w:rPr>
    </w:lvl>
  </w:abstractNum>
  <w:abstractNum w:abstractNumId="312">
    <w:nsid w:val="4035FAEE"/>
    <w:multiLevelType w:val="singleLevel"/>
    <w:tmpl w:val="4035FAEE"/>
    <w:lvl w:ilvl="0" w:tentative="0">
      <w:start w:val="1"/>
      <w:numFmt w:val="decimal"/>
      <w:lvlText w:val="%1."/>
      <w:lvlJc w:val="left"/>
      <w:pPr>
        <w:ind w:left="425" w:hanging="425"/>
      </w:pPr>
      <w:rPr>
        <w:rFonts w:hint="default"/>
      </w:rPr>
    </w:lvl>
  </w:abstractNum>
  <w:abstractNum w:abstractNumId="313">
    <w:nsid w:val="418E2F74"/>
    <w:multiLevelType w:val="singleLevel"/>
    <w:tmpl w:val="418E2F74"/>
    <w:lvl w:ilvl="0" w:tentative="0">
      <w:start w:val="1"/>
      <w:numFmt w:val="decimal"/>
      <w:lvlText w:val="%1."/>
      <w:lvlJc w:val="left"/>
      <w:pPr>
        <w:ind w:left="425" w:hanging="425"/>
      </w:pPr>
      <w:rPr>
        <w:rFonts w:hint="default"/>
      </w:rPr>
    </w:lvl>
  </w:abstractNum>
  <w:abstractNum w:abstractNumId="314">
    <w:nsid w:val="433D9C9C"/>
    <w:multiLevelType w:val="singleLevel"/>
    <w:tmpl w:val="433D9C9C"/>
    <w:lvl w:ilvl="0" w:tentative="0">
      <w:start w:val="1"/>
      <w:numFmt w:val="chineseCounting"/>
      <w:suff w:val="nothing"/>
      <w:lvlText w:val="%1、"/>
      <w:lvlJc w:val="left"/>
      <w:pPr>
        <w:ind w:left="0" w:firstLine="420"/>
      </w:pPr>
      <w:rPr>
        <w:rFonts w:hint="eastAsia"/>
      </w:rPr>
    </w:lvl>
  </w:abstractNum>
  <w:abstractNum w:abstractNumId="315">
    <w:nsid w:val="44310122"/>
    <w:multiLevelType w:val="singleLevel"/>
    <w:tmpl w:val="44310122"/>
    <w:lvl w:ilvl="0" w:tentative="0">
      <w:start w:val="1"/>
      <w:numFmt w:val="chineseCounting"/>
      <w:suff w:val="nothing"/>
      <w:lvlText w:val="%1、"/>
      <w:lvlJc w:val="left"/>
      <w:pPr>
        <w:ind w:left="0" w:firstLine="420"/>
      </w:pPr>
      <w:rPr>
        <w:rFonts w:hint="eastAsia"/>
      </w:rPr>
    </w:lvl>
  </w:abstractNum>
  <w:abstractNum w:abstractNumId="316">
    <w:nsid w:val="4459E952"/>
    <w:multiLevelType w:val="singleLevel"/>
    <w:tmpl w:val="4459E952"/>
    <w:lvl w:ilvl="0" w:tentative="0">
      <w:start w:val="1"/>
      <w:numFmt w:val="decimal"/>
      <w:lvlText w:val="%1."/>
      <w:lvlJc w:val="left"/>
      <w:pPr>
        <w:ind w:left="425" w:hanging="425"/>
      </w:pPr>
      <w:rPr>
        <w:rFonts w:hint="default"/>
      </w:rPr>
    </w:lvl>
  </w:abstractNum>
  <w:abstractNum w:abstractNumId="317">
    <w:nsid w:val="4496F0DE"/>
    <w:multiLevelType w:val="singleLevel"/>
    <w:tmpl w:val="4496F0DE"/>
    <w:lvl w:ilvl="0" w:tentative="0">
      <w:start w:val="1"/>
      <w:numFmt w:val="decimal"/>
      <w:suff w:val="nothing"/>
      <w:lvlText w:val="%1．"/>
      <w:lvlJc w:val="left"/>
      <w:pPr>
        <w:ind w:left="0" w:firstLine="400"/>
      </w:pPr>
      <w:rPr>
        <w:rFonts w:hint="default"/>
      </w:rPr>
    </w:lvl>
  </w:abstractNum>
  <w:abstractNum w:abstractNumId="318">
    <w:nsid w:val="451929CA"/>
    <w:multiLevelType w:val="singleLevel"/>
    <w:tmpl w:val="451929CA"/>
    <w:lvl w:ilvl="0" w:tentative="0">
      <w:start w:val="1"/>
      <w:numFmt w:val="decimal"/>
      <w:lvlText w:val="%1)"/>
      <w:lvlJc w:val="left"/>
      <w:pPr>
        <w:ind w:left="425" w:hanging="425"/>
      </w:pPr>
      <w:rPr>
        <w:rFonts w:hint="default"/>
      </w:rPr>
    </w:lvl>
  </w:abstractNum>
  <w:abstractNum w:abstractNumId="319">
    <w:nsid w:val="46E87389"/>
    <w:multiLevelType w:val="singleLevel"/>
    <w:tmpl w:val="46E87389"/>
    <w:lvl w:ilvl="0" w:tentative="0">
      <w:start w:val="1"/>
      <w:numFmt w:val="decimal"/>
      <w:suff w:val="nothing"/>
      <w:lvlText w:val="%1．"/>
      <w:lvlJc w:val="left"/>
      <w:pPr>
        <w:ind w:left="0" w:firstLine="400"/>
      </w:pPr>
      <w:rPr>
        <w:rFonts w:hint="default"/>
      </w:rPr>
    </w:lvl>
  </w:abstractNum>
  <w:abstractNum w:abstractNumId="320">
    <w:nsid w:val="47E1B8F1"/>
    <w:multiLevelType w:val="singleLevel"/>
    <w:tmpl w:val="47E1B8F1"/>
    <w:lvl w:ilvl="0" w:tentative="0">
      <w:start w:val="1"/>
      <w:numFmt w:val="decimal"/>
      <w:lvlText w:val="%1."/>
      <w:lvlJc w:val="left"/>
      <w:pPr>
        <w:ind w:left="425" w:hanging="425"/>
      </w:pPr>
      <w:rPr>
        <w:rFonts w:hint="default"/>
      </w:rPr>
    </w:lvl>
  </w:abstractNum>
  <w:abstractNum w:abstractNumId="321">
    <w:nsid w:val="48A1B74A"/>
    <w:multiLevelType w:val="singleLevel"/>
    <w:tmpl w:val="48A1B74A"/>
    <w:lvl w:ilvl="0" w:tentative="0">
      <w:start w:val="1"/>
      <w:numFmt w:val="chineseCounting"/>
      <w:suff w:val="nothing"/>
      <w:lvlText w:val="%1、"/>
      <w:lvlJc w:val="left"/>
      <w:pPr>
        <w:ind w:left="0" w:firstLine="420"/>
      </w:pPr>
      <w:rPr>
        <w:rFonts w:hint="eastAsia"/>
      </w:rPr>
    </w:lvl>
  </w:abstractNum>
  <w:abstractNum w:abstractNumId="322">
    <w:nsid w:val="48C36995"/>
    <w:multiLevelType w:val="singleLevel"/>
    <w:tmpl w:val="48C36995"/>
    <w:lvl w:ilvl="0" w:tentative="0">
      <w:start w:val="1"/>
      <w:numFmt w:val="decimal"/>
      <w:lvlText w:val="%1)"/>
      <w:lvlJc w:val="left"/>
      <w:pPr>
        <w:ind w:left="425" w:hanging="425"/>
      </w:pPr>
      <w:rPr>
        <w:rFonts w:hint="default"/>
      </w:rPr>
    </w:lvl>
  </w:abstractNum>
  <w:abstractNum w:abstractNumId="323">
    <w:nsid w:val="48DB3F0E"/>
    <w:multiLevelType w:val="singleLevel"/>
    <w:tmpl w:val="48DB3F0E"/>
    <w:lvl w:ilvl="0" w:tentative="0">
      <w:start w:val="1"/>
      <w:numFmt w:val="decimal"/>
      <w:lvlText w:val="%1."/>
      <w:lvlJc w:val="left"/>
      <w:pPr>
        <w:tabs>
          <w:tab w:val="left" w:pos="312"/>
        </w:tabs>
      </w:pPr>
    </w:lvl>
  </w:abstractNum>
  <w:abstractNum w:abstractNumId="324">
    <w:nsid w:val="49031F3E"/>
    <w:multiLevelType w:val="singleLevel"/>
    <w:tmpl w:val="49031F3E"/>
    <w:lvl w:ilvl="0" w:tentative="0">
      <w:start w:val="1"/>
      <w:numFmt w:val="decimal"/>
      <w:lvlText w:val="%1."/>
      <w:lvlJc w:val="left"/>
      <w:pPr>
        <w:ind w:left="425" w:hanging="425"/>
      </w:pPr>
      <w:rPr>
        <w:rFonts w:hint="default"/>
      </w:rPr>
    </w:lvl>
  </w:abstractNum>
  <w:abstractNum w:abstractNumId="325">
    <w:nsid w:val="4965DC66"/>
    <w:multiLevelType w:val="singleLevel"/>
    <w:tmpl w:val="4965DC66"/>
    <w:lvl w:ilvl="0" w:tentative="0">
      <w:start w:val="1"/>
      <w:numFmt w:val="decimal"/>
      <w:lvlText w:val="%1)"/>
      <w:lvlJc w:val="left"/>
      <w:pPr>
        <w:ind w:left="425" w:hanging="425"/>
      </w:pPr>
      <w:rPr>
        <w:rFonts w:hint="default"/>
      </w:rPr>
    </w:lvl>
  </w:abstractNum>
  <w:abstractNum w:abstractNumId="326">
    <w:nsid w:val="49C84D26"/>
    <w:multiLevelType w:val="singleLevel"/>
    <w:tmpl w:val="49C84D26"/>
    <w:lvl w:ilvl="0" w:tentative="0">
      <w:start w:val="1"/>
      <w:numFmt w:val="decimal"/>
      <w:lvlText w:val="%1)"/>
      <w:lvlJc w:val="left"/>
      <w:pPr>
        <w:ind w:left="425" w:hanging="425"/>
      </w:pPr>
      <w:rPr>
        <w:rFonts w:hint="default"/>
      </w:rPr>
    </w:lvl>
  </w:abstractNum>
  <w:abstractNum w:abstractNumId="327">
    <w:nsid w:val="4A7012B6"/>
    <w:multiLevelType w:val="singleLevel"/>
    <w:tmpl w:val="4A7012B6"/>
    <w:lvl w:ilvl="0" w:tentative="0">
      <w:start w:val="1"/>
      <w:numFmt w:val="decimal"/>
      <w:lvlText w:val="%1)"/>
      <w:lvlJc w:val="left"/>
      <w:pPr>
        <w:ind w:left="425" w:hanging="425"/>
      </w:pPr>
      <w:rPr>
        <w:rFonts w:hint="default"/>
      </w:rPr>
    </w:lvl>
  </w:abstractNum>
  <w:abstractNum w:abstractNumId="328">
    <w:nsid w:val="4CAC00E9"/>
    <w:multiLevelType w:val="singleLevel"/>
    <w:tmpl w:val="4CAC00E9"/>
    <w:lvl w:ilvl="0" w:tentative="0">
      <w:start w:val="1"/>
      <w:numFmt w:val="decimal"/>
      <w:lvlText w:val="%1)"/>
      <w:lvlJc w:val="left"/>
      <w:pPr>
        <w:ind w:left="425" w:hanging="425"/>
      </w:pPr>
      <w:rPr>
        <w:rFonts w:hint="default"/>
      </w:rPr>
    </w:lvl>
  </w:abstractNum>
  <w:abstractNum w:abstractNumId="329">
    <w:nsid w:val="4CE1FD02"/>
    <w:multiLevelType w:val="singleLevel"/>
    <w:tmpl w:val="4CE1FD02"/>
    <w:lvl w:ilvl="0" w:tentative="0">
      <w:start w:val="1"/>
      <w:numFmt w:val="chineseCounting"/>
      <w:suff w:val="nothing"/>
      <w:lvlText w:val="%1、"/>
      <w:lvlJc w:val="left"/>
      <w:pPr>
        <w:ind w:left="0" w:firstLine="420"/>
      </w:pPr>
      <w:rPr>
        <w:rFonts w:hint="eastAsia"/>
      </w:rPr>
    </w:lvl>
  </w:abstractNum>
  <w:abstractNum w:abstractNumId="330">
    <w:nsid w:val="4E0747AC"/>
    <w:multiLevelType w:val="singleLevel"/>
    <w:tmpl w:val="4E0747AC"/>
    <w:lvl w:ilvl="0" w:tentative="0">
      <w:start w:val="1"/>
      <w:numFmt w:val="chineseCounting"/>
      <w:suff w:val="nothing"/>
      <w:lvlText w:val="%1、"/>
      <w:lvlJc w:val="left"/>
      <w:pPr>
        <w:ind w:left="0" w:firstLine="420"/>
      </w:pPr>
      <w:rPr>
        <w:rFonts w:hint="eastAsia"/>
      </w:rPr>
    </w:lvl>
  </w:abstractNum>
  <w:abstractNum w:abstractNumId="331">
    <w:nsid w:val="50F2D8F4"/>
    <w:multiLevelType w:val="singleLevel"/>
    <w:tmpl w:val="50F2D8F4"/>
    <w:lvl w:ilvl="0" w:tentative="0">
      <w:start w:val="1"/>
      <w:numFmt w:val="decimal"/>
      <w:suff w:val="nothing"/>
      <w:lvlText w:val="%1．"/>
      <w:lvlJc w:val="left"/>
      <w:pPr>
        <w:ind w:left="0" w:firstLine="400"/>
      </w:pPr>
      <w:rPr>
        <w:rFonts w:hint="default"/>
      </w:rPr>
    </w:lvl>
  </w:abstractNum>
  <w:abstractNum w:abstractNumId="332">
    <w:nsid w:val="515B230F"/>
    <w:multiLevelType w:val="singleLevel"/>
    <w:tmpl w:val="515B230F"/>
    <w:lvl w:ilvl="0" w:tentative="0">
      <w:start w:val="1"/>
      <w:numFmt w:val="decimal"/>
      <w:suff w:val="nothing"/>
      <w:lvlText w:val="%1．"/>
      <w:lvlJc w:val="left"/>
      <w:pPr>
        <w:ind w:left="0" w:firstLine="400"/>
      </w:pPr>
      <w:rPr>
        <w:rFonts w:hint="default"/>
      </w:rPr>
    </w:lvl>
  </w:abstractNum>
  <w:abstractNum w:abstractNumId="333">
    <w:nsid w:val="516C34B1"/>
    <w:multiLevelType w:val="singleLevel"/>
    <w:tmpl w:val="516C34B1"/>
    <w:lvl w:ilvl="0" w:tentative="0">
      <w:start w:val="1"/>
      <w:numFmt w:val="decimal"/>
      <w:lvlText w:val="%1)"/>
      <w:lvlJc w:val="left"/>
      <w:pPr>
        <w:ind w:left="425" w:hanging="425"/>
      </w:pPr>
      <w:rPr>
        <w:rFonts w:hint="default"/>
      </w:rPr>
    </w:lvl>
  </w:abstractNum>
  <w:abstractNum w:abstractNumId="334">
    <w:nsid w:val="522306E8"/>
    <w:multiLevelType w:val="singleLevel"/>
    <w:tmpl w:val="522306E8"/>
    <w:lvl w:ilvl="0" w:tentative="0">
      <w:start w:val="1"/>
      <w:numFmt w:val="chineseCounting"/>
      <w:suff w:val="nothing"/>
      <w:lvlText w:val="%1、"/>
      <w:lvlJc w:val="left"/>
      <w:pPr>
        <w:ind w:left="0" w:firstLine="420"/>
      </w:pPr>
      <w:rPr>
        <w:rFonts w:hint="eastAsia"/>
      </w:rPr>
    </w:lvl>
  </w:abstractNum>
  <w:abstractNum w:abstractNumId="335">
    <w:nsid w:val="523903E9"/>
    <w:multiLevelType w:val="singleLevel"/>
    <w:tmpl w:val="523903E9"/>
    <w:lvl w:ilvl="0" w:tentative="0">
      <w:start w:val="1"/>
      <w:numFmt w:val="decimal"/>
      <w:lvlText w:val="%1)"/>
      <w:lvlJc w:val="left"/>
      <w:pPr>
        <w:ind w:left="425" w:hanging="425"/>
      </w:pPr>
      <w:rPr>
        <w:rFonts w:hint="default"/>
      </w:rPr>
    </w:lvl>
  </w:abstractNum>
  <w:abstractNum w:abstractNumId="336">
    <w:nsid w:val="52C1EC22"/>
    <w:multiLevelType w:val="singleLevel"/>
    <w:tmpl w:val="52C1EC22"/>
    <w:lvl w:ilvl="0" w:tentative="0">
      <w:start w:val="1"/>
      <w:numFmt w:val="decimal"/>
      <w:lvlText w:val="%1)"/>
      <w:lvlJc w:val="left"/>
      <w:pPr>
        <w:ind w:left="425" w:hanging="425"/>
      </w:pPr>
      <w:rPr>
        <w:rFonts w:hint="default"/>
      </w:rPr>
    </w:lvl>
  </w:abstractNum>
  <w:abstractNum w:abstractNumId="337">
    <w:nsid w:val="54883293"/>
    <w:multiLevelType w:val="singleLevel"/>
    <w:tmpl w:val="54883293"/>
    <w:lvl w:ilvl="0" w:tentative="0">
      <w:start w:val="1"/>
      <w:numFmt w:val="decimal"/>
      <w:lvlText w:val="%1."/>
      <w:lvlJc w:val="left"/>
      <w:pPr>
        <w:ind w:left="425" w:hanging="425"/>
      </w:pPr>
      <w:rPr>
        <w:rFonts w:hint="default"/>
      </w:rPr>
    </w:lvl>
  </w:abstractNum>
  <w:abstractNum w:abstractNumId="338">
    <w:nsid w:val="556B7B99"/>
    <w:multiLevelType w:val="singleLevel"/>
    <w:tmpl w:val="556B7B99"/>
    <w:lvl w:ilvl="0" w:tentative="0">
      <w:start w:val="1"/>
      <w:numFmt w:val="chineseCounting"/>
      <w:suff w:val="nothing"/>
      <w:lvlText w:val="%1、"/>
      <w:lvlJc w:val="left"/>
      <w:pPr>
        <w:ind w:left="0" w:firstLine="420"/>
      </w:pPr>
      <w:rPr>
        <w:rFonts w:hint="eastAsia"/>
      </w:rPr>
    </w:lvl>
  </w:abstractNum>
  <w:abstractNum w:abstractNumId="339">
    <w:nsid w:val="557D8199"/>
    <w:multiLevelType w:val="singleLevel"/>
    <w:tmpl w:val="557D8199"/>
    <w:lvl w:ilvl="0" w:tentative="0">
      <w:start w:val="1"/>
      <w:numFmt w:val="decimal"/>
      <w:suff w:val="nothing"/>
      <w:lvlText w:val="%1．"/>
      <w:lvlJc w:val="left"/>
      <w:pPr>
        <w:ind w:left="0" w:firstLine="400"/>
      </w:pPr>
      <w:rPr>
        <w:rFonts w:hint="default"/>
      </w:rPr>
    </w:lvl>
  </w:abstractNum>
  <w:abstractNum w:abstractNumId="340">
    <w:nsid w:val="56036C88"/>
    <w:multiLevelType w:val="singleLevel"/>
    <w:tmpl w:val="56036C88"/>
    <w:lvl w:ilvl="0" w:tentative="0">
      <w:start w:val="1"/>
      <w:numFmt w:val="decimal"/>
      <w:suff w:val="nothing"/>
      <w:lvlText w:val="%1．"/>
      <w:lvlJc w:val="left"/>
      <w:pPr>
        <w:ind w:left="0" w:firstLine="400"/>
      </w:pPr>
      <w:rPr>
        <w:rFonts w:hint="default"/>
      </w:rPr>
    </w:lvl>
  </w:abstractNum>
  <w:abstractNum w:abstractNumId="341">
    <w:nsid w:val="5655533F"/>
    <w:multiLevelType w:val="singleLevel"/>
    <w:tmpl w:val="5655533F"/>
    <w:lvl w:ilvl="0" w:tentative="0">
      <w:start w:val="1"/>
      <w:numFmt w:val="decimal"/>
      <w:lvlText w:val="%1)"/>
      <w:lvlJc w:val="left"/>
      <w:pPr>
        <w:ind w:left="425" w:hanging="425"/>
      </w:pPr>
      <w:rPr>
        <w:rFonts w:hint="default"/>
      </w:rPr>
    </w:lvl>
  </w:abstractNum>
  <w:abstractNum w:abstractNumId="342">
    <w:nsid w:val="57B6D263"/>
    <w:multiLevelType w:val="singleLevel"/>
    <w:tmpl w:val="57B6D263"/>
    <w:lvl w:ilvl="0" w:tentative="0">
      <w:start w:val="1"/>
      <w:numFmt w:val="decimal"/>
      <w:suff w:val="nothing"/>
      <w:lvlText w:val="%1．"/>
      <w:lvlJc w:val="left"/>
      <w:pPr>
        <w:ind w:left="0" w:firstLine="400"/>
      </w:pPr>
      <w:rPr>
        <w:rFonts w:hint="default"/>
      </w:rPr>
    </w:lvl>
  </w:abstractNum>
  <w:abstractNum w:abstractNumId="343">
    <w:nsid w:val="58ECC793"/>
    <w:multiLevelType w:val="singleLevel"/>
    <w:tmpl w:val="58ECC793"/>
    <w:lvl w:ilvl="0" w:tentative="0">
      <w:start w:val="1"/>
      <w:numFmt w:val="decimal"/>
      <w:suff w:val="nothing"/>
      <w:lvlText w:val="%1．"/>
      <w:lvlJc w:val="left"/>
      <w:pPr>
        <w:ind w:left="0" w:firstLine="400"/>
      </w:pPr>
      <w:rPr>
        <w:rFonts w:hint="default"/>
      </w:rPr>
    </w:lvl>
  </w:abstractNum>
  <w:abstractNum w:abstractNumId="344">
    <w:nsid w:val="58FC635E"/>
    <w:multiLevelType w:val="singleLevel"/>
    <w:tmpl w:val="58FC635E"/>
    <w:lvl w:ilvl="0" w:tentative="0">
      <w:start w:val="1"/>
      <w:numFmt w:val="decimal"/>
      <w:lvlText w:val="%1)"/>
      <w:lvlJc w:val="left"/>
      <w:pPr>
        <w:ind w:left="425" w:hanging="425"/>
      </w:pPr>
      <w:rPr>
        <w:rFonts w:hint="default"/>
      </w:rPr>
    </w:lvl>
  </w:abstractNum>
  <w:abstractNum w:abstractNumId="345">
    <w:nsid w:val="5961D16D"/>
    <w:multiLevelType w:val="singleLevel"/>
    <w:tmpl w:val="5961D16D"/>
    <w:lvl w:ilvl="0" w:tentative="0">
      <w:start w:val="1"/>
      <w:numFmt w:val="decimal"/>
      <w:suff w:val="nothing"/>
      <w:lvlText w:val="%1．"/>
      <w:lvlJc w:val="left"/>
      <w:pPr>
        <w:ind w:left="0" w:firstLine="400"/>
      </w:pPr>
      <w:rPr>
        <w:rFonts w:hint="default"/>
      </w:rPr>
    </w:lvl>
  </w:abstractNum>
  <w:abstractNum w:abstractNumId="346">
    <w:nsid w:val="59D1A221"/>
    <w:multiLevelType w:val="singleLevel"/>
    <w:tmpl w:val="59D1A221"/>
    <w:lvl w:ilvl="0" w:tentative="0">
      <w:start w:val="1"/>
      <w:numFmt w:val="chineseCounting"/>
      <w:suff w:val="nothing"/>
      <w:lvlText w:val="%1、"/>
      <w:lvlJc w:val="left"/>
      <w:pPr>
        <w:ind w:left="0" w:firstLine="420"/>
      </w:pPr>
      <w:rPr>
        <w:rFonts w:hint="eastAsia"/>
      </w:rPr>
    </w:lvl>
  </w:abstractNum>
  <w:abstractNum w:abstractNumId="347">
    <w:nsid w:val="5A038AEF"/>
    <w:multiLevelType w:val="singleLevel"/>
    <w:tmpl w:val="5A038AEF"/>
    <w:lvl w:ilvl="0" w:tentative="0">
      <w:start w:val="1"/>
      <w:numFmt w:val="decimal"/>
      <w:lvlText w:val="%1."/>
      <w:lvlJc w:val="left"/>
      <w:pPr>
        <w:ind w:left="425" w:hanging="425"/>
      </w:pPr>
      <w:rPr>
        <w:rFonts w:hint="default"/>
      </w:rPr>
    </w:lvl>
  </w:abstractNum>
  <w:abstractNum w:abstractNumId="348">
    <w:nsid w:val="5B3FFA7C"/>
    <w:multiLevelType w:val="singleLevel"/>
    <w:tmpl w:val="5B3FFA7C"/>
    <w:lvl w:ilvl="0" w:tentative="0">
      <w:start w:val="1"/>
      <w:numFmt w:val="chineseCounting"/>
      <w:suff w:val="nothing"/>
      <w:lvlText w:val="%1、"/>
      <w:lvlJc w:val="left"/>
      <w:pPr>
        <w:ind w:left="0" w:firstLine="420"/>
      </w:pPr>
      <w:rPr>
        <w:rFonts w:hint="eastAsia"/>
      </w:rPr>
    </w:lvl>
  </w:abstractNum>
  <w:abstractNum w:abstractNumId="349">
    <w:nsid w:val="5BACDD23"/>
    <w:multiLevelType w:val="singleLevel"/>
    <w:tmpl w:val="5BACDD23"/>
    <w:lvl w:ilvl="0" w:tentative="0">
      <w:start w:val="1"/>
      <w:numFmt w:val="decimal"/>
      <w:lvlText w:val="%1."/>
      <w:lvlJc w:val="left"/>
      <w:pPr>
        <w:ind w:left="425" w:hanging="425"/>
      </w:pPr>
      <w:rPr>
        <w:rFonts w:hint="default"/>
      </w:rPr>
    </w:lvl>
  </w:abstractNum>
  <w:abstractNum w:abstractNumId="350">
    <w:nsid w:val="5BDA9C56"/>
    <w:multiLevelType w:val="singleLevel"/>
    <w:tmpl w:val="5BDA9C56"/>
    <w:lvl w:ilvl="0" w:tentative="0">
      <w:start w:val="1"/>
      <w:numFmt w:val="decimal"/>
      <w:suff w:val="nothing"/>
      <w:lvlText w:val="%1．"/>
      <w:lvlJc w:val="left"/>
      <w:pPr>
        <w:ind w:left="0" w:firstLine="0"/>
      </w:pPr>
      <w:rPr>
        <w:rFonts w:hint="default"/>
      </w:rPr>
    </w:lvl>
  </w:abstractNum>
  <w:abstractNum w:abstractNumId="351">
    <w:nsid w:val="5C02E03F"/>
    <w:multiLevelType w:val="singleLevel"/>
    <w:tmpl w:val="5C02E03F"/>
    <w:lvl w:ilvl="0" w:tentative="0">
      <w:start w:val="1"/>
      <w:numFmt w:val="decimal"/>
      <w:suff w:val="nothing"/>
      <w:lvlText w:val="%1．"/>
      <w:lvlJc w:val="left"/>
      <w:pPr>
        <w:ind w:left="0" w:firstLine="400"/>
      </w:pPr>
      <w:rPr>
        <w:rFonts w:hint="default"/>
      </w:rPr>
    </w:lvl>
  </w:abstractNum>
  <w:abstractNum w:abstractNumId="352">
    <w:nsid w:val="5CCBB1CA"/>
    <w:multiLevelType w:val="singleLevel"/>
    <w:tmpl w:val="5CCBB1CA"/>
    <w:lvl w:ilvl="0" w:tentative="0">
      <w:start w:val="1"/>
      <w:numFmt w:val="decimal"/>
      <w:suff w:val="nothing"/>
      <w:lvlText w:val="%1．"/>
      <w:lvlJc w:val="left"/>
      <w:pPr>
        <w:ind w:left="0" w:firstLine="400"/>
      </w:pPr>
      <w:rPr>
        <w:rFonts w:hint="default"/>
      </w:rPr>
    </w:lvl>
  </w:abstractNum>
  <w:abstractNum w:abstractNumId="353">
    <w:nsid w:val="5D62CA25"/>
    <w:multiLevelType w:val="singleLevel"/>
    <w:tmpl w:val="5D62CA25"/>
    <w:lvl w:ilvl="0" w:tentative="0">
      <w:start w:val="1"/>
      <w:numFmt w:val="decimal"/>
      <w:suff w:val="nothing"/>
      <w:lvlText w:val="%1．"/>
      <w:lvlJc w:val="left"/>
      <w:pPr>
        <w:ind w:left="0" w:firstLine="400"/>
      </w:pPr>
      <w:rPr>
        <w:rFonts w:hint="default"/>
      </w:rPr>
    </w:lvl>
  </w:abstractNum>
  <w:abstractNum w:abstractNumId="354">
    <w:nsid w:val="5D8883DC"/>
    <w:multiLevelType w:val="singleLevel"/>
    <w:tmpl w:val="5D8883DC"/>
    <w:lvl w:ilvl="0" w:tentative="0">
      <w:start w:val="1"/>
      <w:numFmt w:val="chineseCounting"/>
      <w:suff w:val="nothing"/>
      <w:lvlText w:val="%1、"/>
      <w:lvlJc w:val="left"/>
      <w:pPr>
        <w:ind w:left="0" w:firstLine="420"/>
      </w:pPr>
      <w:rPr>
        <w:rFonts w:hint="eastAsia"/>
      </w:rPr>
    </w:lvl>
  </w:abstractNum>
  <w:abstractNum w:abstractNumId="355">
    <w:nsid w:val="5E57DED0"/>
    <w:multiLevelType w:val="singleLevel"/>
    <w:tmpl w:val="5E57DED0"/>
    <w:lvl w:ilvl="0" w:tentative="0">
      <w:start w:val="1"/>
      <w:numFmt w:val="chineseCounting"/>
      <w:suff w:val="nothing"/>
      <w:lvlText w:val="%1、"/>
      <w:lvlJc w:val="left"/>
      <w:pPr>
        <w:ind w:left="0" w:firstLine="420"/>
      </w:pPr>
      <w:rPr>
        <w:rFonts w:hint="eastAsia"/>
      </w:rPr>
    </w:lvl>
  </w:abstractNum>
  <w:abstractNum w:abstractNumId="356">
    <w:nsid w:val="5F313D72"/>
    <w:multiLevelType w:val="singleLevel"/>
    <w:tmpl w:val="5F313D72"/>
    <w:lvl w:ilvl="0" w:tentative="0">
      <w:start w:val="1"/>
      <w:numFmt w:val="chineseCounting"/>
      <w:suff w:val="nothing"/>
      <w:lvlText w:val="%1、"/>
      <w:lvlJc w:val="left"/>
      <w:pPr>
        <w:ind w:left="0" w:firstLine="420"/>
      </w:pPr>
      <w:rPr>
        <w:rFonts w:hint="eastAsia"/>
      </w:rPr>
    </w:lvl>
  </w:abstractNum>
  <w:abstractNum w:abstractNumId="357">
    <w:nsid w:val="5F5B9AE6"/>
    <w:multiLevelType w:val="singleLevel"/>
    <w:tmpl w:val="5F5B9AE6"/>
    <w:lvl w:ilvl="0" w:tentative="0">
      <w:start w:val="1"/>
      <w:numFmt w:val="decimal"/>
      <w:suff w:val="nothing"/>
      <w:lvlText w:val="%1．"/>
      <w:lvlJc w:val="left"/>
      <w:pPr>
        <w:ind w:left="0" w:firstLine="400"/>
      </w:pPr>
      <w:rPr>
        <w:rFonts w:hint="default"/>
      </w:rPr>
    </w:lvl>
  </w:abstractNum>
  <w:abstractNum w:abstractNumId="358">
    <w:nsid w:val="5FCC8AE8"/>
    <w:multiLevelType w:val="singleLevel"/>
    <w:tmpl w:val="5FCC8AE8"/>
    <w:lvl w:ilvl="0" w:tentative="0">
      <w:start w:val="1"/>
      <w:numFmt w:val="chineseCounting"/>
      <w:suff w:val="nothing"/>
      <w:lvlText w:val="%1、"/>
      <w:lvlJc w:val="left"/>
      <w:pPr>
        <w:ind w:left="0" w:firstLine="420"/>
      </w:pPr>
      <w:rPr>
        <w:rFonts w:hint="eastAsia"/>
      </w:rPr>
    </w:lvl>
  </w:abstractNum>
  <w:abstractNum w:abstractNumId="359">
    <w:nsid w:val="6026F5FF"/>
    <w:multiLevelType w:val="singleLevel"/>
    <w:tmpl w:val="6026F5FF"/>
    <w:lvl w:ilvl="0" w:tentative="0">
      <w:start w:val="1"/>
      <w:numFmt w:val="decimal"/>
      <w:suff w:val="nothing"/>
      <w:lvlText w:val="%1．"/>
      <w:lvlJc w:val="left"/>
      <w:pPr>
        <w:ind w:left="0" w:firstLine="400"/>
      </w:pPr>
      <w:rPr>
        <w:rFonts w:hint="default"/>
      </w:rPr>
    </w:lvl>
  </w:abstractNum>
  <w:abstractNum w:abstractNumId="360">
    <w:nsid w:val="60400450"/>
    <w:multiLevelType w:val="singleLevel"/>
    <w:tmpl w:val="60400450"/>
    <w:lvl w:ilvl="0" w:tentative="0">
      <w:start w:val="1"/>
      <w:numFmt w:val="decimal"/>
      <w:suff w:val="nothing"/>
      <w:lvlText w:val="%1．"/>
      <w:lvlJc w:val="left"/>
      <w:pPr>
        <w:ind w:left="0" w:firstLine="400"/>
      </w:pPr>
      <w:rPr>
        <w:rFonts w:hint="default"/>
      </w:rPr>
    </w:lvl>
  </w:abstractNum>
  <w:abstractNum w:abstractNumId="361">
    <w:nsid w:val="609E1532"/>
    <w:multiLevelType w:val="singleLevel"/>
    <w:tmpl w:val="609E1532"/>
    <w:lvl w:ilvl="0" w:tentative="0">
      <w:start w:val="1"/>
      <w:numFmt w:val="decimal"/>
      <w:suff w:val="nothing"/>
      <w:lvlText w:val="%1)"/>
      <w:lvlJc w:val="left"/>
      <w:pPr>
        <w:ind w:left="0" w:firstLine="0"/>
      </w:pPr>
      <w:rPr>
        <w:rFonts w:hint="default"/>
      </w:rPr>
    </w:lvl>
  </w:abstractNum>
  <w:abstractNum w:abstractNumId="362">
    <w:nsid w:val="61350477"/>
    <w:multiLevelType w:val="singleLevel"/>
    <w:tmpl w:val="61350477"/>
    <w:lvl w:ilvl="0" w:tentative="0">
      <w:start w:val="1"/>
      <w:numFmt w:val="decimal"/>
      <w:suff w:val="nothing"/>
      <w:lvlText w:val="%1．"/>
      <w:lvlJc w:val="left"/>
      <w:pPr>
        <w:ind w:left="0" w:firstLine="400"/>
      </w:pPr>
      <w:rPr>
        <w:rFonts w:hint="default"/>
      </w:rPr>
    </w:lvl>
  </w:abstractNum>
  <w:abstractNum w:abstractNumId="363">
    <w:nsid w:val="61BAC206"/>
    <w:multiLevelType w:val="singleLevel"/>
    <w:tmpl w:val="61BAC206"/>
    <w:lvl w:ilvl="0" w:tentative="0">
      <w:start w:val="1"/>
      <w:numFmt w:val="decimal"/>
      <w:lvlText w:val="%1)"/>
      <w:lvlJc w:val="left"/>
      <w:pPr>
        <w:ind w:left="425" w:hanging="425"/>
      </w:pPr>
      <w:rPr>
        <w:rFonts w:hint="default"/>
      </w:rPr>
    </w:lvl>
  </w:abstractNum>
  <w:abstractNum w:abstractNumId="364">
    <w:nsid w:val="621A432A"/>
    <w:multiLevelType w:val="singleLevel"/>
    <w:tmpl w:val="621A432A"/>
    <w:lvl w:ilvl="0" w:tentative="0">
      <w:start w:val="1"/>
      <w:numFmt w:val="decimal"/>
      <w:suff w:val="nothing"/>
      <w:lvlText w:val="%1．"/>
      <w:lvlJc w:val="left"/>
      <w:pPr>
        <w:ind w:left="0" w:firstLine="400"/>
      </w:pPr>
      <w:rPr>
        <w:rFonts w:hint="default"/>
      </w:rPr>
    </w:lvl>
  </w:abstractNum>
  <w:abstractNum w:abstractNumId="365">
    <w:nsid w:val="634FFFBD"/>
    <w:multiLevelType w:val="singleLevel"/>
    <w:tmpl w:val="634FFFBD"/>
    <w:lvl w:ilvl="0" w:tentative="0">
      <w:start w:val="1"/>
      <w:numFmt w:val="decimal"/>
      <w:lvlText w:val="%1)"/>
      <w:lvlJc w:val="left"/>
      <w:pPr>
        <w:ind w:left="425" w:hanging="425"/>
      </w:pPr>
      <w:rPr>
        <w:rFonts w:hint="default"/>
      </w:rPr>
    </w:lvl>
  </w:abstractNum>
  <w:abstractNum w:abstractNumId="366">
    <w:nsid w:val="646C37B5"/>
    <w:multiLevelType w:val="singleLevel"/>
    <w:tmpl w:val="646C37B5"/>
    <w:lvl w:ilvl="0" w:tentative="0">
      <w:start w:val="1"/>
      <w:numFmt w:val="decimal"/>
      <w:lvlText w:val="%1."/>
      <w:lvlJc w:val="left"/>
      <w:pPr>
        <w:ind w:left="425" w:hanging="425"/>
      </w:pPr>
      <w:rPr>
        <w:rFonts w:hint="default"/>
      </w:rPr>
    </w:lvl>
  </w:abstractNum>
  <w:abstractNum w:abstractNumId="367">
    <w:nsid w:val="64FA65DF"/>
    <w:multiLevelType w:val="singleLevel"/>
    <w:tmpl w:val="64FA65DF"/>
    <w:lvl w:ilvl="0" w:tentative="0">
      <w:start w:val="1"/>
      <w:numFmt w:val="decimal"/>
      <w:lvlText w:val="%1)"/>
      <w:lvlJc w:val="left"/>
      <w:pPr>
        <w:ind w:left="425" w:hanging="425"/>
      </w:pPr>
      <w:rPr>
        <w:rFonts w:hint="default"/>
      </w:rPr>
    </w:lvl>
  </w:abstractNum>
  <w:abstractNum w:abstractNumId="368">
    <w:nsid w:val="651AA6AC"/>
    <w:multiLevelType w:val="singleLevel"/>
    <w:tmpl w:val="651AA6AC"/>
    <w:lvl w:ilvl="0" w:tentative="0">
      <w:start w:val="1"/>
      <w:numFmt w:val="decimal"/>
      <w:suff w:val="nothing"/>
      <w:lvlText w:val="%1．"/>
      <w:lvlJc w:val="left"/>
      <w:pPr>
        <w:ind w:left="0" w:firstLine="0"/>
      </w:pPr>
      <w:rPr>
        <w:rFonts w:hint="default"/>
      </w:rPr>
    </w:lvl>
  </w:abstractNum>
  <w:abstractNum w:abstractNumId="369">
    <w:nsid w:val="6621D479"/>
    <w:multiLevelType w:val="singleLevel"/>
    <w:tmpl w:val="6621D479"/>
    <w:lvl w:ilvl="0" w:tentative="0">
      <w:start w:val="1"/>
      <w:numFmt w:val="decimal"/>
      <w:suff w:val="nothing"/>
      <w:lvlText w:val="%1．"/>
      <w:lvlJc w:val="left"/>
      <w:pPr>
        <w:ind w:left="0" w:firstLine="400"/>
      </w:pPr>
      <w:rPr>
        <w:rFonts w:hint="default"/>
      </w:rPr>
    </w:lvl>
  </w:abstractNum>
  <w:abstractNum w:abstractNumId="370">
    <w:nsid w:val="6696E846"/>
    <w:multiLevelType w:val="singleLevel"/>
    <w:tmpl w:val="6696E846"/>
    <w:lvl w:ilvl="0" w:tentative="0">
      <w:start w:val="1"/>
      <w:numFmt w:val="decimal"/>
      <w:lvlText w:val="%1."/>
      <w:lvlJc w:val="left"/>
      <w:pPr>
        <w:ind w:left="425" w:hanging="425"/>
      </w:pPr>
      <w:rPr>
        <w:rFonts w:hint="default"/>
      </w:rPr>
    </w:lvl>
  </w:abstractNum>
  <w:abstractNum w:abstractNumId="371">
    <w:nsid w:val="67A3ECED"/>
    <w:multiLevelType w:val="singleLevel"/>
    <w:tmpl w:val="67A3ECED"/>
    <w:lvl w:ilvl="0" w:tentative="0">
      <w:start w:val="1"/>
      <w:numFmt w:val="decimal"/>
      <w:lvlText w:val="%1."/>
      <w:lvlJc w:val="left"/>
      <w:pPr>
        <w:ind w:left="425" w:hanging="425"/>
      </w:pPr>
      <w:rPr>
        <w:rFonts w:hint="default"/>
      </w:rPr>
    </w:lvl>
  </w:abstractNum>
  <w:abstractNum w:abstractNumId="372">
    <w:nsid w:val="67C1F355"/>
    <w:multiLevelType w:val="singleLevel"/>
    <w:tmpl w:val="67C1F355"/>
    <w:lvl w:ilvl="0" w:tentative="0">
      <w:start w:val="1"/>
      <w:numFmt w:val="decimal"/>
      <w:lvlText w:val="%1)"/>
      <w:lvlJc w:val="left"/>
      <w:pPr>
        <w:ind w:left="425" w:hanging="425"/>
      </w:pPr>
      <w:rPr>
        <w:rFonts w:hint="default"/>
      </w:rPr>
    </w:lvl>
  </w:abstractNum>
  <w:abstractNum w:abstractNumId="373">
    <w:nsid w:val="67E75E35"/>
    <w:multiLevelType w:val="singleLevel"/>
    <w:tmpl w:val="67E75E35"/>
    <w:lvl w:ilvl="0" w:tentative="0">
      <w:start w:val="1"/>
      <w:numFmt w:val="decimal"/>
      <w:lvlText w:val="%1)"/>
      <w:lvlJc w:val="left"/>
      <w:pPr>
        <w:ind w:left="425" w:hanging="425"/>
      </w:pPr>
      <w:rPr>
        <w:rFonts w:hint="default"/>
      </w:rPr>
    </w:lvl>
  </w:abstractNum>
  <w:abstractNum w:abstractNumId="374">
    <w:nsid w:val="67FB57B7"/>
    <w:multiLevelType w:val="singleLevel"/>
    <w:tmpl w:val="67FB57B7"/>
    <w:lvl w:ilvl="0" w:tentative="0">
      <w:start w:val="1"/>
      <w:numFmt w:val="decimal"/>
      <w:suff w:val="nothing"/>
      <w:lvlText w:val="%1．"/>
      <w:lvlJc w:val="left"/>
      <w:pPr>
        <w:ind w:left="0" w:firstLine="400"/>
      </w:pPr>
      <w:rPr>
        <w:rFonts w:hint="default"/>
      </w:rPr>
    </w:lvl>
  </w:abstractNum>
  <w:abstractNum w:abstractNumId="375">
    <w:nsid w:val="68432168"/>
    <w:multiLevelType w:val="singleLevel"/>
    <w:tmpl w:val="68432168"/>
    <w:lvl w:ilvl="0" w:tentative="0">
      <w:start w:val="1"/>
      <w:numFmt w:val="decimal"/>
      <w:lvlText w:val="%1)"/>
      <w:lvlJc w:val="left"/>
      <w:pPr>
        <w:ind w:left="425" w:hanging="425"/>
      </w:pPr>
      <w:rPr>
        <w:rFonts w:hint="default"/>
      </w:rPr>
    </w:lvl>
  </w:abstractNum>
  <w:abstractNum w:abstractNumId="376">
    <w:nsid w:val="691823AB"/>
    <w:multiLevelType w:val="singleLevel"/>
    <w:tmpl w:val="691823AB"/>
    <w:lvl w:ilvl="0" w:tentative="0">
      <w:start w:val="1"/>
      <w:numFmt w:val="decimal"/>
      <w:lvlText w:val="%1)"/>
      <w:lvlJc w:val="left"/>
      <w:pPr>
        <w:ind w:left="425" w:hanging="425"/>
      </w:pPr>
      <w:rPr>
        <w:rFonts w:hint="default"/>
      </w:rPr>
    </w:lvl>
  </w:abstractNum>
  <w:abstractNum w:abstractNumId="377">
    <w:nsid w:val="69C1165E"/>
    <w:multiLevelType w:val="singleLevel"/>
    <w:tmpl w:val="69C1165E"/>
    <w:lvl w:ilvl="0" w:tentative="0">
      <w:start w:val="1"/>
      <w:numFmt w:val="decimal"/>
      <w:lvlText w:val="%1."/>
      <w:lvlJc w:val="left"/>
      <w:pPr>
        <w:ind w:left="425" w:hanging="425"/>
      </w:pPr>
      <w:rPr>
        <w:rFonts w:hint="default"/>
      </w:rPr>
    </w:lvl>
  </w:abstractNum>
  <w:abstractNum w:abstractNumId="378">
    <w:nsid w:val="6A5AD459"/>
    <w:multiLevelType w:val="singleLevel"/>
    <w:tmpl w:val="6A5AD459"/>
    <w:lvl w:ilvl="0" w:tentative="0">
      <w:start w:val="1"/>
      <w:numFmt w:val="decimal"/>
      <w:suff w:val="nothing"/>
      <w:lvlText w:val="%1．"/>
      <w:lvlJc w:val="left"/>
      <w:pPr>
        <w:ind w:left="0" w:firstLine="400"/>
      </w:pPr>
      <w:rPr>
        <w:rFonts w:hint="default"/>
      </w:rPr>
    </w:lvl>
  </w:abstractNum>
  <w:abstractNum w:abstractNumId="379">
    <w:nsid w:val="6B38336D"/>
    <w:multiLevelType w:val="singleLevel"/>
    <w:tmpl w:val="6B38336D"/>
    <w:lvl w:ilvl="0" w:tentative="0">
      <w:start w:val="1"/>
      <w:numFmt w:val="decimal"/>
      <w:lvlText w:val="%1)"/>
      <w:lvlJc w:val="left"/>
      <w:pPr>
        <w:ind w:left="425" w:hanging="425"/>
      </w:pPr>
      <w:rPr>
        <w:rFonts w:hint="default"/>
      </w:rPr>
    </w:lvl>
  </w:abstractNum>
  <w:abstractNum w:abstractNumId="380">
    <w:nsid w:val="6B570EAA"/>
    <w:multiLevelType w:val="singleLevel"/>
    <w:tmpl w:val="6B570EAA"/>
    <w:lvl w:ilvl="0" w:tentative="0">
      <w:start w:val="1"/>
      <w:numFmt w:val="decimal"/>
      <w:suff w:val="nothing"/>
      <w:lvlText w:val="%1．"/>
      <w:lvlJc w:val="left"/>
      <w:pPr>
        <w:ind w:left="0" w:firstLine="400"/>
      </w:pPr>
      <w:rPr>
        <w:rFonts w:hint="default"/>
      </w:rPr>
    </w:lvl>
  </w:abstractNum>
  <w:abstractNum w:abstractNumId="381">
    <w:nsid w:val="6C445F27"/>
    <w:multiLevelType w:val="singleLevel"/>
    <w:tmpl w:val="6C445F27"/>
    <w:lvl w:ilvl="0" w:tentative="0">
      <w:start w:val="1"/>
      <w:numFmt w:val="decimal"/>
      <w:suff w:val="nothing"/>
      <w:lvlText w:val="%1．"/>
      <w:lvlJc w:val="left"/>
      <w:pPr>
        <w:ind w:left="0" w:firstLine="400"/>
      </w:pPr>
      <w:rPr>
        <w:rFonts w:hint="default"/>
      </w:rPr>
    </w:lvl>
  </w:abstractNum>
  <w:abstractNum w:abstractNumId="382">
    <w:nsid w:val="6D160B38"/>
    <w:multiLevelType w:val="singleLevel"/>
    <w:tmpl w:val="6D160B38"/>
    <w:lvl w:ilvl="0" w:tentative="0">
      <w:start w:val="1"/>
      <w:numFmt w:val="decimal"/>
      <w:lvlText w:val="%1)"/>
      <w:lvlJc w:val="left"/>
      <w:pPr>
        <w:ind w:left="425" w:hanging="425"/>
      </w:pPr>
      <w:rPr>
        <w:rFonts w:hint="default"/>
      </w:rPr>
    </w:lvl>
  </w:abstractNum>
  <w:abstractNum w:abstractNumId="383">
    <w:nsid w:val="6DAD7369"/>
    <w:multiLevelType w:val="singleLevel"/>
    <w:tmpl w:val="6DAD7369"/>
    <w:lvl w:ilvl="0" w:tentative="0">
      <w:start w:val="1"/>
      <w:numFmt w:val="decimal"/>
      <w:lvlText w:val="%1)"/>
      <w:lvlJc w:val="left"/>
      <w:pPr>
        <w:ind w:left="425" w:hanging="425"/>
      </w:pPr>
      <w:rPr>
        <w:rFonts w:hint="default"/>
      </w:rPr>
    </w:lvl>
  </w:abstractNum>
  <w:abstractNum w:abstractNumId="384">
    <w:nsid w:val="6EEDD887"/>
    <w:multiLevelType w:val="singleLevel"/>
    <w:tmpl w:val="6EEDD887"/>
    <w:lvl w:ilvl="0" w:tentative="0">
      <w:start w:val="1"/>
      <w:numFmt w:val="decimal"/>
      <w:lvlText w:val="%1."/>
      <w:lvlJc w:val="left"/>
      <w:pPr>
        <w:ind w:left="425" w:hanging="425"/>
      </w:pPr>
      <w:rPr>
        <w:rFonts w:hint="default"/>
      </w:rPr>
    </w:lvl>
  </w:abstractNum>
  <w:abstractNum w:abstractNumId="385">
    <w:nsid w:val="6FB1B2D2"/>
    <w:multiLevelType w:val="singleLevel"/>
    <w:tmpl w:val="6FB1B2D2"/>
    <w:lvl w:ilvl="0" w:tentative="0">
      <w:start w:val="1"/>
      <w:numFmt w:val="chineseCounting"/>
      <w:suff w:val="nothing"/>
      <w:lvlText w:val="%1、"/>
      <w:lvlJc w:val="left"/>
      <w:pPr>
        <w:ind w:left="0" w:firstLine="420"/>
      </w:pPr>
      <w:rPr>
        <w:rFonts w:hint="eastAsia"/>
      </w:rPr>
    </w:lvl>
  </w:abstractNum>
  <w:abstractNum w:abstractNumId="386">
    <w:nsid w:val="6FC54381"/>
    <w:multiLevelType w:val="singleLevel"/>
    <w:tmpl w:val="6FC54381"/>
    <w:lvl w:ilvl="0" w:tentative="0">
      <w:start w:val="1"/>
      <w:numFmt w:val="chineseCounting"/>
      <w:suff w:val="nothing"/>
      <w:lvlText w:val="%1、"/>
      <w:lvlJc w:val="left"/>
      <w:pPr>
        <w:ind w:left="0" w:firstLine="420"/>
      </w:pPr>
      <w:rPr>
        <w:rFonts w:hint="eastAsia"/>
      </w:rPr>
    </w:lvl>
  </w:abstractNum>
  <w:abstractNum w:abstractNumId="387">
    <w:nsid w:val="705FFEEF"/>
    <w:multiLevelType w:val="singleLevel"/>
    <w:tmpl w:val="705FFEEF"/>
    <w:lvl w:ilvl="0" w:tentative="0">
      <w:start w:val="1"/>
      <w:numFmt w:val="decimal"/>
      <w:lvlText w:val="(%1)"/>
      <w:lvlJc w:val="left"/>
      <w:pPr>
        <w:ind w:left="425" w:hanging="425"/>
      </w:pPr>
      <w:rPr>
        <w:rFonts w:hint="default"/>
      </w:rPr>
    </w:lvl>
  </w:abstractNum>
  <w:abstractNum w:abstractNumId="388">
    <w:nsid w:val="70689DEB"/>
    <w:multiLevelType w:val="singleLevel"/>
    <w:tmpl w:val="70689DEB"/>
    <w:lvl w:ilvl="0" w:tentative="0">
      <w:start w:val="1"/>
      <w:numFmt w:val="decimal"/>
      <w:suff w:val="nothing"/>
      <w:lvlText w:val="%1．"/>
      <w:lvlJc w:val="left"/>
      <w:pPr>
        <w:ind w:left="0" w:firstLine="400"/>
      </w:pPr>
      <w:rPr>
        <w:rFonts w:hint="default"/>
      </w:rPr>
    </w:lvl>
  </w:abstractNum>
  <w:abstractNum w:abstractNumId="389">
    <w:nsid w:val="72C232D7"/>
    <w:multiLevelType w:val="singleLevel"/>
    <w:tmpl w:val="72C232D7"/>
    <w:lvl w:ilvl="0" w:tentative="0">
      <w:start w:val="1"/>
      <w:numFmt w:val="decimal"/>
      <w:lvlText w:val="%1)"/>
      <w:lvlJc w:val="left"/>
      <w:pPr>
        <w:ind w:left="425" w:hanging="425"/>
      </w:pPr>
      <w:rPr>
        <w:rFonts w:hint="default"/>
      </w:rPr>
    </w:lvl>
  </w:abstractNum>
  <w:abstractNum w:abstractNumId="390">
    <w:nsid w:val="73D13711"/>
    <w:multiLevelType w:val="singleLevel"/>
    <w:tmpl w:val="73D13711"/>
    <w:lvl w:ilvl="0" w:tentative="0">
      <w:start w:val="1"/>
      <w:numFmt w:val="decimal"/>
      <w:suff w:val="nothing"/>
      <w:lvlText w:val="%1．"/>
      <w:lvlJc w:val="left"/>
      <w:pPr>
        <w:ind w:left="0" w:firstLine="400"/>
      </w:pPr>
      <w:rPr>
        <w:rFonts w:hint="default"/>
      </w:rPr>
    </w:lvl>
  </w:abstractNum>
  <w:abstractNum w:abstractNumId="391">
    <w:nsid w:val="73F76CC8"/>
    <w:multiLevelType w:val="singleLevel"/>
    <w:tmpl w:val="73F76CC8"/>
    <w:lvl w:ilvl="0" w:tentative="0">
      <w:start w:val="1"/>
      <w:numFmt w:val="decimal"/>
      <w:suff w:val="nothing"/>
      <w:lvlText w:val="%1)"/>
      <w:lvlJc w:val="left"/>
      <w:pPr>
        <w:ind w:left="0" w:firstLine="0"/>
      </w:pPr>
      <w:rPr>
        <w:rFonts w:hint="default"/>
      </w:rPr>
    </w:lvl>
  </w:abstractNum>
  <w:abstractNum w:abstractNumId="392">
    <w:nsid w:val="741058C2"/>
    <w:multiLevelType w:val="singleLevel"/>
    <w:tmpl w:val="741058C2"/>
    <w:lvl w:ilvl="0" w:tentative="0">
      <w:start w:val="1"/>
      <w:numFmt w:val="decimal"/>
      <w:suff w:val="nothing"/>
      <w:lvlText w:val="%1．"/>
      <w:lvlJc w:val="left"/>
      <w:pPr>
        <w:ind w:left="0" w:firstLine="0"/>
      </w:pPr>
      <w:rPr>
        <w:rFonts w:hint="default"/>
      </w:rPr>
    </w:lvl>
  </w:abstractNum>
  <w:abstractNum w:abstractNumId="393">
    <w:nsid w:val="74CF5567"/>
    <w:multiLevelType w:val="singleLevel"/>
    <w:tmpl w:val="74CF5567"/>
    <w:lvl w:ilvl="0" w:tentative="0">
      <w:start w:val="1"/>
      <w:numFmt w:val="decimal"/>
      <w:suff w:val="nothing"/>
      <w:lvlText w:val="%1．"/>
      <w:lvlJc w:val="left"/>
      <w:pPr>
        <w:ind w:left="0" w:firstLine="400"/>
      </w:pPr>
      <w:rPr>
        <w:rFonts w:hint="default"/>
      </w:rPr>
    </w:lvl>
  </w:abstractNum>
  <w:abstractNum w:abstractNumId="394">
    <w:nsid w:val="759C0B08"/>
    <w:multiLevelType w:val="singleLevel"/>
    <w:tmpl w:val="759C0B08"/>
    <w:lvl w:ilvl="0" w:tentative="0">
      <w:start w:val="1"/>
      <w:numFmt w:val="decimal"/>
      <w:suff w:val="nothing"/>
      <w:lvlText w:val="%1."/>
      <w:lvlJc w:val="left"/>
      <w:pPr>
        <w:ind w:left="0" w:firstLine="0"/>
      </w:pPr>
      <w:rPr>
        <w:rFonts w:hint="default"/>
      </w:rPr>
    </w:lvl>
  </w:abstractNum>
  <w:abstractNum w:abstractNumId="395">
    <w:nsid w:val="759E5915"/>
    <w:multiLevelType w:val="singleLevel"/>
    <w:tmpl w:val="759E5915"/>
    <w:lvl w:ilvl="0" w:tentative="0">
      <w:start w:val="1"/>
      <w:numFmt w:val="decimal"/>
      <w:lvlText w:val="%1."/>
      <w:lvlJc w:val="left"/>
      <w:pPr>
        <w:ind w:left="425" w:hanging="425"/>
      </w:pPr>
      <w:rPr>
        <w:rFonts w:hint="default"/>
      </w:rPr>
    </w:lvl>
  </w:abstractNum>
  <w:abstractNum w:abstractNumId="396">
    <w:nsid w:val="768B3728"/>
    <w:multiLevelType w:val="singleLevel"/>
    <w:tmpl w:val="768B3728"/>
    <w:lvl w:ilvl="0" w:tentative="0">
      <w:start w:val="1"/>
      <w:numFmt w:val="chineseCounting"/>
      <w:suff w:val="nothing"/>
      <w:lvlText w:val="%1、"/>
      <w:lvlJc w:val="left"/>
      <w:pPr>
        <w:ind w:left="0" w:firstLine="420"/>
      </w:pPr>
      <w:rPr>
        <w:rFonts w:hint="eastAsia"/>
      </w:rPr>
    </w:lvl>
  </w:abstractNum>
  <w:abstractNum w:abstractNumId="397">
    <w:nsid w:val="7738CCC2"/>
    <w:multiLevelType w:val="singleLevel"/>
    <w:tmpl w:val="7738CCC2"/>
    <w:lvl w:ilvl="0" w:tentative="0">
      <w:start w:val="1"/>
      <w:numFmt w:val="decimal"/>
      <w:suff w:val="nothing"/>
      <w:lvlText w:val="%1．"/>
      <w:lvlJc w:val="left"/>
      <w:pPr>
        <w:ind w:left="0" w:firstLine="400"/>
      </w:pPr>
      <w:rPr>
        <w:rFonts w:hint="default"/>
      </w:rPr>
    </w:lvl>
  </w:abstractNum>
  <w:abstractNum w:abstractNumId="398">
    <w:nsid w:val="77ED3433"/>
    <w:multiLevelType w:val="singleLevel"/>
    <w:tmpl w:val="77ED3433"/>
    <w:lvl w:ilvl="0" w:tentative="0">
      <w:start w:val="1"/>
      <w:numFmt w:val="decimal"/>
      <w:suff w:val="nothing"/>
      <w:lvlText w:val="%1．"/>
      <w:lvlJc w:val="left"/>
      <w:pPr>
        <w:ind w:left="0" w:firstLine="400"/>
      </w:pPr>
      <w:rPr>
        <w:rFonts w:hint="default"/>
      </w:rPr>
    </w:lvl>
  </w:abstractNum>
  <w:abstractNum w:abstractNumId="399">
    <w:nsid w:val="78198B88"/>
    <w:multiLevelType w:val="singleLevel"/>
    <w:tmpl w:val="78198B88"/>
    <w:lvl w:ilvl="0" w:tentative="0">
      <w:start w:val="1"/>
      <w:numFmt w:val="chineseCounting"/>
      <w:suff w:val="nothing"/>
      <w:lvlText w:val="%1、"/>
      <w:lvlJc w:val="left"/>
      <w:pPr>
        <w:ind w:left="0" w:firstLine="420"/>
      </w:pPr>
      <w:rPr>
        <w:rFonts w:hint="eastAsia"/>
      </w:rPr>
    </w:lvl>
  </w:abstractNum>
  <w:abstractNum w:abstractNumId="400">
    <w:nsid w:val="78294601"/>
    <w:multiLevelType w:val="singleLevel"/>
    <w:tmpl w:val="78294601"/>
    <w:lvl w:ilvl="0" w:tentative="0">
      <w:start w:val="1"/>
      <w:numFmt w:val="chineseCounting"/>
      <w:suff w:val="nothing"/>
      <w:lvlText w:val="%1、"/>
      <w:lvlJc w:val="left"/>
      <w:pPr>
        <w:ind w:left="0" w:firstLine="420"/>
      </w:pPr>
      <w:rPr>
        <w:rFonts w:hint="eastAsia"/>
      </w:rPr>
    </w:lvl>
  </w:abstractNum>
  <w:abstractNum w:abstractNumId="401">
    <w:nsid w:val="78871CF7"/>
    <w:multiLevelType w:val="singleLevel"/>
    <w:tmpl w:val="78871CF7"/>
    <w:lvl w:ilvl="0" w:tentative="0">
      <w:start w:val="1"/>
      <w:numFmt w:val="chineseCounting"/>
      <w:suff w:val="nothing"/>
      <w:lvlText w:val="%1、"/>
      <w:lvlJc w:val="left"/>
      <w:pPr>
        <w:ind w:left="0" w:firstLine="420"/>
      </w:pPr>
      <w:rPr>
        <w:rFonts w:hint="eastAsia"/>
      </w:rPr>
    </w:lvl>
  </w:abstractNum>
  <w:abstractNum w:abstractNumId="402">
    <w:nsid w:val="79911DAF"/>
    <w:multiLevelType w:val="singleLevel"/>
    <w:tmpl w:val="79911DAF"/>
    <w:lvl w:ilvl="0" w:tentative="0">
      <w:start w:val="1"/>
      <w:numFmt w:val="chineseCounting"/>
      <w:suff w:val="nothing"/>
      <w:lvlText w:val="%1、"/>
      <w:lvlJc w:val="left"/>
      <w:pPr>
        <w:ind w:left="0" w:firstLine="0"/>
      </w:pPr>
      <w:rPr>
        <w:rFonts w:hint="eastAsia"/>
      </w:rPr>
    </w:lvl>
  </w:abstractNum>
  <w:abstractNum w:abstractNumId="403">
    <w:nsid w:val="7AFCF40F"/>
    <w:multiLevelType w:val="singleLevel"/>
    <w:tmpl w:val="7AFCF40F"/>
    <w:lvl w:ilvl="0" w:tentative="0">
      <w:start w:val="1"/>
      <w:numFmt w:val="chineseCounting"/>
      <w:suff w:val="nothing"/>
      <w:lvlText w:val="%1、"/>
      <w:lvlJc w:val="left"/>
      <w:pPr>
        <w:ind w:left="0" w:firstLine="420"/>
      </w:pPr>
      <w:rPr>
        <w:rFonts w:hint="eastAsia"/>
      </w:rPr>
    </w:lvl>
  </w:abstractNum>
  <w:abstractNum w:abstractNumId="404">
    <w:nsid w:val="7B9A588F"/>
    <w:multiLevelType w:val="singleLevel"/>
    <w:tmpl w:val="7B9A588F"/>
    <w:lvl w:ilvl="0" w:tentative="0">
      <w:start w:val="1"/>
      <w:numFmt w:val="chineseCounting"/>
      <w:suff w:val="nothing"/>
      <w:lvlText w:val="%1、"/>
      <w:lvlJc w:val="left"/>
      <w:pPr>
        <w:ind w:left="0" w:firstLine="420"/>
      </w:pPr>
      <w:rPr>
        <w:rFonts w:hint="eastAsia"/>
      </w:rPr>
    </w:lvl>
  </w:abstractNum>
  <w:abstractNum w:abstractNumId="405">
    <w:nsid w:val="7CA9D8E3"/>
    <w:multiLevelType w:val="singleLevel"/>
    <w:tmpl w:val="7CA9D8E3"/>
    <w:lvl w:ilvl="0" w:tentative="0">
      <w:start w:val="1"/>
      <w:numFmt w:val="decimal"/>
      <w:suff w:val="nothing"/>
      <w:lvlText w:val="%1．"/>
      <w:lvlJc w:val="left"/>
      <w:pPr>
        <w:ind w:left="0" w:firstLine="400"/>
      </w:pPr>
      <w:rPr>
        <w:rFonts w:hint="default"/>
      </w:rPr>
    </w:lvl>
  </w:abstractNum>
  <w:abstractNum w:abstractNumId="406">
    <w:nsid w:val="7CBF7203"/>
    <w:multiLevelType w:val="singleLevel"/>
    <w:tmpl w:val="7CBF7203"/>
    <w:lvl w:ilvl="0" w:tentative="0">
      <w:start w:val="1"/>
      <w:numFmt w:val="decimal"/>
      <w:suff w:val="nothing"/>
      <w:lvlText w:val="%1."/>
      <w:lvlJc w:val="left"/>
      <w:pPr>
        <w:ind w:left="0" w:firstLine="0"/>
      </w:pPr>
      <w:rPr>
        <w:rFonts w:hint="default"/>
      </w:rPr>
    </w:lvl>
  </w:abstractNum>
  <w:abstractNum w:abstractNumId="407">
    <w:nsid w:val="7CFF69DD"/>
    <w:multiLevelType w:val="singleLevel"/>
    <w:tmpl w:val="7CFF69DD"/>
    <w:lvl w:ilvl="0" w:tentative="0">
      <w:start w:val="1"/>
      <w:numFmt w:val="decimal"/>
      <w:suff w:val="nothing"/>
      <w:lvlText w:val="%1."/>
      <w:lvlJc w:val="left"/>
      <w:pPr>
        <w:ind w:left="0" w:firstLine="0"/>
      </w:pPr>
      <w:rPr>
        <w:rFonts w:hint="default"/>
      </w:rPr>
    </w:lvl>
  </w:abstractNum>
  <w:abstractNum w:abstractNumId="408">
    <w:nsid w:val="7F1883DB"/>
    <w:multiLevelType w:val="multilevel"/>
    <w:tmpl w:val="7F1883D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09">
    <w:nsid w:val="7FDC12DA"/>
    <w:multiLevelType w:val="singleLevel"/>
    <w:tmpl w:val="7FDC12DA"/>
    <w:lvl w:ilvl="0" w:tentative="0">
      <w:start w:val="1"/>
      <w:numFmt w:val="decimal"/>
      <w:lvlText w:val="%1)"/>
      <w:lvlJc w:val="left"/>
      <w:pPr>
        <w:ind w:left="425" w:hanging="425"/>
      </w:pPr>
      <w:rPr>
        <w:rFonts w:hint="default"/>
      </w:rPr>
    </w:lvl>
  </w:abstractNum>
  <w:num w:numId="1">
    <w:abstractNumId w:val="216"/>
  </w:num>
  <w:num w:numId="2">
    <w:abstractNumId w:val="408"/>
  </w:num>
  <w:num w:numId="3">
    <w:abstractNumId w:val="349"/>
  </w:num>
  <w:num w:numId="4">
    <w:abstractNumId w:val="140"/>
  </w:num>
  <w:num w:numId="5">
    <w:abstractNumId w:val="370"/>
  </w:num>
  <w:num w:numId="6">
    <w:abstractNumId w:val="399"/>
  </w:num>
  <w:num w:numId="7">
    <w:abstractNumId w:val="192"/>
  </w:num>
  <w:num w:numId="8">
    <w:abstractNumId w:val="5"/>
  </w:num>
  <w:num w:numId="9">
    <w:abstractNumId w:val="12"/>
  </w:num>
  <w:num w:numId="10">
    <w:abstractNumId w:val="75"/>
  </w:num>
  <w:num w:numId="11">
    <w:abstractNumId w:val="226"/>
  </w:num>
  <w:num w:numId="12">
    <w:abstractNumId w:val="338"/>
  </w:num>
  <w:num w:numId="13">
    <w:abstractNumId w:val="263"/>
  </w:num>
  <w:num w:numId="14">
    <w:abstractNumId w:val="262"/>
  </w:num>
  <w:num w:numId="15">
    <w:abstractNumId w:val="268"/>
  </w:num>
  <w:num w:numId="16">
    <w:abstractNumId w:val="124"/>
  </w:num>
  <w:num w:numId="17">
    <w:abstractNumId w:val="348"/>
  </w:num>
  <w:num w:numId="18">
    <w:abstractNumId w:val="355"/>
  </w:num>
  <w:num w:numId="19">
    <w:abstractNumId w:val="308"/>
  </w:num>
  <w:num w:numId="20">
    <w:abstractNumId w:val="273"/>
  </w:num>
  <w:num w:numId="21">
    <w:abstractNumId w:val="285"/>
  </w:num>
  <w:num w:numId="22">
    <w:abstractNumId w:val="8"/>
  </w:num>
  <w:num w:numId="23">
    <w:abstractNumId w:val="276"/>
  </w:num>
  <w:num w:numId="24">
    <w:abstractNumId w:val="176"/>
  </w:num>
  <w:num w:numId="25">
    <w:abstractNumId w:val="334"/>
  </w:num>
  <w:num w:numId="26">
    <w:abstractNumId w:val="17"/>
  </w:num>
  <w:num w:numId="27">
    <w:abstractNumId w:val="404"/>
  </w:num>
  <w:num w:numId="28">
    <w:abstractNumId w:val="400"/>
  </w:num>
  <w:num w:numId="29">
    <w:abstractNumId w:val="105"/>
  </w:num>
  <w:num w:numId="30">
    <w:abstractNumId w:val="27"/>
  </w:num>
  <w:num w:numId="31">
    <w:abstractNumId w:val="0"/>
  </w:num>
  <w:num w:numId="32">
    <w:abstractNumId w:val="236"/>
  </w:num>
  <w:num w:numId="33">
    <w:abstractNumId w:val="278"/>
  </w:num>
  <w:num w:numId="34">
    <w:abstractNumId w:val="250"/>
  </w:num>
  <w:num w:numId="35">
    <w:abstractNumId w:val="162"/>
  </w:num>
  <w:num w:numId="36">
    <w:abstractNumId w:val="133"/>
  </w:num>
  <w:num w:numId="37">
    <w:abstractNumId w:val="346"/>
  </w:num>
  <w:num w:numId="38">
    <w:abstractNumId w:val="4"/>
  </w:num>
  <w:num w:numId="39">
    <w:abstractNumId w:val="23"/>
  </w:num>
  <w:num w:numId="40">
    <w:abstractNumId w:val="317"/>
  </w:num>
  <w:num w:numId="41">
    <w:abstractNumId w:val="357"/>
  </w:num>
  <w:num w:numId="42">
    <w:abstractNumId w:val="142"/>
  </w:num>
  <w:num w:numId="43">
    <w:abstractNumId w:val="352"/>
  </w:num>
  <w:num w:numId="44">
    <w:abstractNumId w:val="73"/>
  </w:num>
  <w:num w:numId="45">
    <w:abstractNumId w:val="353"/>
  </w:num>
  <w:num w:numId="46">
    <w:abstractNumId w:val="293"/>
  </w:num>
  <w:num w:numId="47">
    <w:abstractNumId w:val="67"/>
  </w:num>
  <w:num w:numId="48">
    <w:abstractNumId w:val="170"/>
  </w:num>
  <w:num w:numId="49">
    <w:abstractNumId w:val="13"/>
  </w:num>
  <w:num w:numId="50">
    <w:abstractNumId w:val="151"/>
  </w:num>
  <w:num w:numId="51">
    <w:abstractNumId w:val="230"/>
  </w:num>
  <w:num w:numId="52">
    <w:abstractNumId w:val="311"/>
  </w:num>
  <w:num w:numId="53">
    <w:abstractNumId w:val="393"/>
  </w:num>
  <w:num w:numId="54">
    <w:abstractNumId w:val="356"/>
  </w:num>
  <w:num w:numId="55">
    <w:abstractNumId w:val="374"/>
  </w:num>
  <w:num w:numId="56">
    <w:abstractNumId w:val="381"/>
  </w:num>
  <w:num w:numId="57">
    <w:abstractNumId w:val="398"/>
  </w:num>
  <w:num w:numId="58">
    <w:abstractNumId w:val="191"/>
  </w:num>
  <w:num w:numId="59">
    <w:abstractNumId w:val="57"/>
  </w:num>
  <w:num w:numId="60">
    <w:abstractNumId w:val="301"/>
  </w:num>
  <w:num w:numId="61">
    <w:abstractNumId w:val="89"/>
  </w:num>
  <w:num w:numId="62">
    <w:abstractNumId w:val="31"/>
  </w:num>
  <w:num w:numId="63">
    <w:abstractNumId w:val="260"/>
  </w:num>
  <w:num w:numId="64">
    <w:abstractNumId w:val="15"/>
  </w:num>
  <w:num w:numId="65">
    <w:abstractNumId w:val="271"/>
  </w:num>
  <w:num w:numId="66">
    <w:abstractNumId w:val="77"/>
  </w:num>
  <w:num w:numId="67">
    <w:abstractNumId w:val="16"/>
  </w:num>
  <w:num w:numId="68">
    <w:abstractNumId w:val="291"/>
  </w:num>
  <w:num w:numId="69">
    <w:abstractNumId w:val="96"/>
  </w:num>
  <w:num w:numId="70">
    <w:abstractNumId w:val="179"/>
  </w:num>
  <w:num w:numId="71">
    <w:abstractNumId w:val="58"/>
  </w:num>
  <w:num w:numId="72">
    <w:abstractNumId w:val="274"/>
  </w:num>
  <w:num w:numId="73">
    <w:abstractNumId w:val="177"/>
  </w:num>
  <w:num w:numId="74">
    <w:abstractNumId w:val="32"/>
  </w:num>
  <w:num w:numId="75">
    <w:abstractNumId w:val="290"/>
  </w:num>
  <w:num w:numId="76">
    <w:abstractNumId w:val="24"/>
  </w:num>
  <w:num w:numId="77">
    <w:abstractNumId w:val="187"/>
  </w:num>
  <w:num w:numId="78">
    <w:abstractNumId w:val="95"/>
  </w:num>
  <w:num w:numId="79">
    <w:abstractNumId w:val="104"/>
  </w:num>
  <w:num w:numId="80">
    <w:abstractNumId w:val="326"/>
  </w:num>
  <w:num w:numId="81">
    <w:abstractNumId w:val="256"/>
  </w:num>
  <w:num w:numId="82">
    <w:abstractNumId w:val="336"/>
  </w:num>
  <w:num w:numId="83">
    <w:abstractNumId w:val="185"/>
  </w:num>
  <w:num w:numId="84">
    <w:abstractNumId w:val="365"/>
  </w:num>
  <w:num w:numId="85">
    <w:abstractNumId w:val="232"/>
  </w:num>
  <w:num w:numId="86">
    <w:abstractNumId w:val="360"/>
  </w:num>
  <w:num w:numId="87">
    <w:abstractNumId w:val="401"/>
  </w:num>
  <w:num w:numId="88">
    <w:abstractNumId w:val="97"/>
  </w:num>
  <w:num w:numId="89">
    <w:abstractNumId w:val="22"/>
  </w:num>
  <w:num w:numId="90">
    <w:abstractNumId w:val="118"/>
  </w:num>
  <w:num w:numId="91">
    <w:abstractNumId w:val="310"/>
  </w:num>
  <w:num w:numId="92">
    <w:abstractNumId w:val="130"/>
  </w:num>
  <w:num w:numId="93">
    <w:abstractNumId w:val="245"/>
  </w:num>
  <w:num w:numId="94">
    <w:abstractNumId w:val="83"/>
  </w:num>
  <w:num w:numId="95">
    <w:abstractNumId w:val="314"/>
  </w:num>
  <w:num w:numId="96">
    <w:abstractNumId w:val="345"/>
  </w:num>
  <w:num w:numId="97">
    <w:abstractNumId w:val="372"/>
  </w:num>
  <w:num w:numId="98">
    <w:abstractNumId w:val="275"/>
  </w:num>
  <w:num w:numId="99">
    <w:abstractNumId w:val="383"/>
  </w:num>
  <w:num w:numId="100">
    <w:abstractNumId w:val="206"/>
  </w:num>
  <w:num w:numId="101">
    <w:abstractNumId w:val="409"/>
  </w:num>
  <w:num w:numId="102">
    <w:abstractNumId w:val="228"/>
  </w:num>
  <w:num w:numId="103">
    <w:abstractNumId w:val="322"/>
  </w:num>
  <w:num w:numId="104">
    <w:abstractNumId w:val="340"/>
  </w:num>
  <w:num w:numId="105">
    <w:abstractNumId w:val="113"/>
  </w:num>
  <w:num w:numId="106">
    <w:abstractNumId w:val="41"/>
  </w:num>
  <w:num w:numId="107">
    <w:abstractNumId w:val="11"/>
  </w:num>
  <w:num w:numId="108">
    <w:abstractNumId w:val="225"/>
  </w:num>
  <w:num w:numId="109">
    <w:abstractNumId w:val="248"/>
  </w:num>
  <w:num w:numId="110">
    <w:abstractNumId w:val="373"/>
  </w:num>
  <w:num w:numId="111">
    <w:abstractNumId w:val="218"/>
  </w:num>
  <w:num w:numId="112">
    <w:abstractNumId w:val="122"/>
  </w:num>
  <w:num w:numId="113">
    <w:abstractNumId w:val="297"/>
  </w:num>
  <w:num w:numId="114">
    <w:abstractNumId w:val="367"/>
  </w:num>
  <w:num w:numId="115">
    <w:abstractNumId w:val="121"/>
  </w:num>
  <w:num w:numId="116">
    <w:abstractNumId w:val="120"/>
  </w:num>
  <w:num w:numId="117">
    <w:abstractNumId w:val="80"/>
  </w:num>
  <w:num w:numId="118">
    <w:abstractNumId w:val="82"/>
  </w:num>
  <w:num w:numId="119">
    <w:abstractNumId w:val="331"/>
  </w:num>
  <w:num w:numId="120">
    <w:abstractNumId w:val="267"/>
  </w:num>
  <w:num w:numId="121">
    <w:abstractNumId w:val="86"/>
  </w:num>
  <w:num w:numId="122">
    <w:abstractNumId w:val="281"/>
  </w:num>
  <w:num w:numId="123">
    <w:abstractNumId w:val="266"/>
  </w:num>
  <w:num w:numId="124">
    <w:abstractNumId w:val="71"/>
  </w:num>
  <w:num w:numId="125">
    <w:abstractNumId w:val="165"/>
  </w:num>
  <w:num w:numId="126">
    <w:abstractNumId w:val="99"/>
  </w:num>
  <w:num w:numId="127">
    <w:abstractNumId w:val="358"/>
  </w:num>
  <w:num w:numId="128">
    <w:abstractNumId w:val="239"/>
  </w:num>
  <w:num w:numId="129">
    <w:abstractNumId w:val="269"/>
  </w:num>
  <w:num w:numId="130">
    <w:abstractNumId w:val="108"/>
  </w:num>
  <w:num w:numId="131">
    <w:abstractNumId w:val="402"/>
  </w:num>
  <w:num w:numId="132">
    <w:abstractNumId w:val="292"/>
  </w:num>
  <w:num w:numId="133">
    <w:abstractNumId w:val="159"/>
  </w:num>
  <w:num w:numId="134">
    <w:abstractNumId w:val="68"/>
  </w:num>
  <w:num w:numId="135">
    <w:abstractNumId w:val="51"/>
  </w:num>
  <w:num w:numId="136">
    <w:abstractNumId w:val="246"/>
  </w:num>
  <w:num w:numId="137">
    <w:abstractNumId w:val="167"/>
  </w:num>
  <w:num w:numId="138">
    <w:abstractNumId w:val="237"/>
  </w:num>
  <w:num w:numId="139">
    <w:abstractNumId w:val="341"/>
  </w:num>
  <w:num w:numId="140">
    <w:abstractNumId w:val="169"/>
  </w:num>
  <w:num w:numId="141">
    <w:abstractNumId w:val="61"/>
  </w:num>
  <w:num w:numId="142">
    <w:abstractNumId w:val="325"/>
  </w:num>
  <w:num w:numId="143">
    <w:abstractNumId w:val="368"/>
  </w:num>
  <w:num w:numId="144">
    <w:abstractNumId w:val="7"/>
  </w:num>
  <w:num w:numId="145">
    <w:abstractNumId w:val="126"/>
  </w:num>
  <w:num w:numId="146">
    <w:abstractNumId w:val="220"/>
  </w:num>
  <w:num w:numId="147">
    <w:abstractNumId w:val="259"/>
  </w:num>
  <w:num w:numId="148">
    <w:abstractNumId w:val="208"/>
  </w:num>
  <w:num w:numId="149">
    <w:abstractNumId w:val="254"/>
  </w:num>
  <w:num w:numId="150">
    <w:abstractNumId w:val="264"/>
  </w:num>
  <w:num w:numId="151">
    <w:abstractNumId w:val="44"/>
  </w:num>
  <w:num w:numId="152">
    <w:abstractNumId w:val="59"/>
  </w:num>
  <w:num w:numId="153">
    <w:abstractNumId w:val="392"/>
  </w:num>
  <w:num w:numId="154">
    <w:abstractNumId w:val="183"/>
  </w:num>
  <w:num w:numId="155">
    <w:abstractNumId w:val="70"/>
  </w:num>
  <w:num w:numId="156">
    <w:abstractNumId w:val="243"/>
  </w:num>
  <w:num w:numId="157">
    <w:abstractNumId w:val="240"/>
  </w:num>
  <w:num w:numId="158">
    <w:abstractNumId w:val="379"/>
  </w:num>
  <w:num w:numId="159">
    <w:abstractNumId w:val="344"/>
  </w:num>
  <w:num w:numId="160">
    <w:abstractNumId w:val="160"/>
  </w:num>
  <w:num w:numId="161">
    <w:abstractNumId w:val="54"/>
  </w:num>
  <w:num w:numId="162">
    <w:abstractNumId w:val="335"/>
  </w:num>
  <w:num w:numId="163">
    <w:abstractNumId w:val="302"/>
  </w:num>
  <w:num w:numId="164">
    <w:abstractNumId w:val="363"/>
  </w:num>
  <w:num w:numId="165">
    <w:abstractNumId w:val="296"/>
  </w:num>
  <w:num w:numId="166">
    <w:abstractNumId w:val="137"/>
  </w:num>
  <w:num w:numId="167">
    <w:abstractNumId w:val="307"/>
  </w:num>
  <w:num w:numId="168">
    <w:abstractNumId w:val="152"/>
  </w:num>
  <w:num w:numId="169">
    <w:abstractNumId w:val="114"/>
  </w:num>
  <w:num w:numId="170">
    <w:abstractNumId w:val="112"/>
  </w:num>
  <w:num w:numId="171">
    <w:abstractNumId w:val="287"/>
  </w:num>
  <w:num w:numId="172">
    <w:abstractNumId w:val="188"/>
  </w:num>
  <w:num w:numId="173">
    <w:abstractNumId w:val="364"/>
  </w:num>
  <w:num w:numId="174">
    <w:abstractNumId w:val="88"/>
  </w:num>
  <w:num w:numId="175">
    <w:abstractNumId w:val="115"/>
  </w:num>
  <w:num w:numId="176">
    <w:abstractNumId w:val="209"/>
  </w:num>
  <w:num w:numId="177">
    <w:abstractNumId w:val="78"/>
  </w:num>
  <w:num w:numId="178">
    <w:abstractNumId w:val="156"/>
  </w:num>
  <w:num w:numId="179">
    <w:abstractNumId w:val="144"/>
  </w:num>
  <w:num w:numId="180">
    <w:abstractNumId w:val="138"/>
  </w:num>
  <w:num w:numId="181">
    <w:abstractNumId w:val="332"/>
  </w:num>
  <w:num w:numId="182">
    <w:abstractNumId w:val="178"/>
  </w:num>
  <w:num w:numId="183">
    <w:abstractNumId w:val="224"/>
  </w:num>
  <w:num w:numId="184">
    <w:abstractNumId w:val="279"/>
  </w:num>
  <w:num w:numId="185">
    <w:abstractNumId w:val="131"/>
  </w:num>
  <w:num w:numId="186">
    <w:abstractNumId w:val="56"/>
  </w:num>
  <w:num w:numId="187">
    <w:abstractNumId w:val="282"/>
  </w:num>
  <w:num w:numId="188">
    <w:abstractNumId w:val="288"/>
  </w:num>
  <w:num w:numId="189">
    <w:abstractNumId w:val="129"/>
  </w:num>
  <w:num w:numId="190">
    <w:abstractNumId w:val="9"/>
  </w:num>
  <w:num w:numId="191">
    <w:abstractNumId w:val="127"/>
  </w:num>
  <w:num w:numId="192">
    <w:abstractNumId w:val="397"/>
  </w:num>
  <w:num w:numId="193">
    <w:abstractNumId w:val="385"/>
  </w:num>
  <w:num w:numId="194">
    <w:abstractNumId w:val="321"/>
  </w:num>
  <w:num w:numId="195">
    <w:abstractNumId w:val="315"/>
  </w:num>
  <w:num w:numId="196">
    <w:abstractNumId w:val="155"/>
  </w:num>
  <w:num w:numId="197">
    <w:abstractNumId w:val="116"/>
  </w:num>
  <w:num w:numId="198">
    <w:abstractNumId w:val="181"/>
  </w:num>
  <w:num w:numId="199">
    <w:abstractNumId w:val="390"/>
  </w:num>
  <w:num w:numId="200">
    <w:abstractNumId w:val="1"/>
  </w:num>
  <w:num w:numId="201">
    <w:abstractNumId w:val="63"/>
  </w:num>
  <w:num w:numId="202">
    <w:abstractNumId w:val="299"/>
  </w:num>
  <w:num w:numId="203">
    <w:abstractNumId w:val="153"/>
  </w:num>
  <w:num w:numId="204">
    <w:abstractNumId w:val="396"/>
  </w:num>
  <w:num w:numId="205">
    <w:abstractNumId w:val="161"/>
  </w:num>
  <w:num w:numId="206">
    <w:abstractNumId w:val="204"/>
  </w:num>
  <w:num w:numId="207">
    <w:abstractNumId w:val="235"/>
  </w:num>
  <w:num w:numId="208">
    <w:abstractNumId w:val="369"/>
  </w:num>
  <w:num w:numId="209">
    <w:abstractNumId w:val="270"/>
  </w:num>
  <w:num w:numId="210">
    <w:abstractNumId w:val="94"/>
  </w:num>
  <w:num w:numId="211">
    <w:abstractNumId w:val="298"/>
  </w:num>
  <w:num w:numId="212">
    <w:abstractNumId w:val="300"/>
  </w:num>
  <w:num w:numId="213">
    <w:abstractNumId w:val="139"/>
  </w:num>
  <w:num w:numId="214">
    <w:abstractNumId w:val="286"/>
  </w:num>
  <w:num w:numId="215">
    <w:abstractNumId w:val="343"/>
  </w:num>
  <w:num w:numId="216">
    <w:abstractNumId w:val="329"/>
  </w:num>
  <w:num w:numId="217">
    <w:abstractNumId w:val="35"/>
  </w:num>
  <w:num w:numId="218">
    <w:abstractNumId w:val="203"/>
  </w:num>
  <w:num w:numId="219">
    <w:abstractNumId w:val="327"/>
  </w:num>
  <w:num w:numId="220">
    <w:abstractNumId w:val="132"/>
  </w:num>
  <w:num w:numId="221">
    <w:abstractNumId w:val="184"/>
  </w:num>
  <w:num w:numId="222">
    <w:abstractNumId w:val="34"/>
  </w:num>
  <w:num w:numId="223">
    <w:abstractNumId w:val="234"/>
  </w:num>
  <w:num w:numId="224">
    <w:abstractNumId w:val="233"/>
  </w:num>
  <w:num w:numId="225">
    <w:abstractNumId w:val="42"/>
  </w:num>
  <w:num w:numId="226">
    <w:abstractNumId w:val="303"/>
  </w:num>
  <w:num w:numId="227">
    <w:abstractNumId w:val="173"/>
  </w:num>
  <w:num w:numId="228">
    <w:abstractNumId w:val="283"/>
  </w:num>
  <w:num w:numId="229">
    <w:abstractNumId w:val="241"/>
  </w:num>
  <w:num w:numId="230">
    <w:abstractNumId w:val="143"/>
  </w:num>
  <w:num w:numId="231">
    <w:abstractNumId w:val="380"/>
  </w:num>
  <w:num w:numId="232">
    <w:abstractNumId w:val="258"/>
  </w:num>
  <w:num w:numId="233">
    <w:abstractNumId w:val="53"/>
  </w:num>
  <w:num w:numId="234">
    <w:abstractNumId w:val="197"/>
  </w:num>
  <w:num w:numId="235">
    <w:abstractNumId w:val="101"/>
  </w:num>
  <w:num w:numId="236">
    <w:abstractNumId w:val="319"/>
  </w:num>
  <w:num w:numId="237">
    <w:abstractNumId w:val="146"/>
  </w:num>
  <w:num w:numId="238">
    <w:abstractNumId w:val="339"/>
  </w:num>
  <w:num w:numId="239">
    <w:abstractNumId w:val="386"/>
  </w:num>
  <w:num w:numId="240">
    <w:abstractNumId w:val="342"/>
  </w:num>
  <w:num w:numId="241">
    <w:abstractNumId w:val="219"/>
  </w:num>
  <w:num w:numId="242">
    <w:abstractNumId w:val="193"/>
  </w:num>
  <w:num w:numId="243">
    <w:abstractNumId w:val="277"/>
  </w:num>
  <w:num w:numId="244">
    <w:abstractNumId w:val="378"/>
  </w:num>
  <w:num w:numId="245">
    <w:abstractNumId w:val="33"/>
  </w:num>
  <w:num w:numId="246">
    <w:abstractNumId w:val="221"/>
  </w:num>
  <w:num w:numId="247">
    <w:abstractNumId w:val="175"/>
  </w:num>
  <w:num w:numId="248">
    <w:abstractNumId w:val="84"/>
  </w:num>
  <w:num w:numId="249">
    <w:abstractNumId w:val="405"/>
  </w:num>
  <w:num w:numId="250">
    <w:abstractNumId w:val="309"/>
  </w:num>
  <w:num w:numId="251">
    <w:abstractNumId w:val="350"/>
  </w:num>
  <w:num w:numId="252">
    <w:abstractNumId w:val="294"/>
  </w:num>
  <w:num w:numId="253">
    <w:abstractNumId w:val="362"/>
  </w:num>
  <w:num w:numId="254">
    <w:abstractNumId w:val="87"/>
  </w:num>
  <w:num w:numId="255">
    <w:abstractNumId w:val="351"/>
  </w:num>
  <w:num w:numId="256">
    <w:abstractNumId w:val="62"/>
  </w:num>
  <w:num w:numId="257">
    <w:abstractNumId w:val="52"/>
  </w:num>
  <w:num w:numId="258">
    <w:abstractNumId w:val="76"/>
  </w:num>
  <w:num w:numId="259">
    <w:abstractNumId w:val="150"/>
  </w:num>
  <w:num w:numId="260">
    <w:abstractNumId w:val="354"/>
  </w:num>
  <w:num w:numId="261">
    <w:abstractNumId w:val="359"/>
  </w:num>
  <w:num w:numId="262">
    <w:abstractNumId w:val="119"/>
  </w:num>
  <w:num w:numId="263">
    <w:abstractNumId w:val="171"/>
  </w:num>
  <w:num w:numId="264">
    <w:abstractNumId w:val="158"/>
  </w:num>
  <w:num w:numId="265">
    <w:abstractNumId w:val="253"/>
  </w:num>
  <w:num w:numId="266">
    <w:abstractNumId w:val="330"/>
  </w:num>
  <w:num w:numId="267">
    <w:abstractNumId w:val="190"/>
  </w:num>
  <w:num w:numId="268">
    <w:abstractNumId w:val="249"/>
  </w:num>
  <w:num w:numId="269">
    <w:abstractNumId w:val="174"/>
  </w:num>
  <w:num w:numId="270">
    <w:abstractNumId w:val="21"/>
  </w:num>
  <w:num w:numId="271">
    <w:abstractNumId w:val="91"/>
  </w:num>
  <w:num w:numId="272">
    <w:abstractNumId w:val="388"/>
  </w:num>
  <w:num w:numId="273">
    <w:abstractNumId w:val="92"/>
  </w:num>
  <w:num w:numId="274">
    <w:abstractNumId w:val="284"/>
  </w:num>
  <w:num w:numId="275">
    <w:abstractNumId w:val="46"/>
  </w:num>
  <w:num w:numId="276">
    <w:abstractNumId w:val="247"/>
  </w:num>
  <w:num w:numId="277">
    <w:abstractNumId w:val="387"/>
  </w:num>
  <w:num w:numId="278">
    <w:abstractNumId w:val="257"/>
  </w:num>
  <w:num w:numId="279">
    <w:abstractNumId w:val="238"/>
  </w:num>
  <w:num w:numId="280">
    <w:abstractNumId w:val="28"/>
  </w:num>
  <w:num w:numId="281">
    <w:abstractNumId w:val="48"/>
  </w:num>
  <w:num w:numId="282">
    <w:abstractNumId w:val="107"/>
  </w:num>
  <w:num w:numId="283">
    <w:abstractNumId w:val="394"/>
  </w:num>
  <w:num w:numId="284">
    <w:abstractNumId w:val="198"/>
  </w:num>
  <w:num w:numId="285">
    <w:abstractNumId w:val="14"/>
  </w:num>
  <w:num w:numId="286">
    <w:abstractNumId w:val="199"/>
  </w:num>
  <w:num w:numId="287">
    <w:abstractNumId w:val="38"/>
  </w:num>
  <w:num w:numId="288">
    <w:abstractNumId w:val="20"/>
  </w:num>
  <w:num w:numId="289">
    <w:abstractNumId w:val="81"/>
  </w:num>
  <w:num w:numId="290">
    <w:abstractNumId w:val="29"/>
  </w:num>
  <w:num w:numId="291">
    <w:abstractNumId w:val="79"/>
  </w:num>
  <w:num w:numId="292">
    <w:abstractNumId w:val="255"/>
  </w:num>
  <w:num w:numId="293">
    <w:abstractNumId w:val="180"/>
  </w:num>
  <w:num w:numId="294">
    <w:abstractNumId w:val="320"/>
  </w:num>
  <w:num w:numId="295">
    <w:abstractNumId w:val="371"/>
  </w:num>
  <w:num w:numId="296">
    <w:abstractNumId w:val="55"/>
  </w:num>
  <w:num w:numId="297">
    <w:abstractNumId w:val="194"/>
  </w:num>
  <w:num w:numId="298">
    <w:abstractNumId w:val="110"/>
  </w:num>
  <w:num w:numId="299">
    <w:abstractNumId w:val="145"/>
  </w:num>
  <w:num w:numId="300">
    <w:abstractNumId w:val="305"/>
  </w:num>
  <w:num w:numId="301">
    <w:abstractNumId w:val="222"/>
  </w:num>
  <w:num w:numId="302">
    <w:abstractNumId w:val="100"/>
  </w:num>
  <w:num w:numId="303">
    <w:abstractNumId w:val="166"/>
  </w:num>
  <w:num w:numId="304">
    <w:abstractNumId w:val="2"/>
  </w:num>
  <w:num w:numId="305">
    <w:abstractNumId w:val="324"/>
  </w:num>
  <w:num w:numId="306">
    <w:abstractNumId w:val="148"/>
  </w:num>
  <w:num w:numId="307">
    <w:abstractNumId w:val="74"/>
  </w:num>
  <w:num w:numId="308">
    <w:abstractNumId w:val="26"/>
  </w:num>
  <w:num w:numId="309">
    <w:abstractNumId w:val="40"/>
  </w:num>
  <w:num w:numId="310">
    <w:abstractNumId w:val="37"/>
  </w:num>
  <w:num w:numId="311">
    <w:abstractNumId w:val="109"/>
  </w:num>
  <w:num w:numId="312">
    <w:abstractNumId w:val="377"/>
  </w:num>
  <w:num w:numId="313">
    <w:abstractNumId w:val="30"/>
  </w:num>
  <w:num w:numId="314">
    <w:abstractNumId w:val="136"/>
  </w:num>
  <w:num w:numId="315">
    <w:abstractNumId w:val="10"/>
  </w:num>
  <w:num w:numId="316">
    <w:abstractNumId w:val="313"/>
  </w:num>
  <w:num w:numId="317">
    <w:abstractNumId w:val="125"/>
  </w:num>
  <w:num w:numId="318">
    <w:abstractNumId w:val="227"/>
  </w:num>
  <w:num w:numId="319">
    <w:abstractNumId w:val="265"/>
  </w:num>
  <w:num w:numId="320">
    <w:abstractNumId w:val="64"/>
  </w:num>
  <w:num w:numId="321">
    <w:abstractNumId w:val="375"/>
  </w:num>
  <w:num w:numId="322">
    <w:abstractNumId w:val="72"/>
  </w:num>
  <w:num w:numId="323">
    <w:abstractNumId w:val="201"/>
  </w:num>
  <w:num w:numId="324">
    <w:abstractNumId w:val="163"/>
  </w:num>
  <w:num w:numId="325">
    <w:abstractNumId w:val="202"/>
  </w:num>
  <w:num w:numId="326">
    <w:abstractNumId w:val="106"/>
  </w:num>
  <w:num w:numId="327">
    <w:abstractNumId w:val="213"/>
  </w:num>
  <w:num w:numId="328">
    <w:abstractNumId w:val="212"/>
  </w:num>
  <w:num w:numId="329">
    <w:abstractNumId w:val="215"/>
  </w:num>
  <w:num w:numId="330">
    <w:abstractNumId w:val="207"/>
  </w:num>
  <w:num w:numId="331">
    <w:abstractNumId w:val="210"/>
  </w:num>
  <w:num w:numId="332">
    <w:abstractNumId w:val="406"/>
  </w:num>
  <w:num w:numId="333">
    <w:abstractNumId w:val="205"/>
  </w:num>
  <w:num w:numId="334">
    <w:abstractNumId w:val="407"/>
  </w:num>
  <w:num w:numId="335">
    <w:abstractNumId w:val="164"/>
  </w:num>
  <w:num w:numId="336">
    <w:abstractNumId w:val="196"/>
  </w:num>
  <w:num w:numId="337">
    <w:abstractNumId w:val="134"/>
  </w:num>
  <w:num w:numId="338">
    <w:abstractNumId w:val="147"/>
  </w:num>
  <w:num w:numId="339">
    <w:abstractNumId w:val="65"/>
  </w:num>
  <w:num w:numId="340">
    <w:abstractNumId w:val="182"/>
  </w:num>
  <w:num w:numId="341">
    <w:abstractNumId w:val="195"/>
  </w:num>
  <w:num w:numId="342">
    <w:abstractNumId w:val="200"/>
  </w:num>
  <w:num w:numId="343">
    <w:abstractNumId w:val="49"/>
  </w:num>
  <w:num w:numId="344">
    <w:abstractNumId w:val="403"/>
  </w:num>
  <w:num w:numId="345">
    <w:abstractNumId w:val="90"/>
  </w:num>
  <w:num w:numId="346">
    <w:abstractNumId w:val="18"/>
  </w:num>
  <w:num w:numId="347">
    <w:abstractNumId w:val="36"/>
  </w:num>
  <w:num w:numId="348">
    <w:abstractNumId w:val="211"/>
  </w:num>
  <w:num w:numId="349">
    <w:abstractNumId w:val="103"/>
  </w:num>
  <w:num w:numId="350">
    <w:abstractNumId w:val="172"/>
  </w:num>
  <w:num w:numId="351">
    <w:abstractNumId w:val="186"/>
  </w:num>
  <w:num w:numId="352">
    <w:abstractNumId w:val="154"/>
  </w:num>
  <w:num w:numId="353">
    <w:abstractNumId w:val="214"/>
  </w:num>
  <w:num w:numId="354">
    <w:abstractNumId w:val="289"/>
  </w:num>
  <w:num w:numId="355">
    <w:abstractNumId w:val="69"/>
  </w:num>
  <w:num w:numId="356">
    <w:abstractNumId w:val="395"/>
  </w:num>
  <w:num w:numId="357">
    <w:abstractNumId w:val="39"/>
  </w:num>
  <w:num w:numId="358">
    <w:abstractNumId w:val="384"/>
  </w:num>
  <w:num w:numId="359">
    <w:abstractNumId w:val="251"/>
  </w:num>
  <w:num w:numId="360">
    <w:abstractNumId w:val="45"/>
  </w:num>
  <w:num w:numId="361">
    <w:abstractNumId w:val="3"/>
  </w:num>
  <w:num w:numId="362">
    <w:abstractNumId w:val="295"/>
  </w:num>
  <w:num w:numId="363">
    <w:abstractNumId w:val="366"/>
  </w:num>
  <w:num w:numId="364">
    <w:abstractNumId w:val="261"/>
  </w:num>
  <w:num w:numId="365">
    <w:abstractNumId w:val="111"/>
  </w:num>
  <w:num w:numId="366">
    <w:abstractNumId w:val="102"/>
  </w:num>
  <w:num w:numId="367">
    <w:abstractNumId w:val="382"/>
  </w:num>
  <w:num w:numId="368">
    <w:abstractNumId w:val="361"/>
  </w:num>
  <w:num w:numId="369">
    <w:abstractNumId w:val="328"/>
  </w:num>
  <w:num w:numId="370">
    <w:abstractNumId w:val="244"/>
  </w:num>
  <w:num w:numId="371">
    <w:abstractNumId w:val="141"/>
  </w:num>
  <w:num w:numId="372">
    <w:abstractNumId w:val="389"/>
  </w:num>
  <w:num w:numId="373">
    <w:abstractNumId w:val="337"/>
  </w:num>
  <w:num w:numId="374">
    <w:abstractNumId w:val="229"/>
  </w:num>
  <w:num w:numId="375">
    <w:abstractNumId w:val="117"/>
  </w:num>
  <w:num w:numId="376">
    <w:abstractNumId w:val="252"/>
  </w:num>
  <w:num w:numId="377">
    <w:abstractNumId w:val="60"/>
  </w:num>
  <w:num w:numId="378">
    <w:abstractNumId w:val="242"/>
  </w:num>
  <w:num w:numId="379">
    <w:abstractNumId w:val="6"/>
  </w:num>
  <w:num w:numId="380">
    <w:abstractNumId w:val="306"/>
  </w:num>
  <w:num w:numId="381">
    <w:abstractNumId w:val="85"/>
  </w:num>
  <w:num w:numId="382">
    <w:abstractNumId w:val="123"/>
  </w:num>
  <w:num w:numId="383">
    <w:abstractNumId w:val="168"/>
  </w:num>
  <w:num w:numId="384">
    <w:abstractNumId w:val="43"/>
  </w:num>
  <w:num w:numId="385">
    <w:abstractNumId w:val="323"/>
  </w:num>
  <w:num w:numId="386">
    <w:abstractNumId w:val="231"/>
  </w:num>
  <w:num w:numId="387">
    <w:abstractNumId w:val="98"/>
  </w:num>
  <w:num w:numId="388">
    <w:abstractNumId w:val="128"/>
  </w:num>
  <w:num w:numId="389">
    <w:abstractNumId w:val="157"/>
  </w:num>
  <w:num w:numId="390">
    <w:abstractNumId w:val="272"/>
  </w:num>
  <w:num w:numId="391">
    <w:abstractNumId w:val="66"/>
  </w:num>
  <w:num w:numId="392">
    <w:abstractNumId w:val="19"/>
  </w:num>
  <w:num w:numId="393">
    <w:abstractNumId w:val="318"/>
  </w:num>
  <w:num w:numId="394">
    <w:abstractNumId w:val="333"/>
  </w:num>
  <w:num w:numId="395">
    <w:abstractNumId w:val="217"/>
  </w:num>
  <w:num w:numId="396">
    <w:abstractNumId w:val="47"/>
  </w:num>
  <w:num w:numId="397">
    <w:abstractNumId w:val="50"/>
  </w:num>
  <w:num w:numId="398">
    <w:abstractNumId w:val="280"/>
  </w:num>
  <w:num w:numId="399">
    <w:abstractNumId w:val="189"/>
  </w:num>
  <w:num w:numId="400">
    <w:abstractNumId w:val="304"/>
  </w:num>
  <w:num w:numId="401">
    <w:abstractNumId w:val="223"/>
  </w:num>
  <w:num w:numId="402">
    <w:abstractNumId w:val="391"/>
  </w:num>
  <w:num w:numId="403">
    <w:abstractNumId w:val="135"/>
  </w:num>
  <w:num w:numId="404">
    <w:abstractNumId w:val="149"/>
  </w:num>
  <w:num w:numId="405">
    <w:abstractNumId w:val="376"/>
  </w:num>
  <w:num w:numId="406">
    <w:abstractNumId w:val="347"/>
  </w:num>
  <w:num w:numId="407">
    <w:abstractNumId w:val="25"/>
  </w:num>
  <w:num w:numId="408">
    <w:abstractNumId w:val="312"/>
  </w:num>
  <w:num w:numId="409">
    <w:abstractNumId w:val="316"/>
  </w:num>
  <w:num w:numId="410">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YWQxMzYyYTY3MDllZTljMzU3NzZiNjU5NjJjOTEifQ=="/>
  </w:docVars>
  <w:rsids>
    <w:rsidRoot w:val="78105573"/>
    <w:rsid w:val="026D3223"/>
    <w:rsid w:val="041B280B"/>
    <w:rsid w:val="093920B1"/>
    <w:rsid w:val="12E82452"/>
    <w:rsid w:val="1C76287C"/>
    <w:rsid w:val="1EAA764F"/>
    <w:rsid w:val="1F5B3E27"/>
    <w:rsid w:val="205D00D7"/>
    <w:rsid w:val="21235D21"/>
    <w:rsid w:val="21EF45B9"/>
    <w:rsid w:val="26AD1D89"/>
    <w:rsid w:val="2CFC55D7"/>
    <w:rsid w:val="39CB0253"/>
    <w:rsid w:val="3C495460"/>
    <w:rsid w:val="45046BCE"/>
    <w:rsid w:val="50463D38"/>
    <w:rsid w:val="53C74B09"/>
    <w:rsid w:val="552A59D6"/>
    <w:rsid w:val="58BC1FB7"/>
    <w:rsid w:val="62F343BB"/>
    <w:rsid w:val="6620419A"/>
    <w:rsid w:val="68C3305E"/>
    <w:rsid w:val="73B452D9"/>
    <w:rsid w:val="7810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afterLines="0"/>
    </w:pPr>
  </w:style>
  <w:style w:type="paragraph" w:styleId="5">
    <w:name w:val="toc 2"/>
    <w:basedOn w:val="1"/>
    <w:next w:val="1"/>
    <w:uiPriority w:val="0"/>
    <w:pPr>
      <w:ind w:left="420" w:leftChars="200"/>
    </w:pPr>
  </w:style>
  <w:style w:type="paragraph" w:styleId="6">
    <w:name w:val="Body Text Indent"/>
    <w:basedOn w:val="1"/>
    <w:next w:val="1"/>
    <w:uiPriority w:val="0"/>
    <w:pPr>
      <w:spacing w:line="200" w:lineRule="exact"/>
      <w:ind w:firstLine="301"/>
    </w:pPr>
    <w:rPr>
      <w:sz w:val="24"/>
      <w:szCs w:val="20"/>
    </w:rPr>
  </w:style>
  <w:style w:type="paragraph" w:styleId="7">
    <w:name w:val="Plain Text"/>
    <w:basedOn w:val="1"/>
    <w:next w:val="1"/>
    <w:qFormat/>
    <w:uiPriority w:val="0"/>
    <w:pPr>
      <w:spacing w:before="156" w:beforeLines="50" w:after="156" w:afterLines="50" w:line="400" w:lineRule="exact"/>
    </w:pPr>
    <w:rPr>
      <w:rFonts w:hint="eastAsia" w:ascii="宋体" w:hAnsi="Courier New" w:eastAsia="宋体"/>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4"/>
    <w:basedOn w:val="1"/>
    <w:next w:val="1"/>
    <w:qFormat/>
    <w:uiPriority w:val="0"/>
    <w:pPr>
      <w:ind w:left="630"/>
      <w:jc w:val="left"/>
    </w:pPr>
    <w:rPr>
      <w:sz w:val="18"/>
      <w:szCs w:val="18"/>
    </w:rPr>
  </w:style>
  <w:style w:type="paragraph" w:styleId="11">
    <w:name w:val="Normal (Web)"/>
    <w:basedOn w:val="1"/>
    <w:qFormat/>
    <w:uiPriority w:val="99"/>
    <w:pPr>
      <w:widowControl/>
      <w:spacing w:before="100" w:beforeLines="0" w:beforeAutospacing="1" w:after="100" w:afterLines="0" w:afterAutospacing="1"/>
      <w:jc w:val="left"/>
    </w:pPr>
    <w:rPr>
      <w:kern w:val="0"/>
      <w:sz w:val="24"/>
    </w:rPr>
  </w:style>
  <w:style w:type="paragraph" w:styleId="12">
    <w:name w:val="Body Text First Indent"/>
    <w:basedOn w:val="4"/>
    <w:next w:val="1"/>
    <w:qFormat/>
    <w:uiPriority w:val="99"/>
    <w:pPr>
      <w:ind w:firstLine="420" w:firstLineChars="1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01"/>
    <w:basedOn w:val="15"/>
    <w:qFormat/>
    <w:uiPriority w:val="0"/>
    <w:rPr>
      <w:rFonts w:hint="eastAsia" w:ascii="宋体" w:hAnsi="宋体" w:eastAsia="宋体" w:cs="宋体"/>
      <w:color w:val="000000"/>
      <w:sz w:val="22"/>
      <w:szCs w:val="22"/>
      <w:u w:val="none"/>
    </w:rPr>
  </w:style>
  <w:style w:type="paragraph" w:styleId="17">
    <w:name w:val="List Paragraph"/>
    <w:basedOn w:val="1"/>
    <w:qFormat/>
    <w:uiPriority w:val="0"/>
    <w:pPr>
      <w:ind w:firstLine="420" w:firstLineChars="200"/>
    </w:pPr>
  </w:style>
  <w:style w:type="paragraph" w:customStyle="1" w:styleId="18">
    <w:name w:val="正文2"/>
    <w:basedOn w:val="1"/>
    <w:qFormat/>
    <w:uiPriority w:val="0"/>
    <w:pPr>
      <w:spacing w:before="156" w:beforeLines="0" w:line="360" w:lineRule="auto"/>
      <w:ind w:firstLine="51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278</Pages>
  <Words>235090</Words>
  <Characters>242966</Characters>
  <Lines>0</Lines>
  <Paragraphs>0</Paragraphs>
  <TotalTime>1</TotalTime>
  <ScaleCrop>false</ScaleCrop>
  <LinksUpToDate>false</LinksUpToDate>
  <CharactersWithSpaces>246110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2024-08-19T08:04:00Z</dcterms:created>
  <dc:creator>小太阳</dc:creator>
  <cp:lastModifiedBy>小太阳</cp:lastModifiedBy>
  <dcterms:modified xsi:type="dcterms:W3CDTF">2024-10-09T08:18:18Z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E630EA17A7D441C2AB5648419E5AECF6_11</vt:lpwstr>
  </property>
</Properties>
</file>