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b w:val="0"/>
          <w:sz w:val="48"/>
          <w:szCs w:val="48"/>
        </w:rPr>
      </w:pPr>
    </w:p>
    <w:p>
      <w:pPr>
        <w:adjustRightInd/>
        <w:spacing w:line="360" w:lineRule="auto"/>
        <w:jc w:val="center"/>
        <w:rPr>
          <w:rFonts w:hint="eastAsia" w:ascii="宋体" w:hAnsi="宋体" w:cs="宋体"/>
          <w:b w:val="0"/>
          <w:sz w:val="48"/>
          <w:szCs w:val="48"/>
        </w:rPr>
      </w:pPr>
    </w:p>
    <w:p>
      <w:pPr>
        <w:adjustRightInd/>
        <w:spacing w:line="360" w:lineRule="auto"/>
        <w:jc w:val="center"/>
        <w:outlineLvl w:val="0"/>
        <w:rPr>
          <w:rFonts w:hint="eastAsia" w:ascii="宋体" w:hAnsi="宋体" w:eastAsia="宋体" w:cs="宋体"/>
          <w:sz w:val="48"/>
          <w:szCs w:val="48"/>
          <w:lang w:eastAsia="zh-CN"/>
        </w:rPr>
      </w:pPr>
      <w:bookmarkStart w:id="0" w:name="_Toc9393"/>
      <w:bookmarkStart w:id="1" w:name="_Toc19499"/>
      <w:r>
        <w:rPr>
          <w:rFonts w:hint="eastAsia" w:ascii="宋体" w:hAnsi="宋体" w:eastAsia="宋体" w:cs="宋体"/>
          <w:sz w:val="48"/>
          <w:szCs w:val="48"/>
          <w:highlight w:val="none"/>
          <w:lang w:eastAsia="zh-CN"/>
        </w:rPr>
        <w:t>宁海桃源街道综合指挥中心改造及提升</w:t>
      </w:r>
      <w:bookmarkEnd w:id="0"/>
      <w:bookmarkEnd w:id="1"/>
    </w:p>
    <w:p>
      <w:pPr>
        <w:adjustRightInd/>
        <w:spacing w:line="360" w:lineRule="auto"/>
        <w:jc w:val="center"/>
        <w:rPr>
          <w:rFonts w:hint="eastAsia" w:ascii="宋体" w:hAnsi="宋体" w:cs="宋体"/>
          <w:sz w:val="48"/>
          <w:szCs w:val="48"/>
        </w:rPr>
      </w:pPr>
      <w:r>
        <w:rPr>
          <w:rFonts w:hint="eastAsia" w:ascii="宋体" w:hAnsi="宋体" w:eastAsia="宋体" w:cs="宋体"/>
          <w:sz w:val="48"/>
          <w:szCs w:val="48"/>
          <w:highlight w:val="none"/>
          <w:lang w:eastAsia="zh-CN"/>
        </w:rPr>
        <w:t>工程（装修部分）</w:t>
      </w:r>
    </w:p>
    <w:p>
      <w:pPr>
        <w:adjustRightInd/>
        <w:spacing w:line="360" w:lineRule="auto"/>
        <w:jc w:val="center"/>
        <w:outlineLvl w:val="0"/>
        <w:rPr>
          <w:rFonts w:ascii="宋体" w:hAnsi="宋体" w:cs="宋体"/>
          <w:sz w:val="48"/>
          <w:szCs w:val="48"/>
        </w:rPr>
      </w:pPr>
      <w:bookmarkStart w:id="2" w:name="_Toc24968"/>
      <w:bookmarkStart w:id="3" w:name="_Toc3061"/>
      <w:r>
        <w:rPr>
          <w:rFonts w:hint="eastAsia" w:ascii="宋体" w:hAnsi="宋体" w:cs="宋体"/>
          <w:sz w:val="48"/>
          <w:szCs w:val="48"/>
        </w:rPr>
        <w:t>竞争性磋商文件</w:t>
      </w:r>
      <w:bookmarkEnd w:id="2"/>
      <w:bookmarkEnd w:id="3"/>
    </w:p>
    <w:p>
      <w:pPr>
        <w:adjustRightInd/>
        <w:spacing w:line="360" w:lineRule="auto"/>
        <w:jc w:val="center"/>
        <w:outlineLvl w:val="0"/>
        <w:rPr>
          <w:rFonts w:ascii="宋体" w:hAnsi="宋体" w:cs="宋体"/>
          <w:b/>
          <w:sz w:val="44"/>
          <w:szCs w:val="44"/>
        </w:rPr>
      </w:pPr>
      <w:bookmarkStart w:id="4" w:name="_Toc21081"/>
      <w:bookmarkStart w:id="5" w:name="_Toc25504"/>
      <w:r>
        <w:rPr>
          <w:rFonts w:hint="eastAsia" w:ascii="宋体" w:hAnsi="宋体" w:cs="宋体"/>
          <w:b/>
          <w:sz w:val="44"/>
          <w:szCs w:val="44"/>
        </w:rPr>
        <w:t>（电子交易）</w:t>
      </w:r>
      <w:bookmarkEnd w:id="4"/>
      <w:bookmarkEnd w:id="5"/>
    </w:p>
    <w:p>
      <w:pPr>
        <w:snapToGrid w:val="0"/>
        <w:spacing w:line="360" w:lineRule="auto"/>
        <w:jc w:val="center"/>
        <w:rPr>
          <w:rFonts w:ascii="宋体" w:hAnsi="宋体" w:cs="宋体"/>
          <w:sz w:val="30"/>
          <w:szCs w:val="30"/>
        </w:rPr>
      </w:pPr>
      <w:r>
        <w:rPr>
          <w:rFonts w:hint="eastAsia" w:cs="仿宋_GB2312" w:asciiTheme="minorEastAsia" w:hAnsiTheme="minorEastAsia" w:eastAsiaTheme="minorEastAsia"/>
          <w:sz w:val="32"/>
          <w:szCs w:val="32"/>
          <w:highlight w:val="none"/>
        </w:rPr>
        <w:t>编号</w:t>
      </w:r>
      <w:r>
        <w:rPr>
          <w:rFonts w:hint="eastAsia" w:cs="仿宋_GB2312" w:asciiTheme="minorEastAsia" w:hAnsiTheme="minorEastAsia" w:eastAsiaTheme="minorEastAsia"/>
          <w:sz w:val="32"/>
          <w:szCs w:val="32"/>
          <w:highlight w:val="none"/>
          <w:lang w:eastAsia="zh-CN"/>
        </w:rPr>
        <w:t>：WYZB-NH2024-008</w:t>
      </w:r>
    </w:p>
    <w:p>
      <w:pPr>
        <w:adjustRightInd/>
        <w:spacing w:line="360" w:lineRule="auto"/>
        <w:jc w:val="center"/>
        <w:rPr>
          <w:rFonts w:hint="eastAsia" w:ascii="宋体" w:hAnsi="宋体" w:cs="宋体"/>
          <w:sz w:val="48"/>
          <w:szCs w:val="48"/>
        </w:rPr>
      </w:pPr>
    </w:p>
    <w:p>
      <w:pPr>
        <w:adjustRightInd/>
        <w:spacing w:line="360" w:lineRule="auto"/>
        <w:jc w:val="center"/>
        <w:rPr>
          <w:rFonts w:hint="eastAsia" w:ascii="宋体" w:hAnsi="宋体" w:cs="宋体"/>
          <w:b w:val="0"/>
          <w:sz w:val="48"/>
          <w:szCs w:val="48"/>
        </w:rPr>
      </w:pPr>
    </w:p>
    <w:p>
      <w:pPr>
        <w:adjustRightInd/>
        <w:spacing w:line="360" w:lineRule="auto"/>
        <w:jc w:val="center"/>
        <w:rPr>
          <w:rFonts w:hint="eastAsia" w:ascii="宋体" w:hAnsi="宋体" w:cs="宋体"/>
          <w:sz w:val="48"/>
          <w:szCs w:val="48"/>
        </w:rPr>
      </w:pPr>
    </w:p>
    <w:p>
      <w:pPr>
        <w:adjustRightInd/>
        <w:spacing w:line="360" w:lineRule="auto"/>
        <w:jc w:val="center"/>
        <w:rPr>
          <w:rFonts w:hint="eastAsia" w:ascii="宋体" w:hAnsi="宋体" w:eastAsia="宋体" w:cs="宋体"/>
          <w:sz w:val="48"/>
          <w:szCs w:val="48"/>
        </w:rPr>
      </w:pPr>
    </w:p>
    <w:p>
      <w:pPr>
        <w:adjustRightInd/>
        <w:spacing w:line="360" w:lineRule="auto"/>
        <w:jc w:val="center"/>
        <w:rPr>
          <w:rFonts w:hint="eastAsia" w:ascii="宋体" w:hAnsi="宋体" w:cs="宋体"/>
          <w:sz w:val="48"/>
          <w:szCs w:val="48"/>
        </w:rPr>
      </w:pPr>
    </w:p>
    <w:p>
      <w:pPr>
        <w:snapToGrid w:val="0"/>
        <w:spacing w:line="480" w:lineRule="auto"/>
        <w:jc w:val="center"/>
        <w:rPr>
          <w:rFonts w:hint="eastAsia" w:cs="仿宋_GB2312" w:asciiTheme="minorEastAsia" w:hAnsiTheme="minorEastAsia" w:eastAsiaTheme="minorEastAsia"/>
          <w:sz w:val="32"/>
          <w:szCs w:val="32"/>
          <w:highlight w:val="none"/>
          <w:lang w:eastAsia="zh-CN"/>
        </w:rPr>
      </w:pPr>
      <w:r>
        <w:rPr>
          <w:rFonts w:hint="eastAsia" w:cs="仿宋_GB2312" w:asciiTheme="minorEastAsia" w:hAnsiTheme="minorEastAsia" w:eastAsiaTheme="minorEastAsia"/>
          <w:sz w:val="32"/>
          <w:szCs w:val="32"/>
          <w:highlight w:val="none"/>
        </w:rPr>
        <w:t>采购人：</w:t>
      </w:r>
      <w:r>
        <w:rPr>
          <w:rFonts w:hint="eastAsia" w:cs="仿宋_GB2312" w:asciiTheme="minorEastAsia" w:hAnsiTheme="minorEastAsia" w:eastAsiaTheme="minorEastAsia"/>
          <w:sz w:val="32"/>
          <w:szCs w:val="32"/>
          <w:highlight w:val="none"/>
          <w:lang w:eastAsia="zh-CN"/>
        </w:rPr>
        <w:t>宁海县人民政府桃源街道办事处</w:t>
      </w:r>
    </w:p>
    <w:p>
      <w:pPr>
        <w:spacing w:line="480" w:lineRule="auto"/>
        <w:jc w:val="center"/>
        <w:rPr>
          <w:rFonts w:hint="eastAsia" w:cs="仿宋_GB2312" w:asciiTheme="minorEastAsia" w:hAnsiTheme="minorEastAsia" w:eastAsiaTheme="minorEastAsia"/>
          <w:bCs/>
          <w:sz w:val="32"/>
          <w:szCs w:val="32"/>
          <w:highlight w:val="none"/>
          <w:lang w:eastAsia="zh-CN"/>
        </w:rPr>
      </w:pPr>
      <w:bookmarkStart w:id="6" w:name="_Toc7448"/>
      <w:r>
        <w:rPr>
          <w:rFonts w:hint="eastAsia" w:cs="仿宋_GB2312" w:asciiTheme="minorEastAsia" w:hAnsiTheme="minorEastAsia" w:eastAsiaTheme="minorEastAsia"/>
          <w:bCs/>
          <w:sz w:val="32"/>
          <w:szCs w:val="32"/>
          <w:highlight w:val="none"/>
        </w:rPr>
        <w:t>采购代理机构：</w:t>
      </w:r>
      <w:bookmarkEnd w:id="6"/>
      <w:r>
        <w:rPr>
          <w:rFonts w:hint="eastAsia" w:cs="仿宋_GB2312" w:asciiTheme="minorEastAsia" w:hAnsiTheme="minorEastAsia" w:eastAsiaTheme="minorEastAsia"/>
          <w:bCs/>
          <w:sz w:val="32"/>
          <w:szCs w:val="32"/>
          <w:highlight w:val="none"/>
          <w:lang w:eastAsia="zh-CN"/>
        </w:rPr>
        <w:t>宁波威远工程造价咨询有限公司</w:t>
      </w:r>
    </w:p>
    <w:p>
      <w:pPr>
        <w:snapToGrid w:val="0"/>
        <w:spacing w:line="480" w:lineRule="auto"/>
        <w:jc w:val="center"/>
        <w:rPr>
          <w:rFonts w:cs="仿宋_GB2312" w:asciiTheme="minorEastAsia" w:hAnsiTheme="minorEastAsia" w:eastAsiaTheme="minorEastAsia"/>
          <w:bCs/>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cs="仿宋_GB2312" w:asciiTheme="minorEastAsia" w:hAnsiTheme="minorEastAsia" w:eastAsiaTheme="minorEastAsia"/>
          <w:bCs/>
          <w:sz w:val="32"/>
          <w:szCs w:val="32"/>
          <w:highlight w:val="none"/>
        </w:rPr>
        <w:t>月</w:t>
      </w:r>
    </w:p>
    <w:p>
      <w:pPr>
        <w:snapToGrid w:val="0"/>
        <w:spacing w:line="360" w:lineRule="auto"/>
        <w:jc w:val="center"/>
        <w:rPr>
          <w:rFonts w:ascii="宋体" w:hAnsi="宋体" w:cs="宋体"/>
          <w:sz w:val="24"/>
        </w:rPr>
      </w:pPr>
      <w:r>
        <w:rPr>
          <w:rFonts w:hint="eastAsia" w:ascii="宋体" w:hAnsi="宋体" w:cs="宋体"/>
          <w:sz w:val="24"/>
        </w:rPr>
        <w:br w:type="page"/>
      </w:r>
      <w:bookmarkStart w:id="7" w:name="_Hlt67893495"/>
      <w:bookmarkEnd w:id="7"/>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sdt>
      <w:sdtPr>
        <w:rPr>
          <w:rFonts w:ascii="宋体" w:hAnsi="宋体" w:eastAsia="宋体" w:cs="Times New Roman"/>
          <w:kern w:val="2"/>
          <w:sz w:val="21"/>
          <w:szCs w:val="24"/>
          <w:lang w:val="en-US" w:eastAsia="zh-CN" w:bidi="ar-SA"/>
        </w:rPr>
        <w:id w:val="14745632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outlineLvl w:val="0"/>
          </w:pPr>
        </w:p>
        <w:p>
          <w:pPr>
            <w:pStyle w:val="45"/>
            <w:tabs>
              <w:tab w:val="right" w:leader="dot" w:pos="9014"/>
            </w:tabs>
          </w:pPr>
          <w:r>
            <w:fldChar w:fldCharType="begin"/>
          </w:r>
          <w:r>
            <w:instrText xml:space="preserve">TOC \o "1-1" \h \u </w:instrText>
          </w:r>
          <w:r>
            <w:fldChar w:fldCharType="separate"/>
          </w:r>
        </w:p>
        <w:p>
          <w:pPr>
            <w:pStyle w:val="45"/>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_Toc12254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第一部分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_Toc12254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5"/>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_Toc13281 </w:instrText>
          </w:r>
          <w:r>
            <w:rPr>
              <w:rFonts w:hint="eastAsia" w:ascii="宋体" w:hAnsi="宋体" w:eastAsia="宋体" w:cs="宋体"/>
              <w:sz w:val="32"/>
              <w:szCs w:val="32"/>
            </w:rPr>
            <w:fldChar w:fldCharType="separate"/>
          </w:r>
          <w:r>
            <w:rPr>
              <w:rFonts w:hint="eastAsia" w:ascii="宋体" w:hAnsi="宋体" w:eastAsia="宋体" w:cs="宋体"/>
              <w:snapToGrid/>
              <w:sz w:val="32"/>
              <w:szCs w:val="32"/>
            </w:rPr>
            <w:t xml:space="preserve">第二部分 </w:t>
          </w:r>
          <w:r>
            <w:rPr>
              <w:rFonts w:hint="eastAsia" w:ascii="宋体" w:hAnsi="宋体" w:eastAsia="宋体" w:cs="宋体"/>
              <w:snapToGrid/>
              <w:sz w:val="32"/>
              <w:szCs w:val="32"/>
              <w:lang w:val="en-US" w:eastAsia="zh-CN"/>
            </w:rPr>
            <w:t xml:space="preserve"> </w:t>
          </w:r>
          <w:r>
            <w:rPr>
              <w:rFonts w:hint="eastAsia" w:ascii="宋体" w:hAnsi="宋体" w:eastAsia="宋体" w:cs="宋体"/>
              <w:snapToGrid/>
              <w:sz w:val="32"/>
              <w:szCs w:val="32"/>
            </w:rPr>
            <w:t>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_Toc13281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5"/>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_Toc26987 </w:instrText>
          </w:r>
          <w:r>
            <w:rPr>
              <w:rFonts w:hint="eastAsia" w:ascii="宋体" w:hAnsi="宋体" w:eastAsia="宋体" w:cs="宋体"/>
              <w:sz w:val="32"/>
              <w:szCs w:val="32"/>
            </w:rPr>
            <w:fldChar w:fldCharType="separate"/>
          </w:r>
          <w:r>
            <w:rPr>
              <w:rFonts w:hint="eastAsia" w:ascii="宋体" w:hAnsi="宋体" w:eastAsia="宋体" w:cs="宋体"/>
              <w:snapToGrid/>
              <w:sz w:val="32"/>
              <w:szCs w:val="32"/>
            </w:rPr>
            <w:t xml:space="preserve">第三部分 </w:t>
          </w:r>
          <w:r>
            <w:rPr>
              <w:rFonts w:hint="eastAsia" w:ascii="宋体" w:hAnsi="宋体" w:eastAsia="宋体" w:cs="宋体"/>
              <w:snapToGrid/>
              <w:sz w:val="32"/>
              <w:szCs w:val="32"/>
              <w:lang w:val="en-US" w:eastAsia="zh-CN"/>
            </w:rPr>
            <w:t xml:space="preserve"> </w:t>
          </w:r>
          <w:r>
            <w:rPr>
              <w:rFonts w:hint="eastAsia" w:ascii="宋体" w:hAnsi="宋体" w:eastAsia="宋体" w:cs="宋体"/>
              <w:snapToGrid/>
              <w:sz w:val="32"/>
              <w:szCs w:val="32"/>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_Toc26987 \h </w:instrText>
          </w:r>
          <w:r>
            <w:rPr>
              <w:rFonts w:hint="eastAsia" w:ascii="宋体" w:hAnsi="宋体" w:eastAsia="宋体" w:cs="宋体"/>
              <w:sz w:val="32"/>
              <w:szCs w:val="32"/>
            </w:rPr>
            <w:fldChar w:fldCharType="separate"/>
          </w:r>
          <w:r>
            <w:rPr>
              <w:rFonts w:hint="eastAsia" w:ascii="宋体" w:hAnsi="宋体" w:eastAsia="宋体" w:cs="宋体"/>
              <w:sz w:val="32"/>
              <w:szCs w:val="32"/>
            </w:rPr>
            <w:t>22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5"/>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_Toc5724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第四部分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评审办法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_Toc5724 \h </w:instrText>
          </w:r>
          <w:r>
            <w:rPr>
              <w:rFonts w:hint="eastAsia" w:ascii="宋体" w:hAnsi="宋体" w:eastAsia="宋体" w:cs="宋体"/>
              <w:sz w:val="32"/>
              <w:szCs w:val="32"/>
            </w:rPr>
            <w:fldChar w:fldCharType="separate"/>
          </w:r>
          <w:r>
            <w:rPr>
              <w:rFonts w:hint="eastAsia" w:ascii="宋体" w:hAnsi="宋体" w:eastAsia="宋体" w:cs="宋体"/>
              <w:sz w:val="32"/>
              <w:szCs w:val="32"/>
            </w:rPr>
            <w:t>42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5"/>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_Toc26894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第五部分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_Toc26894 \h </w:instrText>
          </w:r>
          <w:r>
            <w:rPr>
              <w:rFonts w:hint="eastAsia" w:ascii="宋体" w:hAnsi="宋体" w:eastAsia="宋体" w:cs="宋体"/>
              <w:sz w:val="32"/>
              <w:szCs w:val="32"/>
            </w:rPr>
            <w:fldChar w:fldCharType="separate"/>
          </w:r>
          <w:r>
            <w:rPr>
              <w:rFonts w:hint="eastAsia" w:ascii="宋体" w:hAnsi="宋体" w:eastAsia="宋体" w:cs="宋体"/>
              <w:sz w:val="32"/>
              <w:szCs w:val="32"/>
            </w:rPr>
            <w:t>54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5"/>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_Toc16395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第六部分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_Toc16395 \h </w:instrText>
          </w:r>
          <w:r>
            <w:rPr>
              <w:rFonts w:hint="eastAsia" w:ascii="宋体" w:hAnsi="宋体" w:eastAsia="宋体" w:cs="宋体"/>
              <w:sz w:val="32"/>
              <w:szCs w:val="32"/>
            </w:rPr>
            <w:fldChar w:fldCharType="separate"/>
          </w:r>
          <w:r>
            <w:rPr>
              <w:rFonts w:hint="eastAsia" w:ascii="宋体" w:hAnsi="宋体" w:eastAsia="宋体" w:cs="宋体"/>
              <w:sz w:val="32"/>
              <w:szCs w:val="32"/>
            </w:rPr>
            <w:t>79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r>
            <w:fldChar w:fldCharType="end"/>
          </w:r>
        </w:p>
      </w:sdtContent>
    </w:sdt>
    <w:p>
      <w:pPr>
        <w:spacing w:line="360" w:lineRule="auto"/>
        <w:ind w:firstLine="1280" w:firstLineChars="400"/>
        <w:outlineLvl w:val="0"/>
        <w:rPr>
          <w:rFonts w:ascii="宋体" w:hAnsi="宋体" w:cs="宋体"/>
          <w:sz w:val="32"/>
          <w:szCs w:val="32"/>
        </w:rPr>
      </w:pP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8" w:name="_Hlt91233176"/>
      <w:bookmarkEnd w:id="8"/>
      <w:bookmarkStart w:id="9"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9"/>
    <w:p>
      <w:pPr>
        <w:adjustRightInd/>
        <w:spacing w:line="360" w:lineRule="auto"/>
        <w:jc w:val="center"/>
        <w:outlineLvl w:val="0"/>
        <w:rPr>
          <w:rFonts w:hint="eastAsia" w:ascii="宋体" w:hAnsi="宋体" w:cs="宋体"/>
          <w:b/>
          <w:sz w:val="36"/>
          <w:szCs w:val="20"/>
        </w:rPr>
        <w:sectPr>
          <w:footerReference r:id="rId3" w:type="even"/>
          <w:pgSz w:w="11905" w:h="16838"/>
          <w:pgMar w:top="1134" w:right="1304" w:bottom="1134" w:left="1304" w:header="850" w:footer="850" w:gutter="283"/>
          <w:cols w:space="0" w:num="1"/>
          <w:titlePg/>
          <w:rtlGutter w:val="0"/>
          <w:docGrid w:linePitch="312" w:charSpace="0"/>
        </w:sectPr>
      </w:pPr>
      <w:bookmarkStart w:id="10" w:name="_Hlt74729822"/>
      <w:bookmarkEnd w:id="10"/>
      <w:bookmarkStart w:id="11" w:name="_Hlt74649545"/>
      <w:bookmarkEnd w:id="11"/>
      <w:bookmarkStart w:id="12" w:name="_Hlt74728647"/>
      <w:bookmarkEnd w:id="12"/>
      <w:bookmarkStart w:id="13" w:name="_Hlt74707423"/>
      <w:bookmarkEnd w:id="13"/>
      <w:bookmarkStart w:id="14" w:name="_Toc12254"/>
      <w:bookmarkStart w:id="15" w:name="第二部分"/>
      <w:bookmarkStart w:id="16" w:name="_Toc91899870"/>
      <w:bookmarkStart w:id="17"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竞争性磋商公告</w:t>
      </w:r>
      <w:bookmarkEnd w:id="14"/>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宁海桃源街道综合指挥中心改造及提升工程（装修部分）</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 月 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一、项目基本情况</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WYZB-NH2024-008</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宁海桃源街道综合指挥中心改造及提升工程（装修部分）</w:t>
      </w:r>
    </w:p>
    <w:p>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Theme="minorEastAsia" w:hAnsiTheme="minorEastAsia" w:eastAsiaTheme="minorEastAsia"/>
          <w:bCs/>
          <w:sz w:val="24"/>
          <w:highlight w:val="none"/>
          <w:lang w:eastAsia="zh-CN"/>
        </w:rPr>
        <w:t>1121577</w:t>
      </w:r>
    </w:p>
    <w:p>
      <w:pPr>
        <w:snapToGrid w:val="0"/>
        <w:spacing w:line="360" w:lineRule="auto"/>
        <w:ind w:firstLine="482" w:firstLineChars="200"/>
        <w:rPr>
          <w:rFonts w:hint="default" w:ascii="宋体" w:hAnsi="宋体" w:cs="宋体"/>
          <w:sz w:val="24"/>
          <w:lang w:val="en-US"/>
        </w:rPr>
      </w:pPr>
      <w:r>
        <w:rPr>
          <w:rFonts w:hint="eastAsia" w:ascii="宋体" w:hAnsi="宋体" w:cs="宋体"/>
          <w:b/>
          <w:sz w:val="24"/>
        </w:rPr>
        <w:t>最高限价（元）：</w:t>
      </w:r>
      <w:r>
        <w:rPr>
          <w:rFonts w:hint="eastAsia" w:asciiTheme="minorEastAsia" w:hAnsiTheme="minorEastAsia" w:eastAsiaTheme="minorEastAsia"/>
          <w:bCs/>
          <w:sz w:val="24"/>
          <w:highlight w:val="none"/>
          <w:lang w:val="en-US" w:eastAsia="zh-CN"/>
        </w:rPr>
        <w:t>1075968</w:t>
      </w:r>
    </w:p>
    <w:p>
      <w:pPr>
        <w:pStyle w:val="6"/>
        <w:spacing w:line="360" w:lineRule="auto"/>
        <w:ind w:firstLine="482" w:firstLineChars="200"/>
        <w:rPr>
          <w:rFonts w:hint="eastAsia" w:hAnsi="宋体" w:cs="宋体"/>
          <w:b/>
          <w:color w:val="auto"/>
          <w:sz w:val="24"/>
        </w:rPr>
      </w:pPr>
      <w:r>
        <w:rPr>
          <w:rFonts w:hint="eastAsia" w:hAnsi="宋体" w:cs="宋体"/>
          <w:b/>
          <w:color w:val="auto"/>
          <w:sz w:val="24"/>
        </w:rPr>
        <w:t>采购需求：</w:t>
      </w:r>
    </w:p>
    <w:p>
      <w:pPr>
        <w:pStyle w:val="6"/>
        <w:spacing w:line="360" w:lineRule="auto"/>
        <w:ind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标项名称：</w:t>
      </w:r>
      <w:r>
        <w:rPr>
          <w:rFonts w:hint="eastAsia" w:ascii="宋体" w:hAnsi="宋体" w:cs="宋体"/>
          <w:sz w:val="24"/>
          <w:lang w:eastAsia="zh-CN"/>
        </w:rPr>
        <w:t>宁海桃源街道综合指挥中心改造及提升工程（装修部分）</w:t>
      </w:r>
    </w:p>
    <w:p>
      <w:pPr>
        <w:pStyle w:val="6"/>
        <w:spacing w:line="360" w:lineRule="auto"/>
        <w:ind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数量：1</w:t>
      </w:r>
    </w:p>
    <w:p>
      <w:pPr>
        <w:pStyle w:val="6"/>
        <w:spacing w:line="360" w:lineRule="auto"/>
        <w:ind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预算金额（元）：</w:t>
      </w:r>
      <w:r>
        <w:rPr>
          <w:rFonts w:hint="eastAsia" w:asciiTheme="minorEastAsia" w:hAnsiTheme="minorEastAsia" w:eastAsiaTheme="minorEastAsia"/>
          <w:bCs/>
          <w:sz w:val="24"/>
          <w:highlight w:val="none"/>
          <w:lang w:eastAsia="zh-CN"/>
        </w:rPr>
        <w:t>1121577</w:t>
      </w:r>
      <w:r>
        <w:rPr>
          <w:rFonts w:hint="eastAsia" w:ascii="宋体" w:hAnsi="宋体" w:eastAsia="宋体" w:cs="宋体"/>
          <w:snapToGrid/>
          <w:color w:val="auto"/>
          <w:kern w:val="2"/>
          <w:sz w:val="24"/>
          <w:szCs w:val="24"/>
          <w:lang w:val="en-US" w:eastAsia="zh-CN" w:bidi="ar-SA"/>
        </w:rPr>
        <w:t>元</w:t>
      </w:r>
    </w:p>
    <w:p>
      <w:pPr>
        <w:pStyle w:val="6"/>
        <w:spacing w:line="360" w:lineRule="auto"/>
        <w:ind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单位：批</w:t>
      </w:r>
    </w:p>
    <w:p>
      <w:pPr>
        <w:pStyle w:val="6"/>
        <w:spacing w:line="360" w:lineRule="auto"/>
        <w:ind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color w:val="auto"/>
          <w:kern w:val="0"/>
          <w:sz w:val="24"/>
          <w:szCs w:val="24"/>
          <w:lang w:eastAsia="zh-CN"/>
        </w:rPr>
        <w:t>简要规格描述或项目基本概况介绍、用途：</w:t>
      </w:r>
      <w:r>
        <w:rPr>
          <w:rFonts w:hint="eastAsia" w:ascii="宋体" w:hAnsi="宋体" w:eastAsia="宋体" w:cs="宋体"/>
          <w:snapToGrid/>
          <w:color w:val="auto"/>
          <w:kern w:val="2"/>
          <w:sz w:val="24"/>
          <w:szCs w:val="24"/>
          <w:lang w:val="en-US" w:eastAsia="zh-CN" w:bidi="ar-SA"/>
        </w:rPr>
        <w:t>图纸范围内宁海桃源街道综合指挥中心的装修，包括精装修、水电安装等，详见采购文件第三部分采购需求。</w:t>
      </w:r>
    </w:p>
    <w:p>
      <w:pPr>
        <w:pStyle w:val="6"/>
        <w:spacing w:line="360" w:lineRule="auto"/>
        <w:ind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备注：无</w:t>
      </w:r>
    </w:p>
    <w:p>
      <w:pPr>
        <w:pStyle w:val="131"/>
        <w:snapToGrid w:val="0"/>
        <w:spacing w:before="0"/>
        <w:ind w:firstLine="482"/>
        <w:outlineLvl w:val="2"/>
        <w:rPr>
          <w:rFonts w:hint="default" w:ascii="宋体" w:hAnsi="宋体" w:eastAsia="宋体" w:cs="宋体"/>
          <w:snapToGrid/>
          <w:color w:val="auto"/>
          <w:kern w:val="2"/>
          <w:sz w:val="24"/>
          <w:szCs w:val="24"/>
          <w:lang w:val="en-US" w:eastAsia="zh-CN" w:bidi="ar-SA"/>
        </w:rPr>
      </w:pPr>
      <w:r>
        <w:rPr>
          <w:rFonts w:hint="eastAsia" w:ascii="宋体" w:hAnsi="宋体" w:cs="宋体"/>
          <w:b/>
        </w:rPr>
        <w:t>合同履约期限：</w:t>
      </w:r>
      <w:r>
        <w:rPr>
          <w:rFonts w:hint="eastAsia" w:ascii="宋体" w:hAnsi="宋体" w:cs="宋体"/>
          <w:color w:val="000000" w:themeColor="text1"/>
          <w:sz w:val="24"/>
          <w:szCs w:val="24"/>
          <w:highlight w:val="none"/>
          <w:lang w:val="en-US" w:eastAsia="zh-CN"/>
          <w14:textFill>
            <w14:solidFill>
              <w14:schemeClr w14:val="tx1"/>
            </w14:solidFill>
          </w14:textFill>
        </w:rPr>
        <w:t>合同签订后7日内开工，</w:t>
      </w:r>
      <w:r>
        <w:rPr>
          <w:rFonts w:hint="eastAsia" w:ascii="宋体" w:hAnsi="宋体" w:eastAsia="宋体" w:cs="宋体"/>
          <w:snapToGrid/>
          <w:color w:val="auto"/>
          <w:kern w:val="2"/>
          <w:sz w:val="24"/>
          <w:szCs w:val="24"/>
          <w:lang w:val="en-US" w:eastAsia="zh-CN" w:bidi="ar-SA"/>
        </w:rPr>
        <w:t>施工工期60日历天</w:t>
      </w:r>
      <w:r>
        <w:rPr>
          <w:rFonts w:hint="eastAsia" w:ascii="宋体" w:hAnsi="宋体" w:cs="宋体"/>
          <w:snapToGrid/>
          <w:color w:val="auto"/>
          <w:kern w:val="2"/>
          <w:sz w:val="24"/>
          <w:szCs w:val="24"/>
          <w:lang w:val="en-US" w:eastAsia="zh-CN" w:bidi="ar-SA"/>
        </w:rPr>
        <w:t>。</w:t>
      </w:r>
    </w:p>
    <w:p>
      <w:pPr>
        <w:pStyle w:val="6"/>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6"/>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8" w:name="_Hlk101132948"/>
      <w:r>
        <w:rPr>
          <w:rFonts w:hint="eastAsia" w:ascii="宋体" w:hAnsi="宋体" w:cs="宋体"/>
          <w:b/>
          <w:sz w:val="24"/>
        </w:rPr>
        <w:t>申请人的资格要求</w:t>
      </w:r>
      <w:bookmarkEnd w:id="18"/>
      <w:r>
        <w:rPr>
          <w:rFonts w:hint="eastAsia" w:ascii="宋体" w:hAnsi="宋体" w:cs="宋体"/>
          <w:b/>
          <w:sz w:val="24"/>
        </w:rPr>
        <w:t>：</w:t>
      </w:r>
    </w:p>
    <w:p>
      <w:pPr>
        <w:spacing w:line="360" w:lineRule="auto"/>
        <w:ind w:firstLine="480"/>
        <w:rPr>
          <w:rFonts w:hint="eastAsia" w:ascii="宋体" w:hAnsi="宋体" w:eastAsia="宋体" w:cs="宋体"/>
          <w:snapToGrid w:val="0"/>
          <w:kern w:val="28"/>
          <w:sz w:val="24"/>
          <w:szCs w:val="20"/>
          <w:lang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kern w:val="28"/>
          <w:sz w:val="24"/>
          <w:szCs w:val="20"/>
          <w:lang w:eastAsia="zh-CN"/>
        </w:rPr>
        <w:t>。</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 xml:space="preserve"> </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9"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z w:val="24"/>
          <w:lang w:val="en-US" w:eastAsia="zh-CN"/>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9"/>
    <w:p>
      <w:pPr>
        <w:spacing w:line="360" w:lineRule="auto"/>
        <w:ind w:firstLine="480" w:firstLineChars="200"/>
        <w:rPr>
          <w:rFonts w:hint="eastAsia" w:ascii="宋体" w:hAnsi="宋体" w:eastAsia="宋体" w:cs="宋体"/>
          <w:sz w:val="24"/>
          <w:lang w:eastAsia="zh-CN"/>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z w:val="24"/>
          <w:lang w:eastAsia="zh-CN"/>
        </w:rPr>
        <w:t>；</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lang w:eastAsia="zh-CN"/>
        </w:rPr>
        <w:t>。</w:t>
      </w:r>
    </w:p>
    <w:p>
      <w:pPr>
        <w:numPr>
          <w:ilvl w:val="0"/>
          <w:numId w:val="1"/>
        </w:numPr>
        <w:spacing w:line="360" w:lineRule="auto"/>
        <w:ind w:firstLine="514" w:firstLineChars="200"/>
        <w:rPr>
          <w:rFonts w:hint="eastAsia" w:ascii="宋体" w:hAnsi="宋体" w:eastAsia="宋体" w:cs="宋体"/>
          <w:b/>
          <w:bCs/>
          <w:spacing w:val="8"/>
          <w:kern w:val="0"/>
          <w:sz w:val="24"/>
          <w:lang w:val="en-US" w:eastAsia="zh-CN"/>
        </w:rPr>
      </w:pPr>
      <w:r>
        <w:rPr>
          <w:rFonts w:hint="eastAsia" w:ascii="宋体" w:hAnsi="宋体" w:eastAsia="宋体" w:cs="宋体"/>
          <w:b/>
          <w:bCs/>
          <w:spacing w:val="8"/>
          <w:kern w:val="0"/>
          <w:sz w:val="24"/>
        </w:rPr>
        <w:t>本项目的特定资格要求：</w:t>
      </w:r>
      <w:r>
        <w:rPr>
          <w:rFonts w:hint="eastAsia" w:ascii="宋体" w:hAnsi="宋体" w:eastAsia="宋体" w:cs="宋体"/>
          <w:b/>
          <w:bCs/>
          <w:spacing w:val="8"/>
          <w:kern w:val="0"/>
          <w:sz w:val="24"/>
          <w:lang w:eastAsia="zh-CN"/>
        </w:rPr>
        <w:t>（</w:t>
      </w:r>
      <w:r>
        <w:rPr>
          <w:rFonts w:hint="eastAsia" w:ascii="宋体" w:hAnsi="宋体" w:eastAsia="宋体" w:cs="宋体"/>
          <w:b/>
          <w:bCs/>
          <w:spacing w:val="8"/>
          <w:kern w:val="0"/>
          <w:sz w:val="24"/>
          <w:lang w:val="en-US" w:eastAsia="zh-CN"/>
        </w:rPr>
        <w:t>1</w:t>
      </w:r>
      <w:r>
        <w:rPr>
          <w:rFonts w:hint="eastAsia" w:ascii="宋体" w:hAnsi="宋体" w:eastAsia="宋体" w:cs="宋体"/>
          <w:b/>
          <w:bCs/>
          <w:spacing w:val="8"/>
          <w:kern w:val="0"/>
          <w:sz w:val="24"/>
          <w:lang w:eastAsia="zh-CN"/>
        </w:rPr>
        <w:t>）</w:t>
      </w:r>
      <w:r>
        <w:rPr>
          <w:rFonts w:hint="eastAsia" w:ascii="宋体" w:hAnsi="宋体" w:eastAsia="宋体" w:cs="宋体"/>
          <w:b/>
          <w:bCs/>
          <w:spacing w:val="8"/>
          <w:kern w:val="0"/>
          <w:sz w:val="24"/>
          <w:lang w:val="en-US" w:eastAsia="zh-CN"/>
        </w:rPr>
        <w:t>供应商</w:t>
      </w:r>
      <w:r>
        <w:rPr>
          <w:rFonts w:hint="eastAsia" w:ascii="宋体" w:hAnsi="宋体" w:eastAsia="宋体" w:cs="宋体"/>
          <w:b/>
          <w:bCs/>
          <w:spacing w:val="8"/>
          <w:kern w:val="0"/>
          <w:sz w:val="24"/>
        </w:rPr>
        <w:t>须具备</w:t>
      </w:r>
      <w:r>
        <w:rPr>
          <w:rFonts w:hint="eastAsia" w:ascii="宋体" w:hAnsi="宋体" w:eastAsia="宋体" w:cs="宋体"/>
          <w:b/>
          <w:bCs/>
          <w:spacing w:val="8"/>
          <w:kern w:val="0"/>
          <w:sz w:val="24"/>
          <w:lang w:eastAsia="zh-CN"/>
        </w:rPr>
        <w:t>建筑装修装饰工程专业承包二级及以上资质，</w:t>
      </w:r>
      <w:r>
        <w:rPr>
          <w:rFonts w:hint="eastAsia" w:ascii="宋体" w:hAnsi="宋体" w:eastAsia="宋体" w:cs="宋体"/>
          <w:b/>
          <w:bCs/>
          <w:spacing w:val="8"/>
          <w:kern w:val="0"/>
          <w:sz w:val="24"/>
          <w:lang w:val="en-US" w:eastAsia="zh-CN"/>
        </w:rPr>
        <w:t>且具有</w:t>
      </w:r>
      <w:r>
        <w:rPr>
          <w:rFonts w:hint="eastAsia" w:ascii="宋体" w:hAnsi="宋体" w:eastAsia="宋体" w:cs="宋体"/>
          <w:b/>
          <w:bCs/>
          <w:spacing w:val="8"/>
          <w:kern w:val="0"/>
          <w:sz w:val="24"/>
        </w:rPr>
        <w:t>有效的建筑施工企业安全生产许可证</w:t>
      </w:r>
      <w:r>
        <w:rPr>
          <w:rFonts w:hint="eastAsia" w:ascii="宋体" w:hAnsi="宋体" w:eastAsia="宋体" w:cs="宋体"/>
          <w:b/>
          <w:bCs/>
          <w:spacing w:val="8"/>
          <w:kern w:val="0"/>
          <w:sz w:val="24"/>
          <w:lang w:eastAsia="zh-CN"/>
        </w:rPr>
        <w:t>；（</w:t>
      </w:r>
      <w:r>
        <w:rPr>
          <w:rFonts w:hint="eastAsia" w:ascii="宋体" w:hAnsi="宋体" w:eastAsia="宋体" w:cs="宋体"/>
          <w:b/>
          <w:bCs/>
          <w:spacing w:val="8"/>
          <w:kern w:val="0"/>
          <w:sz w:val="24"/>
          <w:lang w:val="en-US" w:eastAsia="zh-CN"/>
        </w:rPr>
        <w:t>2</w:t>
      </w:r>
      <w:r>
        <w:rPr>
          <w:rFonts w:hint="eastAsia" w:ascii="宋体" w:hAnsi="宋体" w:eastAsia="宋体" w:cs="宋体"/>
          <w:b/>
          <w:bCs/>
          <w:spacing w:val="8"/>
          <w:kern w:val="0"/>
          <w:sz w:val="24"/>
          <w:lang w:eastAsia="zh-CN"/>
        </w:rPr>
        <w:t>）</w:t>
      </w:r>
      <w:r>
        <w:rPr>
          <w:rFonts w:hint="eastAsia" w:ascii="宋体" w:hAnsi="宋体" w:eastAsia="宋体" w:cs="宋体"/>
          <w:b/>
          <w:bCs/>
          <w:spacing w:val="8"/>
          <w:kern w:val="0"/>
          <w:sz w:val="24"/>
          <w:lang w:val="en-US" w:eastAsia="zh-CN"/>
        </w:rPr>
        <w:t>供应商</w:t>
      </w:r>
      <w:r>
        <w:rPr>
          <w:rFonts w:hint="eastAsia" w:ascii="宋体" w:hAnsi="宋体" w:cs="宋体"/>
          <w:b/>
          <w:bCs/>
          <w:spacing w:val="8"/>
          <w:kern w:val="0"/>
          <w:sz w:val="24"/>
          <w:lang w:val="en-US" w:eastAsia="zh-CN"/>
        </w:rPr>
        <w:t>须</w:t>
      </w:r>
      <w:r>
        <w:rPr>
          <w:rFonts w:hint="eastAsia" w:ascii="宋体" w:hAnsi="宋体" w:eastAsia="宋体" w:cs="宋体"/>
          <w:b/>
          <w:bCs/>
          <w:spacing w:val="8"/>
          <w:kern w:val="0"/>
          <w:sz w:val="24"/>
          <w:lang w:val="en-US" w:eastAsia="zh-CN"/>
        </w:rPr>
        <w:t>拟派项目负责人1名，项目负责人要求具备</w:t>
      </w:r>
      <w:r>
        <w:rPr>
          <w:rFonts w:hint="eastAsia" w:ascii="宋体" w:hAnsi="宋体" w:eastAsia="宋体" w:cs="宋体"/>
          <w:b/>
          <w:bCs/>
          <w:spacing w:val="8"/>
          <w:kern w:val="0"/>
          <w:sz w:val="24"/>
          <w:lang w:eastAsia="zh-CN"/>
        </w:rPr>
        <w:t>建筑工程</w:t>
      </w:r>
      <w:r>
        <w:rPr>
          <w:rFonts w:hint="eastAsia" w:ascii="宋体" w:hAnsi="宋体" w:eastAsia="宋体" w:cs="宋体"/>
          <w:b/>
          <w:bCs/>
          <w:spacing w:val="8"/>
          <w:kern w:val="0"/>
          <w:sz w:val="24"/>
        </w:rPr>
        <w:t>专业二级及以上(不含临时)建造师注册证书并取得《项目负责人安全生产考核合格证书》</w:t>
      </w:r>
      <w:r>
        <w:rPr>
          <w:rFonts w:hint="eastAsia" w:ascii="宋体" w:hAnsi="宋体" w:eastAsia="宋体" w:cs="宋体"/>
          <w:b/>
          <w:bCs/>
          <w:spacing w:val="8"/>
          <w:kern w:val="0"/>
          <w:sz w:val="24"/>
          <w:lang w:eastAsia="zh-CN"/>
        </w:rPr>
        <w:t>。</w:t>
      </w:r>
    </w:p>
    <w:p>
      <w:pPr>
        <w:numPr>
          <w:ilvl w:val="0"/>
          <w:numId w:val="1"/>
        </w:numPr>
        <w:snapToGrid w:val="0"/>
        <w:spacing w:line="360" w:lineRule="auto"/>
        <w:ind w:left="0" w:leftChars="0"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numPr>
          <w:ilvl w:val="0"/>
          <w:numId w:val="0"/>
        </w:numPr>
        <w:snapToGrid w:val="0"/>
        <w:spacing w:line="360" w:lineRule="auto"/>
        <w:ind w:firstLine="480" w:firstLineChars="200"/>
        <w:rPr>
          <w:rFonts w:ascii="宋体" w:hAnsi="宋体" w:cs="宋体"/>
          <w:sz w:val="24"/>
        </w:rPr>
      </w:pPr>
      <w:r>
        <w:rPr>
          <w:rFonts w:hint="eastAsia" w:ascii="宋体" w:hAnsi="宋体" w:eastAsia="宋体" w:cs="宋体"/>
          <w:kern w:val="2"/>
          <w:sz w:val="24"/>
          <w:szCs w:val="24"/>
          <w:lang w:val="en-US" w:eastAsia="zh-CN" w:bidi="ar-SA"/>
        </w:rPr>
        <w:t>6.</w:t>
      </w:r>
      <w:r>
        <w:rPr>
          <w:rFonts w:hint="eastAsia" w:cs="宋体" w:asciiTheme="minorEastAsia" w:hAnsiTheme="minorEastAsia" w:eastAsiaTheme="minorEastAsia"/>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spacing w:line="360" w:lineRule="auto"/>
        <w:rPr>
          <w:rFonts w:ascii="宋体" w:hAnsi="宋体" w:cs="宋体"/>
          <w:b/>
          <w:sz w:val="24"/>
        </w:rPr>
      </w:pPr>
      <w:r>
        <w:rPr>
          <w:rFonts w:hint="eastAsia" w:ascii="宋体" w:hAnsi="宋体" w:cs="宋体"/>
          <w:b/>
          <w:sz w:val="24"/>
        </w:rPr>
        <w:t>三、获取采购文件</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 xml:space="preserve">年 </w:t>
      </w:r>
      <w:r>
        <w:rPr>
          <w:rFonts w:hint="eastAsia" w:ascii="宋体" w:hAnsi="宋体" w:cs="宋体"/>
          <w:sz w:val="24"/>
          <w:u w:val="single"/>
          <w:lang w:val="en-US" w:eastAsia="zh-CN"/>
        </w:rPr>
        <w:t xml:space="preserve"> </w:t>
      </w:r>
      <w:r>
        <w:rPr>
          <w:rFonts w:hint="eastAsia" w:ascii="宋体" w:hAnsi="宋体" w:cs="宋体"/>
          <w:sz w:val="24"/>
          <w:u w:val="single"/>
        </w:rPr>
        <w:t xml:space="preserve">月 </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 xml:space="preserve">年 </w:t>
      </w:r>
      <w:r>
        <w:rPr>
          <w:rFonts w:hint="eastAsia" w:ascii="宋体" w:hAnsi="宋体" w:cs="宋体"/>
          <w:sz w:val="24"/>
          <w:u w:val="single"/>
          <w:lang w:val="en-US" w:eastAsia="zh-CN"/>
        </w:rPr>
        <w:t xml:space="preserve"> </w:t>
      </w:r>
      <w:r>
        <w:rPr>
          <w:rFonts w:hint="eastAsia" w:ascii="宋体" w:hAnsi="宋体" w:cs="宋体"/>
          <w:sz w:val="24"/>
          <w:u w:val="single"/>
        </w:rPr>
        <w:t xml:space="preserve">月 </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r>
        <w:rPr>
          <w:rFonts w:hint="eastAsia" w:ascii="宋体" w:hAnsi="宋体" w:cs="宋体"/>
          <w:sz w:val="24"/>
          <w:lang w:eastAsia="zh-CN"/>
        </w:rPr>
        <w:t>。</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地点（网址）：</w:t>
      </w:r>
      <w:r>
        <w:rPr>
          <w:rFonts w:hint="eastAsia" w:ascii="宋体" w:hAnsi="宋体" w:cs="宋体"/>
          <w:sz w:val="24"/>
        </w:rPr>
        <w:t>政采云平台（https://www.zcygov.cn/）</w:t>
      </w:r>
      <w:r>
        <w:rPr>
          <w:rFonts w:hint="eastAsia" w:ascii="宋体" w:hAnsi="宋体" w:cs="宋体"/>
          <w:sz w:val="24"/>
          <w:lang w:eastAsia="zh-CN"/>
        </w:rPr>
        <w:t>。</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w:t>
      </w:r>
      <w:r>
        <w:rPr>
          <w:rFonts w:hint="eastAsia" w:ascii="宋体" w:hAnsi="宋体" w:cs="宋体"/>
          <w:sz w:val="24"/>
          <w:lang w:eastAsia="zh-CN"/>
        </w:rPr>
        <w:t>（</w:t>
      </w:r>
      <w:r>
        <w:rPr>
          <w:rFonts w:hint="eastAsia" w:ascii="宋体" w:hAnsi="宋体" w:cs="宋体"/>
          <w:sz w:val="24"/>
        </w:rPr>
        <w:t>https://www.zcygov.cn/</w:t>
      </w:r>
      <w:r>
        <w:rPr>
          <w:rFonts w:hint="eastAsia" w:ascii="宋体" w:hAnsi="宋体" w:cs="宋体"/>
          <w:sz w:val="24"/>
          <w:lang w:eastAsia="zh-CN"/>
        </w:rPr>
        <w:t>）</w:t>
      </w:r>
      <w:r>
        <w:rPr>
          <w:rFonts w:hint="eastAsia" w:ascii="宋体" w:hAnsi="宋体" w:cs="宋体"/>
          <w:sz w:val="24"/>
        </w:rPr>
        <w:t>在线申请获取采购文件（进入“项目采购”应用，在获取采购文件菜单中选择项目，申请获取采购文件）。</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 xml:space="preserve">4 </w:t>
      </w:r>
      <w:r>
        <w:rPr>
          <w:rFonts w:hint="eastAsia" w:ascii="宋体" w:hAnsi="宋体" w:cs="宋体"/>
          <w:sz w:val="24"/>
          <w:u w:val="single"/>
        </w:rPr>
        <w:t>年 月</w:t>
      </w:r>
      <w:r>
        <w:rPr>
          <w:rFonts w:hint="eastAsia" w:ascii="宋体" w:hAnsi="宋体" w:cs="宋体"/>
          <w:sz w:val="24"/>
          <w:u w:val="single"/>
          <w:lang w:val="en-US" w:eastAsia="zh-CN"/>
        </w:rPr>
        <w:t xml:space="preserve"> </w:t>
      </w:r>
      <w:r>
        <w:rPr>
          <w:rFonts w:hint="eastAsia" w:ascii="宋体" w:hAnsi="宋体" w:cs="宋体"/>
          <w:sz w:val="24"/>
          <w:u w:val="single"/>
        </w:rPr>
        <w:t xml:space="preserve"> 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lang w:val="en-US" w:eastAsia="zh-CN"/>
        </w:rPr>
        <w:t>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五、响应文件开启</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 xml:space="preserve">年 </w:t>
      </w:r>
      <w:r>
        <w:rPr>
          <w:rFonts w:hint="eastAsia" w:ascii="宋体" w:hAnsi="宋体" w:cs="宋体"/>
          <w:sz w:val="24"/>
          <w:u w:val="single"/>
          <w:lang w:val="en-US" w:eastAsia="zh-CN"/>
        </w:rPr>
        <w:t xml:space="preserve"> </w:t>
      </w:r>
      <w:r>
        <w:rPr>
          <w:rFonts w:hint="eastAsia" w:ascii="宋体" w:hAnsi="宋体" w:cs="宋体"/>
          <w:sz w:val="24"/>
          <w:u w:val="single"/>
        </w:rPr>
        <w:t xml:space="preserve">月 </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lang w:val="en-US" w:eastAsia="zh-CN"/>
        </w:rPr>
        <w:t>00秒</w:t>
      </w:r>
      <w:r>
        <w:rPr>
          <w:rFonts w:hint="eastAsia" w:ascii="宋体" w:hAnsi="宋体" w:cs="宋体"/>
          <w:sz w:val="24"/>
        </w:rPr>
        <w:t>（北京时间）</w:t>
      </w:r>
    </w:p>
    <w:p>
      <w:pPr>
        <w:spacing w:line="360" w:lineRule="auto"/>
        <w:ind w:firstLine="482" w:firstLineChars="200"/>
        <w:rPr>
          <w:rFonts w:hint="eastAsia" w:ascii="宋体" w:hAnsi="宋体" w:cs="宋体"/>
          <w:b/>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六、公告期限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.其他事项：</w:t>
      </w:r>
    </w:p>
    <w:p>
      <w:pPr>
        <w:snapToGrid w:val="0"/>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（1）需要落实的政府采购政策：包括节约资源、保护环境、支持创新、促进中小企业发展等。详见采购文件的第二部分总则。</w:t>
      </w:r>
    </w:p>
    <w:p>
      <w:pPr>
        <w:snapToGrid w:val="0"/>
        <w:spacing w:line="360" w:lineRule="auto"/>
        <w:ind w:firstLine="480" w:firstLineChars="200"/>
        <w:rPr>
          <w:rFonts w:hint="eastAsia" w:ascii="宋体" w:hAnsi="宋体" w:cs="宋体"/>
          <w:sz w:val="24"/>
        </w:rPr>
      </w:pPr>
      <w:r>
        <w:rPr>
          <w:rFonts w:hint="eastAsia" w:ascii="宋体" w:hAnsi="宋体" w:cs="宋体"/>
          <w:sz w:val="24"/>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w:t>
      </w:r>
      <w:r>
        <w:rPr>
          <w:rFonts w:hint="eastAsia" w:ascii="宋体" w:hAnsi="宋体" w:cs="宋体"/>
          <w:sz w:val="24"/>
          <w:lang w:eastAsia="zh-CN"/>
        </w:rPr>
        <w:t>；</w:t>
      </w:r>
      <w:r>
        <w:rPr>
          <w:rFonts w:hint="eastAsia" w:ascii="宋体" w:hAnsi="宋体" w:cs="宋体"/>
          <w:sz w:val="24"/>
        </w:rPr>
        <w:t>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hint="eastAsia" w:ascii="宋体" w:hAnsi="宋体" w:cs="宋体"/>
          <w:sz w:val="24"/>
        </w:rPr>
      </w:pPr>
      <w:r>
        <w:rPr>
          <w:rFonts w:hint="eastAsia" w:ascii="宋体" w:hAnsi="宋体" w:cs="宋体"/>
          <w:sz w:val="24"/>
        </w:rPr>
        <w:t>（3）采购文件公告期限与竞争性磋商公告的公告期限一致。</w:t>
      </w:r>
    </w:p>
    <w:p>
      <w:pPr>
        <w:snapToGrid w:val="0"/>
        <w:spacing w:line="360" w:lineRule="auto"/>
        <w:ind w:firstLine="480" w:firstLineChars="200"/>
        <w:rPr>
          <w:rFonts w:hint="eastAsia" w:ascii="宋体" w:hAnsi="宋体" w:cs="宋体"/>
          <w:sz w:val="24"/>
        </w:rPr>
      </w:pPr>
      <w:r>
        <w:rPr>
          <w:rFonts w:hint="eastAsia" w:ascii="宋体" w:hAnsi="宋体" w:cs="宋体"/>
          <w:sz w:val="24"/>
        </w:rPr>
        <w:t>（4）本招标公告中二、申请人的资格要求：第一条中的“重大税收违法案件当事人名单”即为“重大税收违法失信主体”。</w:t>
      </w:r>
    </w:p>
    <w:p>
      <w:pPr>
        <w:snapToGrid w:val="0"/>
        <w:spacing w:line="360" w:lineRule="auto"/>
        <w:ind w:firstLine="480" w:firstLineChars="200"/>
        <w:rPr>
          <w:rFonts w:ascii="宋体" w:hAnsi="宋体" w:cs="宋体"/>
          <w:sz w:val="24"/>
        </w:rPr>
      </w:pPr>
      <w:r>
        <w:rPr>
          <w:rFonts w:hint="eastAsia" w:cs="宋体" w:asciiTheme="minorEastAsia" w:hAnsiTheme="minorEastAsia" w:eastAsiaTheme="minorEastAsia"/>
          <w:sz w:val="24"/>
        </w:rPr>
        <w:t>（5）本公告发布媒体：浙江政府采购网（www.zjzfcg.gov.cn）、宁波政府采购(www.nbzfcg.cn)、宁波公共资源交易电子服务系统。</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宁海县人民政府桃源街道办事处</w:t>
      </w:r>
    </w:p>
    <w:p>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cs="Times New Roman" w:asciiTheme="minorEastAsia" w:hAnsiTheme="minorEastAsia" w:eastAsiaTheme="minorEastAsia"/>
          <w:sz w:val="24"/>
          <w:highlight w:val="none"/>
          <w:lang w:eastAsia="zh-CN"/>
        </w:rPr>
        <w:t>宁波市宁海县科二路189号</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传    真： /</w:t>
      </w:r>
      <w:r>
        <w:rPr>
          <w:rFonts w:hint="eastAsia" w:ascii="宋体" w:hAnsi="宋体" w:cs="宋体"/>
          <w:sz w:val="24"/>
          <w:lang w:val="en-US" w:eastAsia="zh-CN"/>
        </w:rPr>
        <w:t xml:space="preserve"> </w:t>
      </w:r>
    </w:p>
    <w:p>
      <w:pPr>
        <w:spacing w:line="360" w:lineRule="auto"/>
        <w:ind w:firstLine="480" w:firstLineChars="200"/>
        <w:rPr>
          <w:rFonts w:hint="eastAsia" w:cs="Times New Roman" w:asciiTheme="minorEastAsia" w:hAnsiTheme="minorEastAsia" w:eastAsiaTheme="minorEastAsia"/>
          <w:sz w:val="24"/>
          <w:highlight w:val="none"/>
          <w:lang w:eastAsia="zh-CN"/>
        </w:rPr>
      </w:pPr>
      <w:r>
        <w:rPr>
          <w:rFonts w:hint="eastAsia" w:cs="Times New Roman" w:asciiTheme="minorEastAsia" w:hAnsiTheme="minorEastAsia" w:eastAsiaTheme="minorEastAsia"/>
          <w:sz w:val="24"/>
          <w:highlight w:val="none"/>
        </w:rPr>
        <w:t>项目联系人（询问）：</w:t>
      </w:r>
      <w:r>
        <w:rPr>
          <w:rFonts w:hint="eastAsia" w:cs="Times New Roman" w:asciiTheme="minorEastAsia" w:hAnsiTheme="minorEastAsia" w:eastAsiaTheme="minorEastAsia"/>
          <w:sz w:val="24"/>
          <w:highlight w:val="none"/>
          <w:lang w:eastAsia="zh-CN"/>
        </w:rPr>
        <w:t>祝老师</w:t>
      </w:r>
    </w:p>
    <w:p>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项目联系方式（询问）：</w:t>
      </w:r>
      <w:r>
        <w:rPr>
          <w:rFonts w:hint="eastAsia" w:cs="Times New Roman" w:asciiTheme="minorEastAsia" w:hAnsiTheme="minorEastAsia" w:eastAsiaTheme="minorEastAsia"/>
          <w:sz w:val="24"/>
          <w:highlight w:val="none"/>
          <w:lang w:eastAsia="zh-CN"/>
        </w:rPr>
        <w:t>0574-65336017</w:t>
      </w:r>
    </w:p>
    <w:p>
      <w:pPr>
        <w:spacing w:line="360" w:lineRule="auto"/>
        <w:ind w:firstLine="480" w:firstLineChars="200"/>
        <w:rPr>
          <w:rFonts w:hint="eastAsia" w:cs="Times New Roman" w:asciiTheme="minorEastAsia" w:hAnsiTheme="minorEastAsia" w:eastAsiaTheme="minorEastAsia"/>
          <w:sz w:val="24"/>
          <w:highlight w:val="none"/>
          <w:lang w:eastAsia="zh-CN"/>
        </w:rPr>
      </w:pPr>
      <w:r>
        <w:rPr>
          <w:rFonts w:hint="eastAsia" w:cs="Times New Roman" w:asciiTheme="minorEastAsia" w:hAnsiTheme="minorEastAsia" w:eastAsiaTheme="minorEastAsia"/>
          <w:sz w:val="24"/>
          <w:highlight w:val="none"/>
        </w:rPr>
        <w:t>质疑联系人：</w:t>
      </w:r>
      <w:r>
        <w:rPr>
          <w:rFonts w:hint="eastAsia" w:cs="Times New Roman" w:asciiTheme="minorEastAsia" w:hAnsiTheme="minorEastAsia" w:eastAsiaTheme="minorEastAsia"/>
          <w:sz w:val="24"/>
          <w:highlight w:val="none"/>
          <w:lang w:eastAsia="zh-CN"/>
        </w:rPr>
        <w:t>蔡老师</w:t>
      </w:r>
    </w:p>
    <w:p>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质疑联系方式：</w:t>
      </w:r>
      <w:r>
        <w:rPr>
          <w:rFonts w:hint="eastAsia" w:cs="Times New Roman" w:asciiTheme="minorEastAsia" w:hAnsiTheme="minorEastAsia" w:eastAsiaTheme="minorEastAsia"/>
          <w:sz w:val="24"/>
          <w:highlight w:val="none"/>
          <w:lang w:val="en-US" w:eastAsia="zh-CN"/>
        </w:rPr>
        <w:t>0574-65336012</w:t>
      </w:r>
    </w:p>
    <w:p>
      <w:pPr>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cs="Times New Roman" w:asciiTheme="minorEastAsia" w:hAnsiTheme="minorEastAsia" w:eastAsiaTheme="minorEastAsia"/>
          <w:sz w:val="24"/>
          <w:highlight w:val="none"/>
          <w:lang w:eastAsia="zh-CN"/>
        </w:rPr>
        <w:t>宁波威远工程造价咨询有限公司</w:t>
      </w:r>
    </w:p>
    <w:p>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cs="Times New Roman" w:asciiTheme="minorEastAsia" w:hAnsiTheme="minorEastAsia" w:eastAsiaTheme="minorEastAsia"/>
          <w:sz w:val="24"/>
          <w:highlight w:val="none"/>
          <w:lang w:eastAsia="zh-CN"/>
        </w:rPr>
        <w:t>宁海县兴工三路73号二楼</w:t>
      </w:r>
    </w:p>
    <w:p>
      <w:pPr>
        <w:snapToGrid w:val="0"/>
        <w:spacing w:line="360" w:lineRule="auto"/>
        <w:ind w:firstLine="480" w:firstLineChars="200"/>
        <w:rPr>
          <w:rFonts w:ascii="宋体" w:hAnsi="宋体" w:cs="宋体"/>
          <w:sz w:val="24"/>
        </w:rPr>
      </w:pPr>
      <w:r>
        <w:rPr>
          <w:rFonts w:hint="eastAsia" w:ascii="宋体" w:hAnsi="宋体" w:cs="宋体"/>
          <w:sz w:val="24"/>
        </w:rPr>
        <w:t>传    真： /</w:t>
      </w:r>
      <w:r>
        <w:rPr>
          <w:rFonts w:hint="eastAsia" w:ascii="宋体" w:hAnsi="宋体" w:cs="宋体"/>
          <w:sz w:val="24"/>
          <w:lang w:val="en-US" w:eastAsia="zh-CN"/>
        </w:rPr>
        <w:t xml:space="preserve"> </w:t>
      </w:r>
    </w:p>
    <w:p>
      <w:pPr>
        <w:spacing w:line="360" w:lineRule="auto"/>
        <w:ind w:firstLine="480" w:firstLineChars="200"/>
        <w:rPr>
          <w:rFonts w:hint="eastAsia" w:cs="Times New Roman" w:asciiTheme="minorEastAsia" w:hAnsiTheme="minorEastAsia" w:eastAsiaTheme="minorEastAsia"/>
          <w:sz w:val="24"/>
          <w:highlight w:val="none"/>
          <w:lang w:eastAsia="zh-CN"/>
        </w:rPr>
      </w:pPr>
      <w:r>
        <w:rPr>
          <w:rFonts w:hint="eastAsia" w:cs="Times New Roman" w:asciiTheme="minorEastAsia" w:hAnsiTheme="minorEastAsia" w:eastAsiaTheme="minorEastAsia"/>
          <w:sz w:val="24"/>
          <w:highlight w:val="none"/>
        </w:rPr>
        <w:t>项目联系人（询问）：</w:t>
      </w:r>
      <w:r>
        <w:rPr>
          <w:rFonts w:hint="eastAsia" w:cs="Times New Roman" w:asciiTheme="minorEastAsia" w:hAnsiTheme="minorEastAsia" w:eastAsiaTheme="minorEastAsia"/>
          <w:sz w:val="24"/>
          <w:highlight w:val="none"/>
          <w:lang w:eastAsia="zh-CN"/>
        </w:rPr>
        <w:t>周莹莹</w:t>
      </w:r>
    </w:p>
    <w:p>
      <w:pPr>
        <w:spacing w:line="360" w:lineRule="auto"/>
        <w:ind w:firstLine="480" w:firstLineChars="200"/>
        <w:rPr>
          <w:rFonts w:hint="eastAsia" w:cs="Times New Roman" w:asciiTheme="minorEastAsia" w:hAnsiTheme="minorEastAsia" w:eastAsiaTheme="minorEastAsia"/>
          <w:sz w:val="24"/>
          <w:highlight w:val="none"/>
          <w:lang w:eastAsia="zh-CN"/>
        </w:rPr>
      </w:pPr>
      <w:r>
        <w:rPr>
          <w:rFonts w:hint="eastAsia" w:cs="Times New Roman" w:asciiTheme="minorEastAsia" w:hAnsiTheme="minorEastAsia" w:eastAsiaTheme="minorEastAsia"/>
          <w:sz w:val="24"/>
          <w:highlight w:val="none"/>
        </w:rPr>
        <w:t>项目联系方式（询问）：</w:t>
      </w:r>
      <w:r>
        <w:rPr>
          <w:rFonts w:hint="eastAsia" w:cs="Times New Roman" w:asciiTheme="minorEastAsia" w:hAnsiTheme="minorEastAsia" w:eastAsiaTheme="minorEastAsia"/>
          <w:sz w:val="24"/>
          <w:highlight w:val="none"/>
          <w:lang w:eastAsia="zh-CN"/>
        </w:rPr>
        <w:t>0574-65323595</w:t>
      </w:r>
    </w:p>
    <w:p>
      <w:pPr>
        <w:spacing w:line="360" w:lineRule="auto"/>
        <w:ind w:firstLine="480" w:firstLineChars="200"/>
        <w:rPr>
          <w:rFonts w:hint="eastAsia" w:cs="Times New Roman" w:asciiTheme="minorEastAsia" w:hAnsiTheme="minorEastAsia" w:eastAsiaTheme="minorEastAsia"/>
          <w:sz w:val="24"/>
          <w:highlight w:val="none"/>
          <w:lang w:eastAsia="zh-CN"/>
        </w:rPr>
      </w:pPr>
      <w:r>
        <w:rPr>
          <w:rFonts w:hint="eastAsia" w:cs="Times New Roman" w:asciiTheme="minorEastAsia" w:hAnsiTheme="minorEastAsia" w:eastAsiaTheme="minorEastAsia"/>
          <w:sz w:val="24"/>
          <w:highlight w:val="none"/>
        </w:rPr>
        <w:t>质疑联系人：</w:t>
      </w:r>
      <w:r>
        <w:rPr>
          <w:rFonts w:hint="eastAsia" w:ascii="宋体" w:hAnsi="宋体" w:cs="宋体"/>
          <w:color w:val="000000" w:themeColor="text1"/>
          <w:sz w:val="24"/>
          <w:highlight w:val="none"/>
          <w:lang w:val="en-US" w:eastAsia="zh-CN"/>
          <w14:textFill>
            <w14:solidFill>
              <w14:schemeClr w14:val="tx1"/>
            </w14:solidFill>
          </w14:textFill>
        </w:rPr>
        <w:t>谢晓建</w:t>
      </w:r>
    </w:p>
    <w:p>
      <w:pPr>
        <w:spacing w:line="360" w:lineRule="auto"/>
        <w:ind w:firstLine="480" w:firstLineChars="200"/>
        <w:rPr>
          <w:rFonts w:hint="eastAsia" w:cs="Times New Roman" w:asciiTheme="minorEastAsia" w:hAnsiTheme="minorEastAsia" w:eastAsiaTheme="minorEastAsia"/>
          <w:sz w:val="24"/>
          <w:highlight w:val="none"/>
          <w:lang w:eastAsia="zh-CN"/>
        </w:rPr>
      </w:pPr>
      <w:r>
        <w:rPr>
          <w:rFonts w:hint="eastAsia" w:cs="Times New Roman" w:asciiTheme="minorEastAsia" w:hAnsiTheme="minorEastAsia" w:eastAsiaTheme="minorEastAsia"/>
          <w:sz w:val="24"/>
          <w:highlight w:val="none"/>
        </w:rPr>
        <w:t>质疑联系方式：</w:t>
      </w:r>
      <w:r>
        <w:rPr>
          <w:rFonts w:hint="eastAsia" w:cs="Times New Roman" w:asciiTheme="minorEastAsia" w:hAnsiTheme="minorEastAsia" w:eastAsiaTheme="minorEastAsia"/>
          <w:sz w:val="24"/>
          <w:highlight w:val="none"/>
          <w:lang w:eastAsia="zh-CN"/>
        </w:rPr>
        <w:t>0574-65323595</w:t>
      </w:r>
    </w:p>
    <w:p>
      <w:pPr>
        <w:snapToGrid w:val="0"/>
        <w:spacing w:line="360" w:lineRule="auto"/>
        <w:ind w:firstLine="480" w:firstLineChars="200"/>
        <w:rPr>
          <w:rFonts w:ascii="宋体" w:hAnsi="宋体" w:cs="宋体"/>
          <w:sz w:val="24"/>
        </w:rPr>
      </w:pPr>
      <w:r>
        <w:rPr>
          <w:rFonts w:hint="eastAsia" w:ascii="宋体" w:hAnsi="宋体" w:cs="宋体"/>
          <w:sz w:val="24"/>
        </w:rPr>
        <w:t>3.同级政府采购监督管理部门</w:t>
      </w:r>
    </w:p>
    <w:p>
      <w:pPr>
        <w:spacing w:line="360" w:lineRule="auto"/>
        <w:ind w:firstLine="480" w:firstLineChars="200"/>
        <w:rPr>
          <w:rFonts w:hint="eastAsia" w:ascii="宋体" w:hAnsi="宋体" w:cs="宋体"/>
          <w:sz w:val="24"/>
        </w:rPr>
      </w:pPr>
      <w:r>
        <w:rPr>
          <w:rFonts w:hint="eastAsia" w:ascii="宋体" w:hAnsi="宋体" w:cs="宋体"/>
          <w:sz w:val="24"/>
        </w:rPr>
        <w:t>名    称：</w:t>
      </w:r>
      <w:r>
        <w:rPr>
          <w:rFonts w:hint="eastAsia" w:ascii="宋体" w:hAnsi="宋体" w:eastAsia="宋体" w:cs="宋体"/>
          <w:sz w:val="24"/>
          <w:highlight w:val="none"/>
        </w:rPr>
        <w:t>宁海县政府采购管理办公室</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kern w:val="0"/>
          <w:sz w:val="24"/>
        </w:rPr>
        <w:t>宁海县跃龙街道桃源中路218号</w:t>
      </w:r>
    </w:p>
    <w:p>
      <w:pPr>
        <w:spacing w:line="360" w:lineRule="auto"/>
        <w:ind w:firstLine="480" w:firstLineChars="200"/>
        <w:rPr>
          <w:rFonts w:hint="eastAsia" w:ascii="宋体" w:hAnsi="宋体" w:cs="宋体"/>
          <w:sz w:val="24"/>
        </w:rPr>
      </w:pPr>
      <w:r>
        <w:rPr>
          <w:rFonts w:hint="eastAsia" w:ascii="宋体" w:hAnsi="宋体" w:cs="宋体"/>
          <w:sz w:val="24"/>
        </w:rPr>
        <w:t>传    真：</w:t>
      </w:r>
      <w:r>
        <w:rPr>
          <w:rFonts w:hint="eastAsia" w:ascii="宋体" w:hAnsi="宋体" w:cs="宋体"/>
          <w:kern w:val="0"/>
          <w:sz w:val="24"/>
        </w:rPr>
        <w:t>0574-65265612</w:t>
      </w:r>
    </w:p>
    <w:p>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eastAsia="宋体" w:cs="宋体"/>
          <w:sz w:val="24"/>
          <w:lang w:eastAsia="zh-CN"/>
        </w:rPr>
        <w:t>：</w:t>
      </w:r>
      <w:r>
        <w:rPr>
          <w:rFonts w:hint="eastAsia" w:asciiTheme="minorEastAsia" w:hAnsiTheme="minorEastAsia" w:eastAsiaTheme="minorEastAsia"/>
          <w:sz w:val="24"/>
          <w:highlight w:val="none"/>
        </w:rPr>
        <w:t>王老师</w:t>
      </w:r>
    </w:p>
    <w:p>
      <w:pPr>
        <w:spacing w:line="360" w:lineRule="auto"/>
        <w:ind w:firstLine="480" w:firstLineChars="200"/>
        <w:rPr>
          <w:rFonts w:hint="eastAsia" w:ascii="宋体" w:hAnsi="宋体" w:cs="宋体"/>
          <w:sz w:val="24"/>
        </w:rPr>
      </w:pPr>
      <w:r>
        <w:rPr>
          <w:rFonts w:hint="eastAsia" w:ascii="宋体" w:hAnsi="宋体" w:cs="宋体"/>
          <w:sz w:val="24"/>
        </w:rPr>
        <w:t>监督投诉电话：</w:t>
      </w:r>
      <w:r>
        <w:rPr>
          <w:rFonts w:hint="eastAsia" w:asciiTheme="minorEastAsia" w:hAnsiTheme="minorEastAsia" w:eastAsiaTheme="minorEastAsia"/>
          <w:sz w:val="24"/>
          <w:highlight w:val="none"/>
        </w:rPr>
        <w:t>0574-65265668</w:t>
      </w:r>
    </w:p>
    <w:p>
      <w:pPr>
        <w:snapToGrid w:val="0"/>
        <w:spacing w:line="360" w:lineRule="auto"/>
        <w:ind w:firstLine="0" w:firstLineChars="0"/>
        <w:rPr>
          <w:rFonts w:hint="eastAsia"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pStyle w:val="34"/>
        <w:rPr>
          <w:rFonts w:hint="eastAsia" w:ascii="宋体" w:hAnsi="宋体" w:cs="宋体"/>
          <w:sz w:val="24"/>
        </w:rPr>
      </w:pPr>
    </w:p>
    <w:p>
      <w:pPr>
        <w:pStyle w:val="34"/>
        <w:rPr>
          <w:rFonts w:hint="eastAsia" w:ascii="宋体" w:hAnsi="宋体" w:cs="宋体"/>
          <w:sz w:val="24"/>
        </w:rPr>
        <w:sectPr>
          <w:footerReference r:id="rId6" w:type="first"/>
          <w:footerReference r:id="rId4" w:type="default"/>
          <w:footerReference r:id="rId5" w:type="even"/>
          <w:pgSz w:w="11905" w:h="16838"/>
          <w:pgMar w:top="1134" w:right="1304" w:bottom="1134" w:left="1304" w:header="850" w:footer="850" w:gutter="283"/>
          <w:pgNumType w:fmt="decimal" w:start="1"/>
          <w:cols w:space="0" w:num="1"/>
          <w:titlePg/>
          <w:rtlGutter w:val="0"/>
          <w:docGrid w:linePitch="312" w:charSpace="0"/>
        </w:sectPr>
      </w:pPr>
    </w:p>
    <w:p>
      <w:pPr>
        <w:pStyle w:val="34"/>
        <w:spacing w:line="360" w:lineRule="auto"/>
        <w:jc w:val="center"/>
        <w:outlineLvl w:val="0"/>
        <w:rPr>
          <w:rFonts w:hAnsi="宋体" w:cs="宋体"/>
          <w:b/>
          <w:snapToGrid/>
          <w:sz w:val="36"/>
          <w:szCs w:val="20"/>
        </w:rPr>
      </w:pPr>
      <w:bookmarkStart w:id="20" w:name="_Toc13281"/>
      <w:r>
        <w:rPr>
          <w:rFonts w:hint="eastAsia" w:hAnsi="宋体" w:cs="宋体"/>
          <w:b/>
          <w:snapToGrid/>
          <w:sz w:val="36"/>
          <w:szCs w:val="20"/>
        </w:rPr>
        <w:t>第二部分</w:t>
      </w:r>
      <w:bookmarkEnd w:id="15"/>
      <w:r>
        <w:rPr>
          <w:rFonts w:hint="eastAsia" w:hAnsi="宋体" w:cs="宋体"/>
          <w:b/>
          <w:snapToGrid/>
          <w:sz w:val="36"/>
          <w:szCs w:val="20"/>
        </w:rPr>
        <w:t xml:space="preserve"> 供应商须知</w:t>
      </w:r>
      <w:bookmarkEnd w:id="16"/>
      <w:bookmarkEnd w:id="20"/>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714" w:type="dxa"/>
            <w:vAlign w:val="center"/>
          </w:tcPr>
          <w:p>
            <w:pPr>
              <w:snapToGrid w:val="0"/>
              <w:spacing w:line="360" w:lineRule="exact"/>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exact"/>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exact"/>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360" w:lineRule="exact"/>
              <w:jc w:val="both"/>
              <w:rPr>
                <w:rFonts w:ascii="宋体" w:hAnsi="宋体" w:eastAsia="宋体" w:cs="宋体"/>
                <w:lang w:val="en-US"/>
              </w:rPr>
            </w:pPr>
            <w:r>
              <w:rPr>
                <w:rFonts w:hint="eastAsia" w:ascii="宋体" w:hAnsi="宋体" w:cs="宋体"/>
                <w:kern w:val="0"/>
                <w:sz w:val="24"/>
              </w:rPr>
              <w:t>标的：</w:t>
            </w:r>
            <w:r>
              <w:rPr>
                <w:rFonts w:hint="eastAsia" w:cs="宋体" w:asciiTheme="minorEastAsia" w:hAnsiTheme="minorEastAsia" w:eastAsiaTheme="minorEastAsia"/>
                <w:kern w:val="0"/>
                <w:sz w:val="24"/>
                <w:highlight w:val="none"/>
                <w:u w:val="single"/>
                <w:lang w:eastAsia="zh-CN"/>
              </w:rPr>
              <w:t>宁海桃源街道综合指挥中心改造及提升工程（装修部分）</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r>
              <w:rPr>
                <w:rFonts w:hint="eastAsia" w:ascii="宋体" w:hAnsi="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exac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exact"/>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exact"/>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spacing w:line="360" w:lineRule="exact"/>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lang w:val="en-US" w:eastAsia="zh-CN"/>
              </w:rPr>
              <w:t xml:space="preserve">                       </w:t>
            </w:r>
            <w:r>
              <w:rPr>
                <w:rFonts w:hint="eastAsia" w:ascii="宋体" w:hAnsi="宋体" w:cs="宋体"/>
                <w:sz w:val="24"/>
              </w:rPr>
              <w:t>。</w:t>
            </w:r>
          </w:p>
          <w:p>
            <w:pPr>
              <w:spacing w:line="360" w:lineRule="exact"/>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exact"/>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exact"/>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exact"/>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exact"/>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pPr>
              <w:spacing w:line="360" w:lineRule="exac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exac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exact"/>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spacing w:line="360" w:lineRule="exact"/>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exact"/>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pPr>
              <w:spacing w:line="360" w:lineRule="exact"/>
              <w:rPr>
                <w:rFonts w:ascii="宋体" w:hAnsi="宋体" w:cs="宋体"/>
                <w:sz w:val="24"/>
              </w:rPr>
            </w:pPr>
            <w:r>
              <w:rPr>
                <w:rFonts w:hint="eastAsia" w:ascii="宋体" w:hAnsi="宋体" w:cs="宋体"/>
                <w:sz w:val="24"/>
              </w:rPr>
              <w:t>(6)采购活动结束后，对于未成交供应商提供的样品，采购人、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pPr>
              <w:spacing w:line="360" w:lineRule="exact"/>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exact"/>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exac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exac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exact"/>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pPr>
              <w:snapToGrid w:val="0"/>
              <w:spacing w:line="360" w:lineRule="exact"/>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exact"/>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snapToGrid w:val="0"/>
              <w:spacing w:line="360" w:lineRule="exact"/>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exact"/>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714" w:type="dxa"/>
            <w:vMerge w:val="restart"/>
            <w:vAlign w:val="center"/>
          </w:tcPr>
          <w:p>
            <w:pPr>
              <w:snapToGrid w:val="0"/>
              <w:spacing w:line="360" w:lineRule="exact"/>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exact"/>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exact"/>
              <w:rPr>
                <w:rFonts w:ascii="宋体" w:hAnsi="宋体" w:cs="宋体"/>
                <w:sz w:val="24"/>
              </w:rPr>
            </w:pPr>
            <w:r>
              <w:rPr>
                <w:rFonts w:hint="eastAsia" w:ascii="宋体" w:hAnsi="宋体" w:cs="宋体"/>
                <w:sz w:val="24"/>
              </w:rPr>
              <w:t>（1）资格证明文件：见采购文件第二部分11.1。</w:t>
            </w:r>
          </w:p>
          <w:p>
            <w:pPr>
              <w:spacing w:line="360" w:lineRule="exact"/>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714" w:type="dxa"/>
            <w:vMerge w:val="continue"/>
            <w:vAlign w:val="center"/>
          </w:tcPr>
          <w:p>
            <w:pPr>
              <w:snapToGrid w:val="0"/>
              <w:spacing w:line="360" w:lineRule="exact"/>
              <w:jc w:val="center"/>
              <w:rPr>
                <w:rFonts w:ascii="宋体" w:hAnsi="宋体" w:cs="宋体"/>
                <w:sz w:val="24"/>
              </w:rPr>
            </w:pPr>
          </w:p>
        </w:tc>
        <w:tc>
          <w:tcPr>
            <w:tcW w:w="2093" w:type="dxa"/>
            <w:vMerge w:val="continue"/>
            <w:vAlign w:val="center"/>
          </w:tcPr>
          <w:p>
            <w:pPr>
              <w:snapToGrid w:val="0"/>
              <w:spacing w:line="360" w:lineRule="exact"/>
              <w:jc w:val="center"/>
              <w:rPr>
                <w:rFonts w:ascii="宋体" w:hAnsi="宋体" w:cs="宋体"/>
                <w:b/>
                <w:sz w:val="24"/>
              </w:rPr>
            </w:pPr>
          </w:p>
        </w:tc>
        <w:tc>
          <w:tcPr>
            <w:tcW w:w="6927" w:type="dxa"/>
            <w:vAlign w:val="center"/>
          </w:tcPr>
          <w:p>
            <w:pPr>
              <w:spacing w:line="360" w:lineRule="exact"/>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exact"/>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exact"/>
              <w:jc w:val="center"/>
              <w:rPr>
                <w:rFonts w:ascii="宋体" w:hAnsi="宋体" w:cs="宋体"/>
                <w:b/>
                <w:color w:val="FF0000"/>
                <w:sz w:val="24"/>
              </w:rPr>
            </w:pPr>
            <w:r>
              <w:rPr>
                <w:rFonts w:hint="eastAsia" w:ascii="宋体" w:hAnsi="宋体" w:eastAsia="宋体" w:cs="宋体"/>
                <w:b/>
                <w:sz w:val="24"/>
              </w:rPr>
              <w:t>报价要求</w:t>
            </w:r>
          </w:p>
        </w:tc>
        <w:tc>
          <w:tcPr>
            <w:tcW w:w="6927" w:type="dxa"/>
            <w:vAlign w:val="center"/>
          </w:tcPr>
          <w:p>
            <w:pPr>
              <w:snapToGrid w:val="0"/>
              <w:spacing w:line="360" w:lineRule="exact"/>
              <w:rPr>
                <w:rFonts w:hint="eastAsia" w:ascii="宋体" w:hAnsi="宋体" w:eastAsia="宋体" w:cs="宋体"/>
                <w:b/>
                <w:bCs/>
                <w:kern w:val="0"/>
                <w:sz w:val="24"/>
                <w:lang w:val="zh-CN"/>
              </w:rPr>
            </w:pPr>
            <w:r>
              <w:rPr>
                <w:rFonts w:hint="eastAsia" w:ascii="宋体" w:hAnsi="宋体" w:eastAsia="宋体" w:cs="宋体"/>
                <w:b w:val="0"/>
                <w:bCs w:val="0"/>
                <w:kern w:val="0"/>
                <w:sz w:val="24"/>
                <w:lang w:val="zh-CN"/>
              </w:rPr>
              <w:t>有关本项目实施所需的所有费用（含税费）均计入报价。</w:t>
            </w:r>
            <w:r>
              <w:rPr>
                <w:rFonts w:hint="eastAsia" w:ascii="宋体" w:hAnsi="宋体" w:eastAsia="宋体" w:cs="宋体"/>
                <w:b w:val="0"/>
                <w:bCs w:val="0"/>
                <w:kern w:val="0"/>
                <w:sz w:val="24"/>
              </w:rPr>
              <w:t>报价单是报价的唯一载体</w:t>
            </w:r>
            <w:r>
              <w:rPr>
                <w:rFonts w:hint="eastAsia" w:ascii="宋体" w:hAnsi="宋体" w:eastAsia="宋体" w:cs="宋体"/>
                <w:b w:val="0"/>
                <w:bCs w:val="0"/>
                <w:kern w:val="0"/>
                <w:sz w:val="24"/>
                <w:lang w:val="zh-CN"/>
              </w:rPr>
              <w:t>。响应文件中价格全部采用人民币报价。采购文件未列明，而供应商认为必需的费用也需列入报价。</w:t>
            </w:r>
            <w:r>
              <w:rPr>
                <w:rFonts w:hint="eastAsia" w:ascii="宋体" w:hAnsi="宋体" w:eastAsia="宋体" w:cs="宋体"/>
                <w:b/>
                <w:bCs/>
                <w:kern w:val="0"/>
                <w:sz w:val="24"/>
                <w:lang w:val="zh-CN"/>
              </w:rPr>
              <w:t>提醒：验收时检测费用由采购人承担，不包含在总价中。</w:t>
            </w:r>
          </w:p>
          <w:p>
            <w:pPr>
              <w:snapToGrid w:val="0"/>
              <w:spacing w:line="360" w:lineRule="exact"/>
              <w:rPr>
                <w:rFonts w:hint="eastAsia" w:ascii="宋体" w:hAnsi="宋体" w:eastAsia="宋体" w:cs="宋体"/>
                <w:kern w:val="0"/>
                <w:sz w:val="24"/>
                <w:lang w:val="zh-CN"/>
              </w:rPr>
            </w:pPr>
            <w:r>
              <w:rPr>
                <w:rFonts w:hint="eastAsia" w:ascii="宋体" w:hAnsi="宋体" w:eastAsia="宋体" w:cs="宋体"/>
                <w:kern w:val="0"/>
                <w:sz w:val="24"/>
                <w:lang w:val="zh-CN"/>
              </w:rPr>
              <w:t>本项目投标总价（人民币报价）包括所有招标内容，投标价格包括但不限于设备费、材料费、运输、二次搬运、备品备件、检验检测费、安装调试费、安全生产、文明施工、验收、培训费用、售后服务、招标代理服务费、税、利润、政策性文件规定及合同包含的所有风险、责任等各项应有的费用，即完成招标内容及要求本项目所提供服务涉及的全部费用。</w:t>
            </w:r>
          </w:p>
          <w:p>
            <w:pPr>
              <w:snapToGrid w:val="0"/>
              <w:spacing w:line="360" w:lineRule="exact"/>
              <w:rPr>
                <w:rFonts w:hint="eastAsia" w:ascii="宋体" w:hAnsi="宋体" w:eastAsia="宋体" w:cs="宋体"/>
                <w:b/>
                <w:bCs/>
                <w:kern w:val="0"/>
                <w:sz w:val="24"/>
                <w:lang w:val="zh-CN"/>
              </w:rPr>
            </w:pPr>
            <w:r>
              <w:rPr>
                <w:rFonts w:hint="eastAsia" w:ascii="宋体" w:hAnsi="宋体" w:eastAsia="宋体" w:cs="宋体"/>
                <w:b/>
                <w:bCs/>
                <w:kern w:val="0"/>
                <w:sz w:val="24"/>
                <w:lang w:val="zh-CN"/>
              </w:rPr>
              <w:t>最后报价出现下列情形的，响应文件无效：</w:t>
            </w:r>
          </w:p>
          <w:p>
            <w:pPr>
              <w:snapToGrid w:val="0"/>
              <w:spacing w:line="360" w:lineRule="exact"/>
              <w:rPr>
                <w:rFonts w:hint="eastAsia" w:ascii="宋体" w:hAnsi="宋体" w:eastAsia="宋体" w:cs="宋体"/>
                <w:b/>
                <w:bCs/>
                <w:kern w:val="0"/>
                <w:sz w:val="24"/>
                <w:lang w:val="zh-CN"/>
              </w:rPr>
            </w:pPr>
            <w:r>
              <w:rPr>
                <w:rFonts w:hint="eastAsia" w:ascii="宋体" w:hAnsi="宋体" w:cs="宋体"/>
                <w:b/>
                <w:bCs/>
                <w:kern w:val="0"/>
                <w:sz w:val="24"/>
                <w:lang w:val="zh-CN"/>
              </w:rPr>
              <w:t>（</w:t>
            </w:r>
            <w:r>
              <w:rPr>
                <w:rFonts w:hint="eastAsia" w:ascii="宋体" w:hAnsi="宋体" w:cs="宋体"/>
                <w:b/>
                <w:bCs/>
                <w:kern w:val="0"/>
                <w:sz w:val="24"/>
                <w:lang w:val="en-US" w:eastAsia="zh-CN"/>
              </w:rPr>
              <w:t>1</w:t>
            </w:r>
            <w:r>
              <w:rPr>
                <w:rFonts w:hint="eastAsia" w:ascii="宋体" w:hAnsi="宋体" w:cs="宋体"/>
                <w:b/>
                <w:bCs/>
                <w:kern w:val="0"/>
                <w:sz w:val="24"/>
                <w:lang w:val="zh-CN"/>
              </w:rPr>
              <w:t>）</w:t>
            </w:r>
            <w:r>
              <w:rPr>
                <w:rFonts w:hint="eastAsia" w:ascii="宋体" w:hAnsi="宋体" w:eastAsia="宋体" w:cs="宋体"/>
                <w:b/>
                <w:bCs/>
                <w:kern w:val="0"/>
                <w:sz w:val="24"/>
                <w:lang w:val="zh-CN"/>
              </w:rPr>
              <w:t>响应文件出现不是唯一的、有选择性最后报价的；</w:t>
            </w:r>
          </w:p>
          <w:p>
            <w:pPr>
              <w:snapToGrid w:val="0"/>
              <w:spacing w:line="360" w:lineRule="exact"/>
              <w:rPr>
                <w:rFonts w:hint="eastAsia" w:ascii="宋体" w:hAnsi="宋体" w:eastAsia="宋体" w:cs="宋体"/>
                <w:b/>
                <w:bCs/>
                <w:kern w:val="0"/>
                <w:sz w:val="24"/>
              </w:rPr>
            </w:pPr>
            <w:r>
              <w:rPr>
                <w:rFonts w:hint="eastAsia" w:ascii="宋体" w:hAnsi="宋体" w:cs="宋体"/>
                <w:b/>
                <w:bCs/>
                <w:kern w:val="0"/>
                <w:sz w:val="24"/>
                <w:lang w:val="zh-CN"/>
              </w:rPr>
              <w:t>（</w:t>
            </w:r>
            <w:r>
              <w:rPr>
                <w:rFonts w:hint="eastAsia" w:ascii="宋体" w:hAnsi="宋体" w:cs="宋体"/>
                <w:b/>
                <w:bCs/>
                <w:kern w:val="0"/>
                <w:sz w:val="24"/>
                <w:lang w:val="en-US" w:eastAsia="zh-CN"/>
              </w:rPr>
              <w:t>2</w:t>
            </w:r>
            <w:r>
              <w:rPr>
                <w:rFonts w:hint="eastAsia" w:ascii="宋体" w:hAnsi="宋体" w:cs="宋体"/>
                <w:b/>
                <w:bCs/>
                <w:kern w:val="0"/>
                <w:sz w:val="24"/>
                <w:lang w:val="zh-CN"/>
              </w:rPr>
              <w:t>）</w:t>
            </w:r>
            <w:r>
              <w:rPr>
                <w:rFonts w:hint="eastAsia" w:ascii="宋体" w:hAnsi="宋体" w:eastAsia="宋体" w:cs="宋体"/>
                <w:b/>
                <w:bCs/>
                <w:kern w:val="0"/>
                <w:sz w:val="24"/>
                <w:lang w:val="zh-CN"/>
              </w:rPr>
              <w:t>最后报价超过采购文件中规定的预算金额或者最高限价的；</w:t>
            </w:r>
          </w:p>
          <w:p>
            <w:pPr>
              <w:snapToGrid w:val="0"/>
              <w:spacing w:line="360" w:lineRule="exact"/>
              <w:rPr>
                <w:rFonts w:hint="eastAsia" w:ascii="宋体" w:hAnsi="宋体" w:eastAsia="宋体" w:cs="宋体"/>
                <w:b/>
                <w:bCs/>
                <w:kern w:val="0"/>
                <w:sz w:val="24"/>
                <w:lang w:eastAsia="zh-CN"/>
              </w:rPr>
            </w:pPr>
            <w:r>
              <w:rPr>
                <w:rFonts w:hint="eastAsia" w:ascii="宋体" w:hAnsi="宋体" w:cs="宋体"/>
                <w:b/>
                <w:bCs/>
                <w:kern w:val="0"/>
                <w:sz w:val="24"/>
                <w:lang w:eastAsia="zh-CN"/>
              </w:rPr>
              <w:t>（</w:t>
            </w:r>
            <w:r>
              <w:rPr>
                <w:rFonts w:hint="eastAsia" w:ascii="宋体" w:hAnsi="宋体" w:cs="宋体"/>
                <w:b/>
                <w:bCs/>
                <w:kern w:val="0"/>
                <w:sz w:val="24"/>
                <w:lang w:val="en-US" w:eastAsia="zh-CN"/>
              </w:rPr>
              <w:t>3</w:t>
            </w:r>
            <w:r>
              <w:rPr>
                <w:rFonts w:hint="eastAsia" w:ascii="宋体" w:hAnsi="宋体" w:cs="宋体"/>
                <w:b/>
                <w:bCs/>
                <w:kern w:val="0"/>
                <w:sz w:val="24"/>
                <w:lang w:eastAsia="zh-CN"/>
              </w:rPr>
              <w:t>）</w:t>
            </w:r>
            <w:r>
              <w:rPr>
                <w:rFonts w:hint="eastAsia" w:ascii="宋体" w:hAnsi="宋体" w:eastAsia="宋体" w:cs="宋体"/>
                <w:b/>
                <w:bCs/>
                <w:kern w:val="0"/>
                <w:sz w:val="24"/>
              </w:rPr>
              <w:t>报价明显低于其他通过符合性审查供应商的报价，有可能影响</w:t>
            </w:r>
            <w:r>
              <w:rPr>
                <w:rFonts w:hint="eastAsia" w:ascii="宋体" w:hAnsi="宋体" w:cs="宋体"/>
                <w:b/>
                <w:bCs/>
                <w:kern w:val="0"/>
                <w:sz w:val="24"/>
                <w:lang w:val="en-US" w:eastAsia="zh-CN"/>
              </w:rPr>
              <w:t>工程</w:t>
            </w:r>
            <w:r>
              <w:rPr>
                <w:rFonts w:hint="eastAsia" w:ascii="宋体" w:hAnsi="宋体" w:eastAsia="宋体" w:cs="宋体"/>
                <w:b/>
                <w:bCs/>
                <w:kern w:val="0"/>
                <w:sz w:val="24"/>
              </w:rPr>
              <w:t>质量或者不能诚信履约的，未能按要求提供书面说明或者提交相关证明材料证明其报价合理性的</w:t>
            </w:r>
            <w:r>
              <w:rPr>
                <w:rFonts w:hint="eastAsia" w:ascii="宋体" w:hAnsi="宋体" w:eastAsia="宋体" w:cs="宋体"/>
                <w:b/>
                <w:bCs/>
                <w:kern w:val="0"/>
                <w:sz w:val="24"/>
                <w:lang w:eastAsia="zh-CN"/>
              </w:rPr>
              <w:t>；</w:t>
            </w:r>
          </w:p>
          <w:p>
            <w:pPr>
              <w:snapToGrid w:val="0"/>
              <w:spacing w:line="360" w:lineRule="exact"/>
              <w:rPr>
                <w:rFonts w:ascii="宋体" w:hAnsi="宋体" w:cs="宋体"/>
                <w:color w:val="FF0000"/>
                <w:sz w:val="24"/>
              </w:rPr>
            </w:pPr>
            <w:r>
              <w:rPr>
                <w:rFonts w:hint="eastAsia" w:ascii="宋体" w:hAnsi="宋体" w:cs="宋体"/>
                <w:b/>
                <w:bCs/>
                <w:kern w:val="0"/>
                <w:sz w:val="24"/>
                <w:lang w:eastAsia="zh-CN"/>
              </w:rPr>
              <w:t>（</w:t>
            </w:r>
            <w:r>
              <w:rPr>
                <w:rFonts w:hint="eastAsia" w:ascii="宋体" w:hAnsi="宋体" w:cs="宋体"/>
                <w:b/>
                <w:bCs/>
                <w:kern w:val="0"/>
                <w:sz w:val="24"/>
                <w:lang w:val="en-US" w:eastAsia="zh-CN"/>
              </w:rPr>
              <w:t>4</w:t>
            </w:r>
            <w:r>
              <w:rPr>
                <w:rFonts w:hint="eastAsia" w:ascii="宋体" w:hAnsi="宋体" w:cs="宋体"/>
                <w:b/>
                <w:bCs/>
                <w:kern w:val="0"/>
                <w:sz w:val="24"/>
                <w:lang w:eastAsia="zh-CN"/>
              </w:rPr>
              <w:t>）</w:t>
            </w:r>
            <w:r>
              <w:rPr>
                <w:rFonts w:hint="eastAsia" w:ascii="宋体" w:hAnsi="宋体" w:eastAsia="宋体" w:cs="宋体"/>
                <w:b/>
                <w:bCs/>
                <w:kern w:val="0"/>
                <w:sz w:val="24"/>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exact"/>
              <w:ind w:firstLine="0" w:firstLineChars="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（1）直接提交备份投标文件的：</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8"/>
                <w:sz w:val="24"/>
                <w:szCs w:val="24"/>
                <w:highlight w:val="none"/>
                <w:u w:val="single"/>
                <w:lang w:val="en-US" w:eastAsia="zh-CN" w:bidi="ar-SA"/>
              </w:rPr>
              <w:t>宁海县公共资源交易中心五楼（具体受理场所详见当日电子指示屏）。</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开标时间前一个工作日的16:00时止。</w:t>
            </w:r>
          </w:p>
          <w:p>
            <w:pPr>
              <w:pStyle w:val="34"/>
              <w:spacing w:line="360" w:lineRule="exact"/>
              <w:rPr>
                <w:rFonts w:hAnsi="宋体" w:cs="宋体"/>
                <w:kern w:val="28"/>
                <w:sz w:val="24"/>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hAnsi="宋体" w:cs="宋体"/>
                <w:snapToGrid w:val="0"/>
                <w:color w:val="auto"/>
                <w:kern w:val="2"/>
                <w:sz w:val="24"/>
                <w:szCs w:val="24"/>
                <w:highlight w:val="none"/>
                <w:u w:val="single"/>
                <w:lang w:val="en-US" w:eastAsia="zh-CN" w:bidi="ar-SA"/>
              </w:rPr>
              <w:t>宁海县兴工三路73号二楼</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8"/>
                <w:sz w:val="24"/>
                <w:szCs w:val="24"/>
                <w:highlight w:val="none"/>
                <w:u w:val="single"/>
                <w:lang w:val="en-US" w:eastAsia="zh-CN" w:bidi="ar-SA"/>
              </w:rPr>
              <w:t>周莹莹、</w:t>
            </w:r>
            <w:r>
              <w:rPr>
                <w:rFonts w:hint="eastAsia" w:hAnsi="宋体" w:cs="宋体"/>
                <w:snapToGrid w:val="0"/>
                <w:color w:val="auto"/>
                <w:kern w:val="2"/>
                <w:sz w:val="24"/>
                <w:szCs w:val="24"/>
                <w:highlight w:val="none"/>
                <w:u w:val="single"/>
                <w:lang w:val="en-US" w:eastAsia="zh-CN" w:bidi="ar-SA"/>
              </w:rPr>
              <w:t>13777178038</w:t>
            </w:r>
            <w:r>
              <w:rPr>
                <w:rFonts w:hint="eastAsia" w:ascii="宋体" w:hAnsi="宋体" w:eastAsia="宋体" w:cs="宋体"/>
                <w:snapToGrid w:val="0"/>
                <w:color w:val="auto"/>
                <w:kern w:val="2"/>
                <w:sz w:val="24"/>
                <w:szCs w:val="24"/>
                <w:highlight w:val="none"/>
                <w:lang w:val="en-US" w:eastAsia="zh-CN" w:bidi="ar-SA"/>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exact"/>
              <w:rPr>
                <w:rFonts w:hint="eastAsia" w:ascii="宋体" w:hAnsi="宋体" w:eastAsia="宋体" w:cs="宋体"/>
                <w:snapToGrid w:val="0"/>
                <w:kern w:val="28"/>
                <w:sz w:val="24"/>
                <w:lang w:eastAsia="zh-CN"/>
              </w:rPr>
            </w:pPr>
            <w:r>
              <w:rPr>
                <w:rFonts w:hint="eastAsia" w:ascii="宋体" w:hAnsi="宋体" w:cs="宋体"/>
                <w:b w:val="0"/>
                <w:bCs w:val="0"/>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b w:val="0"/>
                <w:bCs w:val="0"/>
                <w:snapToGrid w:val="0"/>
                <w:kern w:val="28"/>
                <w:sz w:val="24"/>
                <w:highlight w:val="none"/>
              </w:rPr>
              <w:t>业绩数量以提供材料较少的一方为准</w:t>
            </w:r>
            <w:r>
              <w:rPr>
                <w:rFonts w:hint="eastAsia" w:ascii="宋体" w:hAnsi="宋体" w:cs="宋体"/>
                <w:b w:val="0"/>
                <w:bCs w:val="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0" w:hRule="atLeast"/>
          <w:jc w:val="center"/>
        </w:trPr>
        <w:tc>
          <w:tcPr>
            <w:tcW w:w="714" w:type="dxa"/>
            <w:vAlign w:val="center"/>
          </w:tcPr>
          <w:p>
            <w:pPr>
              <w:snapToGrid w:val="0"/>
              <w:spacing w:line="360" w:lineRule="exact"/>
              <w:jc w:val="center"/>
              <w:rPr>
                <w:rFonts w:ascii="宋体" w:hAnsi="宋体" w:cs="宋体"/>
                <w:sz w:val="24"/>
              </w:rPr>
            </w:pPr>
            <w:r>
              <w:rPr>
                <w:rFonts w:hint="eastAsia" w:ascii="宋体" w:hAnsi="宋体" w:cs="宋体"/>
                <w:sz w:val="24"/>
              </w:rPr>
              <w:t>14</w:t>
            </w:r>
          </w:p>
        </w:tc>
        <w:tc>
          <w:tcPr>
            <w:tcW w:w="2093" w:type="dxa"/>
            <w:vAlign w:val="center"/>
          </w:tcPr>
          <w:p>
            <w:pPr>
              <w:snapToGrid w:val="0"/>
              <w:spacing w:line="360" w:lineRule="exact"/>
              <w:jc w:val="center"/>
              <w:rPr>
                <w:rFonts w:ascii="宋体" w:hAnsi="宋体" w:cs="宋体"/>
                <w:b/>
                <w:sz w:val="24"/>
              </w:rPr>
            </w:pPr>
            <w:r>
              <w:rPr>
                <w:rFonts w:hint="eastAsia" w:ascii="宋体" w:hAnsi="宋体" w:cs="宋体"/>
                <w:b/>
                <w:sz w:val="24"/>
              </w:rPr>
              <w:t>采购代理服务费</w:t>
            </w:r>
          </w:p>
        </w:tc>
        <w:tc>
          <w:tcPr>
            <w:tcW w:w="6927" w:type="dxa"/>
            <w:vAlign w:val="center"/>
          </w:tcPr>
          <w:p>
            <w:pPr>
              <w:spacing w:line="36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采购代理</w:t>
            </w:r>
            <w:r>
              <w:rPr>
                <w:rFonts w:hint="eastAsia" w:ascii="宋体" w:hAnsi="宋体" w:eastAsia="宋体" w:cs="宋体"/>
                <w:snapToGrid w:val="0"/>
                <w:kern w:val="28"/>
                <w:sz w:val="24"/>
                <w:lang w:val="en-US" w:eastAsia="zh-CN"/>
              </w:rPr>
              <w:t>机构将</w:t>
            </w:r>
            <w:r>
              <w:rPr>
                <w:rFonts w:hint="eastAsia" w:ascii="宋体" w:hAnsi="宋体" w:cs="宋体"/>
                <w:snapToGrid w:val="0"/>
                <w:kern w:val="28"/>
                <w:sz w:val="24"/>
                <w:highlight w:val="none"/>
              </w:rPr>
              <w:t>按下表中</w:t>
            </w:r>
            <w:r>
              <w:rPr>
                <w:rFonts w:hint="eastAsia" w:ascii="宋体" w:hAnsi="宋体" w:eastAsia="宋体" w:cs="宋体"/>
                <w:snapToGrid w:val="0"/>
                <w:kern w:val="28"/>
                <w:sz w:val="24"/>
                <w:lang w:eastAsia="zh-CN"/>
              </w:rPr>
              <w:t>工程</w:t>
            </w:r>
            <w:r>
              <w:rPr>
                <w:rFonts w:hint="eastAsia" w:ascii="宋体" w:hAnsi="宋体" w:cs="宋体"/>
                <w:snapToGrid w:val="0"/>
                <w:kern w:val="28"/>
                <w:sz w:val="24"/>
                <w:highlight w:val="none"/>
              </w:rPr>
              <w:t>招标标准（按差额定率累进法计算），根据成交金额，向成交人收取招标代理服务费。单次招标代理服务费不足10000元的，按10000元计取。</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pPr>
                    <w:spacing w:line="360" w:lineRule="auto"/>
                  </w:pPr>
                </w:p>
                <w:p>
                  <w:pPr>
                    <w:spacing w:line="360" w:lineRule="auto"/>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金额（万）</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费率服务类型</w:t>
                  </w:r>
                </w:p>
                <w:p>
                  <w:pPr>
                    <w:spacing w:line="360" w:lineRule="auto"/>
                    <w:rPr>
                      <w:rFonts w:ascii="宋体" w:hAnsi="宋体" w:cs="宋体"/>
                      <w:kern w:val="0"/>
                      <w:szCs w:val="21"/>
                      <w:highlight w:val="none"/>
                    </w:rPr>
                  </w:pPr>
                  <w:r>
                    <w:rPr>
                      <w:rFonts w:hint="eastAsia" w:ascii="宋体" w:hAnsi="宋体" w:cs="宋体"/>
                      <w:kern w:val="0"/>
                      <w:szCs w:val="21"/>
                      <w:highlight w:val="none"/>
                    </w:rPr>
                    <w:t>（万元）</w:t>
                  </w:r>
                </w:p>
              </w:tc>
              <w:tc>
                <w:tcPr>
                  <w:tcW w:w="832" w:type="dxa"/>
                  <w:tcMar>
                    <w:top w:w="30" w:type="dxa"/>
                    <w:left w:w="150" w:type="dxa"/>
                    <w:bottom w:w="30" w:type="dxa"/>
                    <w:right w:w="150" w:type="dxa"/>
                  </w:tcMar>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货物</w:t>
                  </w:r>
                </w:p>
                <w:p>
                  <w:pPr>
                    <w:spacing w:line="360" w:lineRule="auto"/>
                    <w:jc w:val="center"/>
                    <w:rPr>
                      <w:rFonts w:ascii="宋体" w:hAnsi="宋体" w:cs="宋体"/>
                      <w:kern w:val="0"/>
                      <w:szCs w:val="21"/>
                      <w:highlight w:val="none"/>
                    </w:rPr>
                  </w:pPr>
                  <w:r>
                    <w:rPr>
                      <w:rFonts w:hint="eastAsia" w:ascii="宋体" w:hAnsi="宋体" w:cs="宋体"/>
                      <w:kern w:val="0"/>
                      <w:szCs w:val="21"/>
                      <w:highlight w:val="none"/>
                    </w:rPr>
                    <w:t>招标</w:t>
                  </w:r>
                </w:p>
              </w:tc>
              <w:tc>
                <w:tcPr>
                  <w:tcW w:w="859" w:type="dxa"/>
                  <w:tcMar>
                    <w:top w:w="30" w:type="dxa"/>
                    <w:left w:w="150" w:type="dxa"/>
                    <w:bottom w:w="30" w:type="dxa"/>
                    <w:right w:w="150" w:type="dxa"/>
                  </w:tcMar>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服务</w:t>
                  </w:r>
                </w:p>
                <w:p>
                  <w:pPr>
                    <w:spacing w:line="360" w:lineRule="auto"/>
                    <w:jc w:val="center"/>
                    <w:rPr>
                      <w:rFonts w:ascii="宋体" w:hAnsi="宋体" w:cs="宋体"/>
                      <w:kern w:val="0"/>
                      <w:szCs w:val="21"/>
                      <w:highlight w:val="none"/>
                    </w:rPr>
                  </w:pPr>
                  <w:r>
                    <w:rPr>
                      <w:rFonts w:hint="eastAsia" w:ascii="宋体" w:hAnsi="宋体" w:cs="宋体"/>
                      <w:kern w:val="0"/>
                      <w:szCs w:val="21"/>
                      <w:highlight w:val="none"/>
                    </w:rPr>
                    <w:t>招标</w:t>
                  </w:r>
                </w:p>
              </w:tc>
              <w:tc>
                <w:tcPr>
                  <w:tcW w:w="838" w:type="dxa"/>
                  <w:tcMar>
                    <w:top w:w="30" w:type="dxa"/>
                    <w:left w:w="150" w:type="dxa"/>
                    <w:bottom w:w="30" w:type="dxa"/>
                    <w:right w:w="150" w:type="dxa"/>
                  </w:tcMar>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工程</w:t>
                  </w:r>
                </w:p>
                <w:p>
                  <w:pPr>
                    <w:spacing w:line="360" w:lineRule="auto"/>
                    <w:jc w:val="center"/>
                    <w:rPr>
                      <w:rFonts w:ascii="宋体" w:hAnsi="宋体" w:cs="宋体"/>
                      <w:kern w:val="0"/>
                      <w:szCs w:val="21"/>
                      <w:highlight w:val="none"/>
                    </w:rPr>
                  </w:pPr>
                  <w:r>
                    <w:rPr>
                      <w:rFonts w:hint="eastAsia" w:ascii="宋体" w:hAnsi="宋体" w:cs="宋体"/>
                      <w:kern w:val="0"/>
                      <w:szCs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pPr>
                    <w:spacing w:line="320" w:lineRule="exact"/>
                    <w:rPr>
                      <w:rFonts w:ascii="宋体" w:hAnsi="宋体" w:cs="宋体"/>
                      <w:kern w:val="0"/>
                      <w:szCs w:val="21"/>
                      <w:highlight w:val="none"/>
                    </w:rPr>
                  </w:pPr>
                  <w:r>
                    <w:rPr>
                      <w:rFonts w:hint="eastAsia" w:ascii="宋体" w:hAnsi="宋体" w:cs="宋体"/>
                      <w:kern w:val="0"/>
                      <w:szCs w:val="21"/>
                      <w:highlight w:val="none"/>
                    </w:rPr>
                    <w:t>100以下</w:t>
                  </w:r>
                </w:p>
              </w:tc>
              <w:tc>
                <w:tcPr>
                  <w:tcW w:w="832"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p>
              </w:tc>
              <w:tc>
                <w:tcPr>
                  <w:tcW w:w="859"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p>
              </w:tc>
              <w:tc>
                <w:tcPr>
                  <w:tcW w:w="838"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pPr>
                    <w:spacing w:line="320" w:lineRule="exact"/>
                    <w:rPr>
                      <w:rFonts w:ascii="宋体" w:hAnsi="宋体" w:cs="宋体"/>
                      <w:kern w:val="0"/>
                      <w:szCs w:val="21"/>
                      <w:highlight w:val="none"/>
                    </w:rPr>
                  </w:pPr>
                  <w:r>
                    <w:rPr>
                      <w:rFonts w:hint="eastAsia" w:ascii="宋体" w:hAnsi="宋体" w:cs="宋体"/>
                      <w:kern w:val="0"/>
                      <w:szCs w:val="21"/>
                      <w:highlight w:val="none"/>
                    </w:rPr>
                    <w:t>100-500</w:t>
                  </w:r>
                </w:p>
              </w:tc>
              <w:tc>
                <w:tcPr>
                  <w:tcW w:w="832"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hint="eastAsia" w:ascii="宋体" w:hAnsi="宋体" w:cs="宋体"/>
                      <w:kern w:val="0"/>
                      <w:szCs w:val="21"/>
                      <w:highlight w:val="none"/>
                    </w:rPr>
                    <w:t>%</w:t>
                  </w:r>
                </w:p>
              </w:tc>
              <w:tc>
                <w:tcPr>
                  <w:tcW w:w="859"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8</w:t>
                  </w:r>
                  <w:r>
                    <w:rPr>
                      <w:rFonts w:hint="eastAsia" w:ascii="宋体" w:hAnsi="宋体" w:cs="宋体"/>
                      <w:kern w:val="0"/>
                      <w:szCs w:val="21"/>
                      <w:highlight w:val="none"/>
                    </w:rPr>
                    <w:t>%</w:t>
                  </w:r>
                </w:p>
              </w:tc>
              <w:tc>
                <w:tcPr>
                  <w:tcW w:w="838"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pPr>
                    <w:spacing w:line="320" w:lineRule="exact"/>
                    <w:rPr>
                      <w:rFonts w:ascii="宋体" w:hAnsi="宋体" w:cs="宋体"/>
                      <w:kern w:val="0"/>
                      <w:szCs w:val="21"/>
                      <w:highlight w:val="none"/>
                    </w:rPr>
                  </w:pPr>
                  <w:r>
                    <w:rPr>
                      <w:rFonts w:hint="eastAsia" w:ascii="宋体" w:hAnsi="宋体" w:cs="宋体"/>
                      <w:kern w:val="0"/>
                      <w:szCs w:val="21"/>
                      <w:highlight w:val="none"/>
                    </w:rPr>
                    <w:t>500-1000</w:t>
                  </w:r>
                </w:p>
              </w:tc>
              <w:tc>
                <w:tcPr>
                  <w:tcW w:w="832"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8</w:t>
                  </w:r>
                  <w:r>
                    <w:rPr>
                      <w:rFonts w:hint="eastAsia" w:ascii="宋体" w:hAnsi="宋体" w:cs="宋体"/>
                      <w:kern w:val="0"/>
                      <w:szCs w:val="21"/>
                      <w:highlight w:val="none"/>
                    </w:rPr>
                    <w:t>%</w:t>
                  </w:r>
                </w:p>
              </w:tc>
              <w:tc>
                <w:tcPr>
                  <w:tcW w:w="859"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4</w:t>
                  </w:r>
                  <w:r>
                    <w:rPr>
                      <w:rFonts w:hint="eastAsia" w:ascii="宋体" w:hAnsi="宋体" w:cs="宋体"/>
                      <w:kern w:val="0"/>
                      <w:szCs w:val="21"/>
                      <w:highlight w:val="none"/>
                    </w:rPr>
                    <w:t>5%</w:t>
                  </w:r>
                </w:p>
              </w:tc>
              <w:tc>
                <w:tcPr>
                  <w:tcW w:w="838"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pPr>
                    <w:spacing w:line="320" w:lineRule="exact"/>
                    <w:rPr>
                      <w:rFonts w:ascii="宋体" w:hAnsi="宋体" w:cs="宋体"/>
                      <w:kern w:val="0"/>
                      <w:szCs w:val="21"/>
                      <w:highlight w:val="none"/>
                    </w:rPr>
                  </w:pPr>
                  <w:r>
                    <w:rPr>
                      <w:rFonts w:hint="eastAsia" w:ascii="宋体" w:hAnsi="宋体" w:cs="宋体"/>
                      <w:kern w:val="0"/>
                      <w:szCs w:val="21"/>
                      <w:highlight w:val="none"/>
                    </w:rPr>
                    <w:t>1000-5000</w:t>
                  </w:r>
                </w:p>
              </w:tc>
              <w:tc>
                <w:tcPr>
                  <w:tcW w:w="832"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p>
              </w:tc>
              <w:tc>
                <w:tcPr>
                  <w:tcW w:w="859"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25</w:t>
                  </w:r>
                  <w:r>
                    <w:rPr>
                      <w:rFonts w:hint="eastAsia" w:ascii="宋体" w:hAnsi="宋体" w:cs="宋体"/>
                      <w:kern w:val="0"/>
                      <w:szCs w:val="21"/>
                      <w:highlight w:val="none"/>
                    </w:rPr>
                    <w:t>%</w:t>
                  </w:r>
                </w:p>
              </w:tc>
              <w:tc>
                <w:tcPr>
                  <w:tcW w:w="838"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pPr>
                    <w:spacing w:line="320" w:lineRule="exact"/>
                    <w:rPr>
                      <w:rFonts w:ascii="宋体" w:hAnsi="宋体" w:cs="宋体"/>
                      <w:kern w:val="0"/>
                      <w:szCs w:val="21"/>
                      <w:highlight w:val="none"/>
                    </w:rPr>
                  </w:pPr>
                  <w:r>
                    <w:rPr>
                      <w:rFonts w:hint="eastAsia" w:ascii="宋体" w:hAnsi="宋体" w:cs="宋体"/>
                      <w:kern w:val="0"/>
                      <w:szCs w:val="21"/>
                      <w:highlight w:val="none"/>
                    </w:rPr>
                    <w:t>5000-10000</w:t>
                  </w:r>
                </w:p>
              </w:tc>
              <w:tc>
                <w:tcPr>
                  <w:tcW w:w="832"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p>
              </w:tc>
              <w:tc>
                <w:tcPr>
                  <w:tcW w:w="859"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0.1%</w:t>
                  </w:r>
                </w:p>
              </w:tc>
              <w:tc>
                <w:tcPr>
                  <w:tcW w:w="838"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pPr>
                    <w:spacing w:line="320" w:lineRule="exact"/>
                    <w:rPr>
                      <w:rFonts w:ascii="宋体" w:hAnsi="宋体" w:cs="宋体"/>
                      <w:kern w:val="0"/>
                      <w:szCs w:val="21"/>
                      <w:highlight w:val="none"/>
                    </w:rPr>
                  </w:pPr>
                  <w:r>
                    <w:rPr>
                      <w:rFonts w:hint="eastAsia" w:ascii="宋体" w:hAnsi="宋体" w:cs="宋体"/>
                      <w:kern w:val="0"/>
                      <w:szCs w:val="21"/>
                      <w:highlight w:val="none"/>
                    </w:rPr>
                    <w:t>10000-100000</w:t>
                  </w:r>
                </w:p>
              </w:tc>
              <w:tc>
                <w:tcPr>
                  <w:tcW w:w="832"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0.05%</w:t>
                  </w:r>
                </w:p>
              </w:tc>
              <w:tc>
                <w:tcPr>
                  <w:tcW w:w="859"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0.05%</w:t>
                  </w:r>
                </w:p>
              </w:tc>
              <w:tc>
                <w:tcPr>
                  <w:tcW w:w="838"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0.0</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pPr>
                    <w:spacing w:line="320" w:lineRule="exact"/>
                    <w:rPr>
                      <w:rFonts w:ascii="宋体" w:hAnsi="宋体" w:cs="宋体"/>
                      <w:kern w:val="0"/>
                      <w:szCs w:val="21"/>
                      <w:highlight w:val="none"/>
                    </w:rPr>
                  </w:pPr>
                  <w:r>
                    <w:rPr>
                      <w:rFonts w:hint="eastAsia" w:ascii="宋体" w:hAnsi="宋体" w:cs="宋体"/>
                      <w:kern w:val="0"/>
                      <w:szCs w:val="21"/>
                      <w:highlight w:val="none"/>
                    </w:rPr>
                    <w:t>100000以上</w:t>
                  </w:r>
                </w:p>
              </w:tc>
              <w:tc>
                <w:tcPr>
                  <w:tcW w:w="832"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0.01%</w:t>
                  </w:r>
                </w:p>
              </w:tc>
              <w:tc>
                <w:tcPr>
                  <w:tcW w:w="859"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0.01%</w:t>
                  </w:r>
                </w:p>
              </w:tc>
              <w:tc>
                <w:tcPr>
                  <w:tcW w:w="838" w:type="dxa"/>
                  <w:tcMar>
                    <w:top w:w="30" w:type="dxa"/>
                    <w:left w:w="150" w:type="dxa"/>
                    <w:bottom w:w="30" w:type="dxa"/>
                    <w:right w:w="150" w:type="dxa"/>
                  </w:tcMar>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0.01%</w:t>
                  </w:r>
                </w:p>
              </w:tc>
            </w:tr>
          </w:tbl>
          <w:p>
            <w:pPr>
              <w:spacing w:line="360" w:lineRule="exact"/>
              <w:rPr>
                <w:rFonts w:ascii="宋体" w:hAnsi="宋体" w:cs="宋体"/>
                <w:snapToGrid w:val="0"/>
                <w:kern w:val="28"/>
                <w:sz w:val="24"/>
              </w:rPr>
            </w:pPr>
            <w:r>
              <w:rPr>
                <w:rFonts w:hint="eastAsia" w:asciiTheme="minorEastAsia" w:hAnsiTheme="minorEastAsia" w:eastAsiaTheme="minorEastAsia" w:cstheme="minorEastAsia"/>
                <w:szCs w:val="21"/>
                <w:lang w:bidi="ar"/>
              </w:rPr>
              <w:t>备注：（1）中标服务费按差额定率累进法计算；（2）中标服务费只收现金、银行票汇款、电汇款。汇入以下账户：</w:t>
            </w: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浙江泰隆商业银行宁波宁海支行</w:t>
            </w:r>
            <w:r>
              <w:rPr>
                <w:rFonts w:hint="eastAsia" w:asciiTheme="minorEastAsia" w:hAnsiTheme="minorEastAsia" w:eastAsiaTheme="minorEastAsia" w:cstheme="minorEastAsia"/>
                <w:szCs w:val="21"/>
              </w:rPr>
              <w:t>，户名：</w:t>
            </w:r>
            <w:r>
              <w:rPr>
                <w:rFonts w:hint="eastAsia" w:asciiTheme="minorEastAsia" w:hAnsiTheme="minorEastAsia" w:eastAsiaTheme="minorEastAsia" w:cstheme="minorEastAsia"/>
                <w:szCs w:val="21"/>
                <w:u w:val="single"/>
              </w:rPr>
              <w:t>宁波威远工程造价咨询有限公司宁海分公司</w:t>
            </w:r>
            <w:r>
              <w:rPr>
                <w:rFonts w:hint="eastAsia" w:asciiTheme="minorEastAsia" w:hAnsiTheme="minorEastAsia" w:eastAsiaTheme="minorEastAsia" w:cstheme="minorEastAsia"/>
                <w:szCs w:val="21"/>
              </w:rPr>
              <w:t>，账号：</w:t>
            </w:r>
            <w:r>
              <w:rPr>
                <w:rFonts w:hint="eastAsia" w:asciiTheme="minorEastAsia" w:hAnsiTheme="minorEastAsia" w:eastAsiaTheme="minorEastAsia" w:cstheme="minorEastAsia"/>
                <w:szCs w:val="21"/>
                <w:u w:val="single"/>
              </w:rPr>
              <w:t xml:space="preserve">3303050120100020953 </w:t>
            </w:r>
            <w:r>
              <w:rPr>
                <w:rFonts w:hint="eastAsia" w:asciiTheme="minorEastAsia" w:hAnsiTheme="minorEastAsia" w:eastAsiaTheme="minorEastAsia" w:cstheme="minorEastAsia"/>
                <w:szCs w:val="21"/>
              </w:rPr>
              <w:t>。</w:t>
            </w:r>
          </w:p>
        </w:tc>
      </w:tr>
    </w:tbl>
    <w:p>
      <w:pPr>
        <w:snapToGrid w:val="0"/>
        <w:spacing w:line="360" w:lineRule="auto"/>
        <w:jc w:val="center"/>
        <w:rPr>
          <w:rFonts w:ascii="宋体" w:hAnsi="宋体" w:cs="宋体"/>
          <w:b/>
          <w:sz w:val="32"/>
          <w:szCs w:val="20"/>
        </w:rPr>
      </w:pPr>
    </w:p>
    <w:bookmarkEnd w:id="17"/>
    <w:p>
      <w:pPr>
        <w:widowControl/>
        <w:adjustRightInd/>
        <w:jc w:val="left"/>
        <w:rPr>
          <w:rFonts w:ascii="宋体" w:hAnsi="宋体" w:cs="宋体"/>
          <w:b/>
          <w:sz w:val="32"/>
          <w:szCs w:val="20"/>
        </w:rPr>
      </w:pPr>
      <w:bookmarkStart w:id="21" w:name="第三部分"/>
      <w:bookmarkStart w:id="22" w:name="_Toc164416483"/>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bookmarkStart w:id="23" w:name="_Toc17715"/>
      <w:r>
        <w:rPr>
          <w:rFonts w:hint="eastAsia" w:ascii="宋体" w:hAnsi="宋体" w:cs="宋体"/>
          <w:b/>
          <w:sz w:val="32"/>
          <w:szCs w:val="20"/>
        </w:rPr>
        <w:t>一、总则</w:t>
      </w:r>
      <w:bookmarkEnd w:id="23"/>
    </w:p>
    <w:p>
      <w:pPr>
        <w:snapToGrid w:val="0"/>
        <w:spacing w:line="360" w:lineRule="auto"/>
        <w:jc w:val="left"/>
        <w:outlineLvl w:val="1"/>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 xml:space="preserve"> </w:t>
      </w:r>
      <w:r>
        <w:rPr>
          <w:rFonts w:hint="eastAsia" w:ascii="宋体" w:hAnsi="宋体" w:cs="宋体"/>
          <w:b/>
          <w:sz w:val="24"/>
        </w:rPr>
        <w:t>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numPr>
          <w:ilvl w:val="0"/>
          <w:numId w:val="2"/>
        </w:numPr>
        <w:snapToGrid w:val="0"/>
        <w:spacing w:line="360" w:lineRule="auto"/>
        <w:outlineLvl w:val="0"/>
        <w:rPr>
          <w:rFonts w:ascii="宋体" w:hAnsi="宋体" w:cs="宋体"/>
          <w:b/>
          <w:sz w:val="24"/>
        </w:rPr>
      </w:pPr>
      <w:bookmarkStart w:id="24" w:name="_Toc29273"/>
      <w:r>
        <w:rPr>
          <w:rFonts w:hint="eastAsia" w:ascii="宋体" w:hAnsi="宋体" w:cs="宋体"/>
          <w:b/>
          <w:sz w:val="24"/>
        </w:rPr>
        <w:t>定义</w:t>
      </w:r>
      <w:bookmarkEnd w:id="24"/>
    </w:p>
    <w:p>
      <w:pPr>
        <w:snapToGrid w:val="0"/>
        <w:spacing w:line="360" w:lineRule="auto"/>
        <w:ind w:firstLine="480" w:firstLineChars="200"/>
        <w:rPr>
          <w:rFonts w:ascii="宋体" w:hAnsi="宋体" w:cs="宋体"/>
          <w:sz w:val="24"/>
        </w:rPr>
      </w:pPr>
      <w:r>
        <w:rPr>
          <w:rFonts w:hint="eastAsia" w:ascii="宋体" w:hAnsi="宋体" w:cs="宋体"/>
          <w:sz w:val="24"/>
        </w:rPr>
        <w:t>2.1“采购人”系指竞争性磋商公告中载明的本项目的采购人。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2.3“供应商”系指提交响应文件和报价、参与竞争性磋商采购活动的法人、其他组织或者自然人。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r>
        <w:rPr>
          <w:rFonts w:hint="eastAsia" w:ascii="宋体" w:hAnsi="宋体" w:cs="宋体"/>
          <w:b/>
          <w:bCs/>
          <w:sz w:val="24"/>
        </w:rPr>
        <w:t>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hint="eastAsia"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napToGrid w:val="0"/>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napToGrid w:val="0"/>
        <w:spacing w:line="360" w:lineRule="auto"/>
        <w:ind w:left="0" w:firstLine="480" w:firstLineChars="200"/>
        <w:rPr>
          <w:rFonts w:hint="eastAsia" w:ascii="宋体" w:hAnsi="宋体" w:eastAsia="宋体" w:cs="宋体"/>
          <w:sz w:val="24"/>
          <w:lang w:val="en-US"/>
        </w:rPr>
      </w:pPr>
      <w:r>
        <w:rPr>
          <w:rFonts w:hint="eastAsia" w:ascii="宋体" w:hAnsi="宋体" w:eastAsia="宋体" w:cs="宋体"/>
          <w:b w:val="0"/>
          <w:bCs w:val="0"/>
          <w:sz w:val="24"/>
          <w:szCs w:val="24"/>
          <w:highlight w:val="none"/>
          <w:lang w:val="en-US"/>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5" w:name="_Hlk101132181"/>
      <w:r>
        <w:rPr>
          <w:rFonts w:hint="eastAsia" w:ascii="宋体" w:hAnsi="宋体" w:cs="宋体"/>
          <w:sz w:val="24"/>
        </w:rPr>
        <w:t>联合协议或者分包意向协议约定小微企业的合同份额占到合同总金额30%以上的</w:t>
      </w:r>
      <w:bookmarkEnd w:id="2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r>
        <w:rPr>
          <w:rFonts w:hint="eastAsia" w:ascii="宋体" w:hAnsi="宋体" w:cs="宋体"/>
          <w:sz w:val="24"/>
          <w:lang w:eastAsia="zh-CN"/>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val="0"/>
          <w:sz w:val="24"/>
        </w:rPr>
        <w:t>支持创新发展</w:t>
      </w:r>
    </w:p>
    <w:p>
      <w:pPr>
        <w:snapToGrid w:val="0"/>
        <w:spacing w:line="360" w:lineRule="auto"/>
        <w:ind w:firstLine="480" w:firstLineChars="200"/>
        <w:rPr>
          <w:rFonts w:hint="eastAsia" w:ascii="宋体" w:hAnsi="宋体" w:cs="宋体"/>
          <w:sz w:val="24"/>
        </w:rPr>
      </w:pPr>
      <w:r>
        <w:rPr>
          <w:rFonts w:hint="eastAsia" w:ascii="宋体" w:hAnsi="宋体" w:cs="宋体"/>
          <w:sz w:val="24"/>
        </w:rPr>
        <w:t>3.4.1采购人优先采购被认定为首台套产品和“制造精品”的自主创新产品。</w:t>
      </w:r>
    </w:p>
    <w:p>
      <w:pPr>
        <w:snapToGrid w:val="0"/>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w:t>
      </w:r>
      <w:r>
        <w:rPr>
          <w:rFonts w:hint="eastAsia" w:ascii="宋体" w:hAnsi="宋体" w:cs="宋体"/>
          <w:sz w:val="24"/>
        </w:rPr>
        <w:t>年内，以及产品核心技术高于国内领先水平，并具有明晰自主知识产权的“制造精品”产品，自认定</w:t>
      </w:r>
      <w:r>
        <w:rPr>
          <w:rFonts w:hint="eastAsia" w:ascii="宋体" w:hAnsi="宋体" w:cs="宋体"/>
          <w:color w:val="auto"/>
          <w:sz w:val="24"/>
        </w:rPr>
        <w:t>之日起2年内视同已具备相应销售业绩，参加政府采购活动时业绩分值为满分。</w:t>
      </w:r>
    </w:p>
    <w:p>
      <w:pPr>
        <w:adjustRightInd w:val="0"/>
        <w:snapToGrid w:val="0"/>
        <w:spacing w:line="360" w:lineRule="auto"/>
        <w:ind w:left="0" w:firstLine="480" w:firstLineChars="200"/>
        <w:rPr>
          <w:rFonts w:hint="eastAsia" w:ascii="宋体" w:hAnsi="宋体" w:eastAsia="宋体" w:cs="宋体"/>
          <w:color w:val="auto"/>
          <w:sz w:val="24"/>
        </w:rPr>
      </w:pPr>
      <w:r>
        <w:rPr>
          <w:rFonts w:hint="eastAsia" w:ascii="宋体" w:hAnsi="宋体" w:eastAsia="宋体" w:cs="宋体"/>
          <w:b w:val="0"/>
          <w:bCs w:val="0"/>
          <w:color w:val="auto"/>
          <w:sz w:val="24"/>
          <w:szCs w:val="24"/>
          <w:lang w:val="en-US"/>
        </w:rPr>
        <w:t>3.4.3</w:t>
      </w:r>
      <w:r>
        <w:rPr>
          <w:rFonts w:hint="eastAsia" w:ascii="宋体" w:hAnsi="宋体" w:eastAsia="宋体" w:cs="宋体"/>
          <w:b w:val="0"/>
          <w:bCs w:val="0"/>
          <w:color w:val="auto"/>
          <w:sz w:val="24"/>
          <w:szCs w:val="24"/>
          <w:lang w:val="en-US" w:eastAsia="zh-CN"/>
        </w:rPr>
        <w:t>采购人应当贯彻落实知识产权保护相关法律法规，</w:t>
      </w:r>
      <w:r>
        <w:rPr>
          <w:rFonts w:hint="eastAsia" w:ascii="宋体" w:hAnsi="宋体" w:eastAsia="宋体" w:cs="宋体"/>
          <w:b w:val="0"/>
          <w:bCs w:val="0"/>
          <w:color w:val="auto"/>
          <w:sz w:val="24"/>
          <w:szCs w:val="24"/>
          <w:lang w:val="en-US"/>
        </w:rPr>
        <w:t>应当采购使用正版软件。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kern w:val="0"/>
          <w:sz w:val="24"/>
          <w:lang w:val="zh-CN"/>
        </w:rPr>
      </w:pPr>
      <w:r>
        <w:rPr>
          <w:rFonts w:hint="default" w:hAnsi="宋体" w:cs="宋体"/>
          <w:kern w:val="0"/>
          <w:sz w:val="24"/>
          <w:lang w:val="zh-CN"/>
        </w:rPr>
        <w:t>4.3.2.2对采购过程提出质疑的，质疑期限为各采购程序环节结束之日起计算。</w:t>
      </w:r>
    </w:p>
    <w:p>
      <w:pPr>
        <w:pStyle w:val="34"/>
        <w:snapToGrid w:val="0"/>
        <w:spacing w:line="360" w:lineRule="auto"/>
        <w:ind w:firstLine="480" w:firstLineChars="200"/>
        <w:rPr>
          <w:rFonts w:hAnsi="宋体" w:cs="宋体"/>
          <w:kern w:val="0"/>
          <w:sz w:val="24"/>
          <w:lang w:val="zh-CN"/>
        </w:rPr>
      </w:pPr>
      <w:r>
        <w:rPr>
          <w:rFonts w:hint="default" w:hAnsi="宋体" w:cs="宋体"/>
          <w:kern w:val="0"/>
          <w:sz w:val="24"/>
          <w:lang w:val="zh-CN"/>
        </w:rPr>
        <w:t>4.3.2.3对采购结果提出质疑的，质疑期限自采购结果公告期限届满之日起计算。</w:t>
      </w:r>
    </w:p>
    <w:p>
      <w:pPr>
        <w:pStyle w:val="34"/>
        <w:snapToGrid w:val="0"/>
        <w:spacing w:line="360" w:lineRule="auto"/>
        <w:ind w:firstLine="480" w:firstLineChars="200"/>
        <w:rPr>
          <w:rFonts w:hAnsi="宋体" w:cs="宋体"/>
          <w:kern w:val="0"/>
          <w:sz w:val="24"/>
          <w:lang w:val="zh-CN"/>
        </w:rPr>
      </w:pPr>
      <w:r>
        <w:rPr>
          <w:rFonts w:hint="default" w:hAnsi="宋体" w:cs="宋体"/>
          <w:kern w:val="0"/>
          <w:sz w:val="24"/>
          <w:lang w:val="zh-CN"/>
        </w:rPr>
        <w:t>4.3.3供应商提出质疑应当提交质疑函和必要的证明材料。质疑函应当包括下列内容：</w:t>
      </w:r>
    </w:p>
    <w:p>
      <w:pPr>
        <w:pStyle w:val="6"/>
        <w:snapToGrid w:val="0"/>
        <w:spacing w:line="360" w:lineRule="auto"/>
        <w:ind w:firstLine="720" w:firstLineChars="300"/>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4.3.3.1供应商的姓名或者名称、地址、邮编、联系人及联系电话；</w:t>
      </w:r>
    </w:p>
    <w:p>
      <w:pPr>
        <w:pStyle w:val="6"/>
        <w:snapToGrid w:val="0"/>
        <w:spacing w:line="360" w:lineRule="auto"/>
        <w:ind w:firstLine="720" w:firstLineChars="300"/>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4.3.3.2质疑项目的名称、编号；</w:t>
      </w:r>
    </w:p>
    <w:p>
      <w:pPr>
        <w:pStyle w:val="6"/>
        <w:snapToGrid w:val="0"/>
        <w:spacing w:line="360" w:lineRule="auto"/>
        <w:ind w:firstLine="720" w:firstLineChars="300"/>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4.3.3.3具体、明确的质疑事项和与质疑事项相关的请求；</w:t>
      </w:r>
    </w:p>
    <w:p>
      <w:pPr>
        <w:pStyle w:val="6"/>
        <w:snapToGrid w:val="0"/>
        <w:spacing w:line="360" w:lineRule="auto"/>
        <w:ind w:firstLine="720" w:firstLineChars="300"/>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4.3.3.4事实依据；</w:t>
      </w:r>
    </w:p>
    <w:p>
      <w:pPr>
        <w:pStyle w:val="6"/>
        <w:snapToGrid w:val="0"/>
        <w:spacing w:line="360" w:lineRule="auto"/>
        <w:ind w:firstLine="720" w:firstLineChars="300"/>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4.3.3.5必要的法律依据；</w:t>
      </w:r>
    </w:p>
    <w:p>
      <w:pPr>
        <w:pStyle w:val="6"/>
        <w:snapToGrid w:val="0"/>
        <w:spacing w:line="360" w:lineRule="auto"/>
        <w:ind w:firstLine="720" w:firstLineChars="300"/>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4.3.3.6提出质疑的日期。</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质疑函范本及制作说明详见附件2。</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4.3.4对同一采购程序环节的质疑，供应商须在法定质疑期内一次性提出。</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rPr>
      </w:pPr>
      <w:r>
        <w:rPr>
          <w:rFonts w:hint="default" w:ascii="宋体" w:hAnsi="宋体" w:eastAsia="宋体" w:cs="宋体"/>
          <w:snapToGrid/>
          <w:color w:val="auto"/>
          <w:kern w:val="2"/>
          <w:sz w:val="24"/>
          <w:lang w:val="zh-CN"/>
        </w:rPr>
        <w:t>4.3.5采购人或者</w:t>
      </w:r>
      <w:r>
        <w:rPr>
          <w:rFonts w:hint="default" w:ascii="宋体" w:hAnsi="宋体" w:eastAsia="宋体" w:cs="宋体"/>
          <w:snapToGrid/>
          <w:color w:val="auto"/>
          <w:kern w:val="2"/>
          <w:sz w:val="24"/>
          <w:lang w:val="zh-CN" w:eastAsia="zh-CN"/>
        </w:rPr>
        <w:t>采购代理机构</w:t>
      </w:r>
      <w:r>
        <w:rPr>
          <w:rFonts w:hint="default" w:ascii="宋体" w:hAnsi="宋体" w:eastAsia="宋体" w:cs="宋体"/>
          <w:snapToGrid/>
          <w:color w:val="auto"/>
          <w:kern w:val="2"/>
          <w:sz w:val="24"/>
          <w:lang w:val="zh-CN"/>
        </w:rPr>
        <w:t>应当在收到供应商的书面质疑后七个工作日内作</w:t>
      </w:r>
      <w:r>
        <w:rPr>
          <w:rFonts w:hint="default" w:ascii="宋体" w:hAnsi="宋体" w:eastAsia="宋体" w:cs="宋体"/>
          <w:snapToGrid/>
          <w:color w:val="auto"/>
          <w:kern w:val="2"/>
          <w:sz w:val="24"/>
        </w:rPr>
        <w:t>出答复，并以书面形式通知质疑供应商和其他与质疑处理结果有利害关系的政府采购当事人，但答复的内容不得涉及商业秘密。采购人或者</w:t>
      </w:r>
      <w:r>
        <w:rPr>
          <w:rFonts w:hint="default" w:ascii="宋体" w:hAnsi="宋体" w:eastAsia="宋体" w:cs="宋体"/>
          <w:snapToGrid/>
          <w:color w:val="auto"/>
          <w:kern w:val="2"/>
          <w:sz w:val="24"/>
          <w:lang w:eastAsia="zh-CN"/>
        </w:rPr>
        <w:t>采购代理机构</w:t>
      </w:r>
      <w:r>
        <w:rPr>
          <w:rFonts w:hint="default" w:ascii="宋体" w:hAnsi="宋体" w:eastAsia="宋体" w:cs="宋体"/>
          <w:snapToGrid/>
          <w:color w:val="auto"/>
          <w:kern w:val="2"/>
          <w:sz w:val="24"/>
        </w:rPr>
        <w:t>在质疑回复后</w:t>
      </w:r>
      <w:r>
        <w:rPr>
          <w:rFonts w:hint="eastAsia" w:hAnsi="宋体" w:cs="宋体"/>
          <w:snapToGrid/>
          <w:color w:val="auto"/>
          <w:kern w:val="2"/>
          <w:sz w:val="24"/>
          <w:lang w:val="en-US" w:eastAsia="zh-CN"/>
        </w:rPr>
        <w:t>按规定</w:t>
      </w:r>
      <w:r>
        <w:rPr>
          <w:rFonts w:hint="default" w:ascii="宋体" w:hAnsi="宋体" w:eastAsia="宋体" w:cs="宋体"/>
          <w:snapToGrid/>
          <w:color w:val="auto"/>
          <w:kern w:val="2"/>
          <w:sz w:val="24"/>
        </w:rPr>
        <w:t>在“</w:t>
      </w:r>
      <w:r>
        <w:rPr>
          <w:rFonts w:hint="eastAsia" w:hAnsi="宋体" w:cs="宋体"/>
          <w:snapToGrid/>
          <w:color w:val="auto"/>
          <w:kern w:val="2"/>
          <w:sz w:val="24"/>
          <w:lang w:val="en-US" w:eastAsia="zh-CN"/>
        </w:rPr>
        <w:t>公告发布同一网站上</w:t>
      </w:r>
      <w:r>
        <w:rPr>
          <w:rFonts w:hint="default" w:ascii="宋体" w:hAnsi="宋体" w:eastAsia="宋体" w:cs="宋体"/>
          <w:snapToGrid/>
          <w:color w:val="auto"/>
          <w:kern w:val="2"/>
          <w:sz w:val="24"/>
        </w:rPr>
        <w:t>”公开质疑答复，答复内容应当完整</w:t>
      </w:r>
      <w:r>
        <w:rPr>
          <w:rFonts w:hint="eastAsia" w:hAnsi="宋体" w:cs="宋体"/>
          <w:snapToGrid/>
          <w:color w:val="auto"/>
          <w:kern w:val="2"/>
          <w:sz w:val="24"/>
          <w:lang w:eastAsia="zh-CN"/>
        </w:rPr>
        <w:t>，</w:t>
      </w:r>
      <w:r>
        <w:rPr>
          <w:rFonts w:hint="default" w:ascii="宋体" w:hAnsi="宋体" w:eastAsia="宋体" w:cs="宋体"/>
          <w:snapToGrid/>
          <w:color w:val="auto"/>
          <w:kern w:val="2"/>
          <w:sz w:val="24"/>
        </w:rPr>
        <w:t>质疑函作为附件上传。</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rPr>
      </w:pPr>
      <w:r>
        <w:rPr>
          <w:rFonts w:hint="default" w:ascii="宋体" w:hAnsi="宋体" w:eastAsia="宋体" w:cs="宋体"/>
          <w:snapToGrid/>
          <w:color w:val="auto"/>
          <w:kern w:val="2"/>
          <w:sz w:val="24"/>
          <w:lang w:val="zh-CN"/>
        </w:rPr>
        <w:t>4.3</w:t>
      </w:r>
      <w:r>
        <w:rPr>
          <w:rFonts w:hint="default" w:ascii="宋体" w:hAnsi="宋体" w:eastAsia="宋体" w:cs="宋体"/>
          <w:snapToGrid/>
          <w:color w:val="auto"/>
          <w:kern w:val="2"/>
          <w:sz w:val="24"/>
        </w:rPr>
        <w:t>.6询问或者质疑事项可能影响采购结果的，采购人应当暂停签订合同，已经签订合同的，应当中止履行合同。</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lang w:val="zh-CN"/>
        </w:rPr>
      </w:pPr>
      <w:r>
        <w:rPr>
          <w:rFonts w:hint="default" w:ascii="宋体" w:hAnsi="宋体" w:eastAsia="宋体" w:cs="宋体"/>
          <w:snapToGrid/>
          <w:color w:val="auto"/>
          <w:kern w:val="2"/>
          <w:sz w:val="24"/>
          <w:lang w:val="zh-CN"/>
        </w:rPr>
        <w:t>4.4供应商投诉</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rPr>
      </w:pPr>
      <w:r>
        <w:rPr>
          <w:rFonts w:hint="default" w:ascii="宋体" w:hAnsi="宋体" w:eastAsia="宋体" w:cs="宋体"/>
          <w:snapToGrid/>
          <w:color w:val="auto"/>
          <w:kern w:val="2"/>
          <w:sz w:val="24"/>
        </w:rPr>
        <w:t>4.4.1质疑供应商对采购人、</w:t>
      </w:r>
      <w:r>
        <w:rPr>
          <w:rFonts w:hint="default" w:ascii="宋体" w:hAnsi="宋体" w:eastAsia="宋体" w:cs="宋体"/>
          <w:snapToGrid/>
          <w:color w:val="auto"/>
          <w:kern w:val="2"/>
          <w:sz w:val="24"/>
          <w:lang w:eastAsia="zh-CN"/>
        </w:rPr>
        <w:t>采购代理机构</w:t>
      </w:r>
      <w:r>
        <w:rPr>
          <w:rFonts w:hint="default" w:ascii="宋体" w:hAnsi="宋体" w:eastAsia="宋体" w:cs="宋体"/>
          <w:snapToGrid/>
          <w:color w:val="auto"/>
          <w:kern w:val="2"/>
          <w:sz w:val="24"/>
        </w:rPr>
        <w:t>的答复不满意或者采购人、</w:t>
      </w:r>
      <w:r>
        <w:rPr>
          <w:rFonts w:hint="default" w:ascii="宋体" w:hAnsi="宋体" w:eastAsia="宋体" w:cs="宋体"/>
          <w:snapToGrid/>
          <w:color w:val="auto"/>
          <w:kern w:val="2"/>
          <w:sz w:val="24"/>
          <w:lang w:eastAsia="zh-CN"/>
        </w:rPr>
        <w:t>采购代理机构</w:t>
      </w:r>
      <w:r>
        <w:rPr>
          <w:rFonts w:hint="default" w:ascii="宋体" w:hAnsi="宋体" w:eastAsia="宋体" w:cs="宋体"/>
          <w:snapToGrid/>
          <w:color w:val="auto"/>
          <w:kern w:val="2"/>
          <w:sz w:val="24"/>
        </w:rPr>
        <w:t>未在规定的时间内作出答复的，可以在答复期满后十五个工作日内向同级政府采购监督管理部门提出投诉。</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rPr>
      </w:pPr>
      <w:r>
        <w:rPr>
          <w:rFonts w:hint="default" w:ascii="宋体" w:hAnsi="宋体" w:eastAsia="宋体" w:cs="宋体"/>
          <w:snapToGrid/>
          <w:color w:val="auto"/>
          <w:kern w:val="2"/>
          <w:sz w:val="24"/>
        </w:rPr>
        <w:t>4.4.</w:t>
      </w:r>
      <w:r>
        <w:rPr>
          <w:rFonts w:hint="default" w:ascii="宋体" w:hAnsi="宋体" w:eastAsia="宋体" w:cs="宋体"/>
          <w:snapToGrid/>
          <w:color w:val="auto"/>
          <w:kern w:val="2"/>
          <w:sz w:val="24"/>
          <w:lang w:val="zh-CN"/>
        </w:rPr>
        <w:t>2</w:t>
      </w:r>
      <w:r>
        <w:rPr>
          <w:rFonts w:hint="default" w:ascii="宋体" w:hAnsi="宋体" w:eastAsia="宋体" w:cs="宋体"/>
          <w:snapToGrid/>
          <w:color w:val="auto"/>
          <w:kern w:val="2"/>
          <w:sz w:val="24"/>
        </w:rPr>
        <w:t>供应商投诉的事项不得超出已质疑事项的范围，基于质疑答复内容提出的投诉事项除外。</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rPr>
      </w:pPr>
      <w:r>
        <w:rPr>
          <w:rFonts w:hint="default" w:ascii="宋体" w:hAnsi="宋体" w:eastAsia="宋体" w:cs="宋体"/>
          <w:snapToGrid/>
          <w:color w:val="auto"/>
          <w:kern w:val="2"/>
          <w:sz w:val="24"/>
        </w:rPr>
        <w:t>4.4.3供应商投诉应当有明确的请求和必要的证明材料。</w:t>
      </w:r>
    </w:p>
    <w:p>
      <w:pPr>
        <w:pStyle w:val="6"/>
        <w:shd w:val="clear" w:color="auto" w:fill="FFFFFF"/>
        <w:adjustRightInd w:val="0"/>
        <w:snapToGrid w:val="0"/>
        <w:spacing w:before="0" w:beforeAutospacing="0" w:after="0" w:afterAutospacing="0" w:line="360" w:lineRule="auto"/>
        <w:ind w:firstLine="480" w:firstLineChars="200"/>
        <w:contextualSpacing/>
        <w:rPr>
          <w:rFonts w:ascii="宋体" w:hAnsi="宋体" w:eastAsia="宋体" w:cs="宋体"/>
          <w:snapToGrid/>
          <w:color w:val="auto"/>
          <w:kern w:val="2"/>
          <w:sz w:val="24"/>
        </w:rPr>
      </w:pPr>
      <w:r>
        <w:rPr>
          <w:rFonts w:hint="default" w:ascii="宋体" w:hAnsi="宋体" w:eastAsia="宋体" w:cs="宋体"/>
          <w:snapToGrid/>
          <w:color w:val="auto"/>
          <w:kern w:val="2"/>
          <w:sz w:val="24"/>
        </w:rPr>
        <w:t>4.4.4以联合体形式参加政府采购活动的，其投诉应当由组成联合体的所有供应商共同提出。</w:t>
      </w:r>
    </w:p>
    <w:p>
      <w:pPr>
        <w:pStyle w:val="6"/>
        <w:shd w:val="clear" w:color="auto" w:fill="FFFFFF"/>
        <w:snapToGrid w:val="0"/>
        <w:spacing w:after="240" w:afterAutospacing="0" w:line="360" w:lineRule="auto"/>
        <w:ind w:firstLine="480" w:firstLineChars="200"/>
        <w:contextualSpacing/>
        <w:rPr>
          <w:rFonts w:hint="default" w:ascii="宋体" w:hAnsi="宋体" w:eastAsia="宋体" w:cs="宋体"/>
          <w:snapToGrid/>
          <w:color w:val="auto"/>
          <w:kern w:val="2"/>
          <w:sz w:val="24"/>
          <w:lang w:val="zh-CN"/>
        </w:rPr>
      </w:pPr>
      <w:r>
        <w:rPr>
          <w:rFonts w:hint="default" w:ascii="宋体" w:hAnsi="宋体" w:eastAsia="宋体" w:cs="宋体"/>
          <w:snapToGrid/>
          <w:color w:val="auto"/>
          <w:kern w:val="2"/>
          <w:sz w:val="24"/>
        </w:rPr>
        <w:t>4.</w:t>
      </w:r>
      <w:r>
        <w:rPr>
          <w:rFonts w:hint="default" w:ascii="宋体" w:hAnsi="宋体" w:eastAsia="宋体" w:cs="宋体"/>
          <w:snapToGrid/>
          <w:color w:val="auto"/>
          <w:kern w:val="2"/>
          <w:sz w:val="24"/>
          <w:lang w:val="en-US" w:eastAsia="zh-CN"/>
        </w:rPr>
        <w:t>4</w:t>
      </w:r>
      <w:r>
        <w:rPr>
          <w:rFonts w:hint="default" w:ascii="宋体" w:hAnsi="宋体" w:eastAsia="宋体" w:cs="宋体"/>
          <w:snapToGrid/>
          <w:color w:val="auto"/>
          <w:kern w:val="2"/>
          <w:sz w:val="24"/>
        </w:rPr>
        <w:t>.5</w:t>
      </w:r>
      <w:r>
        <w:rPr>
          <w:rFonts w:hint="default" w:ascii="宋体" w:hAnsi="宋体" w:eastAsia="宋体" w:cs="宋体"/>
          <w:snapToGrid/>
          <w:color w:val="auto"/>
          <w:kern w:val="2"/>
          <w:sz w:val="24"/>
          <w:szCs w:val="20"/>
          <w:highlight w:val="none"/>
        </w:rPr>
        <w:t xml:space="preserve">投诉材料寄送相关信息详见《第一部分  </w:t>
      </w:r>
      <w:r>
        <w:rPr>
          <w:rFonts w:hint="default" w:ascii="宋体" w:hAnsi="宋体" w:eastAsia="宋体" w:cs="宋体"/>
          <w:snapToGrid/>
          <w:color w:val="auto"/>
          <w:kern w:val="2"/>
          <w:sz w:val="24"/>
          <w:szCs w:val="20"/>
          <w:highlight w:val="none"/>
          <w:lang w:val="en-US" w:eastAsia="zh-CN"/>
        </w:rPr>
        <w:t>竞争性磋商公告</w:t>
      </w:r>
      <w:r>
        <w:rPr>
          <w:rFonts w:hint="default" w:ascii="宋体" w:hAnsi="宋体" w:eastAsia="宋体" w:cs="宋体"/>
          <w:snapToGrid/>
          <w:color w:val="auto"/>
          <w:kern w:val="2"/>
          <w:sz w:val="24"/>
          <w:szCs w:val="20"/>
          <w:highlight w:val="none"/>
        </w:rPr>
        <w:t>》</w:t>
      </w:r>
      <w:r>
        <w:rPr>
          <w:rFonts w:hint="default" w:ascii="宋体" w:hAnsi="宋体" w:eastAsia="宋体" w:cs="宋体"/>
          <w:snapToGrid/>
          <w:color w:val="auto"/>
          <w:kern w:val="2"/>
          <w:sz w:val="24"/>
          <w:szCs w:val="20"/>
          <w:lang w:eastAsia="zh-CN"/>
        </w:rPr>
        <w:t>。</w:t>
      </w:r>
    </w:p>
    <w:p>
      <w:pPr>
        <w:pStyle w:val="6"/>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napToGrid/>
          <w:color w:val="auto"/>
          <w:kern w:val="2"/>
          <w:sz w:val="24"/>
        </w:rPr>
      </w:pPr>
      <w:r>
        <w:rPr>
          <w:rFonts w:hint="default" w:ascii="宋体" w:hAnsi="宋体" w:eastAsia="宋体" w:cs="宋体"/>
          <w:snapToGrid/>
          <w:color w:val="auto"/>
          <w:kern w:val="2"/>
          <w:sz w:val="24"/>
        </w:rPr>
        <w:t>投诉书范本及制作说明详见附件3。</w:t>
      </w:r>
    </w:p>
    <w:p>
      <w:pPr>
        <w:pStyle w:val="131"/>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bookmarkStart w:id="26" w:name="_Toc23560"/>
      <w:r>
        <w:rPr>
          <w:rFonts w:hint="eastAsia" w:ascii="宋体" w:hAnsi="宋体" w:cs="宋体"/>
          <w:b/>
          <w:sz w:val="32"/>
          <w:szCs w:val="20"/>
        </w:rPr>
        <w:t>二、采购文件的构成、澄清、修改</w:t>
      </w:r>
      <w:bookmarkEnd w:id="26"/>
    </w:p>
    <w:p>
      <w:pPr>
        <w:pStyle w:val="34"/>
        <w:spacing w:line="360" w:lineRule="auto"/>
        <w:rPr>
          <w:rFonts w:hAnsi="宋体" w:cs="宋体"/>
          <w:b/>
          <w:sz w:val="24"/>
          <w:szCs w:val="24"/>
        </w:rPr>
      </w:pPr>
      <w:r>
        <w:rPr>
          <w:rFonts w:hint="eastAsia" w:hAnsi="宋体" w:cs="宋体"/>
          <w:b/>
          <w:sz w:val="24"/>
          <w:szCs w:val="24"/>
        </w:rPr>
        <w:t>5．采购文件的构成</w:t>
      </w:r>
    </w:p>
    <w:p>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采购文件的澄清、修改</w:t>
      </w:r>
    </w:p>
    <w:p>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pPr>
        <w:pStyle w:val="131"/>
        <w:kinsoku/>
        <w:wordWrap/>
        <w:overflowPunct/>
        <w:topLinePunct w:val="0"/>
        <w:bidi w:val="0"/>
        <w:snapToGrid w:val="0"/>
        <w:spacing w:before="0"/>
        <w:ind w:firstLine="482"/>
        <w:outlineLvl w:val="9"/>
        <w:rPr>
          <w:rFonts w:hint="eastAsia" w:ascii="宋体" w:hAnsi="宋体" w:eastAsia="宋体" w:cs="宋体"/>
          <w:color w:val="auto"/>
          <w:highlight w:val="none"/>
        </w:rPr>
      </w:pPr>
      <w:r>
        <w:rPr>
          <w:rFonts w:hint="eastAsia" w:ascii="宋体" w:hAnsi="宋体" w:cs="宋体"/>
          <w:b/>
        </w:rPr>
        <w:t>▲</w:t>
      </w:r>
      <w:r>
        <w:rPr>
          <w:rFonts w:hint="eastAsia" w:ascii="宋体" w:hAnsi="宋体" w:cs="宋体"/>
          <w:b/>
          <w:szCs w:val="21"/>
        </w:rPr>
        <w:t>响应文件未按</w:t>
      </w:r>
      <w:r>
        <w:rPr>
          <w:rFonts w:hint="eastAsia" w:ascii="宋体" w:hAnsi="宋体" w:cs="宋体"/>
        </w:rPr>
        <w:t>磋商</w:t>
      </w:r>
      <w:r>
        <w:rPr>
          <w:rFonts w:hint="eastAsia" w:ascii="宋体" w:hAnsi="宋体" w:cs="宋体"/>
          <w:b/>
          <w:szCs w:val="21"/>
        </w:rPr>
        <w:t>文件的澄清、修改的内容编制，又不符合实质性要求的，响应无效。</w:t>
      </w:r>
    </w:p>
    <w:p>
      <w:pPr>
        <w:pStyle w:val="24"/>
        <w:rPr>
          <w:rFonts w:hAnsi="宋体" w:cs="宋体"/>
          <w:sz w:val="18"/>
          <w:szCs w:val="18"/>
          <w:lang w:val="en-US"/>
        </w:rPr>
      </w:pPr>
    </w:p>
    <w:p>
      <w:pPr>
        <w:snapToGrid w:val="0"/>
        <w:spacing w:line="360" w:lineRule="auto"/>
        <w:jc w:val="center"/>
        <w:outlineLvl w:val="0"/>
        <w:rPr>
          <w:rFonts w:ascii="宋体" w:hAnsi="宋体" w:cs="宋体"/>
          <w:b/>
          <w:sz w:val="32"/>
          <w:szCs w:val="20"/>
        </w:rPr>
      </w:pPr>
      <w:bookmarkStart w:id="27" w:name="_Toc20041"/>
      <w:r>
        <w:rPr>
          <w:rFonts w:hint="eastAsia" w:ascii="宋体" w:hAnsi="宋体" w:cs="宋体"/>
          <w:b/>
          <w:sz w:val="32"/>
          <w:szCs w:val="20"/>
        </w:rPr>
        <w:t>三、提交响应文件</w:t>
      </w:r>
      <w:bookmarkEnd w:id="27"/>
    </w:p>
    <w:p>
      <w:pPr>
        <w:pStyle w:val="34"/>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4"/>
        <w:numPr>
          <w:ilvl w:val="0"/>
          <w:numId w:val="3"/>
        </w:numPr>
        <w:spacing w:line="360" w:lineRule="auto"/>
        <w:rPr>
          <w:rFonts w:hAnsi="宋体" w:cs="宋体"/>
          <w:b/>
          <w:sz w:val="24"/>
          <w:szCs w:val="24"/>
        </w:rPr>
      </w:pPr>
      <w:r>
        <w:rPr>
          <w:rFonts w:hint="eastAsia" w:hAnsi="宋体" w:cs="宋体"/>
          <w:b/>
          <w:sz w:val="24"/>
          <w:szCs w:val="24"/>
        </w:rPr>
        <w:t>磋商前答疑会或现场考察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4"/>
        <w:numPr>
          <w:ilvl w:val="0"/>
          <w:numId w:val="3"/>
        </w:numPr>
        <w:spacing w:line="360" w:lineRule="auto"/>
        <w:ind w:left="0" w:leftChars="0" w:firstLine="0" w:firstLineChars="0"/>
        <w:rPr>
          <w:rFonts w:hAnsi="宋体" w:cs="宋体"/>
          <w:b/>
          <w:szCs w:val="24"/>
        </w:rPr>
      </w:pPr>
      <w:r>
        <w:rPr>
          <w:rFonts w:hint="eastAsia" w:hAnsi="宋体" w:cs="宋体"/>
          <w:b/>
          <w:kern w:val="28"/>
          <w:sz w:val="24"/>
          <w:szCs w:val="24"/>
        </w:rPr>
        <w:t>磋商保证金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4"/>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8" w:name="_Hlk101259339"/>
      <w:r>
        <w:rPr>
          <w:rFonts w:hint="eastAsia" w:ascii="宋体" w:hAnsi="宋体" w:cs="宋体"/>
          <w:snapToGrid w:val="0"/>
          <w:kern w:val="28"/>
          <w:sz w:val="24"/>
          <w:szCs w:val="20"/>
        </w:rPr>
        <w:t>联合协议</w:t>
      </w:r>
      <w:bookmarkStart w:id="29" w:name="_Hlk101257010"/>
      <w:r>
        <w:rPr>
          <w:rFonts w:hint="eastAsia" w:ascii="宋体" w:hAnsi="宋体" w:cs="宋体"/>
          <w:snapToGrid w:val="0"/>
          <w:kern w:val="28"/>
          <w:sz w:val="24"/>
          <w:szCs w:val="20"/>
        </w:rPr>
        <w:t>（如果有</w:t>
      </w:r>
      <w:bookmarkEnd w:id="28"/>
      <w:bookmarkEnd w:id="29"/>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napToGrid w:val="0"/>
          <w:kern w:val="28"/>
          <w:sz w:val="24"/>
          <w:szCs w:val="20"/>
          <w:lang w:eastAsia="zh-CN"/>
        </w:rPr>
        <w:t>）</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napToGrid w:val="0"/>
          <w:kern w:val="28"/>
          <w:sz w:val="24"/>
          <w:szCs w:val="20"/>
          <w:lang w:eastAsia="zh-CN"/>
        </w:rPr>
        <w:t>）</w:t>
      </w:r>
      <w:r>
        <w:rPr>
          <w:rFonts w:hint="eastAsia" w:ascii="宋体" w:hAnsi="宋体" w:cs="宋体"/>
          <w:sz w:val="24"/>
        </w:rPr>
        <w:t>。</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2商务技术</w:t>
      </w:r>
      <w:r>
        <w:rPr>
          <w:rFonts w:hint="eastAsia" w:ascii="宋体" w:hAnsi="宋体" w:eastAsia="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napToGrid w:val="0"/>
          <w:kern w:val="28"/>
          <w:sz w:val="24"/>
          <w:szCs w:val="20"/>
          <w:lang w:eastAsia="zh-CN"/>
        </w:rPr>
        <w:t>）</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11.3报价文件：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pPr>
        <w:adjustRightInd w:val="0"/>
        <w:snapToGrid w:val="0"/>
        <w:spacing w:line="360" w:lineRule="auto"/>
        <w:ind w:left="0" w:firstLine="964" w:firstLineChars="400"/>
        <w:rPr>
          <w:rFonts w:hint="eastAsia" w:ascii="宋体" w:hAnsi="宋体" w:eastAsia="宋体" w:cs="宋体"/>
          <w:b/>
          <w:bCs/>
          <w:color w:val="auto"/>
          <w:sz w:val="24"/>
        </w:rPr>
      </w:pPr>
      <w:r>
        <w:rPr>
          <w:rFonts w:hint="eastAsia" w:ascii="宋体" w:hAnsi="宋体" w:eastAsia="宋体" w:cs="宋体"/>
          <w:b/>
          <w:bCs/>
          <w:color w:val="auto"/>
          <w:sz w:val="24"/>
          <w:szCs w:val="24"/>
          <w:lang w:val="en-US"/>
        </w:rPr>
        <w:t>11.3.</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rPr>
        <w:t>报价情况说明（如供应商报价低于项目预算50%的，应当提交本文档，详细阐述不影响</w:t>
      </w:r>
      <w:r>
        <w:rPr>
          <w:rFonts w:hint="eastAsia" w:ascii="宋体" w:hAnsi="宋体" w:cs="宋体"/>
          <w:b/>
          <w:bCs/>
          <w:color w:val="auto"/>
          <w:sz w:val="24"/>
          <w:szCs w:val="24"/>
          <w:lang w:val="en-US" w:eastAsia="zh-CN"/>
        </w:rPr>
        <w:t>工程</w:t>
      </w:r>
      <w:r>
        <w:rPr>
          <w:rFonts w:hint="eastAsia" w:ascii="宋体" w:hAnsi="宋体" w:eastAsia="宋体" w:cs="宋体"/>
          <w:b/>
          <w:bCs/>
          <w:color w:val="auto"/>
          <w:sz w:val="24"/>
          <w:szCs w:val="24"/>
          <w:lang w:val="en-US"/>
        </w:rPr>
        <w:t>质量或者诚信履约的具体原因</w:t>
      </w:r>
      <w:r>
        <w:rPr>
          <w:rFonts w:hint="eastAsia" w:ascii="宋体" w:hAnsi="宋体" w:eastAsia="宋体" w:cs="宋体"/>
          <w:b/>
          <w:bCs/>
          <w:color w:val="auto"/>
          <w:sz w:val="24"/>
          <w:szCs w:val="24"/>
          <w:lang w:val="en-US" w:eastAsia="zh-CN"/>
        </w:rPr>
        <w:t>）。</w:t>
      </w:r>
    </w:p>
    <w:p>
      <w:pPr>
        <w:snapToGrid w:val="0"/>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lang w:val="en-US" w:eastAsia="zh-CN"/>
        </w:rPr>
        <w:t>11.4其他：</w:t>
      </w:r>
    </w:p>
    <w:p>
      <w:pPr>
        <w:spacing w:line="360" w:lineRule="auto"/>
        <w:ind w:firstLine="964" w:firstLineChars="400"/>
        <w:rPr>
          <w:rFonts w:ascii="宋体" w:hAnsi="宋体" w:cs="宋体"/>
          <w:b/>
          <w:sz w:val="24"/>
        </w:rPr>
      </w:pPr>
      <w:r>
        <w:rPr>
          <w:rFonts w:hint="eastAsia" w:ascii="宋体" w:hAnsi="宋体" w:cs="宋体"/>
          <w:b/>
          <w:sz w:val="24"/>
          <w:lang w:val="en-US" w:eastAsia="zh-CN"/>
        </w:rPr>
        <w:t>11.4.1</w:t>
      </w:r>
      <w:r>
        <w:rPr>
          <w:rFonts w:hint="eastAsia" w:ascii="宋体" w:hAnsi="宋体" w:cs="宋体"/>
          <w:b/>
          <w:sz w:val="24"/>
        </w:rPr>
        <w:t>响应文件含有采购人不能接受的附加条件的，响应文件无效；</w:t>
      </w:r>
    </w:p>
    <w:p>
      <w:pPr>
        <w:spacing w:line="360" w:lineRule="auto"/>
        <w:ind w:firstLine="964" w:firstLineChars="400"/>
        <w:rPr>
          <w:rFonts w:hint="eastAsia" w:ascii="宋体" w:hAnsi="宋体" w:eastAsia="宋体" w:cs="宋体"/>
          <w:b/>
          <w:sz w:val="24"/>
          <w:lang w:eastAsia="zh-CN"/>
        </w:rPr>
      </w:pPr>
      <w:r>
        <w:rPr>
          <w:rFonts w:hint="eastAsia" w:ascii="宋体" w:hAnsi="宋体" w:cs="宋体"/>
          <w:b/>
          <w:sz w:val="24"/>
          <w:lang w:val="en-US" w:eastAsia="zh-CN"/>
        </w:rPr>
        <w:t>11.4.2</w:t>
      </w:r>
      <w:r>
        <w:rPr>
          <w:rFonts w:hint="eastAsia" w:ascii="宋体" w:hAnsi="宋体" w:cs="宋体"/>
          <w:b/>
          <w:sz w:val="24"/>
        </w:rPr>
        <w:t>供应商提供虚假材料的，响应文件无效</w:t>
      </w:r>
      <w:r>
        <w:rPr>
          <w:rFonts w:hint="eastAsia" w:ascii="宋体" w:hAnsi="宋体" w:cs="宋体"/>
          <w:b/>
          <w:sz w:val="24"/>
          <w:lang w:eastAsia="zh-CN"/>
        </w:rPr>
        <w:t>；</w:t>
      </w:r>
    </w:p>
    <w:p>
      <w:pPr>
        <w:spacing w:line="360" w:lineRule="auto"/>
        <w:ind w:firstLine="964" w:firstLineChars="400"/>
        <w:rPr>
          <w:rFonts w:hint="eastAsia" w:ascii="宋体" w:hAnsi="宋体" w:cs="宋体"/>
          <w:b/>
          <w:color w:val="auto"/>
          <w:sz w:val="24"/>
        </w:rPr>
      </w:pPr>
      <w:r>
        <w:rPr>
          <w:rFonts w:hint="eastAsia" w:ascii="宋体" w:hAnsi="宋体" w:cs="宋体"/>
          <w:b/>
          <w:color w:val="auto"/>
          <w:sz w:val="24"/>
          <w:szCs w:val="24"/>
          <w:shd w:val="clear" w:color="auto" w:fill="auto"/>
          <w:lang w:val="en-US" w:eastAsia="zh-CN"/>
        </w:rPr>
        <w:t>11.4.3供应商应对响应文件中材料的真实性、合法性负责。</w:t>
      </w:r>
    </w:p>
    <w:p>
      <w:pPr>
        <w:pStyle w:val="131"/>
        <w:snapToGrid w:val="0"/>
        <w:spacing w:before="0"/>
        <w:ind w:firstLine="0" w:firstLineChars="0"/>
        <w:outlineLvl w:val="0"/>
        <w:rPr>
          <w:rFonts w:ascii="宋体" w:hAnsi="宋体" w:cs="宋体"/>
          <w:b/>
          <w:szCs w:val="24"/>
        </w:rPr>
      </w:pPr>
      <w:bookmarkStart w:id="30" w:name="_Toc8589"/>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bookmarkEnd w:id="30"/>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4"/>
        </w:numPr>
        <w:snapToGrid w:val="0"/>
        <w:spacing w:line="360" w:lineRule="auto"/>
        <w:rPr>
          <w:rFonts w:ascii="宋体" w:hAnsi="宋体" w:cs="宋体"/>
          <w:b/>
          <w:sz w:val="24"/>
        </w:rPr>
      </w:pPr>
      <w:r>
        <w:rPr>
          <w:rFonts w:hint="eastAsia" w:ascii="宋体" w:hAnsi="宋体" w:cs="宋体"/>
          <w:b/>
          <w:sz w:val="24"/>
        </w:rPr>
        <w:t>响应文件的签署、盖章</w:t>
      </w:r>
    </w:p>
    <w:p>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numPr>
          <w:ilvl w:val="0"/>
          <w:numId w:val="4"/>
        </w:numPr>
        <w:snapToGrid w:val="0"/>
        <w:spacing w:line="360" w:lineRule="auto"/>
        <w:rPr>
          <w:rFonts w:hint="eastAsia" w:ascii="宋体" w:hAnsi="宋体" w:eastAsia="宋体" w:cs="宋体"/>
          <w:b/>
          <w:sz w:val="24"/>
        </w:rPr>
      </w:pPr>
      <w:r>
        <w:rPr>
          <w:rFonts w:hint="eastAsia" w:ascii="宋体" w:hAnsi="宋体" w:eastAsia="宋体" w:cs="宋体"/>
          <w:b/>
          <w:sz w:val="24"/>
        </w:rPr>
        <w:t>响应文件的提交、补充、修改、撤回</w:t>
      </w:r>
    </w:p>
    <w:p>
      <w:pPr>
        <w:pStyle w:val="131"/>
        <w:snapToGrid w:val="0"/>
        <w:spacing w:before="0"/>
        <w:ind w:firstLine="480"/>
        <w:rPr>
          <w:rFonts w:ascii="宋体" w:hAnsi="宋体" w:cs="宋体"/>
          <w:szCs w:val="24"/>
        </w:rPr>
      </w:pPr>
      <w:r>
        <w:rPr>
          <w:rFonts w:hint="eastAsia" w:ascii="宋体" w:hAnsi="宋体" w:cs="宋体"/>
          <w:szCs w:val="24"/>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14.2 在响应截止时间以后，不能补充、修改响应文件。</w:t>
      </w:r>
    </w:p>
    <w:p>
      <w:pPr>
        <w:pStyle w:val="131"/>
        <w:kinsoku/>
        <w:wordWrap/>
        <w:overflowPunct/>
        <w:topLinePunct w:val="0"/>
        <w:bidi w:val="0"/>
        <w:snapToGrid w:val="0"/>
        <w:spacing w:before="0"/>
        <w:ind w:firstLine="480"/>
        <w:outlineLvl w:val="9"/>
        <w:rPr>
          <w:rFonts w:hint="eastAsia" w:ascii="宋体" w:hAnsi="宋体" w:cs="宋体"/>
          <w:szCs w:val="24"/>
        </w:rPr>
      </w:pPr>
      <w:r>
        <w:rPr>
          <w:rFonts w:hint="eastAsia" w:ascii="宋体" w:hAnsi="宋体" w:cs="宋体"/>
          <w:szCs w:val="24"/>
        </w:rPr>
        <w:t>14.3 在提交“最后报价”后，供应商不能退出磋商。</w:t>
      </w:r>
    </w:p>
    <w:p>
      <w:pPr>
        <w:pStyle w:val="131"/>
        <w:snapToGrid w:val="0"/>
        <w:spacing w:before="0"/>
        <w:ind w:firstLine="480"/>
        <w:rPr>
          <w:rFonts w:ascii="宋体" w:hAnsi="宋体" w:cs="宋体"/>
          <w:szCs w:val="24"/>
        </w:rPr>
      </w:pPr>
      <w:r>
        <w:rPr>
          <w:rFonts w:hint="eastAsia" w:ascii="宋体" w:hAnsi="宋体" w:cs="宋体"/>
          <w:szCs w:val="24"/>
        </w:rPr>
        <w:t>14.</w:t>
      </w:r>
      <w:r>
        <w:rPr>
          <w:rFonts w:hint="eastAsia" w:ascii="宋体" w:hAnsi="宋体" w:cs="宋体"/>
          <w:szCs w:val="24"/>
          <w:lang w:val="en-US" w:eastAsia="zh-CN"/>
        </w:rPr>
        <w:t>4</w:t>
      </w:r>
      <w:r>
        <w:rPr>
          <w:rFonts w:hint="eastAsia" w:ascii="宋体" w:hAnsi="宋体" w:cs="宋体"/>
          <w:szCs w:val="24"/>
        </w:rPr>
        <w:t>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szCs w:val="24"/>
        </w:rPr>
      </w:pPr>
      <w:r>
        <w:rPr>
          <w:rFonts w:hint="eastAsia" w:ascii="宋体" w:hAnsi="宋体" w:cs="宋体"/>
          <w:szCs w:val="24"/>
        </w:rPr>
        <w:t>14.</w:t>
      </w:r>
      <w:r>
        <w:rPr>
          <w:rFonts w:hint="eastAsia" w:ascii="宋体" w:hAnsi="宋体" w:cs="宋体"/>
          <w:szCs w:val="24"/>
          <w:lang w:val="en-US" w:eastAsia="zh-CN"/>
        </w:rPr>
        <w:t>5</w:t>
      </w:r>
      <w:r>
        <w:rPr>
          <w:rFonts w:hint="eastAsia" w:ascii="宋体" w:hAnsi="宋体" w:cs="宋体"/>
          <w:szCs w:val="24"/>
        </w:rPr>
        <w:t>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pPr>
        <w:pStyle w:val="34"/>
        <w:numPr>
          <w:ilvl w:val="0"/>
          <w:numId w:val="4"/>
        </w:numPr>
        <w:snapToGrid w:val="0"/>
        <w:spacing w:line="360" w:lineRule="auto"/>
        <w:ind w:left="0" w:leftChars="0" w:firstLine="0" w:firstLineChars="0"/>
        <w:rPr>
          <w:rFonts w:hAnsi="宋体" w:cs="宋体"/>
          <w:b/>
          <w:sz w:val="24"/>
          <w:szCs w:val="24"/>
        </w:rPr>
      </w:pPr>
      <w:r>
        <w:rPr>
          <w:rFonts w:hint="eastAsia" w:hAnsi="宋体" w:cs="宋体"/>
          <w:b/>
          <w:sz w:val="24"/>
          <w:szCs w:val="24"/>
        </w:rPr>
        <w:t>备份响应文件</w:t>
      </w:r>
    </w:p>
    <w:p>
      <w:pPr>
        <w:pStyle w:val="34"/>
        <w:snapToGrid w:val="0"/>
        <w:spacing w:line="360" w:lineRule="auto"/>
        <w:ind w:firstLine="360" w:firstLineChars="150"/>
        <w:rPr>
          <w:rFonts w:hAnsi="宋体" w:cs="宋体"/>
          <w:b/>
          <w:sz w:val="24"/>
          <w:szCs w:val="24"/>
        </w:rPr>
      </w:pPr>
      <w:r>
        <w:rPr>
          <w:rFonts w:hint="eastAsia" w:hAnsi="宋体" w:cs="宋体"/>
          <w:sz w:val="24"/>
          <w:szCs w:val="24"/>
          <w:lang w:val="en-US" w:eastAsia="zh-CN"/>
        </w:rPr>
        <w:t>15</w:t>
      </w:r>
      <w:r>
        <w:rPr>
          <w:rFonts w:hint="eastAsia" w:hAnsi="宋体" w:cs="宋体"/>
          <w:sz w:val="24"/>
          <w:szCs w:val="24"/>
        </w:rPr>
        <w:t>.1供应商在电子交易平台传输递交响应文件后，还可以在响应文件提交（上传）截止时间前直接提交或者以邮政快递方式递交备份响应文件1份，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pPr>
        <w:pStyle w:val="34"/>
        <w:snapToGrid w:val="0"/>
        <w:spacing w:line="360" w:lineRule="auto"/>
        <w:ind w:firstLine="480" w:firstLineChars="200"/>
        <w:rPr>
          <w:rFonts w:hAnsi="宋体" w:cs="宋体"/>
          <w:b/>
          <w:sz w:val="24"/>
          <w:szCs w:val="24"/>
        </w:rPr>
      </w:pPr>
      <w:r>
        <w:rPr>
          <w:rFonts w:hint="eastAsia" w:hAnsi="宋体" w:cs="宋体"/>
          <w:sz w:val="24"/>
          <w:szCs w:val="24"/>
          <w:lang w:val="en-US" w:eastAsia="zh-CN"/>
        </w:rPr>
        <w:t>15</w:t>
      </w:r>
      <w:r>
        <w:rPr>
          <w:rFonts w:hint="eastAsia" w:hAnsi="宋体" w:cs="宋体"/>
          <w:sz w:val="24"/>
          <w:szCs w:val="24"/>
        </w:rPr>
        <w:t>.2备份响应文件须在“政采云投标客户端”制作生成，并储存在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4"/>
        <w:snapToGrid w:val="0"/>
        <w:spacing w:line="360" w:lineRule="auto"/>
        <w:ind w:firstLine="480" w:firstLineChars="200"/>
        <w:rPr>
          <w:rFonts w:hAnsi="宋体" w:cs="宋体"/>
          <w:sz w:val="24"/>
          <w:szCs w:val="24"/>
        </w:rPr>
      </w:pPr>
      <w:r>
        <w:rPr>
          <w:rFonts w:hint="eastAsia" w:hAnsi="宋体" w:cs="宋体"/>
          <w:sz w:val="24"/>
          <w:szCs w:val="24"/>
          <w:lang w:val="en-US" w:eastAsia="zh-CN"/>
        </w:rPr>
        <w:t>15</w:t>
      </w:r>
      <w:r>
        <w:rPr>
          <w:rFonts w:hint="eastAsia" w:hAnsi="宋体" w:cs="宋体"/>
          <w:sz w:val="24"/>
          <w:szCs w:val="24"/>
        </w:rPr>
        <w:t>.3直接提交备份响应文件的，供应商应于响应文件提交（上传）截止时间前在竞争性磋商公告中载明的响应文件开启地点将备份响应文件提交给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pPr>
        <w:pStyle w:val="34"/>
        <w:snapToGrid w:val="0"/>
        <w:spacing w:line="360" w:lineRule="auto"/>
        <w:ind w:firstLine="480" w:firstLineChars="200"/>
        <w:rPr>
          <w:rFonts w:hAnsi="宋体" w:cs="宋体"/>
          <w:sz w:val="24"/>
          <w:szCs w:val="24"/>
        </w:rPr>
      </w:pPr>
      <w:r>
        <w:rPr>
          <w:rFonts w:hint="eastAsia" w:hAnsi="宋体" w:cs="宋体"/>
          <w:sz w:val="24"/>
          <w:szCs w:val="24"/>
          <w:lang w:val="en-US" w:eastAsia="zh-CN"/>
        </w:rPr>
        <w:t>15</w:t>
      </w:r>
      <w:r>
        <w:rPr>
          <w:rFonts w:hint="eastAsia" w:hAnsi="宋体" w:cs="宋体"/>
          <w:sz w:val="24"/>
          <w:szCs w:val="24"/>
        </w:rPr>
        <w:t>.4以邮政快递方式递交备份响应文件的，供应商应先将备份响应文件按要求密封和标记，再进行邮政快递包装后邮寄。备份响应文件须在响应文件提交（上传）截止时间之前送达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sz w:val="24"/>
          <w:szCs w:val="24"/>
        </w:rPr>
      </w:pPr>
      <w:r>
        <w:rPr>
          <w:rFonts w:hint="eastAsia" w:hAnsi="宋体" w:cs="宋体"/>
          <w:b/>
          <w:sz w:val="24"/>
          <w:szCs w:val="24"/>
          <w:lang w:val="en-US" w:eastAsia="zh-CN"/>
        </w:rPr>
        <w:t>15</w:t>
      </w:r>
      <w:r>
        <w:rPr>
          <w:rFonts w:hint="eastAsia" w:hAnsi="宋体" w:cs="宋体"/>
          <w:b/>
          <w:sz w:val="24"/>
          <w:szCs w:val="24"/>
        </w:rPr>
        <w:t>.5供应商仅提交备份响应文件，未在电子交易平台传输递交响应文件的，响应文件无效。</w:t>
      </w:r>
    </w:p>
    <w:p>
      <w:pPr>
        <w:pStyle w:val="131"/>
        <w:numPr>
          <w:ilvl w:val="0"/>
          <w:numId w:val="4"/>
        </w:numPr>
        <w:spacing w:before="0"/>
        <w:ind w:left="0" w:leftChars="0" w:firstLine="0" w:firstLineChars="0"/>
        <w:rPr>
          <w:rFonts w:ascii="宋体" w:hAnsi="宋体" w:cs="宋体"/>
          <w:b/>
          <w:szCs w:val="24"/>
        </w:rPr>
      </w:pPr>
      <w:r>
        <w:rPr>
          <w:rFonts w:hint="eastAsia" w:ascii="宋体" w:hAnsi="宋体" w:cs="宋体"/>
          <w:b/>
          <w:szCs w:val="24"/>
        </w:rPr>
        <w:t>响应文件的无效处理</w:t>
      </w:r>
    </w:p>
    <w:p>
      <w:pPr>
        <w:pStyle w:val="2"/>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r>
        <w:rPr>
          <w:rFonts w:hint="eastAsia" w:cs="宋体"/>
          <w:szCs w:val="21"/>
          <w:lang w:eastAsia="zh-CN"/>
        </w:rPr>
        <w:t>。</w:t>
      </w:r>
    </w:p>
    <w:p>
      <w:pPr>
        <w:pStyle w:val="131"/>
        <w:numPr>
          <w:ilvl w:val="0"/>
          <w:numId w:val="4"/>
        </w:numPr>
        <w:spacing w:before="0"/>
        <w:ind w:left="0" w:leftChars="0" w:firstLine="0" w:firstLineChars="0"/>
        <w:rPr>
          <w:rFonts w:ascii="宋体" w:hAnsi="宋体" w:cs="宋体"/>
          <w:b/>
          <w:szCs w:val="24"/>
        </w:rPr>
      </w:pPr>
      <w:r>
        <w:rPr>
          <w:rFonts w:hint="eastAsia" w:ascii="宋体" w:hAnsi="宋体" w:cs="宋体"/>
          <w:b/>
          <w:szCs w:val="24"/>
        </w:rPr>
        <w:t>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bookmarkStart w:id="31" w:name="_Toc16856"/>
      <w:r>
        <w:rPr>
          <w:rFonts w:hint="eastAsia" w:ascii="宋体" w:hAnsi="宋体" w:cs="宋体"/>
          <w:b/>
          <w:sz w:val="32"/>
          <w:szCs w:val="20"/>
        </w:rPr>
        <w:t>四、响应文件开启、资格审查与信用信息查询</w:t>
      </w:r>
      <w:bookmarkEnd w:id="31"/>
    </w:p>
    <w:p>
      <w:pPr>
        <w:pStyle w:val="131"/>
        <w:numPr>
          <w:ilvl w:val="0"/>
          <w:numId w:val="4"/>
        </w:numPr>
        <w:spacing w:before="0"/>
        <w:ind w:left="0" w:leftChars="0" w:firstLine="0" w:firstLineChars="0"/>
        <w:rPr>
          <w:rFonts w:hint="eastAsia" w:ascii="宋体" w:hAnsi="宋体" w:eastAsia="宋体" w:cs="宋体"/>
          <w:b/>
          <w:szCs w:val="24"/>
        </w:rPr>
      </w:pPr>
      <w:r>
        <w:rPr>
          <w:rFonts w:hint="eastAsia" w:ascii="宋体" w:hAnsi="宋体" w:eastAsia="宋体" w:cs="宋体"/>
          <w:b/>
          <w:szCs w:val="24"/>
        </w:rPr>
        <w:t>响应文件开启</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pPr>
        <w:pStyle w:val="557"/>
        <w:snapToGrid w:val="0"/>
        <w:spacing w:before="0" w:line="360" w:lineRule="auto"/>
        <w:ind w:left="0"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18.3响应文件未按时解密，供应商提供了备份响应文件的，以备份响应文件作为依据，否则视为响应文件撤回。响应文件已按时解密的，备份响应文件自动失效。</w:t>
      </w:r>
    </w:p>
    <w:p>
      <w:pPr>
        <w:pStyle w:val="131"/>
        <w:numPr>
          <w:ilvl w:val="0"/>
          <w:numId w:val="4"/>
        </w:numPr>
        <w:spacing w:before="0"/>
        <w:ind w:left="0" w:leftChars="0" w:firstLine="0" w:firstLineChars="0"/>
        <w:rPr>
          <w:rFonts w:hint="eastAsia" w:ascii="宋体" w:hAnsi="宋体" w:eastAsia="宋体" w:cs="宋体"/>
          <w:b/>
          <w:szCs w:val="24"/>
        </w:rPr>
      </w:pPr>
      <w:r>
        <w:rPr>
          <w:rFonts w:hint="eastAsia" w:ascii="宋体" w:hAnsi="宋体" w:eastAsia="宋体" w:cs="宋体"/>
          <w:b/>
          <w:szCs w:val="24"/>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numPr>
          <w:ilvl w:val="0"/>
          <w:numId w:val="4"/>
        </w:numPr>
        <w:spacing w:before="0"/>
        <w:ind w:left="0" w:leftChars="0" w:firstLine="0" w:firstLineChars="0"/>
        <w:rPr>
          <w:rFonts w:hint="eastAsia" w:ascii="宋体" w:hAnsi="宋体" w:eastAsia="宋体" w:cs="宋体"/>
          <w:b/>
          <w:szCs w:val="24"/>
        </w:rPr>
      </w:pPr>
      <w:r>
        <w:rPr>
          <w:rFonts w:hint="eastAsia" w:ascii="宋体" w:hAnsi="宋体" w:eastAsia="宋体" w:cs="宋体"/>
          <w:b/>
          <w:szCs w:val="24"/>
        </w:rPr>
        <w:t>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2"/>
          <w:szCs w:val="20"/>
        </w:rPr>
      </w:pPr>
      <w:bookmarkStart w:id="32" w:name="_Toc2594"/>
      <w:r>
        <w:rPr>
          <w:rFonts w:hint="eastAsia" w:ascii="宋体" w:hAnsi="宋体" w:cs="宋体"/>
          <w:b/>
          <w:sz w:val="32"/>
          <w:szCs w:val="20"/>
        </w:rPr>
        <w:t>五、评审</w:t>
      </w:r>
      <w:bookmarkEnd w:id="32"/>
    </w:p>
    <w:p>
      <w:pPr>
        <w:pStyle w:val="131"/>
        <w:numPr>
          <w:ilvl w:val="0"/>
          <w:numId w:val="4"/>
        </w:numPr>
        <w:spacing w:before="0"/>
        <w:ind w:left="0" w:leftChars="0" w:firstLine="0" w:firstLineChars="0"/>
        <w:rPr>
          <w:rFonts w:hint="eastAsia" w:ascii="宋体" w:hAnsi="宋体" w:eastAsia="宋体" w:cs="宋体"/>
          <w:b/>
          <w:szCs w:val="24"/>
          <w:lang w:val="en-US" w:eastAsia="zh-CN"/>
        </w:rPr>
      </w:pPr>
      <w:bookmarkStart w:id="33" w:name="_Toc91899903"/>
      <w:r>
        <w:rPr>
          <w:rFonts w:hint="eastAsia" w:ascii="宋体" w:hAnsi="宋体" w:eastAsia="宋体" w:cs="宋体"/>
          <w:b/>
          <w:szCs w:val="24"/>
          <w:lang w:val="en-US" w:eastAsia="zh-CN"/>
        </w:rPr>
        <w:t>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bookmarkStart w:id="34" w:name="_Toc3957"/>
      <w:r>
        <w:rPr>
          <w:rFonts w:hint="eastAsia" w:ascii="宋体" w:hAnsi="宋体" w:cs="宋体"/>
          <w:b/>
          <w:sz w:val="32"/>
          <w:szCs w:val="20"/>
        </w:rPr>
        <w:t>六、成交供应商确定</w:t>
      </w:r>
      <w:bookmarkEnd w:id="34"/>
    </w:p>
    <w:p>
      <w:pPr>
        <w:pStyle w:val="131"/>
        <w:numPr>
          <w:ilvl w:val="0"/>
          <w:numId w:val="4"/>
        </w:numPr>
        <w:spacing w:before="0"/>
        <w:ind w:left="0" w:leftChars="0" w:firstLine="0" w:firstLineChars="0"/>
        <w:rPr>
          <w:rFonts w:hint="eastAsia" w:ascii="宋体" w:hAnsi="宋体" w:eastAsia="宋体" w:cs="宋体"/>
          <w:b/>
          <w:szCs w:val="24"/>
          <w:lang w:val="en-US" w:eastAsia="zh-CN"/>
        </w:rPr>
      </w:pPr>
      <w:r>
        <w:rPr>
          <w:rFonts w:hint="eastAsia" w:ascii="宋体" w:hAnsi="宋体" w:eastAsia="宋体" w:cs="宋体"/>
          <w:b/>
          <w:szCs w:val="24"/>
          <w:lang w:val="en-US" w:eastAsia="zh-CN"/>
        </w:rPr>
        <w:t>确定成交供应商</w:t>
      </w:r>
    </w:p>
    <w:p>
      <w:pPr>
        <w:pStyle w:val="131"/>
        <w:kinsoku/>
        <w:wordWrap/>
        <w:overflowPunct/>
        <w:topLinePunct w:val="0"/>
        <w:bidi w:val="0"/>
        <w:snapToGrid w:val="0"/>
        <w:spacing w:before="0"/>
        <w:ind w:firstLine="480"/>
        <w:outlineLvl w:val="9"/>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r>
        <w:rPr>
          <w:rFonts w:hint="eastAsia" w:ascii="宋体" w:hAnsi="宋体" w:cs="宋体"/>
          <w:b/>
          <w:bCs/>
        </w:rPr>
        <w:t>注：按评审后得分由高到低顺序确定1名成交人。</w:t>
      </w:r>
    </w:p>
    <w:p>
      <w:pPr>
        <w:pStyle w:val="131"/>
        <w:numPr>
          <w:ilvl w:val="0"/>
          <w:numId w:val="4"/>
        </w:numPr>
        <w:spacing w:before="0"/>
        <w:ind w:left="0" w:leftChars="0" w:firstLine="0" w:firstLineChars="0"/>
        <w:rPr>
          <w:rFonts w:hint="eastAsia" w:ascii="宋体" w:hAnsi="宋体" w:eastAsia="宋体" w:cs="宋体"/>
          <w:b/>
          <w:szCs w:val="24"/>
          <w:lang w:val="en-US" w:eastAsia="zh-CN"/>
        </w:rPr>
      </w:pPr>
      <w:r>
        <w:rPr>
          <w:rFonts w:hint="eastAsia" w:ascii="宋体" w:hAnsi="宋体" w:eastAsia="宋体" w:cs="宋体"/>
          <w:b/>
          <w:szCs w:val="24"/>
          <w:lang w:val="en-US" w:eastAsia="zh-CN"/>
        </w:rPr>
        <w:t>成交通知与成交结果公告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bookmarkStart w:id="35" w:name="_Toc6106"/>
      <w:r>
        <w:rPr>
          <w:rFonts w:hint="eastAsia" w:ascii="宋体" w:hAnsi="宋体" w:cs="宋体"/>
          <w:b/>
          <w:sz w:val="32"/>
          <w:szCs w:val="20"/>
        </w:rPr>
        <w:t>七、合同授予</w:t>
      </w:r>
      <w:bookmarkEnd w:id="35"/>
    </w:p>
    <w:p>
      <w:pPr>
        <w:pStyle w:val="2"/>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w:t>
      </w:r>
      <w:r>
        <w:rPr>
          <w:rFonts w:hint="eastAsia" w:ascii="宋体" w:hAnsi="宋体" w:cs="宋体"/>
          <w:kern w:val="0"/>
          <w:sz w:val="24"/>
          <w:lang w:val="en-US" w:eastAsia="zh-CN"/>
        </w:rPr>
        <w:t>30</w:t>
      </w:r>
      <w:r>
        <w:rPr>
          <w:rFonts w:hint="eastAsia" w:ascii="宋体" w:hAnsi="宋体" w:cs="宋体"/>
          <w:kern w:val="0"/>
          <w:sz w:val="24"/>
        </w:rPr>
        <w:t>个工作日内，与成交供应商按照采购文件确定的事项签订政府采购合同。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highlight w:val="none"/>
          <w:lang w:eastAsia="zh-CN"/>
        </w:rPr>
        <w:t>，</w:t>
      </w:r>
      <w:r>
        <w:rPr>
          <w:rFonts w:hint="eastAsia" w:ascii="宋体" w:hAnsi="宋体" w:cs="宋体"/>
          <w:sz w:val="24"/>
        </w:rPr>
        <w:t>确需收取履约保证金的，履约保证金缴纳</w:t>
      </w:r>
      <w:bookmarkStart w:id="997" w:name="_GoBack"/>
      <w:r>
        <w:rPr>
          <w:rFonts w:hint="eastAsia" w:ascii="宋体" w:hAnsi="宋体" w:cs="宋体"/>
          <w:sz w:val="24"/>
        </w:rPr>
        <w:t>最高</w:t>
      </w:r>
      <w:bookmarkEnd w:id="997"/>
      <w:r>
        <w:rPr>
          <w:rFonts w:hint="eastAsia" w:ascii="宋体" w:hAnsi="宋体" w:cs="宋体"/>
          <w:sz w:val="24"/>
        </w:rPr>
        <w:t>比例不超过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lang w:eastAsia="zh-CN"/>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napToGrid w:val="0"/>
        <w:spacing w:line="360" w:lineRule="auto"/>
        <w:ind w:firstLine="482"/>
        <w:rPr>
          <w:rFonts w:hint="eastAsia" w:ascii="宋体" w:hAnsi="宋体" w:eastAsia="宋体" w:cs="宋体"/>
          <w:kern w:val="2"/>
          <w:sz w:val="24"/>
        </w:rPr>
      </w:pPr>
      <w:r>
        <w:rPr>
          <w:rFonts w:hint="eastAsia" w:ascii="宋体" w:hAnsi="宋体" w:eastAsia="宋体" w:cs="宋体"/>
          <w:kern w:val="2"/>
          <w:sz w:val="24"/>
        </w:rPr>
        <w:t>供应商</w:t>
      </w:r>
      <w:r>
        <w:rPr>
          <w:rFonts w:hint="eastAsia" w:ascii="宋体" w:hAnsi="宋体" w:eastAsia="宋体" w:cs="宋体"/>
          <w:kern w:val="2"/>
          <w:sz w:val="24"/>
          <w:lang w:val="en-US"/>
        </w:rPr>
        <w:t>可</w:t>
      </w:r>
      <w:r>
        <w:rPr>
          <w:rFonts w:hint="eastAsia" w:ascii="宋体" w:hAnsi="宋体" w:eastAsia="宋体" w:cs="宋体"/>
          <w:kern w:val="2"/>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0"/>
          <w:numId w:val="5"/>
        </w:numPr>
        <w:snapToGrid w:val="0"/>
        <w:spacing w:line="360" w:lineRule="auto"/>
        <w:ind w:left="479" w:hanging="479" w:hangingChars="199"/>
        <w:rPr>
          <w:rFonts w:hint="eastAsia" w:ascii="宋体" w:hAnsi="宋体" w:eastAsia="宋体" w:cs="宋体"/>
          <w:b/>
        </w:rPr>
      </w:pPr>
      <w:r>
        <w:rPr>
          <w:rFonts w:hint="eastAsia" w:ascii="宋体" w:hAnsi="宋体" w:eastAsia="宋体" w:cs="宋体"/>
          <w:b/>
          <w:lang w:val="en-US"/>
        </w:rPr>
        <w:t>预付款</w:t>
      </w:r>
    </w:p>
    <w:p>
      <w:pPr>
        <w:adjustRightInd/>
        <w:spacing w:line="360" w:lineRule="auto"/>
        <w:ind w:firstLine="480" w:firstLineChars="200"/>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lang w:val="en-US" w:eastAsia="zh-CN"/>
        </w:rPr>
        <w:t>%</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lang w:val="en-US" w:eastAsia="zh-CN"/>
        </w:rPr>
        <w:t>%</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bookmarkStart w:id="36" w:name="_Toc23739"/>
      <w:r>
        <w:rPr>
          <w:rFonts w:hint="eastAsia" w:ascii="宋体" w:hAnsi="宋体" w:cs="宋体"/>
          <w:b/>
          <w:sz w:val="32"/>
          <w:szCs w:val="20"/>
        </w:rPr>
        <w:t>八、电子交易活动的中止</w:t>
      </w:r>
      <w:bookmarkEnd w:id="36"/>
    </w:p>
    <w:p>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1"/>
        <w:snapToGrid w:val="0"/>
        <w:spacing w:before="0"/>
        <w:ind w:firstLine="480"/>
        <w:rPr>
          <w:rFonts w:ascii="宋体" w:hAnsi="宋体" w:cs="宋体"/>
        </w:rPr>
      </w:pPr>
      <w:r>
        <w:rPr>
          <w:rFonts w:hint="eastAsia" w:ascii="宋体" w:hAnsi="宋体" w:cs="宋体"/>
        </w:rPr>
        <w:t>28.1电子交易平台发生故障而无法登录访问的；</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28.4病毒发作导致不能进行正常操作的；</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keepNext w:val="0"/>
        <w:keepLines w:val="0"/>
        <w:pageBreakBefore w:val="0"/>
        <w:widowControl w:val="0"/>
        <w:numPr>
          <w:ilvl w:val="0"/>
          <w:numId w:val="0"/>
        </w:numPr>
        <w:kinsoku/>
        <w:wordWrap/>
        <w:overflowPunct/>
        <w:topLinePunct w:val="0"/>
        <w:autoSpaceDE/>
        <w:autoSpaceDN/>
        <w:bidi w:val="0"/>
        <w:adjustRightInd w:val="0"/>
        <w:snapToGrid w:val="0"/>
        <w:spacing w:before="0"/>
        <w:textAlignment w:val="auto"/>
        <w:rPr>
          <w:rFonts w:hint="eastAsia" w:ascii="宋体" w:hAnsi="宋体" w:eastAsia="宋体" w:cs="宋体"/>
        </w:rPr>
      </w:pPr>
      <w:r>
        <w:rPr>
          <w:rFonts w:hint="eastAsia" w:ascii="宋体" w:hAnsi="宋体" w:eastAsia="宋体" w:cs="宋体"/>
          <w:b/>
          <w:bCs/>
          <w:lang w:val="en-US" w:eastAsia="zh-CN"/>
        </w:rPr>
        <w:t>29.</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bookmarkStart w:id="37" w:name="_Toc15962"/>
      <w:r>
        <w:rPr>
          <w:rFonts w:hint="eastAsia" w:ascii="宋体" w:hAnsi="宋体" w:cs="宋体"/>
          <w:b/>
          <w:sz w:val="32"/>
          <w:szCs w:val="20"/>
        </w:rPr>
        <w:t>九、验收</w:t>
      </w:r>
      <w:bookmarkEnd w:id="37"/>
    </w:p>
    <w:p>
      <w:pPr>
        <w:pStyle w:val="2"/>
        <w:spacing w:line="360" w:lineRule="auto"/>
        <w:ind w:firstLine="0" w:firstLineChars="0"/>
        <w:rPr>
          <w:rFonts w:cs="宋体"/>
          <w:b/>
        </w:rPr>
      </w:pPr>
      <w:r>
        <w:rPr>
          <w:rFonts w:hint="eastAsia" w:cs="宋体"/>
          <w:b/>
        </w:rPr>
        <w:t>30.</w:t>
      </w:r>
      <w:r>
        <w:rPr>
          <w:rFonts w:hint="eastAsia" w:cs="宋体"/>
          <w:b/>
          <w:lang w:val="en-US" w:eastAsia="zh-CN"/>
        </w:rPr>
        <w:t xml:space="preserve"> </w:t>
      </w:r>
      <w:r>
        <w:rPr>
          <w:rFonts w:hint="eastAsia" w:cs="宋体"/>
          <w:b/>
        </w:rPr>
        <w:t>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w:t>
      </w:r>
      <w:r>
        <w:rPr>
          <w:rFonts w:hint="eastAsia" w:ascii="宋体" w:hAnsi="宋体" w:cs="宋体"/>
          <w:kern w:val="0"/>
          <w:sz w:val="24"/>
        </w:rPr>
        <w:t>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pPr>
        <w:tabs>
          <w:tab w:val="left" w:pos="0"/>
        </w:tabs>
        <w:spacing w:line="360" w:lineRule="auto"/>
        <w:ind w:firstLine="480"/>
        <w:rPr>
          <w:rFonts w:hint="eastAsia" w:ascii="宋体" w:hAnsi="宋体" w:eastAsia="宋体" w:cs="宋体"/>
          <w:color w:val="auto"/>
          <w:kern w:val="0"/>
          <w:sz w:val="24"/>
          <w:lang w:val="en-US"/>
        </w:rPr>
      </w:pPr>
      <w:bookmarkStart w:id="38" w:name="_Hlt75236290"/>
      <w:bookmarkEnd w:id="38"/>
      <w:bookmarkStart w:id="39" w:name="_Hlt68073093"/>
      <w:bookmarkEnd w:id="39"/>
      <w:bookmarkStart w:id="40" w:name="_Hlt74730295"/>
      <w:bookmarkEnd w:id="40"/>
      <w:bookmarkStart w:id="41" w:name="_Hlt75236101"/>
      <w:bookmarkEnd w:id="41"/>
      <w:bookmarkStart w:id="42" w:name="_Hlt74707468"/>
      <w:bookmarkEnd w:id="42"/>
      <w:bookmarkStart w:id="43" w:name="_Hlt74714665"/>
      <w:bookmarkEnd w:id="43"/>
      <w:bookmarkStart w:id="44" w:name="_Hlt68057669"/>
      <w:bookmarkEnd w:id="44"/>
      <w:bookmarkStart w:id="45" w:name="_Hlt74729768"/>
      <w:bookmarkEnd w:id="45"/>
      <w:bookmarkStart w:id="46" w:name="_Hlt68072990"/>
      <w:bookmarkEnd w:id="46"/>
      <w:bookmarkStart w:id="47" w:name="_Hlt68403820"/>
      <w:bookmarkEnd w:id="47"/>
      <w:bookmarkStart w:id="48" w:name="_Hlt68072998"/>
      <w:bookmarkEnd w:id="48"/>
      <w:bookmarkStart w:id="49" w:name="_Hlt75236011"/>
      <w:bookmarkEnd w:id="49"/>
      <w:r>
        <w:rPr>
          <w:rFonts w:hint="eastAsia" w:ascii="宋体" w:hAnsi="宋体" w:eastAsia="宋体" w:cs="宋体"/>
          <w:color w:val="auto"/>
          <w:kern w:val="0"/>
          <w:sz w:val="24"/>
          <w:lang w:val="en-US"/>
        </w:rPr>
        <w:t>30.5对于满足合同约定的采购资金支付条件的，供应商可通过政采云平台提起在线支付申请、查询支付结果，路径为政采云-我的工作台-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lang w:val="en-US" w:eastAsia="zh-CN"/>
        </w:rPr>
        <w:t>合同管理</w:t>
      </w:r>
      <w:r>
        <w:rPr>
          <w:rFonts w:hint="eastAsia" w:ascii="宋体" w:hAnsi="宋体" w:eastAsia="宋体" w:cs="宋体"/>
          <w:color w:val="auto"/>
          <w:kern w:val="0"/>
          <w:sz w:val="24"/>
          <w:lang w:val="en-US"/>
        </w:rPr>
        <w:t>-支付管理。对于供应商提起在线支付申请的，采购</w:t>
      </w:r>
      <w:r>
        <w:rPr>
          <w:rFonts w:hint="eastAsia" w:ascii="宋体" w:hAnsi="宋体" w:eastAsia="宋体" w:cs="宋体"/>
          <w:color w:val="auto"/>
          <w:kern w:val="0"/>
          <w:sz w:val="24"/>
          <w:lang w:val="en-US" w:eastAsia="zh-CN"/>
        </w:rPr>
        <w:t>人</w:t>
      </w:r>
      <w:r>
        <w:rPr>
          <w:rFonts w:hint="eastAsia" w:ascii="宋体" w:hAnsi="宋体" w:eastAsia="宋体" w:cs="宋体"/>
          <w:color w:val="auto"/>
          <w:kern w:val="0"/>
          <w:sz w:val="24"/>
          <w:lang w:val="en-US"/>
        </w:rPr>
        <w:t>应当</w:t>
      </w:r>
      <w:r>
        <w:rPr>
          <w:rFonts w:hint="eastAsia" w:ascii="宋体" w:hAnsi="宋体" w:eastAsia="宋体" w:cs="宋体"/>
          <w:color w:val="auto"/>
          <w:kern w:val="0"/>
          <w:sz w:val="24"/>
          <w:lang w:val="en-US" w:eastAsia="zh-CN"/>
        </w:rPr>
        <w:t>按规定</w:t>
      </w:r>
      <w:r>
        <w:rPr>
          <w:rFonts w:hint="eastAsia" w:ascii="宋体" w:hAnsi="宋体" w:eastAsia="宋体" w:cs="宋体"/>
          <w:color w:val="auto"/>
          <w:kern w:val="0"/>
          <w:sz w:val="24"/>
          <w:lang w:val="en-US"/>
        </w:rPr>
        <w:t>做好审核并完成支付。</w:t>
      </w:r>
    </w:p>
    <w:p>
      <w:pPr>
        <w:tabs>
          <w:tab w:val="left" w:pos="0"/>
        </w:tabs>
        <w:spacing w:line="360" w:lineRule="auto"/>
        <w:ind w:firstLine="480"/>
        <w:rPr>
          <w:rFonts w:hint="eastAsia" w:ascii="宋体" w:hAnsi="宋体" w:eastAsia="宋体" w:cs="宋体"/>
          <w:color w:val="auto"/>
          <w:kern w:val="0"/>
          <w:sz w:val="24"/>
          <w:lang w:val="en-US"/>
        </w:rPr>
      </w:pPr>
    </w:p>
    <w:p>
      <w:pPr>
        <w:rPr>
          <w:rFonts w:hint="eastAsia"/>
          <w:lang w:val="en-US"/>
        </w:rPr>
      </w:pPr>
    </w:p>
    <w:p>
      <w:pPr>
        <w:tabs>
          <w:tab w:val="left" w:pos="0"/>
        </w:tabs>
        <w:spacing w:line="360" w:lineRule="auto"/>
        <w:ind w:firstLine="480"/>
        <w:rPr>
          <w:rFonts w:hint="eastAsia" w:ascii="宋体" w:hAnsi="宋体" w:eastAsia="宋体" w:cs="宋体"/>
          <w:color w:val="auto"/>
          <w:kern w:val="0"/>
          <w:sz w:val="24"/>
        </w:rPr>
        <w:sectPr>
          <w:pgSz w:w="11905" w:h="16838"/>
          <w:pgMar w:top="1134" w:right="1304" w:bottom="1134" w:left="1304" w:header="850" w:footer="850" w:gutter="283"/>
          <w:pgNumType w:fmt="decimal"/>
          <w:cols w:space="0" w:num="1"/>
          <w:titlePg/>
          <w:rtlGutter w:val="0"/>
          <w:docGrid w:linePitch="312" w:charSpace="0"/>
        </w:sectPr>
      </w:pPr>
    </w:p>
    <w:bookmarkEnd w:id="21"/>
    <w:bookmarkEnd w:id="22"/>
    <w:p>
      <w:pPr>
        <w:pStyle w:val="34"/>
        <w:spacing w:line="360" w:lineRule="auto"/>
        <w:jc w:val="center"/>
        <w:outlineLvl w:val="0"/>
        <w:rPr>
          <w:rFonts w:hAnsi="宋体" w:cs="宋体"/>
          <w:b/>
          <w:snapToGrid/>
          <w:sz w:val="36"/>
          <w:szCs w:val="20"/>
        </w:rPr>
      </w:pPr>
      <w:bookmarkStart w:id="50" w:name="_Toc26987"/>
      <w:bookmarkStart w:id="51" w:name="第四部分"/>
      <w:r>
        <w:rPr>
          <w:rFonts w:hint="eastAsia" w:hAnsi="宋体" w:cs="宋体"/>
          <w:b/>
          <w:snapToGrid/>
          <w:sz w:val="36"/>
          <w:szCs w:val="20"/>
        </w:rPr>
        <w:t>第三部分 采购需求</w:t>
      </w:r>
      <w:bookmarkEnd w:id="50"/>
    </w:p>
    <w:p>
      <w:pPr>
        <w:spacing w:line="360" w:lineRule="auto"/>
        <w:jc w:val="left"/>
        <w:rPr>
          <w:rFonts w:ascii="宋体" w:hAnsi="宋体" w:cs="仿宋_GB2312"/>
          <w:b/>
          <w:bCs/>
          <w:sz w:val="24"/>
        </w:rPr>
      </w:pPr>
      <w:r>
        <w:rPr>
          <w:rFonts w:hint="eastAsia" w:ascii="宋体" w:hAnsi="宋体" w:cs="仿宋_GB2312"/>
          <w:b/>
          <w:bCs/>
          <w:sz w:val="24"/>
        </w:rPr>
        <w:t>一、工程概况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本工程属</w:t>
      </w:r>
      <w:r>
        <w:rPr>
          <w:rFonts w:hint="eastAsia" w:ascii="宋体" w:hAnsi="宋体" w:eastAsia="宋体" w:cs="宋体"/>
          <w:sz w:val="24"/>
          <w:lang w:eastAsia="zh-CN"/>
        </w:rPr>
        <w:t>宁海桃源街道综合指挥中心改造及提升工程（装修部分），</w:t>
      </w:r>
      <w:r>
        <w:rPr>
          <w:rFonts w:hint="eastAsia" w:ascii="宋体" w:hAnsi="宋体" w:eastAsia="宋体" w:cs="宋体"/>
          <w:sz w:val="24"/>
        </w:rPr>
        <w:t>建设地点位于</w:t>
      </w:r>
      <w:r>
        <w:rPr>
          <w:rFonts w:hint="eastAsia" w:ascii="宋体" w:hAnsi="宋体" w:eastAsia="宋体" w:cs="宋体"/>
          <w:sz w:val="24"/>
          <w:lang w:eastAsia="zh-CN"/>
        </w:rPr>
        <w:t>宁海桃源街道综合指挥中心。本工程</w:t>
      </w:r>
      <w:r>
        <w:rPr>
          <w:rFonts w:hint="eastAsia" w:ascii="宋体" w:hAnsi="宋体" w:eastAsia="宋体" w:cs="宋体"/>
          <w:kern w:val="2"/>
          <w:sz w:val="24"/>
          <w:szCs w:val="24"/>
          <w:lang w:val="en-US" w:eastAsia="zh-CN"/>
        </w:rPr>
        <w:t>装修面积为418.28㎡。工程建设性质为改建工程。</w:t>
      </w:r>
      <w:r>
        <w:rPr>
          <w:rFonts w:hint="eastAsia" w:ascii="宋体" w:hAnsi="宋体" w:eastAsia="宋体" w:cs="宋体"/>
          <w:sz w:val="24"/>
        </w:rPr>
        <w:t>工程主要内容为</w:t>
      </w:r>
      <w:r>
        <w:rPr>
          <w:rFonts w:hint="eastAsia" w:ascii="宋体" w:hAnsi="宋体" w:eastAsia="宋体" w:cs="宋体"/>
          <w:kern w:val="2"/>
          <w:sz w:val="24"/>
          <w:szCs w:val="24"/>
          <w:lang w:val="en-US" w:eastAsia="zh-CN"/>
        </w:rPr>
        <w:t>精装修、水电安装等工程</w:t>
      </w:r>
      <w:r>
        <w:rPr>
          <w:rFonts w:hint="eastAsia" w:ascii="宋体" w:hAnsi="宋体" w:eastAsia="宋体" w:cs="宋体"/>
          <w:sz w:val="24"/>
        </w:rPr>
        <w:t>。</w:t>
      </w:r>
    </w:p>
    <w:p>
      <w:pPr>
        <w:spacing w:line="360" w:lineRule="auto"/>
        <w:jc w:val="left"/>
        <w:rPr>
          <w:rFonts w:ascii="宋体" w:hAnsi="宋体" w:cs="仿宋_GB2312"/>
          <w:sz w:val="24"/>
        </w:rPr>
      </w:pPr>
      <w:r>
        <w:rPr>
          <w:rFonts w:hint="eastAsia" w:ascii="宋体" w:hAnsi="宋体" w:cs="仿宋_GB2312"/>
          <w:b/>
          <w:bCs/>
          <w:sz w:val="24"/>
        </w:rPr>
        <w:t>二、工程内容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建设地点：本工程位于宁海桃源街道综合指挥中心。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建设规模：本工程装修面积为418.28㎡，工程主要内容为精装修、水电安装等。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招标范围：施工图范围内的精装修、水电安装等工程。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合同履行期限：自开工令发出之日起60日历天内完成。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质量要求：达到国家施工验收规范一次性验收合格。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安全要求：合格。</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最高投标限价：1075968元，其中吊轨隔断屏风按800元/㎡（除税价）计算、文化布置（含深化设计费用）按14万元（除税价）计算、木作山群定制墙（含造型）按1500元/㎡（除税价）计算，该三部分价格于施工过程中以实际签证为准。税金按9%计算。</w:t>
      </w:r>
    </w:p>
    <w:p>
      <w:pPr>
        <w:spacing w:line="360" w:lineRule="auto"/>
        <w:jc w:val="left"/>
        <w:rPr>
          <w:rFonts w:hint="default" w:ascii="宋体" w:hAnsi="宋体" w:eastAsia="宋体" w:cs="仿宋_GB2312"/>
          <w:b/>
          <w:bCs/>
          <w:sz w:val="24"/>
          <w:lang w:val="en-US" w:eastAsia="zh-CN"/>
        </w:rPr>
      </w:pPr>
      <w:r>
        <w:rPr>
          <w:rFonts w:hint="eastAsia" w:ascii="宋体" w:hAnsi="宋体" w:eastAsia="宋体" w:cs="仿宋_GB2312"/>
          <w:b/>
          <w:bCs/>
          <w:sz w:val="24"/>
          <w:lang w:val="en-US" w:eastAsia="zh-CN"/>
        </w:rPr>
        <w:t>三、技术要求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1、按照国家及地方颁发的现行相关建筑工程施工及验收规范、标准，组织实施本项目工程的施工。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kern w:val="2"/>
          <w:sz w:val="24"/>
          <w:szCs w:val="24"/>
          <w:lang w:val="en-US" w:eastAsia="zh-CN"/>
        </w:rPr>
      </w:pPr>
      <w:r>
        <w:rPr>
          <w:rFonts w:hint="eastAsia" w:ascii="宋体" w:hAnsi="宋体" w:cs="宋体"/>
          <w:sz w:val="24"/>
        </w:rPr>
        <w:t>▲</w:t>
      </w:r>
      <w:r>
        <w:rPr>
          <w:rFonts w:hint="eastAsia" w:ascii="宋体" w:hAnsi="宋体" w:eastAsia="宋体" w:cs="宋体"/>
          <w:kern w:val="2"/>
          <w:sz w:val="24"/>
          <w:szCs w:val="24"/>
          <w:lang w:val="en-US" w:eastAsia="zh-CN"/>
        </w:rPr>
        <w:t>2、拟派人员团队要求：</w:t>
      </w:r>
    </w:p>
    <w:tbl>
      <w:tblPr>
        <w:tblStyle w:val="62"/>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647"/>
        <w:gridCol w:w="4224"/>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4"/>
                <w:szCs w:val="24"/>
                <w:highlight w:val="none"/>
              </w:rPr>
            </w:pPr>
            <w:bookmarkStart w:id="52" w:name="_Toc31243"/>
            <w:r>
              <w:rPr>
                <w:rFonts w:hint="eastAsia" w:ascii="宋体" w:hAnsi="宋体" w:eastAsia="宋体" w:cs="宋体"/>
                <w:color w:val="auto"/>
                <w:sz w:val="24"/>
                <w:szCs w:val="24"/>
                <w:highlight w:val="none"/>
              </w:rPr>
              <w:t>序号</w:t>
            </w:r>
          </w:p>
        </w:tc>
        <w:tc>
          <w:tcPr>
            <w:tcW w:w="26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本工程需设</w:t>
            </w:r>
            <w:r>
              <w:rPr>
                <w:rFonts w:hint="eastAsia" w:ascii="宋体" w:hAnsi="宋体" w:eastAsia="宋体" w:cs="宋体"/>
                <w:color w:val="auto"/>
                <w:sz w:val="24"/>
                <w:szCs w:val="24"/>
                <w:highlight w:val="none"/>
                <w:lang w:eastAsia="zh-CN"/>
              </w:rPr>
              <w:t>施工管理人员</w:t>
            </w:r>
            <w:r>
              <w:rPr>
                <w:rFonts w:hint="eastAsia" w:ascii="宋体" w:hAnsi="宋体" w:eastAsia="宋体" w:cs="宋体"/>
                <w:color w:val="auto"/>
                <w:sz w:val="24"/>
                <w:szCs w:val="24"/>
                <w:highlight w:val="none"/>
              </w:rPr>
              <w:t>的专业岗位</w:t>
            </w:r>
          </w:p>
        </w:tc>
        <w:tc>
          <w:tcPr>
            <w:tcW w:w="4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资格要求</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数量要求</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264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val="en-US" w:eastAsia="zh-CN"/>
              </w:rPr>
              <w:t>负责人</w:t>
            </w:r>
          </w:p>
        </w:tc>
        <w:tc>
          <w:tcPr>
            <w:tcW w:w="4224" w:type="dxa"/>
            <w:noWrap w:val="0"/>
            <w:vAlign w:val="center"/>
          </w:tcPr>
          <w:p>
            <w:pPr>
              <w:keepNext w:val="0"/>
              <w:keepLines w:val="0"/>
              <w:pageBreakBefore w:val="0"/>
              <w:widowControl w:val="0"/>
              <w:kinsoku/>
              <w:wordWrap/>
              <w:overflowPunct/>
              <w:topLinePunct w:val="0"/>
              <w:bidi w:val="0"/>
              <w:snapToGrid/>
              <w:spacing w:after="0" w:line="360" w:lineRule="exact"/>
              <w:jc w:val="both"/>
              <w:textAlignment w:val="auto"/>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kern w:val="58"/>
                <w:sz w:val="24"/>
                <w:szCs w:val="24"/>
                <w:highlight w:val="none"/>
                <w:u w:val="none"/>
                <w:lang w:val="en-US" w:eastAsia="zh-CN"/>
              </w:rPr>
              <w:t>同特定资格要求。</w:t>
            </w:r>
          </w:p>
        </w:tc>
        <w:tc>
          <w:tcPr>
            <w:tcW w:w="166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tc>
        <w:tc>
          <w:tcPr>
            <w:tcW w:w="264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技术负责人</w:t>
            </w:r>
          </w:p>
        </w:tc>
        <w:tc>
          <w:tcPr>
            <w:tcW w:w="4224" w:type="dxa"/>
            <w:noWrap w:val="0"/>
            <w:vAlign w:val="center"/>
          </w:tcPr>
          <w:p>
            <w:pPr>
              <w:keepNext w:val="0"/>
              <w:keepLines w:val="0"/>
              <w:pageBreakBefore w:val="0"/>
              <w:widowControl w:val="0"/>
              <w:kinsoku/>
              <w:wordWrap/>
              <w:overflowPunct/>
              <w:topLinePunct w:val="0"/>
              <w:bidi w:val="0"/>
              <w:snapToGrid/>
              <w:spacing w:after="0" w:line="360" w:lineRule="exact"/>
              <w:jc w:val="both"/>
              <w:textAlignment w:val="auto"/>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kern w:val="58"/>
                <w:sz w:val="24"/>
                <w:szCs w:val="24"/>
                <w:highlight w:val="none"/>
                <w:u w:val="none"/>
                <w:lang w:val="en-US" w:eastAsia="zh-CN"/>
              </w:rPr>
              <w:t>具有建筑工程</w:t>
            </w:r>
            <w:r>
              <w:rPr>
                <w:rFonts w:hint="eastAsia" w:ascii="宋体" w:hAnsi="宋体" w:eastAsia="宋体" w:cs="宋体"/>
                <w:b w:val="0"/>
                <w:bCs/>
                <w:i w:val="0"/>
                <w:iCs w:val="0"/>
                <w:color w:val="auto"/>
                <w:sz w:val="24"/>
                <w:szCs w:val="24"/>
                <w:highlight w:val="none"/>
                <w:u w:val="none"/>
              </w:rPr>
              <w:t>专业工程师及以上职称</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264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2"/>
                <w:sz w:val="24"/>
                <w:szCs w:val="24"/>
                <w:highlight w:val="none"/>
                <w:lang w:val="en-US" w:eastAsia="zh-CN" w:bidi="ar-SA"/>
              </w:rPr>
              <w:t>安全员</w:t>
            </w:r>
          </w:p>
        </w:tc>
        <w:tc>
          <w:tcPr>
            <w:tcW w:w="4224" w:type="dxa"/>
            <w:noWrap w:val="0"/>
            <w:vAlign w:val="center"/>
          </w:tcPr>
          <w:p>
            <w:pPr>
              <w:pStyle w:val="24"/>
              <w:keepNext w:val="0"/>
              <w:keepLines w:val="0"/>
              <w:pageBreakBefore w:val="0"/>
              <w:widowControl w:val="0"/>
              <w:kinsoku/>
              <w:wordWrap/>
              <w:overflowPunct/>
              <w:topLinePunct w:val="0"/>
              <w:bidi w:val="0"/>
              <w:snapToGrid/>
              <w:spacing w:after="0" w:line="360" w:lineRule="exact"/>
              <w:jc w:val="both"/>
              <w:textAlignment w:val="auto"/>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sz w:val="24"/>
                <w:szCs w:val="24"/>
                <w:highlight w:val="none"/>
                <w:u w:val="none"/>
              </w:rPr>
              <w:t>具</w:t>
            </w:r>
            <w:r>
              <w:rPr>
                <w:rFonts w:hint="eastAsia" w:ascii="宋体" w:hAnsi="宋体" w:eastAsia="宋体" w:cs="宋体"/>
                <w:b w:val="0"/>
                <w:bCs/>
                <w:i w:val="0"/>
                <w:iCs w:val="0"/>
                <w:color w:val="auto"/>
                <w:sz w:val="24"/>
                <w:szCs w:val="24"/>
                <w:highlight w:val="none"/>
                <w:u w:val="none"/>
                <w:lang w:val="en-US" w:eastAsia="zh-CN"/>
              </w:rPr>
              <w:t>有有效的</w:t>
            </w:r>
            <w:r>
              <w:rPr>
                <w:rFonts w:hint="eastAsia" w:ascii="宋体" w:hAnsi="宋体" w:eastAsia="宋体" w:cs="宋体"/>
                <w:b w:val="0"/>
                <w:bCs/>
                <w:i w:val="0"/>
                <w:iCs w:val="0"/>
                <w:color w:val="auto"/>
                <w:sz w:val="24"/>
                <w:szCs w:val="24"/>
                <w:highlight w:val="none"/>
                <w:u w:val="none"/>
              </w:rPr>
              <w:t>安全生产考核合格证</w:t>
            </w:r>
            <w:r>
              <w:rPr>
                <w:rFonts w:hint="eastAsia" w:hAnsi="宋体" w:cs="宋体"/>
                <w:b w:val="0"/>
                <w:bCs/>
                <w:i w:val="0"/>
                <w:iCs w:val="0"/>
                <w:color w:val="auto"/>
                <w:sz w:val="24"/>
                <w:szCs w:val="24"/>
                <w:highlight w:val="none"/>
                <w:u w:val="none"/>
                <w:lang w:val="en-US" w:eastAsia="zh-CN"/>
              </w:rPr>
              <w:t>书</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p>
        </w:tc>
        <w:tc>
          <w:tcPr>
            <w:tcW w:w="264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施工员</w:t>
            </w:r>
          </w:p>
        </w:tc>
        <w:tc>
          <w:tcPr>
            <w:tcW w:w="4224" w:type="dxa"/>
            <w:noWrap w:val="0"/>
            <w:vAlign w:val="center"/>
          </w:tcPr>
          <w:p>
            <w:pPr>
              <w:pStyle w:val="24"/>
              <w:keepNext w:val="0"/>
              <w:keepLines w:val="0"/>
              <w:pageBreakBefore w:val="0"/>
              <w:widowControl w:val="0"/>
              <w:kinsoku/>
              <w:wordWrap/>
              <w:overflowPunct/>
              <w:topLinePunct w:val="0"/>
              <w:bidi w:val="0"/>
              <w:snapToGrid/>
              <w:spacing w:after="0" w:line="360" w:lineRule="exact"/>
              <w:jc w:val="both"/>
              <w:textAlignment w:val="auto"/>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sz w:val="24"/>
                <w:szCs w:val="24"/>
                <w:highlight w:val="none"/>
                <w:u w:val="none"/>
                <w:lang w:val="en-US" w:eastAsia="zh-CN"/>
              </w:rPr>
              <w:t>具有相应的岗位证书或培训合格证</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w:t>
            </w:r>
          </w:p>
        </w:tc>
        <w:tc>
          <w:tcPr>
            <w:tcW w:w="264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质量员</w:t>
            </w:r>
          </w:p>
        </w:tc>
        <w:tc>
          <w:tcPr>
            <w:tcW w:w="4224" w:type="dxa"/>
            <w:noWrap w:val="0"/>
            <w:vAlign w:val="center"/>
          </w:tcPr>
          <w:p>
            <w:pPr>
              <w:pStyle w:val="24"/>
              <w:keepNext w:val="0"/>
              <w:keepLines w:val="0"/>
              <w:pageBreakBefore w:val="0"/>
              <w:widowControl w:val="0"/>
              <w:kinsoku/>
              <w:wordWrap/>
              <w:overflowPunct/>
              <w:topLinePunct w:val="0"/>
              <w:bidi w:val="0"/>
              <w:snapToGrid/>
              <w:spacing w:after="0" w:line="360" w:lineRule="exact"/>
              <w:jc w:val="both"/>
              <w:textAlignment w:val="auto"/>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sz w:val="24"/>
                <w:szCs w:val="24"/>
                <w:highlight w:val="none"/>
                <w:u w:val="none"/>
                <w:lang w:val="en-US" w:eastAsia="zh-CN"/>
              </w:rPr>
              <w:t>具有相应的岗位证书或培训合格证</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w:t>
            </w:r>
          </w:p>
        </w:tc>
        <w:tc>
          <w:tcPr>
            <w:tcW w:w="264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p>
        </w:tc>
        <w:tc>
          <w:tcPr>
            <w:tcW w:w="4224"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b w:val="0"/>
                <w:bCs/>
                <w:i w:val="0"/>
                <w:iCs w:val="0"/>
                <w:color w:val="auto"/>
                <w:sz w:val="24"/>
                <w:szCs w:val="24"/>
                <w:highlight w:val="none"/>
                <w:lang w:val="en-US" w:eastAsia="zh-CN"/>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i w:val="0"/>
                <w:i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24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4"/>
                <w:szCs w:val="24"/>
                <w:highlight w:val="none"/>
                <w:lang w:val="en-US" w:eastAsia="zh-CN"/>
              </w:rPr>
            </w:pPr>
            <w:bookmarkStart w:id="53" w:name="_Toc20889"/>
            <w:r>
              <w:rPr>
                <w:rFonts w:hint="eastAsia" w:ascii="宋体" w:hAnsi="宋体" w:eastAsia="宋体" w:cs="宋体"/>
                <w:b/>
                <w:bCs/>
                <w:color w:val="auto"/>
                <w:sz w:val="24"/>
                <w:szCs w:val="24"/>
                <w:highlight w:val="none"/>
                <w:lang w:val="en-US" w:eastAsia="zh-CN"/>
              </w:rPr>
              <w:t>注：表格中列具的项目管理机构人员是</w:t>
            </w:r>
            <w:r>
              <w:rPr>
                <w:rFonts w:hint="eastAsia" w:ascii="宋体" w:hAnsi="宋体" w:cs="宋体"/>
                <w:b/>
                <w:bCs/>
                <w:color w:val="auto"/>
                <w:sz w:val="24"/>
                <w:szCs w:val="24"/>
                <w:highlight w:val="none"/>
                <w:lang w:val="en-US" w:eastAsia="zh-CN"/>
              </w:rPr>
              <w:t>本项目</w:t>
            </w:r>
            <w:r>
              <w:rPr>
                <w:rFonts w:hint="eastAsia" w:ascii="宋体" w:hAnsi="宋体" w:eastAsia="宋体" w:cs="宋体"/>
                <w:b/>
                <w:bCs/>
                <w:color w:val="auto"/>
                <w:sz w:val="24"/>
                <w:szCs w:val="24"/>
                <w:highlight w:val="none"/>
                <w:lang w:val="en-US" w:eastAsia="zh-CN"/>
              </w:rPr>
              <w:t>要求的最低配置，供应商应根据工程实际情况配备，需增加的人员由供应商自行补充填写。供应商配备的项目管理机构人员不得低于</w:t>
            </w:r>
            <w:r>
              <w:rPr>
                <w:rFonts w:hint="eastAsia" w:ascii="宋体" w:hAnsi="宋体" w:cs="宋体"/>
                <w:b/>
                <w:bCs/>
                <w:color w:val="auto"/>
                <w:sz w:val="24"/>
                <w:szCs w:val="24"/>
                <w:highlight w:val="none"/>
                <w:lang w:val="en-US" w:eastAsia="zh-CN"/>
              </w:rPr>
              <w:t>此</w:t>
            </w:r>
            <w:r>
              <w:rPr>
                <w:rFonts w:hint="eastAsia" w:ascii="宋体" w:hAnsi="宋体" w:eastAsia="宋体" w:cs="宋体"/>
                <w:b/>
                <w:bCs/>
                <w:color w:val="auto"/>
                <w:sz w:val="24"/>
                <w:szCs w:val="24"/>
                <w:highlight w:val="none"/>
                <w:lang w:val="en-US" w:eastAsia="zh-CN"/>
              </w:rPr>
              <w:t>最低配置要求，否则</w:t>
            </w:r>
            <w:r>
              <w:rPr>
                <w:rFonts w:hint="eastAsia" w:ascii="宋体" w:hAnsi="宋体" w:cs="宋体"/>
                <w:b/>
                <w:bCs/>
                <w:color w:val="auto"/>
                <w:sz w:val="24"/>
                <w:szCs w:val="24"/>
                <w:highlight w:val="none"/>
                <w:lang w:val="en-US" w:eastAsia="zh-CN"/>
              </w:rPr>
              <w:t>将作</w:t>
            </w:r>
            <w:r>
              <w:rPr>
                <w:rFonts w:hint="eastAsia" w:ascii="宋体" w:hAnsi="宋体" w:eastAsia="宋体" w:cs="宋体"/>
                <w:b/>
                <w:bCs/>
                <w:color w:val="auto"/>
                <w:sz w:val="24"/>
                <w:szCs w:val="24"/>
                <w:highlight w:val="none"/>
                <w:lang w:val="en-US" w:eastAsia="zh-CN"/>
              </w:rPr>
              <w:t>否决投标处理。</w:t>
            </w:r>
          </w:p>
        </w:tc>
      </w:tr>
      <w:bookmarkEnd w:id="52"/>
      <w:bookmarkEnd w:id="53"/>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3、供应商需提供施工现场临时设施布置方案（包括施工现场临时设施布置情况、施工设备及原材料堆放情况、安全文明施工布置情况等）；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4、供应商需提供施工方案（包括精装修工程、水电安装工程以及遇其他配套工程须进行配合施工时）；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5、供应商需提供施工进度计划安排（时间节点安排、保障措施等）；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6、供应商需提供施工质量保证措施（包括但不仅限于材料及设备质量保证措施等）；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7、供应商需提供施工环保管理措施（包括但不仅限于防噪音、防扬尘、防灯光污染、防刺鼻气味等施工环境维护保障措施等）；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8、供应商需提供突发事件应急措施（包括但不仅限于发生火灾、触电、机械伤害、化学品伤害等事故的逃生和急救方案等）；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9、供应商需提供竣工资料整理方案；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10、供应商需提供项目关键点、重难点分析及合理化建议；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11、供应商需提供拟派本项目的项目负责人、技术负责人简介（包括但不仅限于从事本项目相关行业工作年限及经验、水平等）；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12、供应商需提供主要施工机械设备的选用和管理；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13、供应商需提供售后服务响应情况（确保按时到达的承诺、故障响应，处理及时性，服务措施等承诺函资料）；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14、供应商需提供承接过类似项目的情况。</w:t>
      </w:r>
    </w:p>
    <w:p>
      <w:pPr>
        <w:spacing w:line="360" w:lineRule="auto"/>
        <w:jc w:val="left"/>
        <w:rPr>
          <w:rFonts w:hint="default" w:ascii="宋体" w:hAnsi="宋体" w:eastAsia="宋体" w:cs="仿宋_GB2312"/>
          <w:b/>
          <w:bCs/>
          <w:sz w:val="24"/>
          <w:lang w:val="en-US" w:eastAsia="zh-CN"/>
        </w:rPr>
      </w:pPr>
      <w:r>
        <w:rPr>
          <w:rFonts w:hint="eastAsia" w:ascii="宋体" w:hAnsi="宋体" w:eastAsia="宋体" w:cs="仿宋_GB2312"/>
          <w:b/>
          <w:bCs/>
          <w:sz w:val="24"/>
          <w:lang w:val="en-US" w:eastAsia="zh-CN"/>
        </w:rPr>
        <w:t>四、其他要求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1、设备安装、调试和验收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（2）供应商应保证其提供的</w:t>
      </w:r>
      <w:r>
        <w:rPr>
          <w:rFonts w:hint="eastAsia" w:ascii="宋体" w:hAnsi="宋体" w:cs="宋体"/>
          <w:color w:val="auto"/>
          <w:sz w:val="24"/>
          <w:szCs w:val="24"/>
          <w:highlight w:val="none"/>
          <w:lang w:val="en-US" w:eastAsia="zh-CN" w:bidi="ar-SA"/>
        </w:rPr>
        <w:t>施工工程</w:t>
      </w:r>
      <w:r>
        <w:rPr>
          <w:rFonts w:hint="eastAsia" w:ascii="宋体" w:hAnsi="宋体" w:eastAsia="宋体" w:cs="宋体"/>
          <w:color w:val="auto"/>
          <w:sz w:val="24"/>
          <w:szCs w:val="24"/>
          <w:highlight w:val="none"/>
          <w:lang w:val="en-US" w:eastAsia="zh-CN" w:bidi="ar-SA"/>
        </w:rPr>
        <w:t>在正常使用和保养条件下，在使用寿命期内应具有满意的性能；供应商应对由于工艺或材料的缺陷而产生的故障负完全责任。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）供应商须保证所配置的产品有合法的使用权，并有相应的使用许可证。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）以上所有与（多次）安装、迁移、调试和验收相关的费用均需计入投标总价。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2、作业要求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（2）文明施工要求：在施工过程中，必须做到文明施工。工序衔接交叉合理，交接责任明确，施工场地整洁、卫生、道路畅通，有必要的围护和遮挡措施等。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在项目实施中须达到的施工要求国家标准如下：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《建筑工程施工质量验收统一标准》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《建筑给水排水及采暖工程施工质量验收规范》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《建筑电气工程施工质量验收规范》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《给水排水管道工程施工及验收规范》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《建筑施工安全检查标准》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b/>
          <w:bCs/>
          <w:sz w:val="24"/>
          <w:lang w:val="en-US" w:eastAsia="zh-CN"/>
        </w:rPr>
      </w:pPr>
      <w:r>
        <w:rPr>
          <w:rFonts w:hint="eastAsia" w:ascii="宋体" w:hAnsi="宋体" w:eastAsia="宋体" w:cs="宋体"/>
          <w:bCs/>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如标准有更新，以最新文件为准。本项目</w:t>
      </w:r>
      <w:r>
        <w:rPr>
          <w:rFonts w:hint="eastAsia" w:ascii="宋体" w:hAnsi="宋体" w:eastAsia="宋体" w:cs="宋体"/>
          <w:bCs/>
          <w:color w:val="auto"/>
          <w:kern w:val="2"/>
          <w:sz w:val="24"/>
          <w:szCs w:val="24"/>
          <w:highlight w:val="none"/>
          <w:lang w:val="en-US" w:eastAsia="zh-CN" w:bidi="ar-SA"/>
        </w:rPr>
        <w:t>按照国家及地方颁发的现行相关施工及验收规范、标准，组织实施本项目工程的施工。</w:t>
      </w:r>
    </w:p>
    <w:p>
      <w:pPr>
        <w:spacing w:line="360" w:lineRule="auto"/>
        <w:jc w:val="left"/>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五、工程量清单</w:t>
      </w:r>
    </w:p>
    <w:tbl>
      <w:tblPr>
        <w:tblStyle w:val="6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2537"/>
        <w:gridCol w:w="1140"/>
        <w:gridCol w:w="1180"/>
        <w:gridCol w:w="1312"/>
        <w:gridCol w:w="1048"/>
        <w:gridCol w:w="118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93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30" w:type="dxa"/>
            <w:gridSpan w:val="8"/>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工程名称：宁海桃源街道综合指挥中心改造及提升工程（装修部分）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3"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37"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1140"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720" w:type="dxa"/>
            <w:gridSpan w:val="4"/>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10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33"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7"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暂估项目费</w:t>
            </w:r>
          </w:p>
        </w:tc>
        <w:tc>
          <w:tcPr>
            <w:tcW w:w="131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施工组织措施</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项目费</w:t>
            </w:r>
          </w:p>
        </w:tc>
        <w:tc>
          <w:tcPr>
            <w:tcW w:w="10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1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0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11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1037128</w:t>
            </w: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192114</w:t>
            </w:r>
          </w:p>
        </w:tc>
        <w:tc>
          <w:tcPr>
            <w:tcW w:w="131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16357</w:t>
            </w:r>
          </w:p>
        </w:tc>
        <w:tc>
          <w:tcPr>
            <w:tcW w:w="10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12390</w:t>
            </w: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85634</w:t>
            </w: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装修工程</w:t>
            </w:r>
          </w:p>
        </w:tc>
        <w:tc>
          <w:tcPr>
            <w:tcW w:w="11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1037128</w:t>
            </w: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192114</w:t>
            </w:r>
          </w:p>
        </w:tc>
        <w:tc>
          <w:tcPr>
            <w:tcW w:w="131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16357</w:t>
            </w:r>
          </w:p>
        </w:tc>
        <w:tc>
          <w:tcPr>
            <w:tcW w:w="10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12390</w:t>
            </w: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85634</w:t>
            </w: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11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84449</w:t>
            </w:r>
          </w:p>
        </w:tc>
        <w:tc>
          <w:tcPr>
            <w:tcW w:w="118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w:t>
            </w:r>
          </w:p>
        </w:tc>
        <w:tc>
          <w:tcPr>
            <w:tcW w:w="10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1629</w:t>
            </w: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6973</w:t>
            </w: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w:t>
            </w:r>
          </w:p>
        </w:tc>
        <w:tc>
          <w:tcPr>
            <w:tcW w:w="11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68568</w:t>
            </w:r>
          </w:p>
        </w:tc>
        <w:tc>
          <w:tcPr>
            <w:tcW w:w="118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1274</w:t>
            </w:r>
          </w:p>
        </w:tc>
        <w:tc>
          <w:tcPr>
            <w:tcW w:w="10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w:t>
            </w: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5662</w:t>
            </w: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w:t>
            </w:r>
          </w:p>
        </w:tc>
        <w:tc>
          <w:tcPr>
            <w:tcW w:w="11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10782</w:t>
            </w:r>
          </w:p>
        </w:tc>
        <w:tc>
          <w:tcPr>
            <w:tcW w:w="118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5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抗震支架</w:t>
            </w:r>
          </w:p>
        </w:tc>
        <w:tc>
          <w:tcPr>
            <w:tcW w:w="11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w:t>
            </w:r>
          </w:p>
        </w:tc>
        <w:tc>
          <w:tcPr>
            <w:tcW w:w="118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3"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7" w:type="dxa"/>
            <w:tcBorders>
              <w:top w:val="single" w:color="000000" w:sz="4" w:space="0"/>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2"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3"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7" w:type="dxa"/>
            <w:tcBorders>
              <w:top w:val="single" w:color="000000" w:sz="4" w:space="0"/>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2"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07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1121577</w:t>
            </w:r>
          </w:p>
        </w:tc>
        <w:tc>
          <w:tcPr>
            <w:tcW w:w="11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192114</w:t>
            </w:r>
          </w:p>
        </w:tc>
        <w:tc>
          <w:tcPr>
            <w:tcW w:w="13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17826</w:t>
            </w:r>
          </w:p>
        </w:tc>
        <w:tc>
          <w:tcPr>
            <w:tcW w:w="1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14019</w:t>
            </w:r>
          </w:p>
        </w:tc>
        <w:tc>
          <w:tcPr>
            <w:tcW w:w="11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92607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p>
    <w:tbl>
      <w:tblPr>
        <w:tblStyle w:val="62"/>
        <w:tblW w:w="9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2270"/>
        <w:gridCol w:w="3360"/>
        <w:gridCol w:w="1400"/>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42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单位（专业）工程费用表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429" w:type="dxa"/>
            <w:gridSpan w:val="5"/>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单位（专业）工程名称：宁海桃源街道综合指挥中心改造及提升工程（装修部分）-装修工程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899223</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工程量按实计算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39881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∑（技术措施工程量×综合单价）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工程量按实计算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16357</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按中标价包干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按中标价包干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 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85634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费用合计</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1037128</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0"/>
                <w:szCs w:val="20"/>
                <w:u w:val="none"/>
              </w:rPr>
            </w:pPr>
          </w:p>
        </w:tc>
      </w:tr>
    </w:tbl>
    <w:p>
      <w:pPr>
        <w:pStyle w:val="79"/>
        <w:rPr>
          <w:rFonts w:hint="eastAsia" w:ascii="宋体" w:hAnsi="宋体" w:eastAsia="宋体" w:cs="宋体"/>
          <w:kern w:val="2"/>
          <w:sz w:val="24"/>
          <w:szCs w:val="24"/>
          <w:lang w:val="en-US" w:eastAsia="zh-CN"/>
        </w:rPr>
      </w:pPr>
    </w:p>
    <w:tbl>
      <w:tblPr>
        <w:tblStyle w:val="62"/>
        <w:tblW w:w="10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1978"/>
        <w:gridCol w:w="2807"/>
        <w:gridCol w:w="581"/>
        <w:gridCol w:w="1012"/>
        <w:gridCol w:w="1206"/>
        <w:gridCol w:w="1007"/>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09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090" w:type="dxa"/>
            <w:gridSpan w:val="8"/>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单位（专业）工程名称：宁海桃源街道综合指挥中心改造及提升工程（装修部分）-装修工程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额（元）</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拆除工程</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1.黏土砖（实心砖）实心墙拆除（包含室内门拆除）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77.380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151.81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铲除涂料面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1.抹灰面铲涂料</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519.090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立面抹灰层拆除</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1.墙面抹灰面铲除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640.130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9.75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平面块料拆除</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1.地砖地面拆除`如需铲除找平层者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228.680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22.87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立面块料拆除</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1.墙面砖及陶瓷面砖铲除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79.380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楼地面龙骨及饰面拆除</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1.带龙骨木地板拆除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124.940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1.天棚金属龙骨及金属面拆除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12.700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1.天棚金属龙骨及石膏面拆除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建筑垃圾外运</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1.建筑垃圾清理外运处置</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砌筑工程</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1.混凝土实心砖 墙厚1砖^DM M7.5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60406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1.混凝土实心砖 墙厚1/2砖^DM M7.5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29.390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602.21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17699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1.现浇混凝土 圈梁、过梁、拱形梁^非泵送商品砼C25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2.部位：卫生间上翻</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594.42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圈梁、过梁、拱形梁^非泵送商品砼C25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594.42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1.箍筋 带肋钢筋 HRB400以内 直径（mm以内）10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0.026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5653.86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1.现浇构件带肋钢筋 HRB400以内 直径（mm以内）18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4642.55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1.内墙砂浆抹灰 14+6mm厚^DP M15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843.580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35.02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29542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外墙装修</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1.墙面贴玻璃纤维网格布</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347.670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1.天棚600*600铝合金方板面层 浮搁式</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37.140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95.54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1.墙、柱、天棚面刷涂料 ~二遍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2.部位：室外天棚</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171.420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1.外墙涂料 真石漆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2.抹灰面批刮腻子（满刮两遍）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347.670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96.59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33581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文书制作室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1、成品实木复合烤漆门M1022，尺寸1000mm*2200，门楣800；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2、包含成品木门套及贴脸、木门油漆、门框塞水泥浆、门锁、门吸、合页等小五金件费用；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2150.21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1、800*800抛光砖地面,水泥擦缝;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139.37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2、1.2mm不锈钢踢脚线，胶粘；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342.31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侧面轻钢龙骨石膏板吊顶：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108.77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1、天棚成品检修孔安装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33.56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柜子</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1、E0级免漆板的柜子（包含小五金件等费用）；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2、工程量按立面投影面积；</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办公桌椅</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1、桌子1400*600*760，1桌1椅；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调解室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1、成品实木复合烤漆门M1022，尺寸1000mm*2200，门楣800；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2、包含成品木门套及贴脸、木门油漆、门框塞水泥浆、门锁、门吸、合页等小五金件费用；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2150.21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2、1.2mm不锈钢窗套，胶粘；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399.68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石材窗台板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1、20厚灰色花岗岩，12mm厚DS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2、石材六面防腐和结晶；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3、下挂40，含倒圆边；</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802.93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木窗帘盒</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1、18mm阻燃板窗帘盒基层(直形 悬挂式)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2、9mm石膏板窗帘盒面层</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187.13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1、800*800抛光砖地面,水泥擦缝;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139.37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2、1.2mm不锈钢踢脚线，胶粘；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342.31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1、墙面硬包：18mm厚阻燃板衬底，硬包墙布面层</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216.54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侧面轻钢龙骨石膏板吊顶：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108.77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1.天棚成品检修孔安装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32.530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33.56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柜子</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1、E0级免漆板的柜子（包含小五金件等费用）；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2、工程量按立面投影面积；</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办公桌椅</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1、桌子1800*800*760，1桌4椅；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卫生间</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1、成品实木门M1022，尺寸1000mm*2200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2、包含成品木门套及贴脸、木门油漆、门框塞水泥浆、门锁、门吸、合页等小五金件费用；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1470.21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2、1.2mm不锈钢窗套，胶粘；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399.68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石材窗台板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1、20厚灰色花岗岩，12mm厚DS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2、石材六面防腐和结晶；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3、下挂40，含倒圆边；</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802.93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1.立面水泥基渗透结晶型防水涂料 ~厚4(mm)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35.910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45.62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1、立面聚合物水泥防水涂料 ~厚1.5(mm)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35.910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30.76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1.平面水泥基渗透结晶型防水涂料 ~厚4(mm)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40.29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1、平面聚合物水泥防水涂料 ~厚1.5(mm)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1、600*600抛光砖地面,水泥擦缝;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128.86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1、300*600抛光砖墙面，12mm厚DS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2、环氧美缝剂，留缝2mm；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3、部位：贴至吊顶底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144.18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14545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成品隔断</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1、18mm厚抗倍特板卫生间隔断，高度2.1m；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2、具体样式详见卫生间平面布置图。(定制铜色金属拉手，底座1.5mm黑色不锈钢包边)</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284.96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300*300mm铝扣板吊顶：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1、吊顶龙骨采用铝扣板专用龙骨，间距300mm布置；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2、吊顶面层为300mm*300mm*1mm铝扣板；</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155.51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洗漱台</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1、双孔成品大理石洗漱台（不包含台盆），带防雾智能镜面</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洗漱台</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1、单孔成品大理石洗漱台（不包含台盆），带防雾智能镜面</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地砖面层大便坑</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1.地砖面层大便坑（10只）</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291.93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楼梯下杂物间</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隐形门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1、隐形瓷砖面门M1022，尺寸1000mm*2200mm；                  2、包含20*40镀锌方管框架；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3、前立面瓷砖干挂，背面白色免漆板；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4、含隐形门锁、门套、配套转轴合页等小五金件费用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1、800*800抛光砖地面,水泥擦缝;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139.37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2、1.2mm不锈钢踢脚线，胶粘；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342.31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41.580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33.56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柜子</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1、E0级免漆板的柜子（包含小五金件等费用）；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2、工程量按立面投影面积；</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询问室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全玻自由门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1、钢化玻璃开门(包含不锈钢门套、门锁、五金、门吸等所有配件）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2、1.2mm不锈钢窗套，胶粘；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399.68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石材窗台板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1、20厚灰色花岗岩，12mm厚DS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2、石材六面防腐和结晶；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3、下挂40，含倒圆边；</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802.93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木窗帘盒</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1、18mm阻燃板窗帘盒基层(直形 悬挂式)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2、9mm石膏板窗帘盒面层</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187.13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1、800*800抛光砖地面,水泥擦缝;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139.37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2、1.2mm不锈钢踢脚线，胶粘；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342.31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1、墙面软包：12mm厚阻燃板衬底，软包阻燃墙布面层</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97.140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290.12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28182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600*600mm铝扣板吊顶：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1、吊顶龙骨采用铝扣板专用龙骨，间距600mm布置；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2、吊顶面层为600mm*600mm*1mm铝扣板；</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28.940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144.68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询问桌椅定制</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1、询问桌椅定制，1桌3椅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3750.00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茶水间</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2、1.2mm不锈钢窗套，胶粘；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399.68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1、立面聚合物水泥防水涂料 ~厚1.5(mm)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30.76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1、平面聚合物水泥防水涂料 ~厚1.5(mm)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1、600*600抛光砖地面,水泥擦缝;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128.86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1、300*600抛光砖墙面，12mm厚DS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2、环氧美缝剂，留缝2mm；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3、部位：贴至吊顶底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35.250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144.18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大理石茶水台</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1、E0级免漆板的柜体，尺寸长2m*高0.8m*宽0.55m；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2、大理石台面级挡水条；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3、包含小五金件等费用；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4、清单工程量按长度计价；</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听证会商室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2、1.2mm不锈钢窗套，胶粘；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399.68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石材窗台板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1、20厚灰色花岗岩，12mm厚DS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2、石材六面防腐和结晶；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3、下挂40，含倒圆边；</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802.93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木窗帘盒</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1、18mm阻燃板窗帘盒基层(直形 悬挂式)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2、9mm石膏板窗帘盒面层</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187.13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1、800*800抛光砖地面,水泥擦缝;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139.37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2、1.2mm不锈钢踢脚线，胶粘；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342.31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1、浅胡桃色木作护墙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2、1.2mm细木工板打底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3、附墙木龙骨基层 断面7.5cm2以内 平均中距30cm以内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36.980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572.18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31.820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侧面轻钢龙骨石膏板吊顶：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108.77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1.天棚成品检修孔安装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木壁柜</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1.木作定制柜,白色烤漆柜门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木作山群定制墙 含造型</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1.木作山群定制墙 含造型</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13.580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1500.00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20370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lang w:val="en-US" w:eastAsia="zh-CN"/>
              </w:rPr>
            </w:pPr>
            <w:r>
              <w:rPr>
                <w:rFonts w:hint="eastAsia" w:ascii="宋体" w:hAnsi="宋体" w:eastAsia="宋体" w:cs="宋体"/>
                <w:i w:val="0"/>
                <w:iCs w:val="0"/>
                <w:color w:val="FF0000"/>
                <w:sz w:val="18"/>
                <w:szCs w:val="18"/>
                <w:u w:val="none"/>
                <w:lang w:val="en-US" w:eastAsia="zh-CN"/>
              </w:rPr>
              <w:t>暂估项目</w:t>
            </w:r>
          </w:p>
          <w:p>
            <w:pPr>
              <w:pStyle w:val="24"/>
              <w:rPr>
                <w:rFonts w:hint="eastAsia"/>
              </w:rPr>
            </w:pPr>
            <w:r>
              <w:rPr>
                <w:rFonts w:hint="eastAsia" w:hAnsi="宋体" w:cs="宋体"/>
                <w:i w:val="0"/>
                <w:iCs w:val="0"/>
                <w:color w:val="FF0000"/>
                <w:sz w:val="18"/>
                <w:szCs w:val="18"/>
                <w:u w:val="none"/>
                <w:lang w:val="en-US" w:eastAsia="zh-CN"/>
              </w:rPr>
              <w:t>不得下浮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定制玻璃含LOGO</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1、定制玻璃含LOGO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2、1.2mm细木工板打底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3、附墙木龙骨基层 断面7.5cm2以内 平均中距30cm以内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219.26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会议桌椅</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1、桌子1400*4800*760，1桌14椅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休息室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1、800*800抛光砖地面,水泥擦缝;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16.930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139.37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2、1.2mm不锈钢踢脚线，胶粘；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342.31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16.930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侧面轻钢龙骨石膏板吊顶：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108.77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1、天棚成品检修孔安装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48.850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33.56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单人床</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1、实木单人床1200*2000；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2、一床一柜；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3、椰棕床垫厚100mm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大屏控制室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2、1.2mm不锈钢踢脚线，胶粘；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342.31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23.660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1、天棚成品检修孔安装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40.280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33.56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吊轨隔断屏风</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1.吊轨隔断屏风</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18.690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800.00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14952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lang w:val="en-US" w:eastAsia="zh-CN"/>
              </w:rPr>
            </w:pPr>
            <w:r>
              <w:rPr>
                <w:rFonts w:hint="eastAsia" w:ascii="宋体" w:hAnsi="宋体" w:eastAsia="宋体" w:cs="宋体"/>
                <w:i w:val="0"/>
                <w:iCs w:val="0"/>
                <w:color w:val="FF0000"/>
                <w:sz w:val="18"/>
                <w:szCs w:val="18"/>
                <w:u w:val="none"/>
                <w:lang w:val="en-US" w:eastAsia="zh-CN"/>
              </w:rPr>
              <w:t>暂估项目</w:t>
            </w:r>
          </w:p>
          <w:p>
            <w:pPr>
              <w:jc w:val="center"/>
              <w:rPr>
                <w:rFonts w:hint="default" w:ascii="宋体" w:hAnsi="宋体" w:eastAsia="宋体" w:cs="宋体"/>
                <w:i w:val="0"/>
                <w:iCs w:val="0"/>
                <w:color w:val="FF0000"/>
                <w:sz w:val="18"/>
                <w:szCs w:val="18"/>
                <w:u w:val="none"/>
                <w:lang w:val="en-US" w:eastAsia="zh-CN"/>
              </w:rPr>
            </w:pPr>
            <w:r>
              <w:rPr>
                <w:rFonts w:hint="eastAsia" w:hAnsi="宋体" w:cs="宋体"/>
                <w:i w:val="0"/>
                <w:iCs w:val="0"/>
                <w:color w:val="FF0000"/>
                <w:sz w:val="18"/>
                <w:szCs w:val="18"/>
                <w:u w:val="none"/>
                <w:lang w:val="en-US" w:eastAsia="zh-CN"/>
              </w:rPr>
              <w:t>不得下浮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吊轨移门（暗门）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1、吊轨移门（暗门）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大屏控制台定制</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1.大屏控制台定制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机房及检修通道</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1、成品实木复合烤漆门M1022，尺寸1000mm*2200，门楣800；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2、包含成品木门套及贴脸、木门油漆、门框塞水泥浆、门锁、门吸、合页等小五金件费用；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2150.21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33.56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指挥中心</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隐形对开门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1、木饰面门M1124，尺寸1100mm*2400mm；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2、包含20*40镀锌方管框架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4、含隐形门配套转轴合页等小五金件费用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隐形门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1、木饰面门M1024，尺寸1000mm*2400mm；                  2、包含20*40镀锌方管框架；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3、前立面瓷砖干挂，背面白色免漆板；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4、含隐形门锁、门套、配套转轴合页等小五金件费用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1、750*1500抛光砖地面,水泥擦缝;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97.410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171.67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0.260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1.墙面粘贴成品木饰面</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466.23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1.墙面粘贴成品覆木饰面</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236.72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1.木龙骨基础,细木板基层,2.5mm厚白色烤漆铝板饰面</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137.400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353.58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48582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82.420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1、欧松板制1/4角度圆弧模型,3厘板打底,石膏板后背间距1公分切割刷白胶饰3里板面</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1、20*40方木(双层),30cm开档,细木工板打底,木饰板覆面</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144.40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82.420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吊轨隔断屏风</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1.吊轨隔断屏风</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20.990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800.00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16792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lang w:val="en-US" w:eastAsia="zh-CN"/>
              </w:rPr>
            </w:pPr>
            <w:r>
              <w:rPr>
                <w:rFonts w:hint="eastAsia" w:ascii="宋体" w:hAnsi="宋体" w:eastAsia="宋体" w:cs="宋体"/>
                <w:i w:val="0"/>
                <w:iCs w:val="0"/>
                <w:color w:val="FF0000"/>
                <w:sz w:val="18"/>
                <w:szCs w:val="18"/>
                <w:u w:val="none"/>
                <w:lang w:val="en-US" w:eastAsia="zh-CN"/>
              </w:rPr>
              <w:t>暂估项目</w:t>
            </w:r>
          </w:p>
          <w:p>
            <w:pPr>
              <w:jc w:val="center"/>
              <w:rPr>
                <w:rFonts w:hint="eastAsia" w:ascii="宋体" w:hAnsi="宋体" w:eastAsia="宋体" w:cs="宋体"/>
                <w:i w:val="0"/>
                <w:iCs w:val="0"/>
                <w:color w:val="FF0000"/>
                <w:sz w:val="18"/>
                <w:szCs w:val="18"/>
                <w:u w:val="none"/>
              </w:rPr>
            </w:pPr>
            <w:r>
              <w:rPr>
                <w:rFonts w:hint="eastAsia" w:hAnsi="宋体" w:cs="宋体"/>
                <w:i w:val="0"/>
                <w:iCs w:val="0"/>
                <w:color w:val="FF0000"/>
                <w:sz w:val="18"/>
                <w:szCs w:val="18"/>
                <w:u w:val="none"/>
                <w:lang w:val="en-US" w:eastAsia="zh-CN"/>
              </w:rPr>
              <w:t>不得下浮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主席台桌</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1.主席台桌，规格1200*4000*760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会议桌</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1.会议桌，规格500*4000*760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会议椅</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1.会议椅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接待大厅及过道</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1、750*1500抛光砖地面,水泥擦缝;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82.270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171.67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门槛石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1、20厚黑金沙花岗岩门槛石, 12mm厚DS M15干混砂浆结合层；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2、30mmDS M15干硬性水泥砂浆找平层,水泥浆一道(内掺建筑胶)；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3、石材六面防腐和结晶；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1、12mm阻燃板基层；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2、1.2mm不锈钢踢脚线，胶粘；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1.760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342.31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石材墙面</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1.大理石背景</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328.94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1、浅胡桃色木作护墙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2、1.2mm细木工板打底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3、附墙木龙骨基层 断面7.5cm2以内 平均中距30cm以内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572.18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37192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平面轻钢龙骨石膏板吊顶：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1、主龙骨采用CS60*27*1.2，间距1200mm，次龙骨采用CS50*20*0.6，间距400mm，采用φ8钢筋吊杆固定，吊杆间距1200mm；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2、双层9mm纸面石膏板平面面层，板缝贴胶带、点锈。</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107.24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1.轻钢龙骨（U50型）吊顶 侧面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2.天棚细木工板侧面基层 钉在轻钢龙骨上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3.天棚平面装饰夹板 平面</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146.59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1、天棚成品检修孔安装</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格栅吊顶</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1、轻钢龙骨（U50型）吊顶 平面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2、天棚细木工板平面基层 钉在轻钢龙骨上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3、天棚平面装饰夹板 平面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4、50*90*1木纹铝方通</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42.290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655.75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33.56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1、满铺防裂纤维网格布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2、墙面刷乳胶漆二遍,成品腻子两遍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30.97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电动移门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1、电动移门，不锈钢包套含大门套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2、西门子移动门机组</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1036.53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受理窗口接待台</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1.受理窗口接待台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受理窗口接待台椅子</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1.受理窗口接待台椅子</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等待椅</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1.三人位，不锈钢框架，优质西皮</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门禁隔断</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1.铝合金钢化玻璃，窄边，包含不锈钢门套</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文化布置，含深化设计费用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1.文化布置，含深化设计费用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140000.00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140000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lang w:val="en-US" w:eastAsia="zh-CN"/>
              </w:rPr>
            </w:pPr>
            <w:r>
              <w:rPr>
                <w:rFonts w:hint="eastAsia" w:ascii="宋体" w:hAnsi="宋体" w:eastAsia="宋体" w:cs="宋体"/>
                <w:i w:val="0"/>
                <w:iCs w:val="0"/>
                <w:color w:val="FF0000"/>
                <w:sz w:val="18"/>
                <w:szCs w:val="18"/>
                <w:u w:val="none"/>
                <w:lang w:val="en-US" w:eastAsia="zh-CN"/>
              </w:rPr>
              <w:t>暂估项目</w:t>
            </w:r>
          </w:p>
          <w:p>
            <w:pPr>
              <w:jc w:val="center"/>
              <w:rPr>
                <w:rFonts w:hint="eastAsia" w:ascii="宋体" w:hAnsi="宋体" w:eastAsia="宋体" w:cs="宋体"/>
                <w:i w:val="0"/>
                <w:iCs w:val="0"/>
                <w:color w:val="000000"/>
                <w:sz w:val="18"/>
                <w:szCs w:val="18"/>
                <w:u w:val="none"/>
              </w:rPr>
            </w:pPr>
            <w:r>
              <w:rPr>
                <w:rFonts w:hint="eastAsia" w:hAnsi="宋体" w:cs="宋体"/>
                <w:i w:val="0"/>
                <w:iCs w:val="0"/>
                <w:color w:val="FF0000"/>
                <w:sz w:val="18"/>
                <w:szCs w:val="18"/>
                <w:u w:val="none"/>
                <w:lang w:val="en-US" w:eastAsia="zh-CN"/>
              </w:rPr>
              <w:t>不得下浮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899223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79"/>
        <w:rPr>
          <w:rFonts w:hint="eastAsia" w:ascii="宋体" w:hAnsi="宋体" w:eastAsia="宋体" w:cs="宋体"/>
          <w:kern w:val="2"/>
          <w:sz w:val="24"/>
          <w:szCs w:val="24"/>
          <w:lang w:val="en-US" w:eastAsia="zh-CN"/>
        </w:rPr>
      </w:pPr>
    </w:p>
    <w:tbl>
      <w:tblPr>
        <w:tblStyle w:val="62"/>
        <w:tblW w:w="10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1698"/>
        <w:gridCol w:w="3249"/>
        <w:gridCol w:w="560"/>
        <w:gridCol w:w="1115"/>
        <w:gridCol w:w="950"/>
        <w:gridCol w:w="950"/>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01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技术措施工程费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017" w:type="dxa"/>
            <w:gridSpan w:val="8"/>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单位（专业）工程名称：宁海桃源街道综合指挥中心改造及提升工程（装修部分）-装修工程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额（元）</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4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2"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脚手架工程</w:t>
            </w:r>
          </w:p>
        </w:tc>
        <w:tc>
          <w:tcPr>
            <w:tcW w:w="56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外脚手架</w:t>
            </w:r>
          </w:p>
        </w:tc>
        <w:tc>
          <w:tcPr>
            <w:tcW w:w="325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1.外墙脚手架 高度20m以内`如不能利用须另行搭设时</w:t>
            </w:r>
          </w:p>
        </w:tc>
        <w:tc>
          <w:tcPr>
            <w:tcW w:w="5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949.05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17.55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16656 </w:t>
            </w:r>
          </w:p>
        </w:tc>
        <w:tc>
          <w:tcPr>
            <w:tcW w:w="9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里脚手架</w:t>
            </w:r>
          </w:p>
        </w:tc>
        <w:tc>
          <w:tcPr>
            <w:tcW w:w="325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1.内墙脚手架 高度3.6m以内`单独装饰或二次装饰工程，层高在3.6m以内的内墙粉刷（饰面）脚手架</w:t>
            </w:r>
          </w:p>
        </w:tc>
        <w:tc>
          <w:tcPr>
            <w:tcW w:w="5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1156.58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1885 </w:t>
            </w:r>
          </w:p>
        </w:tc>
        <w:tc>
          <w:tcPr>
            <w:tcW w:w="9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里脚手架</w:t>
            </w:r>
          </w:p>
        </w:tc>
        <w:tc>
          <w:tcPr>
            <w:tcW w:w="325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1.内墙脚手架 高度3.6m以内`单独装饰或二次装饰工程，层高在3.6m以内的内墙粉刷（饰面）脚手架</w:t>
            </w:r>
          </w:p>
        </w:tc>
        <w:tc>
          <w:tcPr>
            <w:tcW w:w="5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1156.58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1885 </w:t>
            </w:r>
          </w:p>
        </w:tc>
        <w:tc>
          <w:tcPr>
            <w:tcW w:w="9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满堂脚手架</w:t>
            </w:r>
          </w:p>
        </w:tc>
        <w:tc>
          <w:tcPr>
            <w:tcW w:w="325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1.满堂脚手架 ~基本层3.6m～5.2m`单独装饰或二次装饰工程，层高在3.6m以内的天棚饰面脚手架</w:t>
            </w:r>
          </w:p>
        </w:tc>
        <w:tc>
          <w:tcPr>
            <w:tcW w:w="5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225.76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7.93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1790 </w:t>
            </w:r>
          </w:p>
        </w:tc>
        <w:tc>
          <w:tcPr>
            <w:tcW w:w="9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325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1.现浇混凝土 直形圈过梁 复合木模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2.部位：卫生间上翻</w:t>
            </w:r>
          </w:p>
        </w:tc>
        <w:tc>
          <w:tcPr>
            <w:tcW w:w="5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6.66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56.12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 </w:t>
            </w:r>
          </w:p>
        </w:tc>
        <w:tc>
          <w:tcPr>
            <w:tcW w:w="9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4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325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直形圈过梁 复合木模</w:t>
            </w:r>
          </w:p>
        </w:tc>
        <w:tc>
          <w:tcPr>
            <w:tcW w:w="5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16.65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56.12 </w:t>
            </w:r>
          </w:p>
        </w:tc>
        <w:tc>
          <w:tcPr>
            <w:tcW w:w="9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934 </w:t>
            </w:r>
          </w:p>
        </w:tc>
        <w:tc>
          <w:tcPr>
            <w:tcW w:w="9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117"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79"/>
        <w:rPr>
          <w:rFonts w:hint="eastAsia" w:ascii="宋体" w:hAnsi="宋体" w:eastAsia="宋体" w:cs="宋体"/>
          <w:kern w:val="2"/>
          <w:sz w:val="24"/>
          <w:szCs w:val="24"/>
          <w:lang w:val="en-US" w:eastAsia="zh-CN"/>
        </w:rPr>
      </w:pPr>
    </w:p>
    <w:tbl>
      <w:tblPr>
        <w:tblStyle w:val="62"/>
        <w:tblW w:w="9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2270"/>
        <w:gridCol w:w="3360"/>
        <w:gridCol w:w="1400"/>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29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单位（专业）工程费用表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299" w:type="dxa"/>
            <w:gridSpan w:val="5"/>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59514</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工程量按实计算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∑（技术措施工程量×综合单价）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工程量按实计算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1274</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按中标价包干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按中标价包干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 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费用合计</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68568</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0"/>
                <w:szCs w:val="20"/>
                <w:u w:val="none"/>
              </w:rPr>
            </w:pPr>
          </w:p>
        </w:tc>
      </w:tr>
    </w:tbl>
    <w:p>
      <w:pPr>
        <w:pStyle w:val="79"/>
        <w:rPr>
          <w:rFonts w:hint="eastAsia" w:ascii="宋体" w:hAnsi="宋体" w:eastAsia="宋体" w:cs="宋体"/>
          <w:kern w:val="2"/>
          <w:sz w:val="24"/>
          <w:szCs w:val="24"/>
          <w:lang w:val="en-US" w:eastAsia="zh-CN"/>
        </w:rPr>
      </w:pPr>
    </w:p>
    <w:tbl>
      <w:tblPr>
        <w:tblStyle w:val="62"/>
        <w:tblW w:w="10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2000"/>
        <w:gridCol w:w="3070"/>
        <w:gridCol w:w="610"/>
        <w:gridCol w:w="1010"/>
        <w:gridCol w:w="1010"/>
        <w:gridCol w:w="1010"/>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27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270" w:type="dxa"/>
            <w:gridSpan w:val="8"/>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额（元）</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1、名称：配电箱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2、型号：AL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3、安装方式：距地1.5m壁挂式安装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7055.85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1、名称：600*600面板灯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2、型号：LED 36W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3、安装方式：嵌顶安装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1、名称：长条专用格栅灯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2、型号：LED 24W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3、安装方式：嵌顶安装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215.87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1、名称：筒灯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2、型号：LED 10W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3、安装方式：嵌顶安装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64.08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1、名称：灯带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2、型号：LED 8W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3、安装方式：嵌顶安装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158.680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39.15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1、名称：暗装单联开关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2、规格：250V 10A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3.安装方式：距地1.3m暗装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17.26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1、名称：暗装双联开关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2、规格：250V 10A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3.安装方式：距地1.3m暗装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19.70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1、名称：暗装三联开关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2、规格：250V 10A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3.安装方式：距地1.3m暗装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22.77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1、名称：暗装四联开关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2、规格：250V 10A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3.安装方式：距地1.3m暗装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28.32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1、名称：暗装双联双控开关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2、规格：250V 10A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3.安装方式：距地1.3m暗装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21.65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1、名称：安全型防溅型二三极暗装插座(带面板盒)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2、型号：250V 10A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3、安装方式：距地0.5m暗装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27.77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1、名称：安全防溅型二三极暗装插座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2、型号：250V 10A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3、安装方式：距地1.5m暗装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24.91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1、名称：安全型二三极埋地插座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2、型号：250V 10A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3、安装方式：地面暗装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155.05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1.开关盒、插座盒安装（铁制86）</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1.暗装接线盒（铁制86）</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9.55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1.地插座盒安装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16.24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1、名称：电线套管(镀锌)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2、规格：JDG40*1.6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3、配置形式：混凝土结构暗敷设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4、其他：墙面刨沟及沟槽恢复、修补</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21.23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1、名称：电线套管(镀锌)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2、规格：JDG32*1.6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3、配置形式：混凝土结构暗敷设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4、其他：墙面刨沟及沟槽恢复、修补</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18.33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1、名称：电线套管(镀锌)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2、规格：JDG20*1.6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3、配置形式：混凝土结构暗敷设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4、其他：墙面刨沟及沟槽恢复、修补</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736.800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11.25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防火桥架150*75</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39.400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89.89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铁构件</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一般铁构件制作与安装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32.550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17.19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一般钢结构手工除轻锈，刷防锈漆二遍，调和漆二遍</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32.550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2.32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1、名称：铜芯电力电缆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2、型号：WDZBYJY-5*16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3、敷设方式、部位：管道、桥架内敷设</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67.07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`铜芯25mm2及以下三芯及以上电缆头制安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38.22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1、名称：铜芯塑料绝缘线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2、配线形式：管内穿线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3、型号：WDZBBYJ-2.5</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1717.800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1、名称：铜芯塑料绝缘线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2、配线形式：管内穿线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3、型号：WDZBBYJ-4</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492.200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4.25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1、名称：铜芯塑料绝缘线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2、配线形式：管内穿线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3、型号：WDZBBYJ-6</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1、名称：铜芯塑料绝缘线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2、配线形式：线槽配线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3、型号：WDZBBYJ-2.5</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1531.800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3.18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1、名称：铜芯塑料绝缘线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2、配线形式：线槽配线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3、型号：WDZBBYJ-4</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252.700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4.58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1、名称：铜芯塑料绝缘线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2、配线形式：线槽配线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3、型号：WDZBBYJ-6</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 测试板</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1、名称：局部等电位端子箱</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117.10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送配电装置系统调试 1kV以下交流供电(综  合)</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245.49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59514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79"/>
        <w:ind w:left="0" w:leftChars="0" w:firstLine="0" w:firstLineChars="0"/>
        <w:rPr>
          <w:rFonts w:hint="eastAsia" w:ascii="宋体" w:hAnsi="宋体" w:eastAsia="宋体" w:cs="宋体"/>
          <w:kern w:val="2"/>
          <w:sz w:val="24"/>
          <w:szCs w:val="24"/>
          <w:lang w:val="en-US" w:eastAsia="zh-CN"/>
        </w:rPr>
      </w:pPr>
    </w:p>
    <w:p>
      <w:pPr>
        <w:pStyle w:val="79"/>
        <w:rPr>
          <w:rFonts w:hint="eastAsia" w:ascii="宋体" w:hAnsi="宋体" w:eastAsia="宋体" w:cs="宋体"/>
          <w:kern w:val="2"/>
          <w:sz w:val="24"/>
          <w:szCs w:val="24"/>
          <w:lang w:val="en-US" w:eastAsia="zh-CN"/>
        </w:rPr>
      </w:pPr>
    </w:p>
    <w:p>
      <w:pPr>
        <w:pStyle w:val="79"/>
        <w:rPr>
          <w:rFonts w:hint="eastAsia" w:ascii="宋体" w:hAnsi="宋体" w:eastAsia="宋体" w:cs="宋体"/>
          <w:kern w:val="2"/>
          <w:sz w:val="24"/>
          <w:szCs w:val="24"/>
          <w:lang w:val="en-US" w:eastAsia="zh-CN"/>
        </w:rPr>
      </w:pPr>
    </w:p>
    <w:tbl>
      <w:tblPr>
        <w:tblStyle w:val="62"/>
        <w:tblW w:w="10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2308"/>
        <w:gridCol w:w="3249"/>
        <w:gridCol w:w="707"/>
        <w:gridCol w:w="1020"/>
        <w:gridCol w:w="1020"/>
        <w:gridCol w:w="1019"/>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097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技术措施工程费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977" w:type="dxa"/>
            <w:gridSpan w:val="8"/>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额（元）</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2"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脚手架工程</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1.脚手架搭拆费第四册</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706.24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79"/>
        <w:rPr>
          <w:rFonts w:hint="eastAsia" w:ascii="宋体" w:hAnsi="宋体" w:eastAsia="宋体" w:cs="宋体"/>
          <w:kern w:val="2"/>
          <w:sz w:val="24"/>
          <w:szCs w:val="24"/>
          <w:lang w:val="en-US" w:eastAsia="zh-CN"/>
        </w:rPr>
      </w:pPr>
    </w:p>
    <w:tbl>
      <w:tblPr>
        <w:tblStyle w:val="62"/>
        <w:tblW w:w="96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2270"/>
        <w:gridCol w:w="3360"/>
        <w:gridCol w:w="1400"/>
        <w:gridCol w:w="1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66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单位（专业）工程费用表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668" w:type="dxa"/>
            <w:gridSpan w:val="5"/>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单位（专业）工程名称：宁海桃源街道综合指挥中心改造及提升工程（装修部分）-给排水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9609</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工程量按实计算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∑（技术措施工程量×综合单价）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工程量按实计算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按中标价包干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按中标价包干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 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费用合计</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10782</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0"/>
                <w:szCs w:val="20"/>
                <w:u w:val="none"/>
              </w:rPr>
            </w:pPr>
          </w:p>
        </w:tc>
      </w:tr>
    </w:tbl>
    <w:p>
      <w:pPr>
        <w:pStyle w:val="79"/>
        <w:rPr>
          <w:rFonts w:hint="eastAsia" w:ascii="宋体" w:hAnsi="宋体" w:eastAsia="宋体" w:cs="宋体"/>
          <w:kern w:val="2"/>
          <w:sz w:val="24"/>
          <w:szCs w:val="24"/>
          <w:lang w:val="en-US" w:eastAsia="zh-CN"/>
        </w:rPr>
      </w:pPr>
    </w:p>
    <w:tbl>
      <w:tblPr>
        <w:tblStyle w:val="62"/>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1910"/>
        <w:gridCol w:w="3251"/>
        <w:gridCol w:w="590"/>
        <w:gridCol w:w="1000"/>
        <w:gridCol w:w="1000"/>
        <w:gridCol w:w="100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28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282" w:type="dxa"/>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单位（专业）工程名称：宁海桃源街道综合指挥中心改造及提升工程（装修部分）-给排水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给水</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1、室内PPR给水管（热熔连接） DN32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2、管道及管件安装，水压试验及水冲洗消毒。</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27.23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1、室内PPR给水管（热熔连接） DN25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2、管道及管件安装，水压试验及水冲洗消毒。</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24.51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1、室内PPR给水管（热熔连接） DN20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2、管道及管件安装，水压试验及水冲洗消毒。</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18.98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1、室内PPR给水管（热熔连接） DN15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2、管道及管件安装，水压试验及水冲洗消毒。</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15.97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1、截止阀J11T-16T安装 DN32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77.60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补说明</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1、卫生间（内周长在12m以下）暗敷管道，每间补贴1.0工日</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206.06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排水</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1、室内塑料排水管（粘接） DN100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47.26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1、室内塑料排水管（粘接） DN75</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30.66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1、室内塑料排水管（粘接） DN50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21.11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大便器</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1、坐式大便器安装 连体水箱</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877.57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大便器</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1、蹲式大便器安装 延时自闭式冲洗阀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674.68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小便器</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1、小便器安装 延时自闭式冲洗阀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776.94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1、洗脸盆 台下式冷热水</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501.02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给、排水附(配)件</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1、地漏安装 DN50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34.94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79"/>
        <w:rPr>
          <w:rFonts w:hint="eastAsia" w:ascii="宋体" w:hAnsi="宋体" w:eastAsia="宋体" w:cs="宋体"/>
          <w:kern w:val="2"/>
          <w:sz w:val="24"/>
          <w:szCs w:val="24"/>
          <w:lang w:val="en-US" w:eastAsia="zh-CN"/>
        </w:rPr>
      </w:pPr>
    </w:p>
    <w:tbl>
      <w:tblPr>
        <w:tblStyle w:val="62"/>
        <w:tblW w:w="10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2309"/>
        <w:gridCol w:w="3251"/>
        <w:gridCol w:w="560"/>
        <w:gridCol w:w="1050"/>
        <w:gridCol w:w="1050"/>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87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技术措施工程费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872" w:type="dxa"/>
            <w:gridSpan w:val="8"/>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单位（专业）工程名称：宁海桃源街道综合指挥中心改造及提升工程（装修部分）-给排水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2"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脚手架工程</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1.脚手架搭拆费第四册</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79"/>
        <w:rPr>
          <w:rFonts w:hint="eastAsia" w:ascii="宋体" w:hAnsi="宋体" w:eastAsia="宋体" w:cs="宋体"/>
          <w:kern w:val="2"/>
          <w:sz w:val="24"/>
          <w:szCs w:val="24"/>
          <w:lang w:val="en-US" w:eastAsia="zh-CN"/>
        </w:rPr>
      </w:pPr>
    </w:p>
    <w:p>
      <w:pPr>
        <w:pStyle w:val="79"/>
        <w:rPr>
          <w:rFonts w:hint="eastAsia" w:ascii="宋体" w:hAnsi="宋体" w:eastAsia="宋体" w:cs="宋体"/>
          <w:kern w:val="2"/>
          <w:sz w:val="24"/>
          <w:szCs w:val="24"/>
          <w:lang w:val="en-US" w:eastAsia="zh-CN"/>
        </w:rPr>
      </w:pPr>
    </w:p>
    <w:tbl>
      <w:tblPr>
        <w:tblStyle w:val="62"/>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2270"/>
        <w:gridCol w:w="3360"/>
        <w:gridCol w:w="1400"/>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35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单位（专业）工程费用表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354" w:type="dxa"/>
            <w:gridSpan w:val="5"/>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单位（专业）工程名称：宁海桃源街道综合指挥中心改造及提升工程（装修部分）-抗震支架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工程量按实计算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∑（技术措施工程量×综合单价）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工程量按实计算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按中标价包干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按中标价包干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 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费用合计</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0"/>
                <w:szCs w:val="20"/>
                <w:u w:val="none"/>
              </w:rPr>
            </w:pPr>
          </w:p>
        </w:tc>
      </w:tr>
    </w:tbl>
    <w:p>
      <w:pPr>
        <w:pStyle w:val="79"/>
        <w:rPr>
          <w:rFonts w:hint="eastAsia" w:ascii="宋体" w:hAnsi="宋体" w:eastAsia="宋体" w:cs="宋体"/>
          <w:kern w:val="2"/>
          <w:sz w:val="24"/>
          <w:szCs w:val="24"/>
          <w:lang w:val="en-US" w:eastAsia="zh-CN"/>
        </w:rPr>
      </w:pPr>
    </w:p>
    <w:tbl>
      <w:tblPr>
        <w:tblStyle w:val="62"/>
        <w:tblW w:w="10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850"/>
        <w:gridCol w:w="3110"/>
        <w:gridCol w:w="580"/>
        <w:gridCol w:w="1060"/>
        <w:gridCol w:w="1060"/>
        <w:gridCol w:w="106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27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270" w:type="dxa"/>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单位（专业）工程名称：宁海桃源街道综合指挥中心改造及提升工程（装修部分）-抗震支架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额（元）</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管道支吊架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1、名称：桥架侧向抗震支架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2、规格：200-T</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414.39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管道支吊架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1、名称：桥架双向抗震支架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2、规格：200-TL</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562.43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79"/>
        <w:rPr>
          <w:rFonts w:hint="eastAsia" w:ascii="宋体" w:hAnsi="宋体" w:eastAsia="宋体" w:cs="宋体"/>
          <w:kern w:val="2"/>
          <w:sz w:val="24"/>
          <w:szCs w:val="24"/>
          <w:lang w:val="en-US" w:eastAsia="zh-CN"/>
        </w:rPr>
      </w:pPr>
    </w:p>
    <w:tbl>
      <w:tblPr>
        <w:tblStyle w:val="62"/>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2040"/>
        <w:gridCol w:w="2999"/>
        <w:gridCol w:w="630"/>
        <w:gridCol w:w="1115"/>
        <w:gridCol w:w="1131"/>
        <w:gridCol w:w="1084"/>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068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技术措施工程费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682" w:type="dxa"/>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单位（专业）工程名称：宁海桃源街道综合指挥中心改造及提升工程（装修部分）-抗震支架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0"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脚手架工程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1.脚手架搭拆费第四册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79"/>
        <w:rPr>
          <w:rFonts w:hint="eastAsia" w:ascii="宋体" w:hAnsi="宋体" w:eastAsia="宋体" w:cs="宋体"/>
          <w:kern w:val="2"/>
          <w:sz w:val="24"/>
          <w:szCs w:val="24"/>
          <w:lang w:val="en-US" w:eastAsia="zh-CN"/>
        </w:rPr>
      </w:pPr>
    </w:p>
    <w:p>
      <w:pPr>
        <w:pStyle w:val="79"/>
        <w:rPr>
          <w:rFonts w:hint="eastAsia" w:ascii="宋体" w:hAnsi="宋体" w:eastAsia="宋体" w:cs="宋体"/>
          <w:kern w:val="2"/>
          <w:sz w:val="24"/>
          <w:szCs w:val="24"/>
          <w:lang w:val="en-US" w:eastAsia="zh-CN"/>
        </w:rPr>
      </w:pPr>
    </w:p>
    <w:p>
      <w:pPr>
        <w:pStyle w:val="79"/>
        <w:rPr>
          <w:rFonts w:hint="eastAsia" w:ascii="宋体" w:hAnsi="宋体" w:eastAsia="宋体" w:cs="宋体"/>
          <w:kern w:val="2"/>
          <w:sz w:val="24"/>
          <w:szCs w:val="24"/>
          <w:lang w:val="en-US" w:eastAsia="zh-CN"/>
        </w:rPr>
      </w:pPr>
    </w:p>
    <w:p>
      <w:pPr>
        <w:spacing w:line="360" w:lineRule="auto"/>
        <w:jc w:val="left"/>
        <w:rPr>
          <w:rFonts w:hint="default" w:ascii="宋体" w:hAnsi="宋体" w:cs="仿宋_GB2312"/>
          <w:b/>
          <w:bCs/>
          <w:sz w:val="24"/>
          <w:lang w:val="en-US" w:eastAsia="zh-CN"/>
        </w:rPr>
      </w:pPr>
      <w:r>
        <w:rPr>
          <w:rFonts w:hint="eastAsia" w:ascii="宋体" w:hAnsi="宋体" w:cs="仿宋_GB2312"/>
          <w:b/>
          <w:bCs/>
          <w:sz w:val="24"/>
          <w:lang w:val="en-US" w:eastAsia="zh-CN"/>
        </w:rPr>
        <w:t>六、结算方式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工程量按实计算，单价除另有约定外按中标单价计算，施工组织措施项目费、规费按中标单价包干，税金按9%计算。</w:t>
      </w:r>
    </w:p>
    <w:p>
      <w:pPr>
        <w:spacing w:line="360" w:lineRule="auto"/>
        <w:jc w:val="left"/>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七、图纸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另附。</w:t>
      </w:r>
    </w:p>
    <w:p>
      <w:pPr>
        <w:spacing w:line="360" w:lineRule="auto"/>
        <w:jc w:val="left"/>
        <w:rPr>
          <w:rFonts w:ascii="宋体" w:hAnsi="宋体" w:cs="仿宋_GB2312"/>
          <w:b/>
          <w:bCs/>
          <w:sz w:val="24"/>
        </w:rPr>
      </w:pPr>
      <w:r>
        <w:rPr>
          <w:rFonts w:hint="eastAsia" w:ascii="宋体" w:hAnsi="宋体" w:cs="宋体"/>
          <w:sz w:val="24"/>
        </w:rPr>
        <w:t>▲</w:t>
      </w:r>
      <w:r>
        <w:rPr>
          <w:rFonts w:hint="eastAsia" w:ascii="宋体" w:hAnsi="宋体" w:cs="仿宋_GB2312"/>
          <w:b/>
          <w:bCs/>
          <w:sz w:val="24"/>
          <w:lang w:val="en-US" w:eastAsia="zh-CN"/>
        </w:rPr>
        <w:t>八</w:t>
      </w:r>
      <w:r>
        <w:rPr>
          <w:rFonts w:hint="eastAsia" w:ascii="宋体" w:hAnsi="宋体" w:cs="仿宋_GB2312"/>
          <w:b/>
          <w:bCs/>
          <w:sz w:val="24"/>
        </w:rPr>
        <w:t>、商务要求</w:t>
      </w:r>
    </w:p>
    <w:tbl>
      <w:tblPr>
        <w:tblStyle w:val="62"/>
        <w:tblW w:w="8962" w:type="dxa"/>
        <w:jc w:val="center"/>
        <w:tblLayout w:type="fixed"/>
        <w:tblCellMar>
          <w:top w:w="0" w:type="dxa"/>
          <w:left w:w="108" w:type="dxa"/>
          <w:bottom w:w="0" w:type="dxa"/>
          <w:right w:w="108" w:type="dxa"/>
        </w:tblCellMar>
      </w:tblPr>
      <w:tblGrid>
        <w:gridCol w:w="1097"/>
        <w:gridCol w:w="7865"/>
      </w:tblGrid>
      <w:tr>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865" w:type="dxa"/>
            <w:tcBorders>
              <w:top w:val="single" w:color="auto" w:sz="4" w:space="0"/>
              <w:left w:val="single" w:color="000000" w:sz="6" w:space="0"/>
              <w:bottom w:val="single" w:color="000000" w:sz="6" w:space="0"/>
              <w:right w:val="single" w:color="auto" w:sz="4"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65" w:type="dxa"/>
            <w:tcBorders>
              <w:top w:val="single" w:color="auto" w:sz="4" w:space="0"/>
              <w:left w:val="single" w:color="000000" w:sz="6" w:space="0"/>
              <w:bottom w:val="single" w:color="000000" w:sz="6" w:space="0"/>
              <w:right w:val="single" w:color="auto" w:sz="4" w:space="0"/>
            </w:tcBorders>
            <w:noWrap w:val="0"/>
            <w:vAlign w:val="center"/>
          </w:tcPr>
          <w:p>
            <w:pPr>
              <w:pStyle w:val="800"/>
              <w:pageBreakBefore w:val="0"/>
              <w:kinsoku/>
              <w:wordWrap/>
              <w:overflowPunct/>
              <w:topLinePunct w:val="0"/>
              <w:bidi w:val="0"/>
              <w:snapToGrid/>
              <w:spacing w:line="360" w:lineRule="exact"/>
              <w:ind w:left="0" w:firstLine="0" w:firstLineChars="0"/>
              <w:jc w:val="both"/>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color w:val="000000"/>
                <w:sz w:val="24"/>
                <w:szCs w:val="24"/>
                <w:highlight w:val="none"/>
              </w:rPr>
              <w:t>合同履约期限</w:t>
            </w:r>
            <w:r>
              <w:rPr>
                <w:rFonts w:hint="eastAsia" w:ascii="宋体" w:hAnsi="宋体" w:eastAsia="宋体" w:cs="宋体"/>
                <w:i w:val="0"/>
                <w:iCs/>
                <w:color w:val="000000"/>
                <w:kern w:val="2"/>
                <w:sz w:val="24"/>
                <w:szCs w:val="24"/>
                <w:highlight w:val="none"/>
                <w:lang w:val="en-US" w:eastAsia="zh-CN" w:bidi="ar-SA"/>
              </w:rPr>
              <w:t>：合同签订后7日内开工，施工工期60日历天。</w:t>
            </w:r>
          </w:p>
        </w:tc>
      </w:tr>
      <w:tr>
        <w:tblPrEx>
          <w:tblCellMar>
            <w:top w:w="0" w:type="dxa"/>
            <w:left w:w="108" w:type="dxa"/>
            <w:bottom w:w="0" w:type="dxa"/>
            <w:right w:w="108" w:type="dxa"/>
          </w:tblCellMar>
        </w:tblPrEx>
        <w:trPr>
          <w:trHeight w:val="2268"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65" w:type="dxa"/>
            <w:tcBorders>
              <w:top w:val="single" w:color="auto" w:sz="4" w:space="0"/>
              <w:left w:val="single" w:color="000000" w:sz="6" w:space="0"/>
              <w:bottom w:val="single" w:color="000000" w:sz="6" w:space="0"/>
              <w:right w:val="single" w:color="auto" w:sz="4" w:space="0"/>
            </w:tcBorders>
            <w:noWrap w:val="0"/>
            <w:vAlign w:val="center"/>
          </w:tcPr>
          <w:p>
            <w:pPr>
              <w:pageBreakBefore w:val="0"/>
              <w:kinsoku/>
              <w:wordWrap/>
              <w:overflowPunct/>
              <w:topLinePunct w:val="0"/>
              <w:bidi w:val="0"/>
              <w:snapToGrid/>
              <w:spacing w:line="360" w:lineRule="exact"/>
              <w:ind w:left="0" w:firstLine="0"/>
              <w:jc w:val="both"/>
              <w:textAlignment w:val="auto"/>
              <w:rPr>
                <w:rFonts w:hint="eastAsia" w:ascii="宋体" w:hAnsi="宋体" w:eastAsia="宋体" w:cs="宋体"/>
                <w:b w:val="0"/>
                <w:bCs w:val="0"/>
                <w:i w:val="0"/>
                <w:iCs/>
                <w:color w:val="auto"/>
                <w:kern w:val="2"/>
                <w:sz w:val="24"/>
                <w:szCs w:val="24"/>
                <w:highlight w:val="none"/>
                <w:lang w:val="en-US" w:eastAsia="zh-CN" w:bidi="ar-SA"/>
              </w:rPr>
            </w:pPr>
            <w:r>
              <w:rPr>
                <w:rFonts w:hint="eastAsia" w:ascii="宋体" w:hAnsi="宋体" w:eastAsia="宋体" w:cs="宋体"/>
                <w:b w:val="0"/>
                <w:bCs w:val="0"/>
                <w:i w:val="0"/>
                <w:iCs/>
                <w:color w:val="auto"/>
                <w:kern w:val="2"/>
                <w:sz w:val="24"/>
                <w:szCs w:val="24"/>
                <w:highlight w:val="none"/>
                <w:lang w:val="en-US" w:eastAsia="zh-CN" w:bidi="ar-SA"/>
              </w:rPr>
              <w:t>付款方法和条件：</w:t>
            </w:r>
          </w:p>
          <w:p>
            <w:pPr>
              <w:pStyle w:val="24"/>
              <w:pageBreakBefore w:val="0"/>
              <w:kinsoku/>
              <w:wordWrap/>
              <w:overflowPunct/>
              <w:topLinePunct w:val="0"/>
              <w:bidi w:val="0"/>
              <w:snapToGrid/>
              <w:spacing w:line="360" w:lineRule="exact"/>
              <w:ind w:left="0" w:firstLine="0"/>
              <w:jc w:val="both"/>
              <w:textAlignment w:val="auto"/>
              <w:rPr>
                <w:rFonts w:hint="eastAsia" w:ascii="宋体" w:hAnsi="宋体" w:eastAsia="宋体" w:cs="宋体"/>
                <w:b w:val="0"/>
                <w:bCs w:val="0"/>
                <w:i w:val="0"/>
                <w:iCs/>
                <w:color w:val="000000"/>
                <w:kern w:val="2"/>
                <w:sz w:val="24"/>
                <w:szCs w:val="24"/>
                <w:highlight w:val="none"/>
                <w:u w:val="none"/>
                <w:lang w:val="en-US" w:eastAsia="zh-CN" w:bidi="ar-SA"/>
              </w:rPr>
            </w:pPr>
            <w:r>
              <w:rPr>
                <w:rFonts w:hint="eastAsia" w:ascii="宋体" w:hAnsi="宋体" w:eastAsia="宋体" w:cs="宋体"/>
                <w:b w:val="0"/>
                <w:bCs w:val="0"/>
                <w:i w:val="0"/>
                <w:iCs/>
                <w:color w:val="000000"/>
                <w:kern w:val="2"/>
                <w:sz w:val="24"/>
                <w:szCs w:val="24"/>
                <w:highlight w:val="none"/>
                <w:u w:val="none"/>
                <w:lang w:val="en-US" w:eastAsia="zh-CN" w:bidi="ar-SA"/>
              </w:rPr>
              <w:t>（1）施工合同签订且开工报告批准后7日内，采购人支付合同总价（扣除未确定的暂定金额、暂列金额）的40%作为工程预付款；</w:t>
            </w:r>
          </w:p>
          <w:p>
            <w:pPr>
              <w:pStyle w:val="24"/>
              <w:pageBreakBefore w:val="0"/>
              <w:kinsoku/>
              <w:wordWrap/>
              <w:overflowPunct/>
              <w:topLinePunct w:val="0"/>
              <w:bidi w:val="0"/>
              <w:snapToGrid/>
              <w:spacing w:line="360" w:lineRule="exact"/>
              <w:ind w:left="0" w:firstLine="0"/>
              <w:jc w:val="both"/>
              <w:textAlignment w:val="auto"/>
              <w:rPr>
                <w:rFonts w:hint="eastAsia" w:ascii="宋体" w:hAnsi="宋体" w:eastAsia="宋体" w:cs="宋体"/>
                <w:b w:val="0"/>
                <w:bCs w:val="0"/>
                <w:i w:val="0"/>
                <w:iCs/>
                <w:color w:val="000000"/>
                <w:kern w:val="2"/>
                <w:sz w:val="24"/>
                <w:szCs w:val="24"/>
                <w:highlight w:val="none"/>
                <w:u w:val="none"/>
                <w:lang w:val="en-US" w:eastAsia="zh-CN" w:bidi="ar-SA"/>
              </w:rPr>
            </w:pPr>
            <w:r>
              <w:rPr>
                <w:rFonts w:hint="eastAsia" w:ascii="宋体" w:hAnsi="宋体" w:eastAsia="宋体" w:cs="宋体"/>
                <w:b w:val="0"/>
                <w:bCs w:val="0"/>
                <w:i w:val="0"/>
                <w:iCs/>
                <w:color w:val="000000"/>
                <w:kern w:val="2"/>
                <w:sz w:val="24"/>
                <w:szCs w:val="24"/>
                <w:highlight w:val="none"/>
                <w:u w:val="none"/>
                <w:lang w:val="en-US" w:eastAsia="zh-CN" w:bidi="ar-SA"/>
              </w:rPr>
              <w:t>（2）合同工程量全部完成后支付合同总价（扣除未确定的暂定金额、暂列金额）的40%；</w:t>
            </w:r>
          </w:p>
          <w:p>
            <w:pPr>
              <w:pStyle w:val="24"/>
              <w:pageBreakBefore w:val="0"/>
              <w:kinsoku/>
              <w:wordWrap/>
              <w:overflowPunct/>
              <w:topLinePunct w:val="0"/>
              <w:bidi w:val="0"/>
              <w:snapToGrid/>
              <w:spacing w:line="360" w:lineRule="exact"/>
              <w:ind w:left="0" w:firstLine="0"/>
              <w:jc w:val="both"/>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val="0"/>
                <w:bCs w:val="0"/>
                <w:i w:val="0"/>
                <w:iCs/>
                <w:color w:val="000000"/>
                <w:kern w:val="2"/>
                <w:sz w:val="24"/>
                <w:szCs w:val="24"/>
                <w:highlight w:val="none"/>
                <w:u w:val="none"/>
                <w:lang w:val="en-US" w:eastAsia="zh-CN" w:bidi="ar-SA"/>
              </w:rPr>
              <w:t>（3）工程竣工验收合格后，根据相关部门核准的最终决算价，付清尾款。</w:t>
            </w:r>
          </w:p>
        </w:tc>
      </w:tr>
      <w:tr>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65" w:type="dxa"/>
            <w:tcBorders>
              <w:top w:val="single" w:color="000000" w:sz="6" w:space="0"/>
              <w:left w:val="single" w:color="000000" w:sz="6" w:space="0"/>
              <w:bottom w:val="single" w:color="000000" w:sz="6" w:space="0"/>
              <w:right w:val="single" w:color="auto" w:sz="4" w:space="0"/>
            </w:tcBorders>
            <w:noWrap w:val="0"/>
            <w:vAlign w:val="center"/>
          </w:tcPr>
          <w:p>
            <w:pPr>
              <w:pStyle w:val="4"/>
              <w:pageBreakBefore w:val="0"/>
              <w:kinsoku/>
              <w:wordWrap/>
              <w:overflowPunct/>
              <w:topLinePunct w:val="0"/>
              <w:bidi w:val="0"/>
              <w:snapToGrid/>
              <w:spacing w:before="0" w:after="0" w:line="360" w:lineRule="exact"/>
              <w:ind w:left="0" w:firstLine="0"/>
              <w:jc w:val="both"/>
              <w:textAlignment w:val="auto"/>
              <w:rPr>
                <w:rFonts w:hint="eastAsia" w:ascii="宋体" w:hAnsi="宋体" w:eastAsia="宋体" w:cs="宋体"/>
                <w:b w:val="0"/>
                <w:bCs w:val="0"/>
                <w:i w:val="0"/>
                <w:iCs/>
                <w:color w:val="auto"/>
                <w:kern w:val="2"/>
                <w:sz w:val="24"/>
                <w:szCs w:val="24"/>
                <w:highlight w:val="none"/>
                <w:lang w:val="en-US" w:eastAsia="zh-CN" w:bidi="ar-SA"/>
              </w:rPr>
            </w:pPr>
            <w:r>
              <w:rPr>
                <w:rFonts w:hint="eastAsia" w:ascii="宋体" w:hAnsi="宋体" w:eastAsia="宋体" w:cs="宋体"/>
                <w:b w:val="0"/>
                <w:bCs w:val="0"/>
                <w:i w:val="0"/>
                <w:iCs/>
                <w:color w:val="auto"/>
                <w:kern w:val="2"/>
                <w:sz w:val="24"/>
                <w:szCs w:val="24"/>
                <w:highlight w:val="none"/>
                <w:lang w:val="en-US" w:eastAsia="zh-CN" w:bidi="ar-SA"/>
              </w:rPr>
              <w:t>履约保证金的形式：银行保函或银行汇票或支票或保险保单方式；</w:t>
            </w:r>
          </w:p>
          <w:p>
            <w:pPr>
              <w:pStyle w:val="4"/>
              <w:pageBreakBefore w:val="0"/>
              <w:kinsoku/>
              <w:wordWrap/>
              <w:overflowPunct/>
              <w:topLinePunct w:val="0"/>
              <w:bidi w:val="0"/>
              <w:snapToGrid/>
              <w:spacing w:before="0" w:after="0" w:line="360" w:lineRule="exact"/>
              <w:ind w:left="0" w:firstLine="0"/>
              <w:jc w:val="both"/>
              <w:textAlignment w:val="auto"/>
              <w:rPr>
                <w:rFonts w:hint="eastAsia" w:ascii="宋体" w:hAnsi="宋体" w:eastAsia="宋体" w:cs="宋体"/>
                <w:b w:val="0"/>
                <w:bCs w:val="0"/>
                <w:i w:val="0"/>
                <w:iCs/>
                <w:color w:val="auto"/>
                <w:kern w:val="2"/>
                <w:sz w:val="24"/>
                <w:szCs w:val="24"/>
                <w:highlight w:val="none"/>
                <w:lang w:val="en-US" w:eastAsia="zh-CN" w:bidi="ar-SA"/>
              </w:rPr>
            </w:pPr>
            <w:r>
              <w:rPr>
                <w:rFonts w:hint="eastAsia" w:ascii="宋体" w:hAnsi="宋体" w:eastAsia="宋体" w:cs="宋体"/>
                <w:b w:val="0"/>
                <w:bCs w:val="0"/>
                <w:i w:val="0"/>
                <w:iCs/>
                <w:color w:val="auto"/>
                <w:kern w:val="2"/>
                <w:sz w:val="24"/>
                <w:szCs w:val="24"/>
                <w:highlight w:val="none"/>
                <w:lang w:val="en-US" w:eastAsia="zh-CN" w:bidi="ar-SA"/>
              </w:rPr>
              <w:t>担保收件人：采购人；</w:t>
            </w:r>
          </w:p>
          <w:p>
            <w:pPr>
              <w:pStyle w:val="4"/>
              <w:pageBreakBefore w:val="0"/>
              <w:kinsoku/>
              <w:wordWrap/>
              <w:overflowPunct/>
              <w:topLinePunct w:val="0"/>
              <w:bidi w:val="0"/>
              <w:snapToGrid/>
              <w:spacing w:before="0" w:after="0" w:line="360" w:lineRule="exact"/>
              <w:ind w:left="0" w:firstLine="0"/>
              <w:jc w:val="both"/>
              <w:textAlignment w:val="auto"/>
              <w:rPr>
                <w:rFonts w:hint="eastAsia" w:ascii="宋体" w:hAnsi="宋体" w:eastAsia="宋体" w:cs="宋体"/>
                <w:b w:val="0"/>
                <w:bCs w:val="0"/>
                <w:i w:val="0"/>
                <w:iCs/>
                <w:color w:val="000000"/>
                <w:kern w:val="2"/>
                <w:sz w:val="24"/>
                <w:szCs w:val="24"/>
                <w:highlight w:val="none"/>
                <w:lang w:val="en-US" w:eastAsia="zh-CN" w:bidi="ar-SA"/>
              </w:rPr>
            </w:pPr>
            <w:r>
              <w:rPr>
                <w:rFonts w:hint="eastAsia" w:ascii="宋体" w:hAnsi="宋体" w:eastAsia="宋体" w:cs="宋体"/>
                <w:b w:val="0"/>
                <w:bCs w:val="0"/>
                <w:i w:val="0"/>
                <w:iCs/>
                <w:color w:val="000000"/>
                <w:kern w:val="2"/>
                <w:sz w:val="24"/>
                <w:szCs w:val="24"/>
                <w:highlight w:val="none"/>
                <w:lang w:val="en-US" w:eastAsia="zh-CN" w:bidi="ar-SA"/>
              </w:rPr>
              <w:t>履约保证金金额：签约合同价款的1%；</w:t>
            </w:r>
          </w:p>
          <w:p>
            <w:pPr>
              <w:pStyle w:val="4"/>
              <w:pageBreakBefore w:val="0"/>
              <w:kinsoku/>
              <w:wordWrap/>
              <w:overflowPunct/>
              <w:topLinePunct w:val="0"/>
              <w:bidi w:val="0"/>
              <w:snapToGrid/>
              <w:spacing w:before="0" w:after="0" w:line="360" w:lineRule="exact"/>
              <w:ind w:left="0" w:firstLine="0"/>
              <w:jc w:val="both"/>
              <w:textAlignment w:val="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color w:val="auto"/>
                <w:kern w:val="2"/>
                <w:sz w:val="24"/>
                <w:szCs w:val="24"/>
                <w:highlight w:val="none"/>
                <w:lang w:val="en-US" w:eastAsia="zh-CN" w:bidi="ar-SA"/>
              </w:rPr>
              <w:t>退还时间：工程竣工验收合格后退还。</w:t>
            </w:r>
          </w:p>
        </w:tc>
      </w:tr>
      <w:tr>
        <w:tblPrEx>
          <w:tblCellMar>
            <w:top w:w="0" w:type="dxa"/>
            <w:left w:w="108" w:type="dxa"/>
            <w:bottom w:w="0" w:type="dxa"/>
            <w:right w:w="108" w:type="dxa"/>
          </w:tblCellMar>
        </w:tblPrEx>
        <w:trPr>
          <w:trHeight w:val="541"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865" w:type="dxa"/>
            <w:tcBorders>
              <w:top w:val="single" w:color="000000" w:sz="6" w:space="0"/>
              <w:left w:val="single" w:color="000000" w:sz="6" w:space="0"/>
              <w:bottom w:val="single" w:color="000000" w:sz="6" w:space="0"/>
              <w:right w:val="single" w:color="auto" w:sz="4"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合同签订时间：</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成交通知书发出之日起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天内签订合同。</w:t>
            </w:r>
          </w:p>
        </w:tc>
      </w:tr>
      <w:tr>
        <w:tblPrEx>
          <w:tblCellMar>
            <w:top w:w="0" w:type="dxa"/>
            <w:left w:w="108" w:type="dxa"/>
            <w:bottom w:w="0" w:type="dxa"/>
            <w:right w:w="108" w:type="dxa"/>
          </w:tblCellMar>
        </w:tblPrEx>
        <w:trPr>
          <w:trHeight w:val="528"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65" w:type="dxa"/>
            <w:tcBorders>
              <w:top w:val="single" w:color="000000" w:sz="6" w:space="0"/>
              <w:left w:val="single" w:color="000000" w:sz="6" w:space="0"/>
              <w:bottom w:val="single" w:color="000000" w:sz="6" w:space="0"/>
              <w:right w:val="single" w:color="auto" w:sz="4" w:space="0"/>
            </w:tcBorders>
            <w:noWrap w:val="0"/>
            <w:vAlign w:val="center"/>
          </w:tcPr>
          <w:p>
            <w:pPr>
              <w:pageBreakBefore w:val="0"/>
              <w:widowControl/>
              <w:shd w:val="clear" w:color="auto" w:fill="FFFFFF"/>
              <w:kinsoku/>
              <w:wordWrap/>
              <w:overflowPunct/>
              <w:topLinePunct w:val="0"/>
              <w:bidi w:val="0"/>
              <w:snapToGrid/>
              <w:spacing w:line="360" w:lineRule="exact"/>
              <w:ind w:left="0" w:firstLine="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验收要求：采购人</w:t>
            </w:r>
            <w:r>
              <w:rPr>
                <w:rFonts w:hint="eastAsia" w:ascii="宋体" w:hAnsi="宋体" w:cs="宋体"/>
                <w:color w:val="auto"/>
                <w:sz w:val="24"/>
                <w:szCs w:val="24"/>
                <w:highlight w:val="none"/>
                <w:lang w:val="en-US" w:eastAsia="zh-CN"/>
              </w:rPr>
              <w:t>负责</w:t>
            </w:r>
            <w:r>
              <w:rPr>
                <w:rFonts w:hint="eastAsia" w:ascii="宋体" w:hAnsi="宋体" w:eastAsia="宋体" w:cs="宋体"/>
                <w:color w:val="auto"/>
                <w:sz w:val="24"/>
                <w:szCs w:val="24"/>
                <w:highlight w:val="none"/>
              </w:rPr>
              <w:t>组织验收</w:t>
            </w:r>
            <w:r>
              <w:rPr>
                <w:rFonts w:hint="eastAsia" w:ascii="宋体" w:hAnsi="宋体" w:cs="宋体"/>
                <w:color w:val="auto"/>
                <w:sz w:val="24"/>
                <w:szCs w:val="24"/>
                <w:highlight w:val="none"/>
                <w:lang w:eastAsia="zh-CN"/>
              </w:rPr>
              <w:t>。</w:t>
            </w:r>
          </w:p>
        </w:tc>
      </w:tr>
      <w:tr>
        <w:tblPrEx>
          <w:tblCellMar>
            <w:top w:w="0" w:type="dxa"/>
            <w:left w:w="108" w:type="dxa"/>
            <w:bottom w:w="0" w:type="dxa"/>
            <w:right w:w="108" w:type="dxa"/>
          </w:tblCellMar>
        </w:tblPrEx>
        <w:trPr>
          <w:trHeight w:val="815" w:hRule="atLeast"/>
          <w:jc w:val="center"/>
        </w:trPr>
        <w:tc>
          <w:tcPr>
            <w:tcW w:w="1097" w:type="dxa"/>
            <w:tcBorders>
              <w:top w:val="single" w:color="000000" w:sz="6" w:space="0"/>
              <w:left w:val="single" w:color="auto" w:sz="4" w:space="0"/>
              <w:bottom w:val="single" w:color="auto" w:sz="4" w:space="0"/>
              <w:right w:val="single" w:color="000000" w:sz="6"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865" w:type="dxa"/>
            <w:tcBorders>
              <w:top w:val="single" w:color="000000" w:sz="6" w:space="0"/>
              <w:left w:val="single" w:color="000000" w:sz="6" w:space="0"/>
              <w:bottom w:val="single" w:color="auto" w:sz="4" w:space="0"/>
              <w:right w:val="single" w:color="auto" w:sz="4" w:space="0"/>
            </w:tcBorders>
            <w:noWrap w:val="0"/>
            <w:vAlign w:val="center"/>
          </w:tcPr>
          <w:p>
            <w:pPr>
              <w:pageBreakBefore w:val="0"/>
              <w:widowControl/>
              <w:shd w:val="clear" w:color="auto" w:fill="FFFFFF"/>
              <w:kinsoku/>
              <w:wordWrap/>
              <w:overflowPunct/>
              <w:topLinePunct w:val="0"/>
              <w:bidi w:val="0"/>
              <w:snapToGrid/>
              <w:spacing w:line="360" w:lineRule="exact"/>
              <w:ind w:lef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安全要求：合格</w:t>
            </w:r>
          </w:p>
          <w:p>
            <w:pPr>
              <w:pageBreakBefore w:val="0"/>
              <w:widowControl/>
              <w:shd w:val="clear" w:color="auto" w:fill="FFFFFF"/>
              <w:kinsoku/>
              <w:wordWrap/>
              <w:overflowPunct/>
              <w:topLinePunct w:val="0"/>
              <w:bidi w:val="0"/>
              <w:snapToGrid/>
              <w:spacing w:line="360" w:lineRule="exact"/>
              <w:ind w:left="0" w:firstLine="0"/>
              <w:jc w:val="both"/>
              <w:textAlignment w:val="auto"/>
              <w:rPr>
                <w:rFonts w:hint="default"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质量要求：按国家施工验收规范一次性验收合格</w:t>
            </w:r>
            <w:r>
              <w:rPr>
                <w:rFonts w:hint="eastAsia" w:ascii="宋体" w:hAnsi="宋体" w:cs="宋体"/>
                <w:color w:val="auto"/>
                <w:sz w:val="24"/>
                <w:szCs w:val="24"/>
                <w:highlight w:val="none"/>
                <w:lang w:val="en-US" w:eastAsia="zh-CN"/>
              </w:rPr>
              <w:t>。</w:t>
            </w:r>
          </w:p>
        </w:tc>
      </w:tr>
      <w:tr>
        <w:tblPrEx>
          <w:tblCellMar>
            <w:top w:w="0" w:type="dxa"/>
            <w:left w:w="108" w:type="dxa"/>
            <w:bottom w:w="0" w:type="dxa"/>
            <w:right w:w="108" w:type="dxa"/>
          </w:tblCellMar>
        </w:tblPrEx>
        <w:trPr>
          <w:trHeight w:val="800"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exact"/>
              <w:ind w:left="0" w:firstLine="0"/>
              <w:jc w:val="both"/>
              <w:textAlignment w:val="auto"/>
              <w:rPr>
                <w:rFonts w:hint="default" w:ascii="宋体" w:hAnsi="宋体" w:eastAsia="宋体" w:cs="宋体"/>
                <w:i w:val="0"/>
                <w:iCs/>
                <w:color w:val="auto"/>
                <w:kern w:val="2"/>
                <w:sz w:val="24"/>
                <w:szCs w:val="24"/>
                <w:highlight w:val="none"/>
                <w:lang w:val="en-US" w:eastAsia="zh-CN" w:bidi="ar-SA"/>
              </w:rPr>
            </w:pPr>
            <w:r>
              <w:rPr>
                <w:rFonts w:hint="eastAsia" w:ascii="宋体" w:hAnsi="宋体" w:eastAsia="宋体" w:cs="宋体"/>
                <w:i w:val="0"/>
                <w:iCs/>
                <w:color w:val="auto"/>
                <w:kern w:val="2"/>
                <w:sz w:val="24"/>
                <w:szCs w:val="24"/>
                <w:highlight w:val="none"/>
                <w:lang w:val="en-US" w:eastAsia="zh-CN" w:bidi="ar-SA"/>
              </w:rPr>
              <w:t>质量保修期：</w:t>
            </w:r>
            <w:r>
              <w:rPr>
                <w:rFonts w:hint="eastAsia" w:ascii="宋体" w:hAnsi="宋体" w:cs="宋体"/>
                <w:i w:val="0"/>
                <w:iCs/>
                <w:color w:val="auto"/>
                <w:kern w:val="2"/>
                <w:sz w:val="24"/>
                <w:szCs w:val="24"/>
                <w:highlight w:val="none"/>
                <w:lang w:val="en-US" w:eastAsia="zh-CN" w:bidi="ar-SA"/>
              </w:rPr>
              <w:t>除</w:t>
            </w:r>
            <w:r>
              <w:rPr>
                <w:rFonts w:hint="eastAsia" w:ascii="宋体" w:hAnsi="宋体" w:eastAsia="宋体" w:cs="宋体"/>
                <w:i w:val="0"/>
                <w:iCs/>
                <w:color w:val="auto"/>
                <w:kern w:val="2"/>
                <w:sz w:val="24"/>
                <w:szCs w:val="24"/>
                <w:highlight w:val="none"/>
                <w:lang w:val="en-US" w:eastAsia="zh-CN" w:bidi="ar-SA"/>
              </w:rPr>
              <w:t>合同约定</w:t>
            </w:r>
            <w:r>
              <w:rPr>
                <w:rFonts w:hint="eastAsia" w:ascii="宋体" w:hAnsi="宋体" w:cs="宋体"/>
                <w:i w:val="0"/>
                <w:iCs/>
                <w:color w:val="auto"/>
                <w:kern w:val="2"/>
                <w:sz w:val="24"/>
                <w:szCs w:val="24"/>
                <w:highlight w:val="none"/>
                <w:lang w:val="en-US" w:eastAsia="zh-CN" w:bidi="ar-SA"/>
              </w:rPr>
              <w:t>外，其余保修期为1年</w:t>
            </w:r>
            <w:r>
              <w:rPr>
                <w:rFonts w:hint="eastAsia" w:ascii="宋体" w:hAnsi="宋体" w:eastAsia="宋体" w:cs="宋体"/>
                <w:i w:val="0"/>
                <w:iCs/>
                <w:color w:val="auto"/>
                <w:kern w:val="2"/>
                <w:sz w:val="24"/>
                <w:szCs w:val="24"/>
                <w:highlight w:val="none"/>
                <w:lang w:val="en-US" w:eastAsia="zh-CN" w:bidi="ar-SA"/>
              </w:rPr>
              <w:t>；</w:t>
            </w:r>
          </w:p>
          <w:p>
            <w:pPr>
              <w:pageBreakBefore w:val="0"/>
              <w:widowControl/>
              <w:kinsoku/>
              <w:wordWrap/>
              <w:overflowPunct/>
              <w:topLinePunct w:val="0"/>
              <w:bidi w:val="0"/>
              <w:snapToGrid/>
              <w:spacing w:line="360" w:lineRule="exact"/>
              <w:ind w:left="0" w:firstLine="0"/>
              <w:jc w:val="both"/>
              <w:textAlignment w:val="auto"/>
              <w:rPr>
                <w:rFonts w:hint="eastAsia" w:ascii="宋体" w:hAnsi="宋体" w:eastAsia="宋体" w:cs="宋体"/>
                <w:b w:val="0"/>
                <w:bCs w:val="0"/>
                <w:i w:val="0"/>
                <w:iCs w:val="0"/>
                <w:color w:val="auto"/>
                <w:kern w:val="2"/>
                <w:sz w:val="24"/>
                <w:szCs w:val="24"/>
                <w:highlight w:val="none"/>
                <w:lang w:val="zh-CN" w:eastAsia="zh-CN" w:bidi="ar-SA"/>
              </w:rPr>
            </w:pPr>
            <w:r>
              <w:rPr>
                <w:rFonts w:hint="eastAsia" w:ascii="宋体" w:hAnsi="宋体" w:eastAsia="宋体" w:cs="宋体"/>
                <w:i w:val="0"/>
                <w:iCs/>
                <w:color w:val="auto"/>
                <w:kern w:val="2"/>
                <w:sz w:val="24"/>
                <w:szCs w:val="24"/>
                <w:highlight w:val="none"/>
                <w:lang w:val="en-US" w:eastAsia="zh-CN" w:bidi="ar-SA"/>
              </w:rPr>
              <w:t>质量保修期自工程竣工验收合格之日起计算。</w:t>
            </w:r>
          </w:p>
        </w:tc>
      </w:tr>
      <w:tr>
        <w:tblPrEx>
          <w:tblCellMar>
            <w:top w:w="0" w:type="dxa"/>
            <w:left w:w="108" w:type="dxa"/>
            <w:bottom w:w="0" w:type="dxa"/>
            <w:right w:w="108" w:type="dxa"/>
          </w:tblCellMar>
        </w:tblPrEx>
        <w:trPr>
          <w:trHeight w:val="4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adjustRightInd w:val="0"/>
              <w:snapToGrid/>
              <w:spacing w:line="360" w:lineRule="exact"/>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ind w:left="0" w:firstLine="0"/>
              <w:jc w:val="both"/>
              <w:textAlignment w:val="auto"/>
              <w:rPr>
                <w:rFonts w:hint="default"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color w:val="auto"/>
                <w:sz w:val="24"/>
                <w:szCs w:val="24"/>
                <w:highlight w:val="none"/>
              </w:rPr>
              <w:t>保修服务的响应要求：</w:t>
            </w:r>
            <w:r>
              <w:rPr>
                <w:rFonts w:hint="eastAsia" w:ascii="宋体" w:hAnsi="宋体" w:eastAsia="宋体" w:cs="宋体"/>
                <w:color w:val="auto"/>
                <w:sz w:val="24"/>
                <w:szCs w:val="24"/>
                <w:highlight w:val="none"/>
                <w:lang w:val="en-US" w:eastAsia="zh-CN"/>
              </w:rPr>
              <w:t>以中标后的投标方案为准。</w:t>
            </w:r>
          </w:p>
        </w:tc>
      </w:tr>
    </w:tbl>
    <w:p>
      <w:pPr>
        <w:rPr>
          <w:rFonts w:ascii="宋体" w:hAnsi="宋体" w:cs="宋体"/>
          <w:snapToGrid w:val="0"/>
          <w:kern w:val="0"/>
          <w:sz w:val="24"/>
        </w:rPr>
      </w:pPr>
    </w:p>
    <w:p>
      <w:pPr>
        <w:rPr>
          <w:rFonts w:ascii="宋体" w:hAnsi="宋体" w:cs="宋体"/>
          <w:snapToGrid w:val="0"/>
          <w:kern w:val="0"/>
          <w:sz w:val="24"/>
        </w:rPr>
      </w:pPr>
    </w:p>
    <w:p>
      <w:pPr>
        <w:rPr>
          <w:rFonts w:ascii="宋体" w:hAnsi="宋体" w:cs="宋体"/>
          <w:snapToGrid w:val="0"/>
          <w:kern w:val="0"/>
          <w:sz w:val="24"/>
        </w:rPr>
      </w:pPr>
    </w:p>
    <w:p>
      <w:pPr>
        <w:snapToGrid w:val="0"/>
        <w:spacing w:line="360" w:lineRule="auto"/>
        <w:jc w:val="center"/>
        <w:outlineLvl w:val="0"/>
        <w:rPr>
          <w:rFonts w:ascii="宋体" w:hAnsi="宋体" w:cs="宋体"/>
          <w:b/>
          <w:sz w:val="36"/>
          <w:szCs w:val="20"/>
        </w:rPr>
      </w:pPr>
      <w:r>
        <w:rPr>
          <w:rFonts w:hint="eastAsia" w:ascii="宋体" w:hAnsi="宋体" w:cs="宋体"/>
          <w:b/>
          <w:sz w:val="24"/>
        </w:rPr>
        <w:br w:type="page"/>
      </w:r>
      <w:bookmarkStart w:id="54" w:name="_Toc5724"/>
      <w:r>
        <w:rPr>
          <w:rFonts w:hint="eastAsia" w:ascii="宋体" w:hAnsi="宋体" w:cs="宋体"/>
          <w:b/>
          <w:sz w:val="36"/>
          <w:szCs w:val="20"/>
        </w:rPr>
        <w:t>第四部分</w:t>
      </w:r>
      <w:bookmarkStart w:id="55" w:name="_Toc184313307"/>
      <w:bookmarkEnd w:id="55"/>
      <w:bookmarkStart w:id="56" w:name="_Toc184314476"/>
      <w:bookmarkEnd w:id="56"/>
      <w:bookmarkStart w:id="57" w:name="_Toc184308043"/>
      <w:bookmarkEnd w:id="57"/>
      <w:bookmarkStart w:id="58" w:name="_Toc184312135"/>
      <w:bookmarkEnd w:id="58"/>
      <w:bookmarkStart w:id="59" w:name="_Toc184313303"/>
      <w:bookmarkEnd w:id="59"/>
      <w:bookmarkStart w:id="60" w:name="_Toc184312094"/>
      <w:bookmarkEnd w:id="60"/>
      <w:bookmarkStart w:id="61" w:name="_Toc184312118"/>
      <w:bookmarkEnd w:id="61"/>
      <w:bookmarkStart w:id="62" w:name="_Toc184310295"/>
      <w:bookmarkEnd w:id="62"/>
      <w:bookmarkStart w:id="63" w:name="_Toc184313277"/>
      <w:bookmarkEnd w:id="63"/>
      <w:bookmarkStart w:id="64" w:name="_Toc184314429"/>
      <w:bookmarkEnd w:id="64"/>
      <w:bookmarkStart w:id="65" w:name="_Toc184313271"/>
      <w:bookmarkEnd w:id="65"/>
      <w:bookmarkStart w:id="66" w:name="_Toc184312074"/>
      <w:bookmarkEnd w:id="66"/>
      <w:bookmarkStart w:id="67" w:name="_Toc184314481"/>
      <w:bookmarkEnd w:id="67"/>
      <w:bookmarkStart w:id="68" w:name="_Toc184314443"/>
      <w:bookmarkEnd w:id="68"/>
      <w:bookmarkStart w:id="69" w:name="_Toc184313243"/>
      <w:bookmarkEnd w:id="69"/>
      <w:bookmarkStart w:id="70" w:name="_Toc184310278"/>
      <w:bookmarkEnd w:id="70"/>
      <w:bookmarkStart w:id="71" w:name="_Toc184308091"/>
      <w:bookmarkEnd w:id="71"/>
      <w:bookmarkStart w:id="72" w:name="_Toc184314438"/>
      <w:bookmarkEnd w:id="72"/>
      <w:bookmarkStart w:id="73" w:name="_Toc184312107"/>
      <w:bookmarkEnd w:id="73"/>
      <w:bookmarkStart w:id="74" w:name="_Toc184314467"/>
      <w:bookmarkEnd w:id="74"/>
      <w:bookmarkStart w:id="75" w:name="_Toc184308040"/>
      <w:bookmarkEnd w:id="75"/>
      <w:bookmarkStart w:id="76" w:name="_Toc184313248"/>
      <w:bookmarkEnd w:id="76"/>
      <w:bookmarkStart w:id="77" w:name="_Toc184310341"/>
      <w:bookmarkEnd w:id="77"/>
      <w:bookmarkStart w:id="78" w:name="_Toc184313239"/>
      <w:bookmarkEnd w:id="78"/>
      <w:bookmarkStart w:id="79" w:name="_Toc184310307"/>
      <w:bookmarkEnd w:id="79"/>
      <w:bookmarkStart w:id="80" w:name="_Toc184310319"/>
      <w:bookmarkEnd w:id="80"/>
      <w:bookmarkStart w:id="81" w:name="_Toc184310333"/>
      <w:bookmarkEnd w:id="81"/>
      <w:bookmarkStart w:id="82" w:name="_Toc184313294"/>
      <w:bookmarkEnd w:id="82"/>
      <w:bookmarkStart w:id="83" w:name="_Toc184310293"/>
      <w:bookmarkEnd w:id="83"/>
      <w:bookmarkStart w:id="84" w:name="_Toc184308050"/>
      <w:bookmarkEnd w:id="84"/>
      <w:bookmarkStart w:id="85" w:name="_Toc184312091"/>
      <w:bookmarkEnd w:id="85"/>
      <w:bookmarkStart w:id="86" w:name="_Toc184313269"/>
      <w:bookmarkEnd w:id="86"/>
      <w:bookmarkStart w:id="87" w:name="_Toc184314427"/>
      <w:bookmarkEnd w:id="87"/>
      <w:bookmarkStart w:id="88" w:name="_Toc184312103"/>
      <w:bookmarkEnd w:id="88"/>
      <w:bookmarkStart w:id="89" w:name="_Toc184313259"/>
      <w:bookmarkEnd w:id="89"/>
      <w:bookmarkStart w:id="90" w:name="_Toc184313242"/>
      <w:bookmarkEnd w:id="90"/>
      <w:bookmarkStart w:id="91" w:name="_Toc184314444"/>
      <w:bookmarkEnd w:id="91"/>
      <w:bookmarkStart w:id="92" w:name="_Toc184314453"/>
      <w:bookmarkEnd w:id="92"/>
      <w:bookmarkStart w:id="93" w:name="_Toc184313256"/>
      <w:bookmarkEnd w:id="93"/>
      <w:bookmarkStart w:id="94" w:name="_Toc184308108"/>
      <w:bookmarkEnd w:id="94"/>
      <w:bookmarkStart w:id="95" w:name="_Toc184312126"/>
      <w:bookmarkEnd w:id="95"/>
      <w:bookmarkStart w:id="96" w:name="_Toc184308046"/>
      <w:bookmarkEnd w:id="96"/>
      <w:bookmarkStart w:id="97" w:name="_Toc184310328"/>
      <w:bookmarkEnd w:id="97"/>
      <w:bookmarkStart w:id="98" w:name="_Toc184313288"/>
      <w:bookmarkEnd w:id="98"/>
      <w:bookmarkStart w:id="99" w:name="_Toc184312082"/>
      <w:bookmarkEnd w:id="99"/>
      <w:bookmarkStart w:id="100" w:name="_Toc184313280"/>
      <w:bookmarkEnd w:id="100"/>
      <w:bookmarkStart w:id="101" w:name="_Toc184312067"/>
      <w:bookmarkEnd w:id="101"/>
      <w:bookmarkStart w:id="102" w:name="_Toc184308093"/>
      <w:bookmarkEnd w:id="102"/>
      <w:bookmarkStart w:id="103" w:name="_Toc184313309"/>
      <w:bookmarkEnd w:id="103"/>
      <w:bookmarkStart w:id="104" w:name="_Toc184312131"/>
      <w:bookmarkEnd w:id="104"/>
      <w:bookmarkStart w:id="105" w:name="_Toc184313296"/>
      <w:bookmarkEnd w:id="105"/>
      <w:bookmarkStart w:id="106" w:name="_Toc184310320"/>
      <w:bookmarkEnd w:id="106"/>
      <w:bookmarkStart w:id="107" w:name="_Toc184313300"/>
      <w:bookmarkEnd w:id="107"/>
      <w:bookmarkStart w:id="108" w:name="_Toc184313262"/>
      <w:bookmarkEnd w:id="108"/>
      <w:bookmarkStart w:id="109" w:name="_Toc184313276"/>
      <w:bookmarkEnd w:id="109"/>
      <w:bookmarkStart w:id="110" w:name="_Toc184312079"/>
      <w:bookmarkEnd w:id="110"/>
      <w:bookmarkStart w:id="111" w:name="_Toc184308086"/>
      <w:bookmarkEnd w:id="111"/>
      <w:bookmarkStart w:id="112" w:name="_Toc184310330"/>
      <w:bookmarkEnd w:id="112"/>
      <w:bookmarkStart w:id="113" w:name="_Toc184310289"/>
      <w:bookmarkEnd w:id="113"/>
      <w:bookmarkStart w:id="114" w:name="_Toc184310296"/>
      <w:bookmarkEnd w:id="114"/>
      <w:bookmarkStart w:id="115" w:name="_Toc184312086"/>
      <w:bookmarkEnd w:id="115"/>
      <w:bookmarkStart w:id="116" w:name="_Toc184310273"/>
      <w:bookmarkEnd w:id="116"/>
      <w:bookmarkStart w:id="117" w:name="_Toc184308077"/>
      <w:bookmarkEnd w:id="117"/>
      <w:bookmarkStart w:id="118" w:name="_Toc184314436"/>
      <w:bookmarkEnd w:id="118"/>
      <w:bookmarkStart w:id="119" w:name="_Toc184313247"/>
      <w:bookmarkEnd w:id="119"/>
      <w:bookmarkStart w:id="120" w:name="_Toc184308058"/>
      <w:bookmarkEnd w:id="120"/>
      <w:bookmarkStart w:id="121" w:name="_Toc184314437"/>
      <w:bookmarkEnd w:id="121"/>
      <w:bookmarkStart w:id="122" w:name="_Toc184308070"/>
      <w:bookmarkEnd w:id="122"/>
      <w:bookmarkStart w:id="123" w:name="_Toc184314412"/>
      <w:bookmarkEnd w:id="123"/>
      <w:bookmarkStart w:id="124" w:name="_Toc184310284"/>
      <w:bookmarkEnd w:id="124"/>
      <w:bookmarkStart w:id="125" w:name="_Toc184310299"/>
      <w:bookmarkEnd w:id="125"/>
      <w:bookmarkStart w:id="126" w:name="_Toc184308064"/>
      <w:bookmarkEnd w:id="126"/>
      <w:bookmarkStart w:id="127" w:name="_Toc184314469"/>
      <w:bookmarkEnd w:id="127"/>
      <w:bookmarkStart w:id="128" w:name="_Toc184310298"/>
      <w:bookmarkEnd w:id="128"/>
      <w:bookmarkStart w:id="129" w:name="_Toc184314480"/>
      <w:bookmarkEnd w:id="129"/>
      <w:bookmarkStart w:id="130" w:name="_Toc184308085"/>
      <w:bookmarkEnd w:id="130"/>
      <w:bookmarkStart w:id="131" w:name="_Toc184313249"/>
      <w:bookmarkEnd w:id="131"/>
      <w:bookmarkStart w:id="132" w:name="_Toc184314414"/>
      <w:bookmarkEnd w:id="132"/>
      <w:bookmarkStart w:id="133" w:name="_Toc184312069"/>
      <w:bookmarkEnd w:id="133"/>
      <w:bookmarkStart w:id="134" w:name="_Toc184314417"/>
      <w:bookmarkEnd w:id="134"/>
      <w:bookmarkStart w:id="135" w:name="_Toc184308052"/>
      <w:bookmarkEnd w:id="135"/>
      <w:bookmarkStart w:id="136" w:name="_Toc184313272"/>
      <w:bookmarkEnd w:id="136"/>
      <w:bookmarkStart w:id="137" w:name="_Toc184310283"/>
      <w:bookmarkEnd w:id="137"/>
      <w:bookmarkStart w:id="138" w:name="_Toc184310308"/>
      <w:bookmarkEnd w:id="138"/>
      <w:bookmarkStart w:id="139" w:name="_Toc184313305"/>
      <w:bookmarkEnd w:id="139"/>
      <w:bookmarkStart w:id="140" w:name="_Toc184313290"/>
      <w:bookmarkEnd w:id="140"/>
      <w:bookmarkStart w:id="141" w:name="_Toc184313273"/>
      <w:bookmarkEnd w:id="141"/>
      <w:bookmarkStart w:id="142" w:name="_Toc184313293"/>
      <w:bookmarkEnd w:id="142"/>
      <w:bookmarkStart w:id="143" w:name="_Toc184313282"/>
      <w:bookmarkEnd w:id="143"/>
      <w:bookmarkStart w:id="144" w:name="_Toc184312104"/>
      <w:bookmarkEnd w:id="144"/>
      <w:bookmarkStart w:id="145" w:name="_Toc184310313"/>
      <w:bookmarkEnd w:id="145"/>
      <w:bookmarkStart w:id="146" w:name="_Toc184310332"/>
      <w:bookmarkEnd w:id="146"/>
      <w:bookmarkStart w:id="147" w:name="_Toc184314446"/>
      <w:bookmarkEnd w:id="147"/>
      <w:bookmarkStart w:id="148" w:name="_Toc184308066"/>
      <w:bookmarkEnd w:id="148"/>
      <w:bookmarkStart w:id="149" w:name="_Toc184313258"/>
      <w:bookmarkEnd w:id="149"/>
      <w:bookmarkStart w:id="150" w:name="_Toc184312129"/>
      <w:bookmarkEnd w:id="150"/>
      <w:bookmarkStart w:id="151" w:name="_Toc184308061"/>
      <w:bookmarkEnd w:id="151"/>
      <w:bookmarkStart w:id="152" w:name="_Toc184313279"/>
      <w:bookmarkEnd w:id="152"/>
      <w:bookmarkStart w:id="153" w:name="_Toc184310288"/>
      <w:bookmarkEnd w:id="153"/>
      <w:bookmarkStart w:id="154" w:name="_Toc184313266"/>
      <w:bookmarkEnd w:id="154"/>
      <w:bookmarkStart w:id="155" w:name="_Toc184308067"/>
      <w:bookmarkEnd w:id="155"/>
      <w:bookmarkStart w:id="156" w:name="_Toc184308036"/>
      <w:bookmarkEnd w:id="156"/>
      <w:bookmarkStart w:id="157" w:name="_Toc184308069"/>
      <w:bookmarkEnd w:id="157"/>
      <w:bookmarkStart w:id="158" w:name="_Toc184312106"/>
      <w:bookmarkEnd w:id="158"/>
      <w:bookmarkStart w:id="159" w:name="_Toc184312119"/>
      <w:bookmarkEnd w:id="159"/>
      <w:bookmarkStart w:id="160" w:name="_Toc184313291"/>
      <w:bookmarkEnd w:id="160"/>
      <w:bookmarkStart w:id="161" w:name="_Toc184312101"/>
      <w:bookmarkEnd w:id="161"/>
      <w:bookmarkStart w:id="162" w:name="_Toc184310315"/>
      <w:bookmarkEnd w:id="162"/>
      <w:bookmarkStart w:id="163" w:name="_Toc184313238"/>
      <w:bookmarkEnd w:id="163"/>
      <w:bookmarkStart w:id="164" w:name="_Toc184308051"/>
      <w:bookmarkEnd w:id="164"/>
      <w:bookmarkStart w:id="165" w:name="_Toc184312075"/>
      <w:bookmarkEnd w:id="165"/>
      <w:bookmarkStart w:id="166" w:name="_Toc184313286"/>
      <w:bookmarkEnd w:id="166"/>
      <w:bookmarkStart w:id="167" w:name="_Toc184313306"/>
      <w:bookmarkEnd w:id="167"/>
      <w:bookmarkStart w:id="168" w:name="_Toc184308089"/>
      <w:bookmarkEnd w:id="168"/>
      <w:bookmarkStart w:id="169" w:name="_Toc184308075"/>
      <w:bookmarkEnd w:id="169"/>
      <w:bookmarkStart w:id="170" w:name="_Toc184314466"/>
      <w:bookmarkEnd w:id="170"/>
      <w:bookmarkStart w:id="171" w:name="_Toc184308062"/>
      <w:bookmarkEnd w:id="171"/>
      <w:bookmarkStart w:id="172" w:name="_Toc184312125"/>
      <w:bookmarkEnd w:id="172"/>
      <w:bookmarkStart w:id="173" w:name="_Toc184314456"/>
      <w:bookmarkEnd w:id="173"/>
      <w:bookmarkStart w:id="174" w:name="_Toc184313275"/>
      <w:bookmarkEnd w:id="174"/>
      <w:bookmarkStart w:id="175" w:name="_Toc184308056"/>
      <w:bookmarkEnd w:id="175"/>
      <w:bookmarkStart w:id="176" w:name="_Toc184314411"/>
      <w:bookmarkEnd w:id="176"/>
      <w:bookmarkStart w:id="177" w:name="_Toc184310310"/>
      <w:bookmarkEnd w:id="177"/>
      <w:bookmarkStart w:id="178" w:name="_Toc184314463"/>
      <w:bookmarkEnd w:id="178"/>
      <w:bookmarkStart w:id="179" w:name="_Toc184308082"/>
      <w:bookmarkEnd w:id="179"/>
      <w:bookmarkStart w:id="180" w:name="_Toc184312098"/>
      <w:bookmarkEnd w:id="180"/>
      <w:bookmarkStart w:id="181" w:name="_Toc184310323"/>
      <w:bookmarkEnd w:id="181"/>
      <w:bookmarkStart w:id="182" w:name="_Toc184308060"/>
      <w:bookmarkEnd w:id="182"/>
      <w:bookmarkStart w:id="183" w:name="_Toc184313251"/>
      <w:bookmarkEnd w:id="183"/>
      <w:bookmarkStart w:id="184" w:name="_Toc184314450"/>
      <w:bookmarkEnd w:id="184"/>
      <w:bookmarkStart w:id="185" w:name="_Toc184314447"/>
      <w:bookmarkEnd w:id="185"/>
      <w:bookmarkStart w:id="186" w:name="_Toc184310282"/>
      <w:bookmarkEnd w:id="186"/>
      <w:bookmarkStart w:id="187" w:name="_Toc184313260"/>
      <w:bookmarkEnd w:id="187"/>
      <w:bookmarkStart w:id="188" w:name="_Toc184308097"/>
      <w:bookmarkEnd w:id="188"/>
      <w:bookmarkStart w:id="189" w:name="_Toc184312089"/>
      <w:bookmarkEnd w:id="189"/>
      <w:bookmarkStart w:id="190" w:name="_Toc184312084"/>
      <w:bookmarkEnd w:id="190"/>
      <w:bookmarkStart w:id="191" w:name="_Toc184313253"/>
      <w:bookmarkEnd w:id="191"/>
      <w:bookmarkStart w:id="192" w:name="_Toc184313250"/>
      <w:bookmarkEnd w:id="192"/>
      <w:bookmarkStart w:id="193" w:name="_Toc184308101"/>
      <w:bookmarkEnd w:id="193"/>
      <w:bookmarkStart w:id="194" w:name="_Toc184314410"/>
      <w:bookmarkEnd w:id="194"/>
      <w:bookmarkStart w:id="195" w:name="_Toc184314441"/>
      <w:bookmarkEnd w:id="195"/>
      <w:bookmarkStart w:id="196" w:name="_Toc184312078"/>
      <w:bookmarkEnd w:id="196"/>
      <w:bookmarkStart w:id="197" w:name="_Toc184312136"/>
      <w:bookmarkEnd w:id="197"/>
      <w:bookmarkStart w:id="198" w:name="_Toc184313283"/>
      <w:bookmarkEnd w:id="198"/>
      <w:bookmarkStart w:id="199" w:name="_Toc184314461"/>
      <w:bookmarkEnd w:id="199"/>
      <w:bookmarkStart w:id="200" w:name="_Toc184312127"/>
      <w:bookmarkEnd w:id="200"/>
      <w:bookmarkStart w:id="201" w:name="_Toc184308100"/>
      <w:bookmarkEnd w:id="201"/>
      <w:bookmarkStart w:id="202" w:name="_Toc184313246"/>
      <w:bookmarkEnd w:id="202"/>
      <w:bookmarkStart w:id="203" w:name="_Toc184310304"/>
      <w:bookmarkEnd w:id="203"/>
      <w:bookmarkStart w:id="204" w:name="_Toc184314448"/>
      <w:bookmarkEnd w:id="204"/>
      <w:bookmarkStart w:id="205" w:name="_Toc184314433"/>
      <w:bookmarkEnd w:id="205"/>
      <w:bookmarkStart w:id="206" w:name="_Toc184313268"/>
      <w:bookmarkEnd w:id="206"/>
      <w:bookmarkStart w:id="207" w:name="_Toc184314460"/>
      <w:bookmarkEnd w:id="207"/>
      <w:bookmarkStart w:id="208" w:name="_Toc184314465"/>
      <w:bookmarkEnd w:id="208"/>
      <w:bookmarkStart w:id="209" w:name="_Toc184313245"/>
      <w:bookmarkEnd w:id="209"/>
      <w:bookmarkStart w:id="210" w:name="_Toc184313308"/>
      <w:bookmarkEnd w:id="210"/>
      <w:bookmarkStart w:id="211" w:name="_Toc184308080"/>
      <w:bookmarkEnd w:id="211"/>
      <w:bookmarkStart w:id="212" w:name="_Toc184314432"/>
      <w:bookmarkEnd w:id="212"/>
      <w:bookmarkStart w:id="213" w:name="_Toc184310335"/>
      <w:bookmarkEnd w:id="213"/>
      <w:bookmarkStart w:id="214" w:name="_Toc184312112"/>
      <w:bookmarkEnd w:id="214"/>
      <w:bookmarkStart w:id="215" w:name="_Toc184308039"/>
      <w:bookmarkEnd w:id="215"/>
      <w:bookmarkStart w:id="216" w:name="_Toc184312071"/>
      <w:bookmarkEnd w:id="216"/>
      <w:bookmarkStart w:id="217" w:name="_Toc184310344"/>
      <w:bookmarkEnd w:id="217"/>
      <w:bookmarkStart w:id="218" w:name="_Toc184314478"/>
      <w:bookmarkEnd w:id="218"/>
      <w:bookmarkStart w:id="219" w:name="_Toc184312121"/>
      <w:bookmarkEnd w:id="219"/>
      <w:bookmarkStart w:id="220" w:name="_Toc184312110"/>
      <w:bookmarkEnd w:id="220"/>
      <w:bookmarkStart w:id="221" w:name="_Toc184310322"/>
      <w:bookmarkEnd w:id="221"/>
      <w:bookmarkStart w:id="222" w:name="_Toc184312099"/>
      <w:bookmarkEnd w:id="222"/>
      <w:bookmarkStart w:id="223" w:name="_Toc184308059"/>
      <w:bookmarkEnd w:id="223"/>
      <w:bookmarkStart w:id="224" w:name="_Toc184314428"/>
      <w:bookmarkEnd w:id="224"/>
      <w:bookmarkStart w:id="225" w:name="_Toc184314424"/>
      <w:bookmarkEnd w:id="225"/>
      <w:bookmarkStart w:id="226" w:name="_Toc184313287"/>
      <w:bookmarkEnd w:id="226"/>
      <w:bookmarkStart w:id="227" w:name="_Toc184310321"/>
      <w:bookmarkEnd w:id="227"/>
      <w:bookmarkStart w:id="228" w:name="_Toc184312102"/>
      <w:bookmarkEnd w:id="228"/>
      <w:bookmarkStart w:id="229" w:name="_Toc184314479"/>
      <w:bookmarkEnd w:id="229"/>
      <w:bookmarkStart w:id="230" w:name="_Toc184308092"/>
      <w:bookmarkEnd w:id="230"/>
      <w:bookmarkStart w:id="231" w:name="_Toc184312114"/>
      <w:bookmarkEnd w:id="231"/>
      <w:bookmarkStart w:id="232" w:name="_Toc184308107"/>
      <w:bookmarkEnd w:id="232"/>
      <w:bookmarkStart w:id="233" w:name="_Toc184308055"/>
      <w:bookmarkEnd w:id="233"/>
      <w:bookmarkStart w:id="234" w:name="_Toc184314419"/>
      <w:bookmarkEnd w:id="234"/>
      <w:bookmarkStart w:id="235" w:name="_Toc184310281"/>
      <w:bookmarkEnd w:id="235"/>
      <w:bookmarkStart w:id="236" w:name="_Toc184313299"/>
      <w:bookmarkEnd w:id="236"/>
      <w:bookmarkStart w:id="237" w:name="_Toc184312085"/>
      <w:bookmarkEnd w:id="237"/>
      <w:bookmarkStart w:id="238" w:name="_Toc184310272"/>
      <w:bookmarkEnd w:id="238"/>
      <w:bookmarkStart w:id="239" w:name="_Toc184312111"/>
      <w:bookmarkEnd w:id="239"/>
      <w:bookmarkStart w:id="240" w:name="_Toc184310297"/>
      <w:bookmarkEnd w:id="240"/>
      <w:bookmarkStart w:id="241" w:name="_Toc184310318"/>
      <w:bookmarkEnd w:id="241"/>
      <w:bookmarkStart w:id="242" w:name="_Toc184310290"/>
      <w:bookmarkEnd w:id="242"/>
      <w:bookmarkStart w:id="243" w:name="_Toc184312080"/>
      <w:bookmarkEnd w:id="243"/>
      <w:bookmarkStart w:id="244" w:name="_Toc184313285"/>
      <w:bookmarkEnd w:id="244"/>
      <w:bookmarkStart w:id="245" w:name="_Toc184310338"/>
      <w:bookmarkEnd w:id="245"/>
      <w:bookmarkStart w:id="246" w:name="_Toc184312097"/>
      <w:bookmarkEnd w:id="246"/>
      <w:bookmarkStart w:id="247" w:name="_Toc184314451"/>
      <w:bookmarkEnd w:id="247"/>
      <w:bookmarkStart w:id="248" w:name="_Toc184310336"/>
      <w:bookmarkEnd w:id="248"/>
      <w:bookmarkStart w:id="249" w:name="_Toc184314454"/>
      <w:bookmarkEnd w:id="249"/>
      <w:bookmarkStart w:id="250" w:name="_Toc184308087"/>
      <w:bookmarkEnd w:id="250"/>
      <w:bookmarkStart w:id="251" w:name="_Toc184313301"/>
      <w:bookmarkEnd w:id="251"/>
      <w:bookmarkStart w:id="252" w:name="_Toc184312138"/>
      <w:bookmarkEnd w:id="252"/>
      <w:bookmarkStart w:id="253" w:name="_Toc184314482"/>
      <w:bookmarkEnd w:id="253"/>
      <w:bookmarkStart w:id="254" w:name="_Toc184313274"/>
      <w:bookmarkEnd w:id="254"/>
      <w:bookmarkStart w:id="255" w:name="_Toc184308057"/>
      <w:bookmarkEnd w:id="255"/>
      <w:bookmarkStart w:id="256" w:name="_Toc184312088"/>
      <w:bookmarkEnd w:id="256"/>
      <w:bookmarkStart w:id="257" w:name="_Toc184314435"/>
      <w:bookmarkEnd w:id="257"/>
      <w:bookmarkStart w:id="258" w:name="_Toc184314449"/>
      <w:bookmarkEnd w:id="258"/>
      <w:bookmarkStart w:id="259" w:name="_Toc184313281"/>
      <w:bookmarkEnd w:id="259"/>
      <w:bookmarkStart w:id="260" w:name="_Toc184310305"/>
      <w:bookmarkEnd w:id="260"/>
      <w:bookmarkStart w:id="261" w:name="_Toc184308105"/>
      <w:bookmarkEnd w:id="261"/>
      <w:bookmarkStart w:id="262" w:name="_Toc184310286"/>
      <w:bookmarkEnd w:id="262"/>
      <w:bookmarkStart w:id="263" w:name="_Toc184308096"/>
      <w:bookmarkEnd w:id="263"/>
      <w:bookmarkStart w:id="264" w:name="_Toc184312090"/>
      <w:bookmarkEnd w:id="264"/>
      <w:bookmarkStart w:id="265" w:name="_Toc184308090"/>
      <w:bookmarkEnd w:id="265"/>
      <w:bookmarkStart w:id="266" w:name="_Toc184313297"/>
      <w:bookmarkEnd w:id="266"/>
      <w:bookmarkStart w:id="267" w:name="_Toc184312076"/>
      <w:bookmarkEnd w:id="267"/>
      <w:bookmarkStart w:id="268" w:name="_Toc184313254"/>
      <w:bookmarkEnd w:id="268"/>
      <w:bookmarkStart w:id="269" w:name="_Toc184308076"/>
      <w:bookmarkEnd w:id="269"/>
      <w:bookmarkStart w:id="270" w:name="_Toc184314473"/>
      <w:bookmarkEnd w:id="270"/>
      <w:bookmarkStart w:id="271" w:name="_Toc184314415"/>
      <w:bookmarkEnd w:id="271"/>
      <w:bookmarkStart w:id="272" w:name="_Toc184308103"/>
      <w:bookmarkEnd w:id="272"/>
      <w:bookmarkStart w:id="273" w:name="_Toc184308063"/>
      <w:bookmarkEnd w:id="273"/>
      <w:bookmarkStart w:id="274" w:name="_Toc184308084"/>
      <w:bookmarkEnd w:id="274"/>
      <w:bookmarkStart w:id="275" w:name="_Toc184313295"/>
      <w:bookmarkEnd w:id="275"/>
      <w:bookmarkStart w:id="276" w:name="_Toc184314442"/>
      <w:bookmarkEnd w:id="276"/>
      <w:bookmarkStart w:id="277" w:name="_Toc184312124"/>
      <w:bookmarkEnd w:id="277"/>
      <w:bookmarkStart w:id="278" w:name="_Toc184312120"/>
      <w:bookmarkEnd w:id="278"/>
      <w:bookmarkStart w:id="279" w:name="_Toc184313270"/>
      <w:bookmarkEnd w:id="279"/>
      <w:bookmarkStart w:id="280" w:name="_Toc184314455"/>
      <w:bookmarkEnd w:id="280"/>
      <w:bookmarkStart w:id="281" w:name="_Toc184312068"/>
      <w:bookmarkEnd w:id="281"/>
      <w:bookmarkStart w:id="282" w:name="_Toc184313244"/>
      <w:bookmarkEnd w:id="282"/>
      <w:bookmarkStart w:id="283" w:name="_Toc184313278"/>
      <w:bookmarkEnd w:id="283"/>
      <w:bookmarkStart w:id="284" w:name="_Toc184308074"/>
      <w:bookmarkEnd w:id="284"/>
      <w:bookmarkStart w:id="285" w:name="_Toc184308081"/>
      <w:bookmarkEnd w:id="285"/>
      <w:bookmarkStart w:id="286" w:name="_Toc184310316"/>
      <w:bookmarkEnd w:id="286"/>
      <w:bookmarkStart w:id="287" w:name="_Toc184308042"/>
      <w:bookmarkEnd w:id="287"/>
      <w:bookmarkStart w:id="288" w:name="_Toc184308104"/>
      <w:bookmarkEnd w:id="288"/>
      <w:bookmarkStart w:id="289" w:name="_Toc184308045"/>
      <w:bookmarkEnd w:id="289"/>
      <w:bookmarkStart w:id="290" w:name="_Toc184312116"/>
      <w:bookmarkEnd w:id="290"/>
      <w:bookmarkStart w:id="291" w:name="_Toc184312132"/>
      <w:bookmarkEnd w:id="291"/>
      <w:bookmarkStart w:id="292" w:name="_Toc184308098"/>
      <w:bookmarkEnd w:id="292"/>
      <w:bookmarkStart w:id="293" w:name="_Toc184310337"/>
      <w:bookmarkEnd w:id="293"/>
      <w:bookmarkStart w:id="294" w:name="_Toc184313284"/>
      <w:bookmarkEnd w:id="294"/>
      <w:bookmarkStart w:id="295" w:name="_Toc184308049"/>
      <w:bookmarkEnd w:id="295"/>
      <w:bookmarkStart w:id="296" w:name="_Toc184314472"/>
      <w:bookmarkEnd w:id="296"/>
      <w:bookmarkStart w:id="297" w:name="_Toc184314431"/>
      <w:bookmarkEnd w:id="297"/>
      <w:bookmarkStart w:id="298" w:name="_Toc184313298"/>
      <w:bookmarkEnd w:id="298"/>
      <w:bookmarkStart w:id="299" w:name="_Toc184314457"/>
      <w:bookmarkEnd w:id="299"/>
      <w:bookmarkStart w:id="300" w:name="_Toc184312092"/>
      <w:bookmarkEnd w:id="300"/>
      <w:bookmarkStart w:id="301" w:name="_Toc184310306"/>
      <w:bookmarkEnd w:id="301"/>
      <w:bookmarkStart w:id="302" w:name="_Toc184310292"/>
      <w:bookmarkEnd w:id="302"/>
      <w:bookmarkStart w:id="303" w:name="_Toc184313302"/>
      <w:bookmarkEnd w:id="303"/>
      <w:bookmarkStart w:id="304" w:name="_Toc184312096"/>
      <w:bookmarkEnd w:id="304"/>
      <w:bookmarkStart w:id="305" w:name="_Toc184313310"/>
      <w:bookmarkEnd w:id="305"/>
      <w:bookmarkStart w:id="306" w:name="_Toc184312105"/>
      <w:bookmarkEnd w:id="306"/>
      <w:bookmarkStart w:id="307" w:name="_Toc184313265"/>
      <w:bookmarkEnd w:id="307"/>
      <w:bookmarkStart w:id="308" w:name="_Toc184314422"/>
      <w:bookmarkEnd w:id="308"/>
      <w:bookmarkStart w:id="309" w:name="_Toc184308072"/>
      <w:bookmarkEnd w:id="309"/>
      <w:bookmarkStart w:id="310" w:name="_Toc184313261"/>
      <w:bookmarkEnd w:id="310"/>
      <w:bookmarkStart w:id="311" w:name="_Toc184308088"/>
      <w:bookmarkEnd w:id="311"/>
      <w:bookmarkStart w:id="312" w:name="_Toc184310280"/>
      <w:bookmarkEnd w:id="312"/>
      <w:bookmarkStart w:id="313" w:name="_Toc184312081"/>
      <w:bookmarkEnd w:id="313"/>
      <w:bookmarkStart w:id="314" w:name="_Toc184314421"/>
      <w:bookmarkEnd w:id="314"/>
      <w:bookmarkStart w:id="315" w:name="_Toc184312109"/>
      <w:bookmarkEnd w:id="315"/>
      <w:bookmarkStart w:id="316" w:name="_Toc184310317"/>
      <w:bookmarkEnd w:id="316"/>
      <w:bookmarkStart w:id="317" w:name="_Toc184314416"/>
      <w:bookmarkEnd w:id="317"/>
      <w:bookmarkStart w:id="318" w:name="_Toc184308054"/>
      <w:bookmarkEnd w:id="318"/>
      <w:bookmarkStart w:id="319" w:name="_Toc184314434"/>
      <w:bookmarkEnd w:id="319"/>
      <w:bookmarkStart w:id="320" w:name="_Toc184312108"/>
      <w:bookmarkEnd w:id="320"/>
      <w:bookmarkStart w:id="321" w:name="_Toc184314474"/>
      <w:bookmarkEnd w:id="321"/>
      <w:bookmarkStart w:id="322" w:name="_Toc184310312"/>
      <w:bookmarkEnd w:id="322"/>
      <w:bookmarkStart w:id="323" w:name="_Toc184310291"/>
      <w:bookmarkEnd w:id="323"/>
      <w:bookmarkStart w:id="324" w:name="_Toc184313263"/>
      <w:bookmarkEnd w:id="324"/>
      <w:bookmarkStart w:id="325" w:name="_Toc184308083"/>
      <w:bookmarkEnd w:id="325"/>
      <w:bookmarkStart w:id="326" w:name="_Toc184313304"/>
      <w:bookmarkEnd w:id="326"/>
      <w:bookmarkStart w:id="327" w:name="_Toc184310301"/>
      <w:bookmarkEnd w:id="327"/>
      <w:bookmarkStart w:id="328" w:name="_Toc184310324"/>
      <w:bookmarkEnd w:id="328"/>
      <w:bookmarkStart w:id="329" w:name="_Toc184314471"/>
      <w:bookmarkEnd w:id="329"/>
      <w:bookmarkStart w:id="330" w:name="_Toc184310294"/>
      <w:bookmarkEnd w:id="330"/>
      <w:bookmarkStart w:id="331" w:name="_Toc184308044"/>
      <w:bookmarkEnd w:id="331"/>
      <w:bookmarkStart w:id="332" w:name="_Toc184308078"/>
      <w:bookmarkEnd w:id="332"/>
      <w:bookmarkStart w:id="333" w:name="_Toc184308047"/>
      <w:bookmarkEnd w:id="333"/>
      <w:bookmarkStart w:id="334" w:name="_Toc184310326"/>
      <w:bookmarkEnd w:id="334"/>
      <w:bookmarkStart w:id="335" w:name="_Toc184314418"/>
      <w:bookmarkEnd w:id="335"/>
      <w:bookmarkStart w:id="336" w:name="_Toc184313257"/>
      <w:bookmarkEnd w:id="336"/>
      <w:bookmarkStart w:id="337" w:name="_Toc184313240"/>
      <w:bookmarkEnd w:id="337"/>
      <w:bookmarkStart w:id="338" w:name="_Toc184312093"/>
      <w:bookmarkEnd w:id="338"/>
      <w:bookmarkStart w:id="339" w:name="_Toc184314420"/>
      <w:bookmarkEnd w:id="339"/>
      <w:bookmarkStart w:id="340" w:name="_Toc184312123"/>
      <w:bookmarkEnd w:id="340"/>
      <w:bookmarkStart w:id="341" w:name="_Toc184310287"/>
      <w:bookmarkEnd w:id="341"/>
      <w:bookmarkStart w:id="342" w:name="_Toc184314452"/>
      <w:bookmarkEnd w:id="342"/>
      <w:bookmarkStart w:id="343" w:name="_Toc184314459"/>
      <w:bookmarkEnd w:id="343"/>
      <w:bookmarkStart w:id="344" w:name="_Toc184312070"/>
      <w:bookmarkEnd w:id="344"/>
      <w:bookmarkStart w:id="345" w:name="_Toc184310303"/>
      <w:bookmarkEnd w:id="345"/>
      <w:bookmarkStart w:id="346" w:name="_Toc184314445"/>
      <w:bookmarkEnd w:id="346"/>
      <w:bookmarkStart w:id="347" w:name="_Toc184312072"/>
      <w:bookmarkEnd w:id="347"/>
      <w:bookmarkStart w:id="348" w:name="_Toc184310309"/>
      <w:bookmarkEnd w:id="348"/>
      <w:bookmarkStart w:id="349" w:name="_Toc184310311"/>
      <w:bookmarkEnd w:id="349"/>
      <w:bookmarkStart w:id="350" w:name="_Toc184312134"/>
      <w:bookmarkEnd w:id="350"/>
      <w:bookmarkStart w:id="351" w:name="_Toc184308079"/>
      <w:bookmarkEnd w:id="351"/>
      <w:bookmarkStart w:id="352" w:name="_Toc184308037"/>
      <w:bookmarkEnd w:id="352"/>
      <w:bookmarkStart w:id="353" w:name="_Toc184310277"/>
      <w:bookmarkEnd w:id="353"/>
      <w:bookmarkStart w:id="354" w:name="_Toc184312139"/>
      <w:bookmarkEnd w:id="354"/>
      <w:bookmarkStart w:id="355" w:name="_Toc184312113"/>
      <w:bookmarkEnd w:id="355"/>
      <w:bookmarkStart w:id="356" w:name="_Toc184312095"/>
      <w:bookmarkEnd w:id="356"/>
      <w:bookmarkStart w:id="357" w:name="_Toc184314462"/>
      <w:bookmarkEnd w:id="357"/>
      <w:bookmarkStart w:id="358" w:name="_Toc184312100"/>
      <w:bookmarkEnd w:id="358"/>
      <w:bookmarkStart w:id="359" w:name="_Toc184313267"/>
      <w:bookmarkEnd w:id="359"/>
      <w:bookmarkStart w:id="360" w:name="_Toc184310302"/>
      <w:bookmarkEnd w:id="360"/>
      <w:bookmarkStart w:id="361" w:name="_Toc184308102"/>
      <w:bookmarkEnd w:id="361"/>
      <w:bookmarkStart w:id="362" w:name="_Toc184308094"/>
      <w:bookmarkEnd w:id="362"/>
      <w:bookmarkStart w:id="363" w:name="_Toc184312087"/>
      <w:bookmarkEnd w:id="363"/>
      <w:bookmarkStart w:id="364" w:name="_Toc184308071"/>
      <w:bookmarkEnd w:id="364"/>
      <w:bookmarkStart w:id="365" w:name="_Toc184310331"/>
      <w:bookmarkEnd w:id="365"/>
      <w:bookmarkStart w:id="366" w:name="_Toc184310342"/>
      <w:bookmarkEnd w:id="366"/>
      <w:bookmarkStart w:id="367" w:name="_Toc184308048"/>
      <w:bookmarkEnd w:id="367"/>
      <w:bookmarkStart w:id="368" w:name="_Toc184310274"/>
      <w:bookmarkEnd w:id="368"/>
      <w:bookmarkStart w:id="369" w:name="_Toc184310327"/>
      <w:bookmarkEnd w:id="369"/>
      <w:bookmarkStart w:id="370" w:name="_Toc184312137"/>
      <w:bookmarkEnd w:id="370"/>
      <w:bookmarkStart w:id="371" w:name="_Toc184312077"/>
      <w:bookmarkEnd w:id="371"/>
      <w:bookmarkStart w:id="372" w:name="_Toc184308068"/>
      <w:bookmarkEnd w:id="372"/>
      <w:bookmarkStart w:id="373" w:name="_Toc184314413"/>
      <w:bookmarkEnd w:id="373"/>
      <w:bookmarkStart w:id="374" w:name="_Toc184312083"/>
      <w:bookmarkEnd w:id="374"/>
      <w:bookmarkStart w:id="375" w:name="_Toc184308053"/>
      <w:bookmarkEnd w:id="375"/>
      <w:bookmarkStart w:id="376" w:name="_Toc184308073"/>
      <w:bookmarkEnd w:id="376"/>
      <w:bookmarkStart w:id="377" w:name="_Toc184313255"/>
      <w:bookmarkEnd w:id="377"/>
      <w:bookmarkStart w:id="378" w:name="_Toc184310285"/>
      <w:bookmarkEnd w:id="378"/>
      <w:bookmarkStart w:id="379" w:name="_Toc184314468"/>
      <w:bookmarkEnd w:id="379"/>
      <w:bookmarkStart w:id="380" w:name="_Toc184313292"/>
      <w:bookmarkEnd w:id="380"/>
      <w:bookmarkStart w:id="381" w:name="_Toc184314477"/>
      <w:bookmarkEnd w:id="381"/>
      <w:bookmarkStart w:id="382" w:name="_Toc184314470"/>
      <w:bookmarkEnd w:id="382"/>
      <w:bookmarkStart w:id="383" w:name="_Toc184314439"/>
      <w:bookmarkEnd w:id="383"/>
      <w:bookmarkStart w:id="384" w:name="_Toc184312133"/>
      <w:bookmarkEnd w:id="384"/>
      <w:bookmarkStart w:id="385" w:name="_Toc184314464"/>
      <w:bookmarkEnd w:id="385"/>
      <w:bookmarkStart w:id="386" w:name="_Toc184308065"/>
      <w:bookmarkEnd w:id="386"/>
      <w:bookmarkStart w:id="387" w:name="_Toc184310340"/>
      <w:bookmarkEnd w:id="387"/>
      <w:bookmarkStart w:id="388" w:name="_Toc184314475"/>
      <w:bookmarkEnd w:id="388"/>
      <w:bookmarkStart w:id="389" w:name="_Toc184313252"/>
      <w:bookmarkEnd w:id="389"/>
      <w:bookmarkStart w:id="390" w:name="_Toc184314426"/>
      <w:bookmarkEnd w:id="390"/>
      <w:bookmarkStart w:id="391" w:name="_Toc184310276"/>
      <w:bookmarkEnd w:id="391"/>
      <w:bookmarkStart w:id="392" w:name="_Toc184310275"/>
      <w:bookmarkEnd w:id="392"/>
      <w:bookmarkStart w:id="393" w:name="_Toc184310325"/>
      <w:bookmarkEnd w:id="393"/>
      <w:bookmarkStart w:id="394" w:name="_Toc184314423"/>
      <w:bookmarkEnd w:id="394"/>
      <w:bookmarkStart w:id="395" w:name="_Toc184310343"/>
      <w:bookmarkEnd w:id="395"/>
      <w:bookmarkStart w:id="396" w:name="_Toc184313289"/>
      <w:bookmarkEnd w:id="396"/>
      <w:bookmarkStart w:id="397" w:name="_Toc184312128"/>
      <w:bookmarkEnd w:id="397"/>
      <w:bookmarkStart w:id="398" w:name="_Toc184308041"/>
      <w:bookmarkEnd w:id="398"/>
      <w:bookmarkStart w:id="399" w:name="_Toc184313264"/>
      <w:bookmarkEnd w:id="399"/>
      <w:bookmarkStart w:id="400" w:name="_Toc184312073"/>
      <w:bookmarkEnd w:id="400"/>
      <w:bookmarkStart w:id="401" w:name="_Toc184314425"/>
      <w:bookmarkEnd w:id="401"/>
      <w:bookmarkStart w:id="402" w:name="_Toc184312130"/>
      <w:bookmarkEnd w:id="402"/>
      <w:bookmarkStart w:id="403" w:name="_Toc184312117"/>
      <w:bookmarkEnd w:id="403"/>
      <w:bookmarkStart w:id="404" w:name="_Toc184308106"/>
      <w:bookmarkEnd w:id="404"/>
      <w:bookmarkStart w:id="405" w:name="_Toc184308099"/>
      <w:bookmarkEnd w:id="405"/>
      <w:bookmarkStart w:id="406" w:name="_Toc184312115"/>
      <w:bookmarkEnd w:id="406"/>
      <w:bookmarkStart w:id="407" w:name="_Toc184310339"/>
      <w:bookmarkEnd w:id="407"/>
      <w:bookmarkStart w:id="408" w:name="_Toc184308038"/>
      <w:bookmarkEnd w:id="408"/>
      <w:bookmarkStart w:id="409" w:name="_Toc184312122"/>
      <w:bookmarkEnd w:id="409"/>
      <w:bookmarkStart w:id="410" w:name="_Toc184308095"/>
      <w:bookmarkEnd w:id="410"/>
      <w:bookmarkStart w:id="411" w:name="_Toc184310314"/>
      <w:bookmarkEnd w:id="411"/>
      <w:bookmarkStart w:id="412" w:name="_Toc184310334"/>
      <w:bookmarkEnd w:id="412"/>
      <w:bookmarkStart w:id="413" w:name="_Toc184310300"/>
      <w:bookmarkEnd w:id="413"/>
      <w:bookmarkStart w:id="414" w:name="_Toc184310279"/>
      <w:bookmarkEnd w:id="414"/>
      <w:bookmarkStart w:id="415" w:name="_Toc184314458"/>
      <w:bookmarkEnd w:id="415"/>
      <w:bookmarkStart w:id="416" w:name="_Toc184314430"/>
      <w:bookmarkEnd w:id="416"/>
      <w:bookmarkStart w:id="417" w:name="_Toc184314440"/>
      <w:bookmarkEnd w:id="417"/>
      <w:bookmarkStart w:id="418" w:name="_Toc184310329"/>
      <w:bookmarkEnd w:id="418"/>
      <w:bookmarkStart w:id="419" w:name="_Toc184313241"/>
      <w:bookmarkEnd w:id="419"/>
      <w:r>
        <w:rPr>
          <w:rFonts w:hint="eastAsia" w:ascii="宋体" w:hAnsi="宋体" w:cs="宋体"/>
          <w:b/>
          <w:sz w:val="36"/>
          <w:szCs w:val="20"/>
        </w:rPr>
        <w:t xml:space="preserve"> 评审办法</w:t>
      </w:r>
      <w:bookmarkEnd w:id="54"/>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11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348"/>
        <w:gridCol w:w="1188"/>
        <w:gridCol w:w="5830"/>
        <w:gridCol w:w="9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9365" w:type="dxa"/>
            <w:gridSpan w:val="4"/>
            <w:tcBorders>
              <w:left w:val="single" w:color="auto" w:sz="4" w:space="0"/>
              <w:right w:val="single" w:color="auto" w:sz="2" w:space="0"/>
            </w:tcBorders>
            <w:noWrap w:val="0"/>
            <w:vAlign w:val="center"/>
          </w:tcPr>
          <w:p>
            <w:pPr>
              <w:spacing w:line="360" w:lineRule="exact"/>
              <w:ind w:left="0" w:leftChars="0" w:right="0" w:righ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评分项及</w:t>
            </w:r>
            <w:r>
              <w:rPr>
                <w:rFonts w:hint="eastAsia" w:ascii="宋体" w:hAnsi="宋体" w:eastAsia="宋体" w:cs="宋体"/>
                <w:color w:val="000000"/>
                <w:sz w:val="24"/>
                <w:szCs w:val="24"/>
                <w:lang w:val="en-US" w:eastAsia="zh-CN"/>
              </w:rPr>
              <w:t>标准</w:t>
            </w:r>
          </w:p>
        </w:tc>
        <w:tc>
          <w:tcPr>
            <w:tcW w:w="925" w:type="dxa"/>
            <w:tcBorders>
              <w:left w:val="single" w:color="auto" w:sz="4" w:space="0"/>
              <w:right w:val="single" w:color="auto" w:sz="2" w:space="0"/>
            </w:tcBorders>
            <w:noWrap w:val="0"/>
            <w:vAlign w:val="center"/>
          </w:tcPr>
          <w:p>
            <w:pPr>
              <w:spacing w:line="360" w:lineRule="exact"/>
              <w:ind w:left="0" w:leftChars="0" w:right="0" w:righ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分值</w:t>
            </w:r>
          </w:p>
        </w:tc>
        <w:tc>
          <w:tcPr>
            <w:tcW w:w="925" w:type="dxa"/>
            <w:tcBorders>
              <w:left w:val="single" w:color="auto" w:sz="4" w:space="0"/>
              <w:right w:val="single" w:color="auto" w:sz="2" w:space="0"/>
            </w:tcBorders>
            <w:noWrap w:val="0"/>
            <w:vAlign w:val="center"/>
          </w:tcPr>
          <w:p>
            <w:pPr>
              <w:spacing w:line="360" w:lineRule="exact"/>
              <w:ind w:left="0" w:leftChars="0" w:right="0" w:righ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7" w:hRule="atLeast"/>
          <w:jc w:val="center"/>
        </w:trPr>
        <w:tc>
          <w:tcPr>
            <w:tcW w:w="999" w:type="dxa"/>
            <w:vMerge w:val="restart"/>
            <w:tcBorders>
              <w:left w:val="single" w:color="auto" w:sz="4" w:space="0"/>
              <w:right w:val="single" w:color="auto" w:sz="2" w:space="0"/>
            </w:tcBorders>
            <w:noWrap w:val="0"/>
            <w:vAlign w:val="center"/>
          </w:tcPr>
          <w:p>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w:t>
            </w:r>
          </w:p>
          <w:p>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务</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术</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70</w:t>
            </w:r>
            <w:r>
              <w:rPr>
                <w:rFonts w:hint="eastAsia" w:ascii="宋体" w:hAnsi="宋体" w:eastAsia="宋体" w:cs="宋体"/>
                <w:color w:val="000000"/>
                <w:sz w:val="24"/>
                <w:szCs w:val="24"/>
              </w:rPr>
              <w:t>分）</w:t>
            </w:r>
          </w:p>
        </w:tc>
        <w:tc>
          <w:tcPr>
            <w:tcW w:w="1348" w:type="dxa"/>
            <w:vMerge w:val="restart"/>
            <w:tcBorders>
              <w:top w:val="single" w:color="auto" w:sz="2" w:space="0"/>
              <w:left w:val="single" w:color="auto" w:sz="2" w:space="0"/>
              <w:right w:val="single" w:color="auto" w:sz="4" w:space="0"/>
            </w:tcBorders>
            <w:noWrap w:val="0"/>
            <w:vAlign w:val="center"/>
          </w:tcPr>
          <w:p>
            <w:pPr>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（一）施工方案（</w:t>
            </w: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分）</w:t>
            </w:r>
          </w:p>
        </w:tc>
        <w:tc>
          <w:tcPr>
            <w:tcW w:w="1188" w:type="dxa"/>
            <w:tcBorders>
              <w:top w:val="single" w:color="auto" w:sz="2" w:space="0"/>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(1)临时设施布置方案（5分）</w:t>
            </w:r>
          </w:p>
        </w:tc>
        <w:tc>
          <w:tcPr>
            <w:tcW w:w="5830" w:type="dxa"/>
            <w:tcBorders>
              <w:top w:val="single" w:color="auto" w:sz="2" w:space="0"/>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根据供应商提供的施工现场临时设施布置方案（包括施工现场临时设施布置情况、施工设备及原材料堆放情况、安全文明施工布置情况等）进行综合评议：</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①布置方案详实、内容完整，临时设施考虑齐全且布置科学，施工设备及原材料堆放有序，安全文明施工布置全面且醒目，可执行力高的，得5分；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②布置方案较详细、内容充分，临时设施考虑齐全且布置较合理，施工设备及原材料堆放较合理，安全文明施工布置较全面且较醒目，可执行力度较高，得4分；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③布置方案较详细、内容较多，临时设施考虑较齐全且布置较合理，施工设备及原材料堆放较随意，安全文明施工布置较全面但不够醒目，可勉强执行的，得3分；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④布置方案较简单、内容较少，临时设施考虑不足且布置随意，施工设备及原材料堆放随意，安全文明施工布置不足且盲目，得2分；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⑤布置方案简单、内容少，临时设施考虑不足且布置无章法，施工设备及原材料堆放混乱，安全文明施工布置敷衍，得1分；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both"/>
              <w:rPr>
                <w:rFonts w:hint="eastAsia" w:ascii="宋体" w:hAnsi="宋体" w:eastAsia="宋体" w:cs="宋体"/>
                <w:sz w:val="24"/>
                <w:szCs w:val="24"/>
                <w:lang w:val="en-US" w:eastAsia="zh-CN"/>
              </w:rPr>
            </w:pPr>
          </w:p>
        </w:tc>
        <w:tc>
          <w:tcPr>
            <w:tcW w:w="1188" w:type="dxa"/>
            <w:vMerge w:val="restart"/>
            <w:tcBorders>
              <w:top w:val="single" w:color="auto" w:sz="2" w:space="0"/>
              <w:left w:val="single" w:color="auto" w:sz="4" w:space="0"/>
              <w:right w:val="single" w:color="auto" w:sz="2" w:space="0"/>
            </w:tcBorders>
            <w:noWrap w:val="0"/>
            <w:vAlign w:val="center"/>
          </w:tcPr>
          <w:p>
            <w:pPr>
              <w:spacing w:line="3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(2)施工方案（</w:t>
            </w:r>
            <w:r>
              <w:rPr>
                <w:rFonts w:hint="eastAsia" w:ascii="宋体" w:hAnsi="宋体"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根据供应商提供的施工方案（精装修工程）进行综合评议：</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①施工方案内容详实、施工措施得力，可执行力度高，得5分；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②施工方案内容较详实，施工措施可行，可执行力度较高，得4分；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③施工方案内容完整但不够详细，施工措施敷衍，可执行力较低，得3分；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④施工方案内容简单，施工措施敷衍，可执行力低，得2分；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⑤施工方案内容欠缺，施工措施欠缺，基本无可执行力，得1分；</w:t>
            </w:r>
          </w:p>
          <w:p>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both"/>
              <w:rPr>
                <w:rFonts w:hint="eastAsia" w:ascii="宋体" w:hAnsi="宋体" w:eastAsia="宋体" w:cs="宋体"/>
                <w:sz w:val="24"/>
                <w:szCs w:val="24"/>
                <w:lang w:val="en-US" w:eastAsia="zh-CN"/>
              </w:rPr>
            </w:pPr>
          </w:p>
        </w:tc>
        <w:tc>
          <w:tcPr>
            <w:tcW w:w="1188"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kern w:val="2"/>
                <w:sz w:val="24"/>
                <w:szCs w:val="24"/>
                <w:lang w:val="en-US" w:eastAsia="zh-CN" w:bidi="ar-SA"/>
              </w:rPr>
            </w:pP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根据供应商提供的施工方案（</w:t>
            </w:r>
            <w:r>
              <w:rPr>
                <w:rFonts w:hint="eastAsia" w:ascii="宋体" w:hAnsi="宋体" w:eastAsia="宋体" w:cs="宋体"/>
                <w:color w:val="auto"/>
                <w:sz w:val="24"/>
                <w:szCs w:val="24"/>
                <w:lang w:val="en-US" w:eastAsia="zh-CN"/>
              </w:rPr>
              <w:t>水电安装工程</w:t>
            </w:r>
            <w:r>
              <w:rPr>
                <w:rFonts w:hint="eastAsia" w:asciiTheme="minorEastAsia" w:hAnsiTheme="minorEastAsia" w:eastAsiaTheme="minorEastAsia" w:cstheme="minorEastAsia"/>
                <w:color w:val="000000"/>
                <w:sz w:val="24"/>
                <w:szCs w:val="24"/>
                <w:lang w:val="en-US" w:eastAsia="zh-CN"/>
              </w:rPr>
              <w:t>）进行综合评议：</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①施工方案内容详实、施工措施得力，可执行力度高，得5分；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②施工方案内容较详实，施工措施可行，可执行力度较高，得4分；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③施工方案内容完整但不够详细，施工措施敷衍，可执行力较低，得3分；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④施工方案内容简单，施工措施敷衍，可执行力低，得2分；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⑤施工方案内容欠缺，施工措施欠缺，基本无可执行力，得1分；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both"/>
              <w:rPr>
                <w:rFonts w:hint="eastAsia" w:ascii="宋体" w:hAnsi="宋体" w:eastAsia="宋体" w:cs="宋体"/>
                <w:sz w:val="24"/>
                <w:szCs w:val="24"/>
                <w:lang w:val="en-US" w:eastAsia="zh-CN"/>
              </w:rPr>
            </w:pPr>
          </w:p>
        </w:tc>
        <w:tc>
          <w:tcPr>
            <w:tcW w:w="1188" w:type="dxa"/>
            <w:vMerge w:val="continue"/>
            <w:tcBorders>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kern w:val="2"/>
                <w:sz w:val="24"/>
                <w:szCs w:val="24"/>
                <w:lang w:val="en-US" w:eastAsia="zh-CN" w:bidi="ar-SA"/>
              </w:rPr>
            </w:pP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根据供应商提供的施工方案（遇其他配套工程须进行配合施工时）进行综合评议：</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①施工方案内容详实、施工措施得力，可执行力度高，得5分；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②施工方案内容较详实，施工措施可行，可执行力度较高，得4分；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③施工方案内容完整但不够详细，施工措施敷衍，可执行力较低，得3分；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④施工方案内容简单，施工措施敷衍，可执行力低，得2分；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⑤施工方案内容欠缺，施工措施欠缺，基本无可执行力，得1分；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2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188"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(3)施工进度计划（5分）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根据供应商提供的施工进度计划安排（时间节点安排</w:t>
            </w:r>
            <w:r>
              <w:rPr>
                <w:rFonts w:hint="eastAsia" w:ascii="宋体" w:hAnsi="宋体" w:cs="宋体"/>
                <w:color w:val="auto"/>
                <w:sz w:val="24"/>
                <w:szCs w:val="24"/>
                <w:lang w:val="en-US" w:eastAsia="zh-CN"/>
              </w:rPr>
              <w:t>、保障措施</w:t>
            </w:r>
            <w:r>
              <w:rPr>
                <w:rFonts w:hint="eastAsia" w:ascii="宋体" w:hAnsi="宋体" w:eastAsia="宋体" w:cs="宋体"/>
                <w:color w:val="auto"/>
                <w:sz w:val="24"/>
                <w:szCs w:val="24"/>
                <w:lang w:val="en-US" w:eastAsia="zh-CN"/>
              </w:rPr>
              <w:t>等）进行综合评议：</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①施工进度计划安排详实、内容完整</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时间节点明确，</w:t>
            </w:r>
            <w:r>
              <w:rPr>
                <w:rFonts w:hint="eastAsia" w:ascii="宋体" w:hAnsi="宋体" w:cs="宋体"/>
                <w:color w:val="auto"/>
                <w:sz w:val="24"/>
                <w:szCs w:val="24"/>
                <w:lang w:val="en-US" w:eastAsia="zh-CN"/>
              </w:rPr>
              <w:t>保障措施得力，</w:t>
            </w:r>
            <w:r>
              <w:rPr>
                <w:rFonts w:hint="eastAsia" w:asciiTheme="minorEastAsia" w:hAnsiTheme="minorEastAsia" w:eastAsiaTheme="minorEastAsia" w:cstheme="minorEastAsia"/>
                <w:color w:val="000000"/>
                <w:sz w:val="24"/>
                <w:szCs w:val="24"/>
                <w:lang w:val="en-US" w:eastAsia="zh-CN"/>
              </w:rPr>
              <w:t>可执行力度高</w:t>
            </w:r>
            <w:r>
              <w:rPr>
                <w:rFonts w:hint="eastAsia" w:ascii="宋体" w:hAnsi="宋体" w:eastAsia="宋体" w:cs="宋体"/>
                <w:color w:val="auto"/>
                <w:sz w:val="24"/>
                <w:szCs w:val="24"/>
                <w:lang w:val="en-US" w:eastAsia="zh-CN"/>
              </w:rPr>
              <w:t>，得5分；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②施工进度计划安排较详细、内容充分，时间节点</w:t>
            </w:r>
            <w:r>
              <w:rPr>
                <w:rFonts w:hint="eastAsia" w:ascii="宋体" w:hAnsi="宋体" w:cs="宋体"/>
                <w:color w:val="auto"/>
                <w:sz w:val="24"/>
                <w:szCs w:val="24"/>
                <w:lang w:val="en-US" w:eastAsia="zh-CN"/>
              </w:rPr>
              <w:t>较明确，保障措施可行</w:t>
            </w:r>
            <w:r>
              <w:rPr>
                <w:rFonts w:hint="eastAsia" w:ascii="宋体" w:hAnsi="宋体" w:eastAsia="宋体" w:cs="宋体"/>
                <w:color w:val="auto"/>
                <w:sz w:val="24"/>
                <w:szCs w:val="24"/>
                <w:lang w:val="en-US" w:eastAsia="zh-CN"/>
              </w:rPr>
              <w:t>，</w:t>
            </w:r>
            <w:r>
              <w:rPr>
                <w:rFonts w:hint="eastAsia" w:asciiTheme="minorEastAsia" w:hAnsiTheme="minorEastAsia" w:eastAsiaTheme="minorEastAsia" w:cstheme="minorEastAsia"/>
                <w:color w:val="000000"/>
                <w:sz w:val="24"/>
                <w:szCs w:val="24"/>
                <w:lang w:val="en-US" w:eastAsia="zh-CN"/>
              </w:rPr>
              <w:t>可执行力度较高</w:t>
            </w:r>
            <w:r>
              <w:rPr>
                <w:rFonts w:hint="eastAsia" w:ascii="宋体" w:hAnsi="宋体" w:eastAsia="宋体" w:cs="宋体"/>
                <w:color w:val="auto"/>
                <w:sz w:val="24"/>
                <w:szCs w:val="24"/>
                <w:lang w:val="en-US" w:eastAsia="zh-CN"/>
              </w:rPr>
              <w:t>，得4分；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③施工进度计划安排较详细、内容较多，时间节点</w:t>
            </w:r>
            <w:r>
              <w:rPr>
                <w:rFonts w:hint="eastAsia" w:ascii="宋体" w:hAnsi="宋体" w:cs="宋体"/>
                <w:color w:val="auto"/>
                <w:sz w:val="24"/>
                <w:szCs w:val="24"/>
                <w:lang w:val="en-US" w:eastAsia="zh-CN"/>
              </w:rPr>
              <w:t>基本明确</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保障措施基本可行，</w:t>
            </w:r>
            <w:r>
              <w:rPr>
                <w:rFonts w:hint="eastAsia" w:asciiTheme="minorEastAsia" w:hAnsiTheme="minorEastAsia" w:eastAsiaTheme="minorEastAsia" w:cstheme="minorEastAsia"/>
                <w:color w:val="000000"/>
                <w:sz w:val="24"/>
                <w:szCs w:val="24"/>
                <w:lang w:val="en-US" w:eastAsia="zh-CN"/>
              </w:rPr>
              <w:t>可执行力较低</w:t>
            </w:r>
            <w:r>
              <w:rPr>
                <w:rFonts w:hint="eastAsia" w:ascii="宋体" w:hAnsi="宋体" w:eastAsia="宋体" w:cs="宋体"/>
                <w:color w:val="auto"/>
                <w:sz w:val="24"/>
                <w:szCs w:val="24"/>
                <w:lang w:val="en-US" w:eastAsia="zh-CN"/>
              </w:rPr>
              <w:t>，得3分；</w:t>
            </w:r>
          </w:p>
          <w:p>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④</w:t>
            </w:r>
            <w:r>
              <w:rPr>
                <w:rFonts w:hint="eastAsia" w:ascii="宋体" w:hAnsi="宋体" w:eastAsia="宋体" w:cs="宋体"/>
                <w:color w:val="auto"/>
                <w:sz w:val="24"/>
                <w:szCs w:val="24"/>
                <w:lang w:val="en-US" w:eastAsia="zh-CN"/>
              </w:rPr>
              <w:t>施工进度计划较简单、内容较少，时间节点</w:t>
            </w:r>
            <w:r>
              <w:rPr>
                <w:rFonts w:hint="eastAsia" w:ascii="宋体" w:hAnsi="宋体" w:cs="宋体"/>
                <w:color w:val="auto"/>
                <w:sz w:val="24"/>
                <w:szCs w:val="24"/>
                <w:lang w:val="en-US" w:eastAsia="zh-CN"/>
              </w:rPr>
              <w:t>模糊</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保障措施敷衍，可执行力低，</w:t>
            </w:r>
            <w:r>
              <w:rPr>
                <w:rFonts w:hint="eastAsia" w:ascii="宋体" w:hAnsi="宋体" w:eastAsia="宋体" w:cs="宋体"/>
                <w:color w:val="auto"/>
                <w:sz w:val="24"/>
                <w:szCs w:val="24"/>
                <w:lang w:val="en-US" w:eastAsia="zh-CN"/>
              </w:rPr>
              <w:t>得2分；</w:t>
            </w:r>
          </w:p>
          <w:p>
            <w:pPr>
              <w:spacing w:line="360" w:lineRule="exact"/>
              <w:rPr>
                <w:rFonts w:hint="eastAsia"/>
                <w:lang w:val="en-US" w:eastAsia="zh-CN"/>
              </w:rPr>
            </w:pPr>
            <w:r>
              <w:rPr>
                <w:rFonts w:hint="eastAsia" w:asciiTheme="minorEastAsia" w:hAnsiTheme="minorEastAsia" w:eastAsiaTheme="minorEastAsia" w:cstheme="minorEastAsia"/>
                <w:color w:val="000000"/>
                <w:sz w:val="24"/>
                <w:szCs w:val="24"/>
                <w:lang w:val="en-US" w:eastAsia="zh-CN"/>
              </w:rPr>
              <w:t>⑤</w:t>
            </w:r>
            <w:r>
              <w:rPr>
                <w:rFonts w:hint="eastAsia" w:ascii="宋体" w:hAnsi="宋体" w:eastAsia="宋体" w:cs="宋体"/>
                <w:color w:val="auto"/>
                <w:sz w:val="24"/>
                <w:szCs w:val="24"/>
                <w:lang w:val="en-US" w:eastAsia="zh-CN"/>
              </w:rPr>
              <w:t>施工进度计划简单、内容少，时间节点</w:t>
            </w:r>
            <w:r>
              <w:rPr>
                <w:rFonts w:hint="eastAsia" w:ascii="宋体" w:hAnsi="宋体" w:cs="宋体"/>
                <w:color w:val="auto"/>
                <w:sz w:val="24"/>
                <w:szCs w:val="24"/>
                <w:lang w:val="en-US" w:eastAsia="zh-CN"/>
              </w:rPr>
              <w:t>不清晰</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保障措施欠缺，</w:t>
            </w:r>
            <w:r>
              <w:rPr>
                <w:rFonts w:hint="eastAsia" w:asciiTheme="minorEastAsia" w:hAnsiTheme="minorEastAsia" w:eastAsiaTheme="minorEastAsia" w:cstheme="minorEastAsia"/>
                <w:color w:val="000000"/>
                <w:sz w:val="24"/>
                <w:szCs w:val="24"/>
                <w:lang w:val="en-US" w:eastAsia="zh-CN"/>
              </w:rPr>
              <w:t>基本无可执行力，得1分；</w:t>
            </w:r>
          </w:p>
          <w:p>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188" w:type="dxa"/>
            <w:tcBorders>
              <w:left w:val="single" w:color="auto" w:sz="4" w:space="0"/>
              <w:right w:val="single" w:color="auto" w:sz="2" w:space="0"/>
            </w:tcBorders>
            <w:noWrap w:val="0"/>
            <w:vAlign w:val="center"/>
          </w:tcPr>
          <w:p>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(4)施工质量保证措施（5分）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根据供应商提供的施工质量保证措施（包括但不仅限于材料及设备质量保证措施等）进行综合评议：</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①施工质量保证措施方案详实、内容完整，针对性强，可执行力度高</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得5分；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②施工质量保证措施方案较详细、内容充分，有一定针对性，可执行力度较高</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得4分；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③施工质量保证措施方案较详细、内容较多，缺乏针对性，可执行力较低</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得3分；</w:t>
            </w:r>
          </w:p>
          <w:p>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④</w:t>
            </w:r>
            <w:r>
              <w:rPr>
                <w:rFonts w:hint="eastAsia" w:ascii="宋体" w:hAnsi="宋体" w:eastAsia="宋体" w:cs="宋体"/>
                <w:color w:val="auto"/>
                <w:sz w:val="24"/>
                <w:szCs w:val="24"/>
                <w:lang w:val="en-US" w:eastAsia="zh-CN"/>
              </w:rPr>
              <w:t>施工质量保证措施方案较简单、内容较少，无针对性，可执行力低</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得2分；</w:t>
            </w:r>
          </w:p>
          <w:p>
            <w:pPr>
              <w:spacing w:line="360" w:lineRule="exact"/>
              <w:rPr>
                <w:rFonts w:hint="eastAsia"/>
                <w:lang w:val="en-US" w:eastAsia="zh-CN"/>
              </w:rPr>
            </w:pPr>
            <w:r>
              <w:rPr>
                <w:rFonts w:hint="eastAsia" w:asciiTheme="minorEastAsia" w:hAnsiTheme="minorEastAsia" w:eastAsiaTheme="minorEastAsia" w:cstheme="minorEastAsia"/>
                <w:color w:val="000000"/>
                <w:sz w:val="24"/>
                <w:szCs w:val="24"/>
                <w:lang w:val="en-US" w:eastAsia="zh-CN"/>
              </w:rPr>
              <w:t>⑤</w:t>
            </w:r>
            <w:r>
              <w:rPr>
                <w:rFonts w:hint="eastAsia" w:ascii="宋体" w:hAnsi="宋体" w:eastAsia="宋体" w:cs="宋体"/>
                <w:color w:val="auto"/>
                <w:sz w:val="24"/>
                <w:szCs w:val="24"/>
                <w:lang w:val="en-US" w:eastAsia="zh-CN"/>
              </w:rPr>
              <w:t>施工质量保证措施方案简单、内容少，无针对性，</w:t>
            </w:r>
            <w:r>
              <w:rPr>
                <w:rFonts w:hint="eastAsia" w:asciiTheme="minorEastAsia" w:hAnsiTheme="minorEastAsia" w:eastAsiaTheme="minorEastAsia" w:cstheme="minorEastAsia"/>
                <w:color w:val="000000"/>
                <w:sz w:val="24"/>
                <w:szCs w:val="24"/>
                <w:lang w:val="en-US" w:eastAsia="zh-CN"/>
              </w:rPr>
              <w:t>基本无可执行力，得1分；</w:t>
            </w:r>
          </w:p>
          <w:p>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188" w:type="dxa"/>
            <w:tcBorders>
              <w:top w:val="single" w:color="auto" w:sz="2" w:space="0"/>
              <w:left w:val="single" w:color="auto" w:sz="4" w:space="0"/>
              <w:right w:val="single" w:color="auto" w:sz="2" w:space="0"/>
            </w:tcBorders>
            <w:noWrap w:val="0"/>
            <w:vAlign w:val="center"/>
          </w:tcPr>
          <w:p>
            <w:pPr>
              <w:spacing w:line="3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(5)施工环保管理措施（5分）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根据供应商提供的施工环保管理措施（包括但不仅限于防噪音、防扬尘、防灯光污染、防刺鼻气味等施工环境维护保障措施等）进行综合评议：</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①施工环保管理措施完善，防噪音、防扬尘、防灯光污染、防刺鼻气味等施工环境维护保障措施可行的，得5分；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②施工环保管理措施较完善，防噪音、防扬尘、防灯光污染、防刺鼻气味等施工环境维护保障措施基本可行的，得4分；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③施工环保管理措施一般，防噪音、防扬尘、防灯光污染、防刺鼻气味等施工环境维护保障措施存在较低风险的，得3分；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④施工环保管理措施较简单，防噪音、防扬尘、防灯光污染、防刺鼻气味等施工环境维护保障措施存在较高风险的，得2分；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⑤施工环保管理措施简单，防噪音、防扬尘、防灯光污染、防刺鼻气味等施工环境维护保障措施不可行且存在风险的，得1分；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7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188" w:type="dxa"/>
            <w:tcBorders>
              <w:top w:val="single" w:color="auto" w:sz="2" w:space="0"/>
              <w:left w:val="single" w:color="auto" w:sz="4" w:space="0"/>
              <w:right w:val="single" w:color="auto" w:sz="2" w:space="0"/>
            </w:tcBorders>
            <w:noWrap w:val="0"/>
            <w:vAlign w:val="center"/>
          </w:tcPr>
          <w:p>
            <w:pPr>
              <w:spacing w:line="3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(6)突发事件应急措施（5分）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根据供应商提供的突发事件应急措施（包括但不仅限于发生火灾、触电、机械伤害、化学品伤害等事故的逃生和急救方案等）进行综合评议：</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①应急措施方案完善，发生火灾、触电、机械伤害、化学品伤害等事故的逃生和急救方案具体有效，措施得力，可执行力度高的，得5分；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②应急措施方案较完善，发生火灾、触电、机械伤害、化学品伤害等事故的逃生和急救方案措施得当，可执行力度较高的，得4分；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③应急措施方案内容一般，发生火灾、触电、机械伤害、化学品伤害等事故的逃生和急救方案有较高成功率，可执行力一般的，得3分；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④应急措施方案内容较简单，发生火灾、触电、机械伤害、化学品伤害等事故的逃生和急救方案成功率低，可执行力低的，得2分；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⑤应急措施方案内容简单，发生火灾、触电、机械伤害、化学品伤害等事故的逃生和急救方案无效，</w:t>
            </w:r>
            <w:r>
              <w:rPr>
                <w:rFonts w:hint="eastAsia" w:asciiTheme="minorEastAsia" w:hAnsiTheme="minorEastAsia" w:eastAsiaTheme="minorEastAsia" w:cstheme="minorEastAsia"/>
                <w:color w:val="000000"/>
                <w:sz w:val="24"/>
                <w:szCs w:val="24"/>
                <w:lang w:val="en-US" w:eastAsia="zh-CN"/>
              </w:rPr>
              <w:t>基本无可执行力</w:t>
            </w:r>
            <w:r>
              <w:rPr>
                <w:rFonts w:hint="eastAsia" w:ascii="宋体" w:hAnsi="宋体" w:eastAsia="宋体" w:cs="宋体"/>
                <w:color w:val="auto"/>
                <w:sz w:val="24"/>
                <w:szCs w:val="24"/>
                <w:lang w:val="en-US" w:eastAsia="zh-CN"/>
              </w:rPr>
              <w:t>的，得1分；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188" w:type="dxa"/>
            <w:tcBorders>
              <w:top w:val="single" w:color="auto" w:sz="2" w:space="0"/>
              <w:left w:val="single" w:color="auto" w:sz="4" w:space="0"/>
              <w:right w:val="single" w:color="auto" w:sz="2" w:space="0"/>
            </w:tcBorders>
            <w:noWrap w:val="0"/>
            <w:vAlign w:val="center"/>
          </w:tcPr>
          <w:p>
            <w:pPr>
              <w:spacing w:line="3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(7)竣工资料整理方案（5分）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w:t>
            </w:r>
            <w:r>
              <w:rPr>
                <w:rFonts w:hint="eastAsia" w:ascii="宋体" w:hAnsi="宋体" w:eastAsia="宋体" w:cs="宋体"/>
                <w:color w:val="auto"/>
                <w:kern w:val="2"/>
                <w:sz w:val="24"/>
                <w:szCs w:val="24"/>
                <w:lang w:val="en-US" w:eastAsia="zh-CN" w:bidi="ar-SA"/>
              </w:rPr>
              <w:t>竣工资料整理方案</w:t>
            </w:r>
            <w:r>
              <w:rPr>
                <w:rFonts w:hint="eastAsia" w:ascii="宋体" w:hAnsi="宋体" w:eastAsia="宋体" w:cs="宋体"/>
                <w:color w:val="auto"/>
                <w:sz w:val="24"/>
                <w:szCs w:val="24"/>
                <w:lang w:val="en-US" w:eastAsia="zh-CN"/>
              </w:rPr>
              <w:t>进行综合评议：</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w:t>
            </w:r>
            <w:r>
              <w:rPr>
                <w:rFonts w:hint="eastAsia" w:ascii="宋体" w:hAnsi="宋体" w:eastAsia="宋体" w:cs="宋体"/>
                <w:color w:val="auto"/>
                <w:kern w:val="2"/>
                <w:sz w:val="24"/>
                <w:szCs w:val="24"/>
                <w:lang w:val="en-US" w:eastAsia="zh-CN" w:bidi="ar-SA"/>
              </w:rPr>
              <w:t>竣工资料整理</w:t>
            </w:r>
            <w:r>
              <w:rPr>
                <w:rFonts w:hint="eastAsia" w:ascii="宋体" w:hAnsi="宋体" w:eastAsia="宋体" w:cs="宋体"/>
                <w:color w:val="auto"/>
                <w:sz w:val="24"/>
                <w:szCs w:val="24"/>
                <w:lang w:val="en-US" w:eastAsia="zh-CN"/>
              </w:rPr>
              <w:t>方案详实、内容完整，便于留档和结算，可执行力度高</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得5分；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w:t>
            </w:r>
            <w:r>
              <w:rPr>
                <w:rFonts w:hint="eastAsia" w:ascii="宋体" w:hAnsi="宋体" w:eastAsia="宋体" w:cs="宋体"/>
                <w:color w:val="auto"/>
                <w:kern w:val="2"/>
                <w:sz w:val="24"/>
                <w:szCs w:val="24"/>
                <w:lang w:val="en-US" w:eastAsia="zh-CN" w:bidi="ar-SA"/>
              </w:rPr>
              <w:t>竣工资料整理</w:t>
            </w:r>
            <w:r>
              <w:rPr>
                <w:rFonts w:hint="eastAsia" w:ascii="宋体" w:hAnsi="宋体" w:eastAsia="宋体" w:cs="宋体"/>
                <w:color w:val="auto"/>
                <w:sz w:val="24"/>
                <w:szCs w:val="24"/>
                <w:lang w:val="en-US" w:eastAsia="zh-CN"/>
              </w:rPr>
              <w:t>方案较详细、内容充分，能较好的完成留档和结算，可执行力度较高</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得4分；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w:t>
            </w:r>
            <w:r>
              <w:rPr>
                <w:rFonts w:hint="eastAsia" w:ascii="宋体" w:hAnsi="宋体" w:eastAsia="宋体" w:cs="宋体"/>
                <w:color w:val="auto"/>
                <w:kern w:val="2"/>
                <w:sz w:val="24"/>
                <w:szCs w:val="24"/>
                <w:lang w:val="en-US" w:eastAsia="zh-CN" w:bidi="ar-SA"/>
              </w:rPr>
              <w:t>竣工资料整理</w:t>
            </w:r>
            <w:r>
              <w:rPr>
                <w:rFonts w:hint="eastAsia" w:ascii="宋体" w:hAnsi="宋体" w:eastAsia="宋体" w:cs="宋体"/>
                <w:color w:val="auto"/>
                <w:sz w:val="24"/>
                <w:szCs w:val="24"/>
                <w:lang w:val="en-US" w:eastAsia="zh-CN"/>
              </w:rPr>
              <w:t>方案较详细、内容较多，在留档和结算过程中不会造成返工，可执行力较低</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得3分；</w:t>
            </w:r>
          </w:p>
          <w:p>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④</w:t>
            </w:r>
            <w:r>
              <w:rPr>
                <w:rFonts w:hint="eastAsia" w:ascii="宋体" w:hAnsi="宋体" w:eastAsia="宋体" w:cs="宋体"/>
                <w:color w:val="auto"/>
                <w:kern w:val="2"/>
                <w:sz w:val="24"/>
                <w:szCs w:val="24"/>
                <w:lang w:val="en-US" w:eastAsia="zh-CN" w:bidi="ar-SA"/>
              </w:rPr>
              <w:t>竣工资料整理</w:t>
            </w:r>
            <w:r>
              <w:rPr>
                <w:rFonts w:hint="eastAsia" w:ascii="宋体" w:hAnsi="宋体" w:eastAsia="宋体" w:cs="宋体"/>
                <w:color w:val="auto"/>
                <w:sz w:val="24"/>
                <w:szCs w:val="24"/>
                <w:lang w:val="en-US" w:eastAsia="zh-CN"/>
              </w:rPr>
              <w:t>方案较简单、内容较少，会在留档和结算过程中造成返工，可执行力低</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得2分；</w:t>
            </w:r>
          </w:p>
          <w:p>
            <w:pPr>
              <w:spacing w:line="360" w:lineRule="exact"/>
              <w:rPr>
                <w:rFonts w:hint="eastAsia"/>
                <w:lang w:val="en-US" w:eastAsia="zh-CN"/>
              </w:rPr>
            </w:pPr>
            <w:r>
              <w:rPr>
                <w:rFonts w:hint="eastAsia" w:asciiTheme="minorEastAsia" w:hAnsiTheme="minorEastAsia" w:eastAsiaTheme="minorEastAsia" w:cstheme="minorEastAsia"/>
                <w:color w:val="000000"/>
                <w:sz w:val="24"/>
                <w:szCs w:val="24"/>
                <w:lang w:val="en-US" w:eastAsia="zh-CN"/>
              </w:rPr>
              <w:t>⑤</w:t>
            </w:r>
            <w:r>
              <w:rPr>
                <w:rFonts w:hint="eastAsia" w:ascii="宋体" w:hAnsi="宋体" w:eastAsia="宋体" w:cs="宋体"/>
                <w:color w:val="auto"/>
                <w:kern w:val="2"/>
                <w:sz w:val="24"/>
                <w:szCs w:val="24"/>
                <w:lang w:val="en-US" w:eastAsia="zh-CN" w:bidi="ar-SA"/>
              </w:rPr>
              <w:t>竣工资料整理</w:t>
            </w:r>
            <w:r>
              <w:rPr>
                <w:rFonts w:hint="eastAsia" w:ascii="宋体" w:hAnsi="宋体" w:eastAsia="宋体" w:cs="宋体"/>
                <w:color w:val="auto"/>
                <w:sz w:val="24"/>
                <w:szCs w:val="24"/>
                <w:lang w:val="en-US" w:eastAsia="zh-CN"/>
              </w:rPr>
              <w:t>方案简单、内容少，无法用于留档和结算，</w:t>
            </w:r>
            <w:r>
              <w:rPr>
                <w:rFonts w:hint="eastAsia" w:asciiTheme="minorEastAsia" w:hAnsiTheme="minorEastAsia" w:eastAsiaTheme="minorEastAsia" w:cstheme="minorEastAsia"/>
                <w:color w:val="000000"/>
                <w:sz w:val="24"/>
                <w:szCs w:val="24"/>
                <w:lang w:val="en-US" w:eastAsia="zh-CN"/>
              </w:rPr>
              <w:t>基本无可执行力，得1分；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1"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（二）重难点分析及合理化建议（</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7018" w:type="dxa"/>
            <w:gridSpan w:val="2"/>
            <w:tcBorders>
              <w:top w:val="single" w:color="auto" w:sz="2" w:space="0"/>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根据供应商提供的项目关键点、重难点分析及合理化建议进行综合评议：</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①项目关键点、重难点分析到位</w:t>
            </w:r>
            <w:r>
              <w:rPr>
                <w:rFonts w:hint="eastAsia" w:ascii="宋体" w:hAnsi="宋体" w:cs="宋体"/>
                <w:color w:val="auto"/>
                <w:sz w:val="24"/>
                <w:szCs w:val="24"/>
                <w:lang w:val="en-US" w:eastAsia="zh-CN"/>
              </w:rPr>
              <w:t>，针对性强，</w:t>
            </w:r>
            <w:r>
              <w:rPr>
                <w:rFonts w:hint="eastAsia" w:ascii="宋体" w:hAnsi="宋体" w:eastAsia="宋体" w:cs="宋体"/>
                <w:color w:val="auto"/>
                <w:sz w:val="24"/>
                <w:szCs w:val="24"/>
                <w:lang w:val="en-US" w:eastAsia="zh-CN"/>
              </w:rPr>
              <w:t>具有可行的解决方案及合理化建议的，得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②项目关键点、重难点分析</w:t>
            </w:r>
            <w:r>
              <w:rPr>
                <w:rFonts w:hint="eastAsia" w:ascii="宋体" w:hAnsi="宋体" w:cs="宋体"/>
                <w:color w:val="auto"/>
                <w:sz w:val="24"/>
                <w:szCs w:val="24"/>
                <w:lang w:val="en-US" w:eastAsia="zh-CN"/>
              </w:rPr>
              <w:t>普通</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针对性一般，有较可行</w:t>
            </w:r>
            <w:r>
              <w:rPr>
                <w:rFonts w:hint="eastAsia" w:ascii="宋体" w:hAnsi="宋体" w:eastAsia="宋体" w:cs="宋体"/>
                <w:color w:val="auto"/>
                <w:sz w:val="24"/>
                <w:szCs w:val="24"/>
                <w:lang w:val="en-US" w:eastAsia="zh-CN"/>
              </w:rPr>
              <w:t>的解决方案</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合理化建议</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③项目关键点、重难点分析不够到位，</w:t>
            </w:r>
            <w:r>
              <w:rPr>
                <w:rFonts w:hint="eastAsia" w:ascii="宋体" w:hAnsi="宋体" w:cs="宋体"/>
                <w:color w:val="auto"/>
                <w:sz w:val="24"/>
                <w:szCs w:val="24"/>
                <w:lang w:val="en-US" w:eastAsia="zh-CN"/>
              </w:rPr>
              <w:t>无针对性，</w:t>
            </w:r>
            <w:r>
              <w:rPr>
                <w:rFonts w:hint="eastAsia" w:ascii="宋体" w:hAnsi="宋体" w:eastAsia="宋体" w:cs="宋体"/>
                <w:color w:val="auto"/>
                <w:sz w:val="24"/>
                <w:szCs w:val="24"/>
                <w:lang w:val="en-US" w:eastAsia="zh-CN"/>
              </w:rPr>
              <w:t>没有</w:t>
            </w:r>
            <w:r>
              <w:rPr>
                <w:rFonts w:hint="eastAsia" w:ascii="宋体" w:hAnsi="宋体" w:cs="宋体"/>
                <w:color w:val="auto"/>
                <w:sz w:val="24"/>
                <w:szCs w:val="24"/>
                <w:lang w:val="en-US" w:eastAsia="zh-CN"/>
              </w:rPr>
              <w:t>较</w:t>
            </w:r>
            <w:r>
              <w:rPr>
                <w:rFonts w:hint="eastAsia" w:ascii="宋体" w:hAnsi="宋体" w:eastAsia="宋体" w:cs="宋体"/>
                <w:color w:val="auto"/>
                <w:sz w:val="24"/>
                <w:szCs w:val="24"/>
                <w:lang w:val="en-US" w:eastAsia="zh-CN"/>
              </w:rPr>
              <w:t>可行的解决方案</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合理化建议的，得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p>
          <w:p>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注：无相关内容的不得分。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（三）综合实力（</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分）</w:t>
            </w:r>
          </w:p>
        </w:tc>
        <w:tc>
          <w:tcPr>
            <w:tcW w:w="1188" w:type="dxa"/>
            <w:vMerge w:val="restart"/>
            <w:tcBorders>
              <w:top w:val="single" w:color="auto" w:sz="2" w:space="0"/>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(1)人员配置（</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r>
              <w:rPr>
                <w:rFonts w:hint="eastAsia" w:ascii="宋体" w:hAnsi="宋体" w:eastAsia="宋体" w:cs="宋体"/>
                <w:color w:val="000000"/>
                <w:sz w:val="24"/>
                <w:szCs w:val="24"/>
                <w:lang w:val="en-US" w:eastAsia="zh-CN"/>
              </w:rPr>
              <w:t>拟派项目负责人、技术负责人的经验与管理能力（3分）：</w:t>
            </w:r>
          </w:p>
          <w:p>
            <w:pPr>
              <w:spacing w:line="3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①拟派项目负责人、技术负责人履历丰富、</w:t>
            </w:r>
            <w:r>
              <w:rPr>
                <w:rFonts w:hint="default" w:ascii="宋体" w:hAnsi="宋体" w:eastAsia="宋体" w:cs="宋体"/>
                <w:color w:val="000000"/>
                <w:sz w:val="24"/>
                <w:szCs w:val="24"/>
                <w:lang w:val="en-US" w:eastAsia="zh-CN"/>
              </w:rPr>
              <w:t>类似项目从业经验</w:t>
            </w:r>
            <w:r>
              <w:rPr>
                <w:rFonts w:hint="eastAsia" w:ascii="宋体" w:hAnsi="宋体" w:eastAsia="宋体" w:cs="宋体"/>
                <w:color w:val="000000"/>
                <w:sz w:val="24"/>
                <w:szCs w:val="24"/>
                <w:lang w:val="en-US" w:eastAsia="zh-CN"/>
              </w:rPr>
              <w:t>丰富的得3分；</w:t>
            </w:r>
          </w:p>
          <w:p>
            <w:pPr>
              <w:spacing w:line="3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②拟派项目负责人、技术负责人履历较少、</w:t>
            </w:r>
            <w:r>
              <w:rPr>
                <w:rFonts w:hint="default" w:ascii="宋体" w:hAnsi="宋体" w:eastAsia="宋体" w:cs="宋体"/>
                <w:color w:val="000000"/>
                <w:sz w:val="24"/>
                <w:szCs w:val="24"/>
                <w:lang w:val="en-US" w:eastAsia="zh-CN"/>
              </w:rPr>
              <w:t>类似项目从业经验</w:t>
            </w:r>
            <w:r>
              <w:rPr>
                <w:rFonts w:hint="eastAsia" w:ascii="宋体" w:hAnsi="宋体" w:eastAsia="宋体" w:cs="宋体"/>
                <w:color w:val="000000"/>
                <w:sz w:val="24"/>
                <w:szCs w:val="24"/>
                <w:lang w:val="en-US" w:eastAsia="zh-CN"/>
              </w:rPr>
              <w:t>较少的得2分；</w:t>
            </w:r>
          </w:p>
          <w:p>
            <w:pPr>
              <w:spacing w:line="3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③拟派项目负责人、技术负责人履历简单、</w:t>
            </w:r>
            <w:r>
              <w:rPr>
                <w:rFonts w:hint="default" w:ascii="宋体" w:hAnsi="宋体" w:eastAsia="宋体" w:cs="宋体"/>
                <w:color w:val="000000"/>
                <w:sz w:val="24"/>
                <w:szCs w:val="24"/>
                <w:lang w:val="en-US" w:eastAsia="zh-CN"/>
              </w:rPr>
              <w:t>类似项目从业经验</w:t>
            </w:r>
            <w:r>
              <w:rPr>
                <w:rFonts w:hint="eastAsia" w:ascii="宋体" w:hAnsi="宋体" w:eastAsia="宋体" w:cs="宋体"/>
                <w:color w:val="000000"/>
                <w:sz w:val="24"/>
                <w:szCs w:val="24"/>
                <w:lang w:val="en-US" w:eastAsia="zh-CN"/>
              </w:rPr>
              <w:t>缺乏的得1分；</w:t>
            </w:r>
          </w:p>
          <w:p>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lang w:val="en-US" w:eastAsia="zh-CN"/>
              </w:rPr>
              <w:t>注：无项目负责人、技术负责人相关介绍内容的不得分。</w:t>
            </w:r>
          </w:p>
        </w:tc>
        <w:tc>
          <w:tcPr>
            <w:tcW w:w="925" w:type="dxa"/>
            <w:tcBorders>
              <w:top w:val="single" w:color="auto" w:sz="2" w:space="0"/>
              <w:left w:val="single" w:color="auto" w:sz="4"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3</w:t>
            </w:r>
          </w:p>
        </w:tc>
        <w:tc>
          <w:tcPr>
            <w:tcW w:w="925" w:type="dxa"/>
            <w:tcBorders>
              <w:top w:val="single" w:color="auto" w:sz="2" w:space="0"/>
              <w:left w:val="single" w:color="auto" w:sz="4" w:space="0"/>
              <w:right w:val="single" w:color="auto" w:sz="2" w:space="0"/>
            </w:tcBorders>
            <w:noWrap w:val="0"/>
            <w:vAlign w:val="center"/>
          </w:tcPr>
          <w:p>
            <w:pPr>
              <w:spacing w:line="360" w:lineRule="exact"/>
              <w:jc w:val="center"/>
              <w:rPr>
                <w:rFonts w:hint="eastAsia" w:ascii="宋体" w:hAnsi="宋体" w:eastAsia="宋体" w:cs="宋体"/>
                <w:bCs/>
                <w:sz w:val="24"/>
                <w:szCs w:val="24"/>
                <w:highlight w:val="yellow"/>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0" w:hRule="atLeast"/>
          <w:jc w:val="center"/>
        </w:trPr>
        <w:tc>
          <w:tcPr>
            <w:tcW w:w="999" w:type="dxa"/>
            <w:vMerge w:val="continue"/>
            <w:tcBorders>
              <w:left w:val="single" w:color="auto" w:sz="4" w:space="0"/>
              <w:right w:val="single" w:color="auto" w:sz="2" w:space="0"/>
            </w:tcBorders>
            <w:noWrap w:val="0"/>
            <w:vAlign w:val="center"/>
          </w:tcPr>
          <w:p>
            <w:pPr>
              <w:spacing w:line="360" w:lineRule="exact"/>
            </w:pPr>
          </w:p>
        </w:tc>
        <w:tc>
          <w:tcPr>
            <w:tcW w:w="1348" w:type="dxa"/>
            <w:vMerge w:val="continue"/>
            <w:tcBorders>
              <w:left w:val="single" w:color="auto" w:sz="2" w:space="0"/>
              <w:right w:val="single" w:color="auto" w:sz="4" w:space="0"/>
            </w:tcBorders>
            <w:noWrap w:val="0"/>
            <w:vAlign w:val="center"/>
          </w:tcPr>
          <w:p>
            <w:pPr>
              <w:spacing w:line="360" w:lineRule="exact"/>
            </w:pPr>
          </w:p>
        </w:tc>
        <w:tc>
          <w:tcPr>
            <w:tcW w:w="1188" w:type="dxa"/>
            <w:vMerge w:val="continue"/>
            <w:tcBorders>
              <w:left w:val="single" w:color="auto" w:sz="4" w:space="0"/>
              <w:right w:val="single" w:color="auto" w:sz="2" w:space="0"/>
            </w:tcBorders>
            <w:noWrap w:val="0"/>
            <w:vAlign w:val="center"/>
          </w:tcPr>
          <w:p>
            <w:pPr>
              <w:spacing w:line="360" w:lineRule="exact"/>
            </w:pP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r>
              <w:rPr>
                <w:rFonts w:hint="eastAsia" w:ascii="宋体" w:hAnsi="宋体" w:eastAsia="宋体" w:cs="宋体"/>
                <w:color w:val="000000"/>
                <w:sz w:val="24"/>
                <w:szCs w:val="24"/>
                <w:lang w:val="en-US" w:eastAsia="zh-CN"/>
              </w:rPr>
              <w:t>拟派项目其他人员（安全员、施工员、质量员等）</w:t>
            </w:r>
            <w:r>
              <w:rPr>
                <w:rFonts w:hint="eastAsia" w:asciiTheme="minorEastAsia" w:hAnsiTheme="minorEastAsia" w:eastAsiaTheme="minorEastAsia" w:cstheme="minorEastAsia"/>
                <w:color w:val="000000"/>
                <w:sz w:val="24"/>
                <w:szCs w:val="24"/>
                <w:lang w:val="en-US" w:eastAsia="zh-CN"/>
              </w:rPr>
              <w:t>（3分）：</w:t>
            </w:r>
          </w:p>
          <w:p>
            <w:pPr>
              <w:spacing w:line="3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①拟派项目其他人员履历丰富、专业能力强、</w:t>
            </w:r>
            <w:r>
              <w:rPr>
                <w:rFonts w:hint="default" w:ascii="宋体" w:hAnsi="宋体" w:eastAsia="宋体" w:cs="宋体"/>
                <w:color w:val="000000"/>
                <w:sz w:val="24"/>
                <w:szCs w:val="24"/>
                <w:lang w:val="en-US" w:eastAsia="zh-CN"/>
              </w:rPr>
              <w:t>类似项目从业经验</w:t>
            </w:r>
            <w:r>
              <w:rPr>
                <w:rFonts w:hint="eastAsia" w:ascii="宋体" w:hAnsi="宋体" w:eastAsia="宋体" w:cs="宋体"/>
                <w:color w:val="000000"/>
                <w:sz w:val="24"/>
                <w:szCs w:val="24"/>
                <w:lang w:val="en-US" w:eastAsia="zh-CN"/>
              </w:rPr>
              <w:t>丰富的得3分；</w:t>
            </w:r>
          </w:p>
          <w:p>
            <w:pPr>
              <w:spacing w:line="3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②拟派项目其他人员履历较少、专业能力普通、</w:t>
            </w:r>
            <w:r>
              <w:rPr>
                <w:rFonts w:hint="default" w:ascii="宋体" w:hAnsi="宋体" w:eastAsia="宋体" w:cs="宋体"/>
                <w:color w:val="000000"/>
                <w:sz w:val="24"/>
                <w:szCs w:val="24"/>
                <w:lang w:val="en-US" w:eastAsia="zh-CN"/>
              </w:rPr>
              <w:t>类似项目从业经验</w:t>
            </w:r>
            <w:r>
              <w:rPr>
                <w:rFonts w:hint="eastAsia" w:ascii="宋体" w:hAnsi="宋体" w:eastAsia="宋体" w:cs="宋体"/>
                <w:color w:val="000000"/>
                <w:sz w:val="24"/>
                <w:szCs w:val="24"/>
                <w:lang w:val="en-US" w:eastAsia="zh-CN"/>
              </w:rPr>
              <w:t>较少的得2分；</w:t>
            </w:r>
          </w:p>
          <w:p>
            <w:pPr>
              <w:spacing w:line="3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③拟派项目其他人员履历简单、专业能力弱、</w:t>
            </w:r>
            <w:r>
              <w:rPr>
                <w:rFonts w:hint="default" w:ascii="宋体" w:hAnsi="宋体" w:eastAsia="宋体" w:cs="宋体"/>
                <w:color w:val="000000"/>
                <w:sz w:val="24"/>
                <w:szCs w:val="24"/>
                <w:lang w:val="en-US" w:eastAsia="zh-CN"/>
              </w:rPr>
              <w:t>类似项目从业经验</w:t>
            </w:r>
            <w:r>
              <w:rPr>
                <w:rFonts w:hint="eastAsia" w:ascii="宋体" w:hAnsi="宋体" w:eastAsia="宋体" w:cs="宋体"/>
                <w:color w:val="000000"/>
                <w:sz w:val="24"/>
                <w:szCs w:val="24"/>
                <w:lang w:val="en-US" w:eastAsia="zh-CN"/>
              </w:rPr>
              <w:t>缺乏的得1分；</w:t>
            </w:r>
          </w:p>
          <w:p>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lang w:val="en-US" w:eastAsia="zh-CN"/>
              </w:rPr>
              <w:t>注：无项目其他人员相关介绍内容的不得分。</w:t>
            </w:r>
          </w:p>
        </w:tc>
        <w:tc>
          <w:tcPr>
            <w:tcW w:w="925" w:type="dxa"/>
            <w:tcBorders>
              <w:left w:val="single" w:color="auto" w:sz="4"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3</w:t>
            </w:r>
          </w:p>
        </w:tc>
        <w:tc>
          <w:tcPr>
            <w:tcW w:w="925" w:type="dxa"/>
            <w:tcBorders>
              <w:left w:val="single" w:color="auto" w:sz="4" w:space="0"/>
              <w:right w:val="single" w:color="auto" w:sz="2" w:space="0"/>
            </w:tcBorders>
            <w:noWrap w:val="0"/>
            <w:vAlign w:val="center"/>
          </w:tcPr>
          <w:p>
            <w:pPr>
              <w:spacing w:line="360" w:lineRule="exact"/>
              <w:jc w:val="center"/>
              <w:rPr>
                <w:rFonts w:hint="eastAsia" w:ascii="宋体" w:hAnsi="宋体" w:eastAsia="宋体" w:cs="宋体"/>
                <w:bCs/>
                <w:sz w:val="24"/>
                <w:szCs w:val="24"/>
                <w:highlight w:val="yellow"/>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sz w:val="24"/>
                <w:szCs w:val="24"/>
                <w:lang w:eastAsia="zh-CN"/>
              </w:rPr>
            </w:pPr>
          </w:p>
        </w:tc>
        <w:tc>
          <w:tcPr>
            <w:tcW w:w="1188" w:type="dxa"/>
            <w:tcBorders>
              <w:top w:val="single" w:color="auto" w:sz="2" w:space="0"/>
              <w:left w:val="single" w:color="auto" w:sz="4" w:space="0"/>
              <w:right w:val="single" w:color="auto" w:sz="2" w:space="0"/>
            </w:tcBorders>
            <w:noWrap w:val="0"/>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(2)机械配置（5分）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根据供应商针对本项目提供的主要施工机械设备的选用和管理进行综合评议：</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①机械设备投入符合项目特征、种类齐全，设备管理制度完善、保障措施详实，得5分；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②机械设备投入符合项目特征、种类齐全，设备管理制度普通、保障措施普通，得4分；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③机械设备投入符合项目特征、种类一般、设备管理制度一般、保障措施一般，得3分；</w:t>
            </w:r>
          </w:p>
          <w:p>
            <w:pPr>
              <w:spacing w:line="360" w:lineRule="exac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④机械设备投入符合项目特征、种类少，设备管理制度不到位、保障措施不到位，得2分；</w:t>
            </w:r>
          </w:p>
          <w:p>
            <w:pPr>
              <w:spacing w:line="360" w:lineRule="exac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⑤机械设备投入符合项目特征、种类少，设备管理制度及保障措施欠缺，得1分。</w:t>
            </w:r>
          </w:p>
          <w:p>
            <w:pPr>
              <w:spacing w:line="360" w:lineRule="exact"/>
              <w:rPr>
                <w:rFonts w:hint="default"/>
                <w:lang w:val="en-US" w:eastAsia="zh-CN"/>
              </w:rPr>
            </w:pPr>
            <w:r>
              <w:rPr>
                <w:rFonts w:hint="eastAsia" w:asciiTheme="minorEastAsia" w:hAnsiTheme="minorEastAsia" w:eastAsiaTheme="minorEastAsia" w:cstheme="minorEastAsia"/>
                <w:color w:val="000000"/>
                <w:sz w:val="24"/>
                <w:szCs w:val="24"/>
                <w:lang w:val="en-US" w:eastAsia="zh-CN"/>
              </w:rPr>
              <w:t>注：无相关内容的不得分。</w:t>
            </w:r>
          </w:p>
        </w:tc>
        <w:tc>
          <w:tcPr>
            <w:tcW w:w="925" w:type="dxa"/>
            <w:tcBorders>
              <w:top w:val="single" w:color="auto" w:sz="2" w:space="0"/>
              <w:left w:val="single" w:color="auto" w:sz="4"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5</w:t>
            </w:r>
          </w:p>
        </w:tc>
        <w:tc>
          <w:tcPr>
            <w:tcW w:w="925" w:type="dxa"/>
            <w:tcBorders>
              <w:top w:val="single" w:color="auto" w:sz="2" w:space="0"/>
              <w:left w:val="single" w:color="auto" w:sz="4"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09" w:hRule="atLeast"/>
          <w:jc w:val="center"/>
        </w:trPr>
        <w:tc>
          <w:tcPr>
            <w:tcW w:w="999" w:type="dxa"/>
            <w:vMerge w:val="continue"/>
            <w:tcBorders>
              <w:left w:val="single" w:color="auto" w:sz="4" w:space="0"/>
              <w:right w:val="single" w:color="auto" w:sz="2" w:space="0"/>
            </w:tcBorders>
            <w:noWrap w:val="0"/>
            <w:textDirection w:val="tbRlV"/>
            <w:vAlign w:val="center"/>
          </w:tcPr>
          <w:p>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售后服务（8分）</w:t>
            </w:r>
          </w:p>
        </w:tc>
        <w:tc>
          <w:tcPr>
            <w:tcW w:w="1188" w:type="dxa"/>
            <w:tcBorders>
              <w:top w:val="single" w:color="auto" w:sz="2" w:space="0"/>
              <w:left w:val="single" w:color="auto" w:sz="4" w:space="0"/>
              <w:bottom w:val="single" w:color="auto" w:sz="2" w:space="0"/>
              <w:right w:val="single" w:color="auto" w:sz="2" w:space="0"/>
            </w:tcBorders>
            <w:noWrap w:val="0"/>
            <w:vAlign w:val="center"/>
          </w:tcPr>
          <w:p>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(1)质量保修期内的服务方案（5分）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售后服务方案，在质量保修期内发生保修事件时：①接到通知后能在30分钟内响应且2小时内到达现场并于1天内解决问题的得5分；②接到通知后能在1小时内响应且4小时内到达现场并于2天内解决问题的得4分；③接到通知后能在2小时内响应且6小时内到达现场并于3天内解决问题的得3分；④接到通知后能在6小时内响应且24小时内到达现场并于7天内解决问题的得2分；⑤接到通知后能在12小时内响应且48小时内到达现场并于7天内解决问题的得1分。</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lang w:val="en-US" w:eastAsia="zh-CN"/>
              </w:rPr>
            </w:pPr>
            <w:r>
              <w:rPr>
                <w:rFonts w:hint="eastAsia" w:ascii="宋体" w:hAnsi="宋体" w:eastAsia="宋体" w:cs="宋体"/>
                <w:color w:val="auto"/>
                <w:sz w:val="24"/>
                <w:szCs w:val="24"/>
                <w:lang w:val="en-US" w:eastAsia="zh-CN"/>
              </w:rPr>
              <w:t>注：供应商须在响应文件售后服务方案中提供承诺函（格式自拟），未提供或内容不全的不得分。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0～5</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80" w:hRule="atLeast"/>
          <w:jc w:val="center"/>
        </w:trPr>
        <w:tc>
          <w:tcPr>
            <w:tcW w:w="999" w:type="dxa"/>
            <w:vMerge w:val="continue"/>
            <w:tcBorders>
              <w:left w:val="single" w:color="auto" w:sz="4" w:space="0"/>
              <w:right w:val="single" w:color="auto" w:sz="2" w:space="0"/>
            </w:tcBorders>
            <w:noWrap w:val="0"/>
            <w:textDirection w:val="tbRlV"/>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numPr>
                <w:ilvl w:val="0"/>
                <w:numId w:val="0"/>
              </w:numPr>
              <w:spacing w:line="360" w:lineRule="exact"/>
              <w:ind w:leftChars="0" w:right="0" w:rightChars="0"/>
              <w:jc w:val="left"/>
              <w:rPr>
                <w:rFonts w:hint="eastAsia" w:ascii="宋体" w:hAnsi="宋体" w:eastAsia="宋体" w:cs="宋体"/>
                <w:color w:val="auto"/>
                <w:sz w:val="24"/>
                <w:szCs w:val="24"/>
                <w:lang w:val="en-US" w:eastAsia="zh-CN"/>
              </w:rPr>
            </w:pPr>
          </w:p>
        </w:tc>
        <w:tc>
          <w:tcPr>
            <w:tcW w:w="1188" w:type="dxa"/>
            <w:tcBorders>
              <w:top w:val="single" w:color="auto" w:sz="2" w:space="0"/>
              <w:left w:val="single" w:color="auto" w:sz="4" w:space="0"/>
              <w:bottom w:val="single" w:color="auto" w:sz="2" w:space="0"/>
              <w:right w:val="single" w:color="auto" w:sz="2" w:space="0"/>
            </w:tcBorders>
            <w:noWrap w:val="0"/>
            <w:vAlign w:val="center"/>
          </w:tcPr>
          <w:p>
            <w:pPr>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(2)质量保修期后的服务方案（3分）</w:t>
            </w:r>
          </w:p>
        </w:tc>
        <w:tc>
          <w:tcPr>
            <w:tcW w:w="5830"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售后服务方案，在质量保修期后发生故障缺陷时：供应商仍能及时响应、维修费用优惠、保质保量完成的得3分；供应商能响应、维修费用无优惠、质量合格的得2分；供应商响应但维修费用较高的得1分。</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lang w:val="en-US" w:eastAsia="zh-CN"/>
              </w:rPr>
            </w:pPr>
            <w:r>
              <w:rPr>
                <w:rFonts w:hint="eastAsia" w:ascii="宋体" w:hAnsi="宋体" w:eastAsia="宋体" w:cs="宋体"/>
                <w:color w:val="auto"/>
                <w:sz w:val="24"/>
                <w:szCs w:val="24"/>
                <w:lang w:val="en-US" w:eastAsia="zh-CN"/>
              </w:rPr>
              <w:t>注：供应商须在响应文件售后服务方案中提供承诺函（格式自拟），未提供或内容不全的不得分。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0～3</w:t>
            </w:r>
          </w:p>
        </w:tc>
        <w:tc>
          <w:tcPr>
            <w:tcW w:w="92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2"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tcBorders>
              <w:top w:val="single" w:color="auto" w:sz="2" w:space="0"/>
              <w:left w:val="single" w:color="auto" w:sz="2" w:space="0"/>
              <w:right w:val="single" w:color="auto" w:sz="4" w:space="0"/>
            </w:tcBorders>
            <w:noWrap w:val="0"/>
            <w:vAlign w:val="center"/>
          </w:tcPr>
          <w:p>
            <w:pPr>
              <w:widowControl/>
              <w:numPr>
                <w:ilvl w:val="0"/>
                <w:numId w:val="0"/>
              </w:numPr>
              <w:spacing w:line="360" w:lineRule="exact"/>
              <w:ind w:leftChars="0" w:right="0" w:right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五</w:t>
            </w:r>
            <w:r>
              <w:rPr>
                <w:rFonts w:hint="eastAsia" w:ascii="宋体" w:hAnsi="宋体" w:eastAsia="宋体" w:cs="宋体"/>
                <w:color w:val="000000"/>
                <w:sz w:val="24"/>
                <w:szCs w:val="24"/>
                <w:lang w:eastAsia="zh-CN"/>
              </w:rPr>
              <w:t>）业绩</w:t>
            </w:r>
          </w:p>
          <w:p>
            <w:pPr>
              <w:widowControl/>
              <w:numPr>
                <w:ilvl w:val="0"/>
                <w:numId w:val="0"/>
              </w:numPr>
              <w:spacing w:line="360" w:lineRule="exact"/>
              <w:ind w:leftChars="0" w:right="0" w:right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lang w:eastAsia="zh-CN"/>
              </w:rPr>
              <w:t>）</w:t>
            </w:r>
          </w:p>
        </w:tc>
        <w:tc>
          <w:tcPr>
            <w:tcW w:w="7018" w:type="dxa"/>
            <w:gridSpan w:val="2"/>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自2021年1月1日起（以合同签订时间为准），承接过或已承接类似装修工程的，每个得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p>
          <w:p>
            <w:pPr>
              <w:spacing w:line="36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（提供中标通知书及合同，复印件加盖公章编入投标文件，未提供的不得分）。</w:t>
            </w:r>
          </w:p>
        </w:tc>
        <w:tc>
          <w:tcPr>
            <w:tcW w:w="925"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000000"/>
                <w:sz w:val="24"/>
                <w:szCs w:val="24"/>
                <w:lang w:val="en-US" w:eastAsia="zh-CN"/>
              </w:rPr>
              <w:t>1</w:t>
            </w:r>
          </w:p>
        </w:tc>
        <w:tc>
          <w:tcPr>
            <w:tcW w:w="925"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0" w:hRule="atLeast"/>
          <w:jc w:val="center"/>
        </w:trPr>
        <w:tc>
          <w:tcPr>
            <w:tcW w:w="999" w:type="dxa"/>
            <w:tcBorders>
              <w:left w:val="single" w:color="auto" w:sz="4" w:space="0"/>
              <w:right w:val="single" w:color="auto" w:sz="2" w:space="0"/>
            </w:tcBorders>
            <w:noWrap w:val="0"/>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分）</w:t>
            </w:r>
          </w:p>
        </w:tc>
        <w:tc>
          <w:tcPr>
            <w:tcW w:w="8366"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参与评审的</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文件的</w:t>
            </w:r>
            <w:r>
              <w:rPr>
                <w:rFonts w:hint="eastAsia" w:ascii="宋体" w:hAnsi="宋体" w:eastAsia="宋体" w:cs="宋体"/>
                <w:sz w:val="24"/>
                <w:szCs w:val="24"/>
              </w:rPr>
              <w:t>最低</w:t>
            </w:r>
            <w:r>
              <w:rPr>
                <w:rFonts w:hint="eastAsia" w:ascii="宋体" w:hAnsi="宋体" w:eastAsia="宋体" w:cs="宋体"/>
                <w:sz w:val="24"/>
                <w:szCs w:val="24"/>
                <w:lang w:eastAsia="zh-CN"/>
              </w:rPr>
              <w:t>报价</w:t>
            </w:r>
            <w:r>
              <w:rPr>
                <w:rFonts w:hint="eastAsia" w:ascii="宋体" w:hAnsi="宋体" w:eastAsia="宋体" w:cs="宋体"/>
                <w:sz w:val="24"/>
                <w:szCs w:val="24"/>
              </w:rPr>
              <w:t>为评标基准价</w:t>
            </w:r>
            <w:r>
              <w:rPr>
                <w:rFonts w:hint="eastAsia" w:ascii="宋体" w:hAnsi="宋体" w:eastAsia="宋体" w:cs="宋体"/>
                <w:sz w:val="24"/>
                <w:szCs w:val="24"/>
                <w:lang w:eastAsia="zh-CN"/>
              </w:rPr>
              <w:t>，</w:t>
            </w:r>
            <w:r>
              <w:rPr>
                <w:rFonts w:hint="eastAsia" w:ascii="宋体" w:hAnsi="宋体" w:eastAsia="宋体" w:cs="宋体"/>
                <w:sz w:val="24"/>
                <w:szCs w:val="24"/>
              </w:rPr>
              <w:t>基准价得分为满分</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参与评审的价格</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有效供应商的最终报价</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其他供应商的价格分按照下列公式计算：</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各供应商的最终报价得分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（基准价/参与评审的价格）×</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×100</w:t>
            </w:r>
          </w:p>
        </w:tc>
        <w:tc>
          <w:tcPr>
            <w:tcW w:w="9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sz w:val="24"/>
                <w:szCs w:val="24"/>
                <w:lang w:val="en-US" w:eastAsia="zh-CN"/>
              </w:rPr>
              <w:t>30</w:t>
            </w:r>
          </w:p>
        </w:tc>
        <w:tc>
          <w:tcPr>
            <w:tcW w:w="9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9365" w:type="dxa"/>
            <w:gridSpan w:val="4"/>
            <w:tcBorders>
              <w:top w:val="single" w:color="auto" w:sz="4" w:space="0"/>
              <w:left w:val="single" w:color="auto" w:sz="4" w:space="0"/>
              <w:bottom w:val="single" w:color="auto" w:sz="4" w:space="0"/>
              <w:right w:val="single" w:color="auto" w:sz="2" w:space="0"/>
            </w:tcBorders>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925" w:type="dxa"/>
            <w:tcBorders>
              <w:top w:val="single" w:color="auto" w:sz="4" w:space="0"/>
              <w:left w:val="single" w:color="auto" w:sz="4" w:space="0"/>
              <w:bottom w:val="single" w:color="auto" w:sz="4" w:space="0"/>
              <w:right w:val="single" w:color="auto" w:sz="2" w:space="0"/>
            </w:tcBorders>
            <w:noWrap w:val="0"/>
            <w:vAlign w:val="center"/>
          </w:tcPr>
          <w:p>
            <w:pPr>
              <w:spacing w:line="32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100</w:t>
            </w:r>
          </w:p>
        </w:tc>
        <w:tc>
          <w:tcPr>
            <w:tcW w:w="925" w:type="dxa"/>
            <w:tcBorders>
              <w:top w:val="single" w:color="auto" w:sz="4" w:space="0"/>
              <w:left w:val="single" w:color="auto" w:sz="4" w:space="0"/>
              <w:bottom w:val="single" w:color="auto" w:sz="4" w:space="0"/>
              <w:right w:val="single" w:color="auto" w:sz="2" w:space="0"/>
            </w:tcBorders>
            <w:noWrap w:val="0"/>
            <w:vAlign w:val="center"/>
          </w:tcPr>
          <w:p>
            <w:pPr>
              <w:spacing w:line="320" w:lineRule="exact"/>
              <w:jc w:val="center"/>
              <w:rPr>
                <w:rFonts w:hint="eastAsia" w:ascii="宋体" w:hAnsi="宋体" w:eastAsia="宋体" w:cs="宋体"/>
                <w:bCs/>
                <w:sz w:val="24"/>
                <w:szCs w:val="24"/>
                <w:lang w:val="en-US" w:eastAsia="zh-CN"/>
              </w:rPr>
            </w:pPr>
          </w:p>
        </w:tc>
      </w:tr>
    </w:tbl>
    <w:p>
      <w:pPr>
        <w:jc w:val="left"/>
        <w:rPr>
          <w:rFonts w:hint="eastAsia" w:ascii="宋体" w:hAnsi="宋体" w:cs="宋体"/>
          <w:b/>
          <w:sz w:val="32"/>
        </w:rPr>
      </w:pPr>
    </w:p>
    <w:p>
      <w:pPr>
        <w:adjustRightInd/>
        <w:spacing w:line="360" w:lineRule="auto"/>
        <w:ind w:firstLine="472" w:firstLineChars="196"/>
        <w:rPr>
          <w:rFonts w:hint="eastAsia" w:ascii="宋体" w:hAnsi="宋体" w:eastAsia="宋体" w:cs="宋体"/>
          <w:b/>
          <w:bCs/>
          <w:kern w:val="0"/>
          <w:sz w:val="24"/>
        </w:rPr>
      </w:pPr>
      <w:r>
        <w:rPr>
          <w:rFonts w:hint="eastAsia" w:ascii="宋体" w:hAnsi="宋体" w:eastAsia="宋体" w:cs="宋体"/>
          <w:b/>
          <w:bCs/>
          <w:kern w:val="0"/>
          <w:sz w:val="24"/>
        </w:rPr>
        <w:t>备注：1、供应商编制投标文件时，建议按此目录（序号和内容）提供评审标准相应的商务技术资料。2、各磋商小组成员自行按以上参考分值评分。3、</w:t>
      </w:r>
      <w:r>
        <w:rPr>
          <w:rFonts w:hint="eastAsia" w:ascii="宋体" w:hAnsi="宋体" w:eastAsia="宋体" w:cs="宋体"/>
          <w:b/>
          <w:bCs/>
          <w:kern w:val="0"/>
          <w:sz w:val="24"/>
          <w:lang w:eastAsia="zh-CN"/>
        </w:rPr>
        <w:t>最终算术平均值</w:t>
      </w:r>
      <w:r>
        <w:rPr>
          <w:rFonts w:hint="eastAsia" w:ascii="宋体" w:hAnsi="宋体" w:eastAsia="宋体" w:cs="宋体"/>
          <w:b/>
          <w:bCs/>
          <w:kern w:val="0"/>
          <w:sz w:val="24"/>
        </w:rPr>
        <w:t>小数点后保留二位数。4、重大事件由磋商小组集体讨论，应当按照少数服从多数的原则作出结论。</w:t>
      </w:r>
    </w:p>
    <w:p>
      <w:pPr>
        <w:jc w:val="left"/>
        <w:rPr>
          <w:rFonts w:hint="eastAsia" w:ascii="宋体" w:hAnsi="宋体" w:cs="宋体"/>
          <w:b/>
          <w:sz w:val="32"/>
        </w:rPr>
      </w:pPr>
    </w:p>
    <w:p>
      <w:pPr>
        <w:jc w:val="left"/>
        <w:rPr>
          <w:rFonts w:hint="eastAsia" w:ascii="宋体" w:hAnsi="宋体" w:cs="宋体"/>
          <w:b/>
          <w:sz w:val="32"/>
        </w:rPr>
      </w:pPr>
    </w:p>
    <w:p>
      <w:pPr>
        <w:pStyle w:val="34"/>
        <w:rPr>
          <w:rFonts w:hint="eastAsia" w:ascii="宋体" w:hAnsi="宋体" w:cs="宋体"/>
          <w:b/>
          <w:sz w:val="32"/>
        </w:rPr>
      </w:pPr>
    </w:p>
    <w:p>
      <w:pPr>
        <w:pStyle w:val="34"/>
        <w:rPr>
          <w:rFonts w:hint="eastAsia" w:ascii="宋体" w:hAnsi="宋体" w:cs="宋体"/>
          <w:b/>
          <w:sz w:val="32"/>
        </w:rPr>
      </w:pPr>
    </w:p>
    <w:p>
      <w:pPr>
        <w:pStyle w:val="34"/>
        <w:rPr>
          <w:rFonts w:hint="eastAsia" w:ascii="宋体" w:hAnsi="宋体" w:cs="宋体"/>
          <w:b/>
          <w:sz w:val="32"/>
        </w:rPr>
      </w:pPr>
    </w:p>
    <w:p>
      <w:pPr>
        <w:jc w:val="both"/>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r>
        <w:rPr>
          <w:rFonts w:hint="eastAsia" w:ascii="宋体" w:hAnsi="宋体" w:cs="宋体"/>
          <w:b/>
          <w:bCs/>
          <w:sz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供应商。</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w:t>
      </w:r>
      <w:r>
        <w:rPr>
          <w:rFonts w:hint="eastAsia" w:ascii="宋体" w:hAnsi="宋体" w:cs="宋体"/>
          <w:b/>
          <w:kern w:val="0"/>
          <w:sz w:val="24"/>
          <w:lang w:val="en-US" w:eastAsia="zh-CN"/>
        </w:rPr>
        <w:t xml:space="preserve"> </w:t>
      </w:r>
      <w:r>
        <w:rPr>
          <w:rFonts w:hint="eastAsia" w:ascii="宋体" w:hAnsi="宋体" w:cs="宋体"/>
          <w:b/>
          <w:kern w:val="0"/>
          <w:sz w:val="24"/>
        </w:rPr>
        <w:t>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1"/>
        <w:spacing w:before="0"/>
        <w:ind w:firstLine="480"/>
        <w:rPr>
          <w:rFonts w:hint="eastAsia" w:ascii="宋体" w:hAnsi="宋体" w:eastAsia="宋体" w:cs="宋体"/>
          <w:kern w:val="0"/>
          <w:szCs w:val="24"/>
          <w:lang w:eastAsia="zh-CN"/>
        </w:rPr>
      </w:pPr>
      <w:r>
        <w:rPr>
          <w:rFonts w:hint="eastAsia" w:ascii="宋体" w:hAnsi="宋体" w:cs="宋体"/>
          <w:kern w:val="0"/>
          <w:szCs w:val="24"/>
        </w:rPr>
        <w:t>3.6.1.1响应文件中已标价工程量清单内容与响应文件中相应内容不一致的，以已标价工程量清单为准</w:t>
      </w:r>
      <w:r>
        <w:rPr>
          <w:rFonts w:hint="eastAsia" w:ascii="宋体" w:hAnsi="宋体" w:cs="宋体"/>
          <w:kern w:val="0"/>
          <w:szCs w:val="24"/>
          <w:lang w:eastAsia="zh-CN"/>
        </w:rPr>
        <w:t>；</w:t>
      </w:r>
    </w:p>
    <w:p>
      <w:pPr>
        <w:pStyle w:val="131"/>
        <w:spacing w:before="0"/>
        <w:ind w:firstLine="480"/>
        <w:rPr>
          <w:rFonts w:hint="eastAsia" w:ascii="宋体" w:hAnsi="宋体" w:cs="宋体"/>
          <w:kern w:val="0"/>
          <w:szCs w:val="24"/>
          <w:lang w:eastAsia="zh-CN"/>
        </w:rPr>
      </w:pPr>
      <w:r>
        <w:rPr>
          <w:rFonts w:hint="eastAsia" w:ascii="宋体" w:hAnsi="宋体" w:cs="宋体"/>
          <w:kern w:val="0"/>
          <w:szCs w:val="24"/>
        </w:rPr>
        <w:t>3.6.1.2大写金额和小写金额不一致的，以大写金额为准</w:t>
      </w:r>
      <w:r>
        <w:rPr>
          <w:rFonts w:hint="eastAsia" w:ascii="宋体" w:hAnsi="宋体" w:cs="宋体"/>
          <w:kern w:val="0"/>
          <w:szCs w:val="24"/>
          <w:lang w:eastAsia="zh-CN"/>
        </w:rPr>
        <w:t>；</w:t>
      </w:r>
    </w:p>
    <w:p>
      <w:pPr>
        <w:pStyle w:val="131"/>
        <w:spacing w:before="0"/>
        <w:ind w:firstLine="480"/>
        <w:rPr>
          <w:rFonts w:hint="eastAsia" w:ascii="宋体" w:hAnsi="宋体" w:eastAsia="宋体" w:cs="宋体"/>
          <w:kern w:val="0"/>
          <w:szCs w:val="24"/>
          <w:lang w:eastAsia="zh-CN"/>
        </w:rPr>
      </w:pPr>
      <w:r>
        <w:rPr>
          <w:rFonts w:hint="eastAsia" w:ascii="宋体" w:hAnsi="宋体" w:cs="宋体"/>
          <w:kern w:val="0"/>
          <w:szCs w:val="24"/>
        </w:rPr>
        <w:t>3.6.1.3单价金额小数点或者百分比有明显错位的，以已标价工程量清单的总价为准，并修改单价</w:t>
      </w:r>
      <w:r>
        <w:rPr>
          <w:rFonts w:hint="eastAsia" w:ascii="宋体" w:hAnsi="宋体" w:cs="宋体"/>
          <w:kern w:val="0"/>
          <w:szCs w:val="24"/>
          <w:lang w:eastAsia="zh-CN"/>
        </w:rPr>
        <w:t>；</w:t>
      </w:r>
    </w:p>
    <w:p>
      <w:pPr>
        <w:pStyle w:val="131"/>
        <w:spacing w:before="0"/>
        <w:ind w:firstLine="480"/>
        <w:rPr>
          <w:rFonts w:hint="eastAsia" w:ascii="宋体" w:hAnsi="宋体" w:eastAsia="宋体" w:cs="宋体"/>
          <w:kern w:val="0"/>
          <w:szCs w:val="24"/>
          <w:lang w:eastAsia="zh-CN"/>
        </w:rPr>
      </w:pPr>
      <w:r>
        <w:rPr>
          <w:rFonts w:hint="eastAsia" w:ascii="宋体" w:hAnsi="宋体" w:cs="宋体"/>
          <w:kern w:val="0"/>
          <w:szCs w:val="24"/>
        </w:rPr>
        <w:t>3.6.1.4总价金额与按单价汇总金额不一致的，以单价金额计算结果为准</w:t>
      </w:r>
      <w:r>
        <w:rPr>
          <w:rFonts w:hint="eastAsia" w:ascii="宋体" w:hAnsi="宋体" w:cs="宋体"/>
          <w:kern w:val="0"/>
          <w:szCs w:val="24"/>
          <w:lang w:eastAsia="zh-CN"/>
        </w:rPr>
        <w:t>；</w:t>
      </w:r>
    </w:p>
    <w:p>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4.2.6响应文件出现不是唯一的、有选择性最后报价的</w:t>
      </w:r>
      <w:r>
        <w:rPr>
          <w:rFonts w:hint="eastAsia" w:ascii="宋体" w:hAnsi="宋体" w:cs="宋体"/>
          <w:kern w:val="0"/>
          <w:sz w:val="24"/>
          <w:lang w:eastAsia="zh-CN"/>
        </w:rPr>
        <w:t>；</w:t>
      </w:r>
    </w:p>
    <w:p>
      <w:pPr>
        <w:spacing w:line="360" w:lineRule="auto"/>
        <w:ind w:firstLine="480" w:firstLineChars="200"/>
        <w:rPr>
          <w:rFonts w:hint="eastAsia" w:ascii="宋体" w:hAnsi="宋体" w:cs="宋体"/>
          <w:kern w:val="0"/>
          <w:sz w:val="24"/>
          <w:lang w:eastAsia="zh-CN"/>
        </w:rPr>
      </w:pPr>
      <w:r>
        <w:rPr>
          <w:rFonts w:hint="eastAsia" w:ascii="宋体" w:hAnsi="宋体" w:cs="宋体"/>
          <w:kern w:val="0"/>
          <w:sz w:val="24"/>
        </w:rPr>
        <w:t>4.2.7最后报价超过采购文件中规定的预算金额或者最高限价的</w:t>
      </w:r>
      <w:r>
        <w:rPr>
          <w:rFonts w:hint="eastAsia" w:ascii="宋体" w:hAnsi="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4.2.9供应商对根据修正原则修正后的报价不确认的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
        <w:snapToGrid w:val="0"/>
        <w:spacing w:line="360" w:lineRule="auto"/>
        <w:rPr>
          <w:rFonts w:cs="宋体"/>
        </w:rPr>
      </w:pPr>
      <w:r>
        <w:rPr>
          <w:rFonts w:hint="eastAsia" w:cs="宋体"/>
        </w:rPr>
        <w:t>5.1因情况变化，不再符合规定的竞争性磋商采购方式适用情形的；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
        <w:snapToGrid w:val="0"/>
        <w:spacing w:line="360" w:lineRule="auto"/>
        <w:rPr>
          <w:rFonts w:hint="eastAsia" w:ascii="宋体" w:hAnsi="宋体" w:eastAsia="宋体" w:cs="宋体"/>
        </w:rPr>
      </w:pPr>
      <w:r>
        <w:rPr>
          <w:rFonts w:hint="eastAsia" w:ascii="宋体" w:hAnsi="宋体" w:eastAsia="宋体" w:cs="宋体"/>
        </w:rPr>
        <w:t>6.1未确定成交供应商的，终止本次政府采购活动，重新开展政府采购活动。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6.2已确定成交供应商但尚未签订政府采购合同的，成交结果无效，从合格的成交候选供应商中另行确定成交供应商；没有合格的成交候选供应商的，重新开展政府采购活动。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6.3政府采购合同已签订但尚未履行的，撤销合同，从合格的成交候选供应商中另行确定成交供应商；没有合格的成交候选供应商的，重新开展政府采购活动。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6.4政府采购合同已经履行，给采购人、供应商造成损失的，由责任人承担赔偿责任。</w:t>
      </w:r>
    </w:p>
    <w:p>
      <w:pPr>
        <w:pStyle w:val="2"/>
        <w:snapToGrid w:val="0"/>
        <w:spacing w:line="360" w:lineRule="auto"/>
        <w:rPr>
          <w:rFonts w:hint="eastAsia" w:ascii="宋体" w:hAnsi="宋体" w:eastAsia="宋体" w:cs="宋体"/>
        </w:rPr>
      </w:pPr>
      <w:r>
        <w:rPr>
          <w:rFonts w:hint="eastAsia" w:ascii="宋体" w:hAnsi="宋体" w:eastAsia="宋体" w:cs="宋体"/>
        </w:rPr>
        <w:t>6.5政府采购当事人有其他违反政府采购法或者政府采购法实施条例等法律法规规定的行为，经改正后仍然影响或者可能影响成交结果或者依法被认定为成交无效的，依照6.1-6.4规定处理。</w:t>
      </w:r>
    </w:p>
    <w:p>
      <w:pPr>
        <w:pStyle w:val="2"/>
        <w:snapToGrid w:val="0"/>
        <w:spacing w:line="360" w:lineRule="auto"/>
        <w:ind w:left="0" w:leftChars="0" w:firstLine="0" w:firstLineChars="0"/>
        <w:jc w:val="center"/>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5人及以上单数组成，其中评审专家人数不得少于磋商小组成员总数的2/3。采购人代表不得以评审专家身份参加本部门或本单位采购项目的评审。采购代理机构人员不得参加本机构代理的采购项目的评审。</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财库〔2014〕214号</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第三条第四项规定情形的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w:t>
      </w:r>
      <w:r>
        <w:rPr>
          <w:rFonts w:hint="eastAsia" w:ascii="宋体" w:hAnsi="宋体" w:cs="宋体"/>
          <w:color w:val="auto"/>
          <w:kern w:val="2"/>
          <w:sz w:val="24"/>
          <w:szCs w:val="20"/>
          <w:highlight w:val="none"/>
          <w:lang w:val="en-US" w:eastAsia="zh-CN" w:bidi="ar-SA"/>
        </w:rPr>
        <w:t>规定的其他事项</w:t>
      </w:r>
      <w:r>
        <w:rPr>
          <w:rFonts w:hint="eastAsia" w:ascii="宋体" w:hAnsi="宋体" w:eastAsia="宋体" w:cs="宋体"/>
          <w:color w:val="auto"/>
          <w:kern w:val="2"/>
          <w:sz w:val="24"/>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2.2接受供应商提出的“超出响应文件的范围或者改变响应文件的实质性内容”的澄清、说明或者更正；</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pPr>
        <w:rPr>
          <w:rFonts w:hint="eastAsia" w:ascii="宋体" w:hAnsi="宋体" w:eastAsia="宋体" w:cs="宋体"/>
          <w:color w:val="auto"/>
          <w:highlight w:val="none"/>
        </w:rPr>
      </w:pPr>
    </w:p>
    <w:p>
      <w:pPr>
        <w:pStyle w:val="2"/>
        <w:snapToGrid w:val="0"/>
        <w:spacing w:line="360" w:lineRule="auto"/>
        <w:rPr>
          <w:rFonts w:cs="宋体"/>
        </w:rPr>
      </w:pPr>
    </w:p>
    <w:p>
      <w:pPr>
        <w:pStyle w:val="2"/>
        <w:snapToGrid w:val="0"/>
        <w:spacing w:line="360" w:lineRule="auto"/>
        <w:ind w:firstLine="0" w:firstLineChars="0"/>
        <w:rPr>
          <w:rFonts w:cs="宋体"/>
        </w:rPr>
        <w:sectPr>
          <w:pgSz w:w="11905" w:h="16838"/>
          <w:pgMar w:top="1134" w:right="1304" w:bottom="1134" w:left="1304" w:header="850" w:footer="850" w:gutter="283"/>
          <w:pgNumType w:fmt="decimal"/>
          <w:cols w:space="0" w:num="1"/>
          <w:titlePg/>
          <w:rtlGutter w:val="0"/>
          <w:docGrid w:linePitch="0" w:charSpace="0"/>
        </w:sectPr>
      </w:pPr>
    </w:p>
    <w:bookmarkEnd w:id="51"/>
    <w:p>
      <w:pPr>
        <w:spacing w:line="360" w:lineRule="auto"/>
        <w:jc w:val="center"/>
        <w:outlineLvl w:val="0"/>
        <w:rPr>
          <w:rFonts w:ascii="宋体" w:hAnsi="宋体" w:cs="宋体"/>
          <w:b/>
          <w:sz w:val="36"/>
          <w:szCs w:val="36"/>
        </w:rPr>
      </w:pPr>
      <w:bookmarkStart w:id="420" w:name="_Toc26894"/>
      <w:bookmarkStart w:id="421" w:name="第五部分"/>
      <w:bookmarkStart w:id="422" w:name="_Toc86217003"/>
      <w:r>
        <w:rPr>
          <w:rFonts w:hint="eastAsia" w:ascii="宋体" w:hAnsi="宋体" w:cs="宋体"/>
          <w:b/>
          <w:sz w:val="36"/>
          <w:szCs w:val="36"/>
        </w:rPr>
        <w:t>第五部分 拟签订的合同文本</w:t>
      </w:r>
      <w:bookmarkEnd w:id="420"/>
    </w:p>
    <w:p>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pPr>
        <w:pStyle w:val="5"/>
        <w:keepNext w:val="0"/>
        <w:keepLines w:val="0"/>
        <w:pageBreakBefore w:val="0"/>
        <w:numPr>
          <w:ilvl w:val="0"/>
          <w:numId w:val="0"/>
        </w:numPr>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b w:val="0"/>
          <w:color w:val="000000"/>
          <w:sz w:val="32"/>
          <w:szCs w:val="32"/>
        </w:rPr>
      </w:pPr>
      <w:r>
        <w:rPr>
          <w:rFonts w:hint="eastAsia" w:ascii="宋体" w:hAnsi="宋体" w:cs="宋体"/>
          <w:snapToGrid w:val="0"/>
          <w:kern w:val="44"/>
          <w:sz w:val="24"/>
          <w:szCs w:val="20"/>
        </w:rPr>
        <w:br w:type="page"/>
      </w:r>
      <w:r>
        <w:rPr>
          <w:rFonts w:hint="eastAsia" w:ascii="宋体" w:hAnsi="宋体" w:eastAsia="宋体" w:cs="宋体"/>
          <w:color w:val="000000"/>
          <w:sz w:val="32"/>
          <w:szCs w:val="32"/>
        </w:rPr>
        <w:t>第一部分 合同协议书</w:t>
      </w:r>
    </w:p>
    <w:p>
      <w:pPr>
        <w:pageBreakBefore w:val="0"/>
        <w:kinsoku/>
        <w:wordWrap/>
        <w:overflowPunct/>
        <w:topLinePunct w:val="0"/>
        <w:bidi w:val="0"/>
        <w:spacing w:line="360" w:lineRule="auto"/>
        <w:jc w:val="both"/>
        <w:textAlignment w:val="auto"/>
        <w:rPr>
          <w:rFonts w:hint="default" w:ascii="宋体" w:hAnsi="宋体" w:eastAsia="宋体" w:cs="宋体"/>
          <w:color w:val="000000"/>
          <w:sz w:val="24"/>
          <w:szCs w:val="24"/>
          <w:u w:val="single"/>
          <w:lang w:val="en-US"/>
        </w:rPr>
      </w:pPr>
      <w:r>
        <w:rPr>
          <w:rFonts w:hint="eastAsia" w:ascii="宋体" w:hAnsi="宋体" w:eastAsia="宋体" w:cs="宋体"/>
          <w:color w:val="000000"/>
          <w:sz w:val="24"/>
          <w:szCs w:val="24"/>
        </w:rPr>
        <w:t>发包人（全称）：</w:t>
      </w:r>
      <w:r>
        <w:rPr>
          <w:rFonts w:hint="eastAsia" w:ascii="宋体" w:hAnsi="宋体" w:eastAsia="宋体" w:cs="宋体"/>
          <w:kern w:val="28"/>
          <w:sz w:val="24"/>
          <w:szCs w:val="24"/>
          <w:u w:val="single"/>
          <w:lang w:val="en-US" w:eastAsia="zh-CN" w:bidi="ar"/>
        </w:rPr>
        <w:t xml:space="preserve">                     </w:t>
      </w:r>
    </w:p>
    <w:p>
      <w:pPr>
        <w:pageBreakBefore w:val="0"/>
        <w:kinsoku/>
        <w:wordWrap/>
        <w:overflowPunct/>
        <w:topLinePunct w:val="0"/>
        <w:bidi w:val="0"/>
        <w:spacing w:line="360" w:lineRule="auto"/>
        <w:jc w:val="both"/>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kern w:val="28"/>
          <w:sz w:val="24"/>
          <w:szCs w:val="24"/>
          <w:u w:val="single"/>
          <w:lang w:eastAsia="zh-CN" w:bidi="ar"/>
        </w:rPr>
        <w:t>宁海桃源街道综合指挥中心改造及提升工程（装修部分）</w:t>
      </w:r>
      <w:r>
        <w:rPr>
          <w:rFonts w:hint="eastAsia" w:ascii="宋体" w:hAnsi="宋体" w:eastAsia="宋体" w:cs="宋体"/>
          <w:color w:val="000000"/>
          <w:sz w:val="24"/>
          <w:szCs w:val="24"/>
        </w:rPr>
        <w:t>施工及有关事项协商一致，共同达成如下协议：</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val="0"/>
          <w:color w:val="000000"/>
          <w:sz w:val="24"/>
          <w:szCs w:val="24"/>
        </w:rPr>
      </w:pPr>
      <w:bookmarkStart w:id="423" w:name="_Toc386638593"/>
      <w:r>
        <w:rPr>
          <w:rFonts w:hint="eastAsia" w:ascii="宋体" w:hAnsi="宋体" w:eastAsia="宋体" w:cs="宋体"/>
          <w:b/>
          <w:bCs w:val="0"/>
          <w:color w:val="000000"/>
          <w:sz w:val="24"/>
          <w:szCs w:val="24"/>
        </w:rPr>
        <w:t>一、工程概况</w:t>
      </w:r>
      <w:bookmarkEnd w:id="423"/>
    </w:p>
    <w:p>
      <w:pPr>
        <w:pageBreakBefore w:val="0"/>
        <w:kinsoku/>
        <w:wordWrap/>
        <w:overflowPunct/>
        <w:topLinePunct w:val="0"/>
        <w:bidi w:val="0"/>
        <w:spacing w:line="360" w:lineRule="auto"/>
        <w:ind w:left="0" w:firstLine="480" w:firstLineChars="200"/>
        <w:jc w:val="both"/>
        <w:textAlignment w:val="auto"/>
        <w:rPr>
          <w:rFonts w:hint="default" w:ascii="宋体" w:hAnsi="宋体" w:eastAsia="宋体" w:cs="宋体"/>
          <w:bCs/>
          <w:color w:val="000000"/>
          <w:sz w:val="24"/>
          <w:szCs w:val="24"/>
          <w:lang w:val="en-US"/>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b w:val="0"/>
          <w:bCs/>
          <w:sz w:val="24"/>
          <w:szCs w:val="24"/>
          <w:u w:val="single"/>
          <w:lang w:eastAsia="zh-CN"/>
        </w:rPr>
        <w:t>宁海桃源街道综合指挥中心改造及提升工程（装修部分）</w:t>
      </w:r>
      <w:r>
        <w:rPr>
          <w:rFonts w:hint="eastAsia" w:ascii="宋体" w:hAnsi="宋体" w:eastAsia="宋体" w:cs="宋体"/>
          <w:b w:val="0"/>
          <w:bCs/>
          <w:sz w:val="24"/>
          <w:szCs w:val="24"/>
          <w:u w:val="single"/>
          <w:lang w:val="en-US" w:eastAsia="zh-CN"/>
        </w:rPr>
        <w:t xml:space="preserve"> </w:t>
      </w:r>
    </w:p>
    <w:p>
      <w:pPr>
        <w:pageBreakBefore w:val="0"/>
        <w:kinsoku/>
        <w:wordWrap/>
        <w:overflowPunct/>
        <w:topLinePunct w:val="0"/>
        <w:bidi w:val="0"/>
        <w:spacing w:line="360" w:lineRule="auto"/>
        <w:ind w:left="0" w:firstLine="480" w:firstLineChars="200"/>
        <w:jc w:val="both"/>
        <w:textAlignment w:val="auto"/>
        <w:rPr>
          <w:rFonts w:hint="default" w:ascii="宋体" w:hAnsi="宋体" w:eastAsia="宋体" w:cs="宋体"/>
          <w:bCs/>
          <w:color w:val="000000"/>
          <w:sz w:val="24"/>
          <w:szCs w:val="24"/>
          <w:lang w:val="en-US"/>
        </w:rPr>
      </w:pPr>
      <w:r>
        <w:rPr>
          <w:rFonts w:hint="eastAsia" w:ascii="宋体" w:hAnsi="宋体" w:eastAsia="宋体" w:cs="宋体"/>
          <w:bCs/>
          <w:color w:val="000000"/>
          <w:sz w:val="24"/>
          <w:szCs w:val="24"/>
        </w:rPr>
        <w:t>2.工程地点：</w:t>
      </w:r>
      <w:r>
        <w:rPr>
          <w:rFonts w:hint="eastAsia" w:ascii="宋体" w:hAnsi="宋体" w:eastAsia="宋体" w:cs="宋体"/>
          <w:bCs/>
          <w:color w:val="000000"/>
          <w:sz w:val="24"/>
          <w:szCs w:val="24"/>
          <w:u w:val="single"/>
          <w:lang w:val="en-US" w:eastAsia="zh-CN"/>
        </w:rPr>
        <w:t xml:space="preserve">                                                   </w:t>
      </w:r>
    </w:p>
    <w:p>
      <w:pPr>
        <w:pageBreakBefore w:val="0"/>
        <w:kinsoku/>
        <w:wordWrap/>
        <w:overflowPunct/>
        <w:topLinePunct w:val="0"/>
        <w:bidi w:val="0"/>
        <w:spacing w:line="360" w:lineRule="auto"/>
        <w:ind w:left="0" w:firstLine="480" w:firstLineChars="200"/>
        <w:jc w:val="both"/>
        <w:textAlignment w:val="auto"/>
        <w:rPr>
          <w:rFonts w:hint="default"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3.工程立项批准文号：</w:t>
      </w:r>
      <w:r>
        <w:rPr>
          <w:rFonts w:hint="eastAsia" w:ascii="宋体" w:hAnsi="宋体" w:eastAsia="宋体" w:cs="宋体"/>
          <w:bCs/>
          <w:color w:val="000000"/>
          <w:sz w:val="24"/>
          <w:szCs w:val="24"/>
          <w:u w:val="single"/>
          <w:lang w:val="en-US" w:eastAsia="zh-CN"/>
        </w:rPr>
        <w:t xml:space="preserve">                                           </w:t>
      </w:r>
    </w:p>
    <w:p>
      <w:pPr>
        <w:pageBreakBefore w:val="0"/>
        <w:kinsoku/>
        <w:wordWrap/>
        <w:overflowPunct/>
        <w:topLinePunct w:val="0"/>
        <w:bidi w:val="0"/>
        <w:spacing w:line="360" w:lineRule="auto"/>
        <w:ind w:left="0" w:firstLine="480" w:firstLineChars="200"/>
        <w:jc w:val="both"/>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lang w:val="en-US" w:eastAsia="zh-CN"/>
        </w:rPr>
        <w:t xml:space="preserve">财政预算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5.工程内容：</w:t>
      </w:r>
      <w:r>
        <w:rPr>
          <w:rFonts w:hint="eastAsia" w:ascii="宋体" w:hAnsi="宋体" w:eastAsia="宋体" w:cs="宋体"/>
          <w:sz w:val="24"/>
          <w:szCs w:val="24"/>
          <w:u w:val="single"/>
          <w:lang w:eastAsia="zh-CN"/>
        </w:rPr>
        <w:t>本工程装修面积为418.28㎡，工程主要内容为精装修、水电安装等。</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color w:val="000000"/>
          <w:sz w:val="24"/>
          <w:szCs w:val="24"/>
          <w:u w:val="single"/>
          <w:lang w:eastAsia="zh-CN"/>
        </w:rPr>
        <w:t>施工图范围内的</w:t>
      </w:r>
      <w:r>
        <w:rPr>
          <w:rFonts w:hint="eastAsia" w:ascii="宋体" w:hAnsi="宋体" w:eastAsia="宋体" w:cs="宋体"/>
          <w:color w:val="000000"/>
          <w:sz w:val="24"/>
          <w:szCs w:val="24"/>
          <w:u w:val="single"/>
          <w:lang w:val="en-US" w:eastAsia="zh-CN"/>
        </w:rPr>
        <w:t>装修</w:t>
      </w:r>
      <w:r>
        <w:rPr>
          <w:rFonts w:hint="eastAsia" w:ascii="宋体" w:hAnsi="宋体" w:eastAsia="宋体" w:cs="宋体"/>
          <w:color w:val="000000"/>
          <w:sz w:val="24"/>
          <w:szCs w:val="24"/>
          <w:u w:val="single"/>
          <w:lang w:eastAsia="zh-CN"/>
        </w:rPr>
        <w:t>、安装工程</w:t>
      </w:r>
      <w:r>
        <w:rPr>
          <w:rFonts w:hint="eastAsia" w:ascii="宋体" w:hAnsi="宋体" w:eastAsia="宋体" w:cs="宋体"/>
          <w:color w:val="000000"/>
          <w:sz w:val="24"/>
          <w:szCs w:val="24"/>
        </w:rPr>
        <w:t>。</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color w:val="000000"/>
          <w:sz w:val="24"/>
          <w:szCs w:val="24"/>
        </w:rPr>
      </w:pPr>
      <w:bookmarkStart w:id="424" w:name="_Toc386638594"/>
      <w:r>
        <w:rPr>
          <w:rFonts w:hint="eastAsia" w:ascii="宋体" w:hAnsi="宋体" w:eastAsia="宋体" w:cs="宋体"/>
          <w:color w:val="000000"/>
          <w:sz w:val="24"/>
          <w:szCs w:val="24"/>
        </w:rPr>
        <w:t>二、合同工期</w:t>
      </w:r>
      <w:bookmarkEnd w:id="424"/>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日（具体开工时间以发包人签署的开工报告为准）。</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lang w:val="en-US" w:eastAsia="zh-CN"/>
        </w:rPr>
        <w:t>60日历天</w:t>
      </w:r>
      <w:r>
        <w:rPr>
          <w:rFonts w:hint="eastAsia" w:ascii="宋体" w:hAnsi="宋体" w:eastAsia="宋体" w:cs="宋体"/>
          <w:color w:val="000000"/>
          <w:sz w:val="24"/>
          <w:szCs w:val="24"/>
        </w:rPr>
        <w:t>。工期总日历天数与根据前述计划开竣工日期计算的工期天数不一致的，以工期总日历天数为准。</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bookmarkStart w:id="425" w:name="_Toc386638595"/>
      <w:r>
        <w:rPr>
          <w:rFonts w:hint="eastAsia" w:ascii="宋体" w:hAnsi="宋体" w:eastAsia="宋体" w:cs="宋体"/>
          <w:b/>
          <w:bCs/>
          <w:color w:val="000000"/>
          <w:sz w:val="24"/>
          <w:szCs w:val="24"/>
        </w:rPr>
        <w:t>三、质量标准</w:t>
      </w:r>
      <w:bookmarkEnd w:id="425"/>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w:t>
      </w:r>
      <w:r>
        <w:rPr>
          <w:rFonts w:hint="eastAsia" w:ascii="宋体" w:hAnsi="宋体" w:eastAsia="宋体" w:cs="宋体"/>
          <w:color w:val="000000"/>
          <w:sz w:val="24"/>
          <w:szCs w:val="24"/>
          <w:u w:val="single"/>
        </w:rPr>
        <w:t>符合</w:t>
      </w:r>
      <w:r>
        <w:rPr>
          <w:rFonts w:hint="eastAsia" w:ascii="宋体" w:hAnsi="宋体" w:eastAsia="宋体" w:cs="宋体"/>
          <w:bCs/>
          <w:color w:val="000000"/>
          <w:sz w:val="24"/>
          <w:szCs w:val="24"/>
          <w:u w:val="single"/>
        </w:rPr>
        <w:t>现行国家有关工程施工质量验收规范和标准要求</w:t>
      </w:r>
      <w:r>
        <w:rPr>
          <w:rFonts w:hint="eastAsia" w:ascii="宋体" w:hAnsi="宋体" w:eastAsia="宋体" w:cs="宋体"/>
          <w:bCs/>
          <w:color w:val="000000"/>
          <w:sz w:val="24"/>
          <w:szCs w:val="24"/>
          <w:u w:val="single"/>
          <w:lang w:eastAsia="zh-CN"/>
        </w:rPr>
        <w:t>，</w:t>
      </w:r>
      <w:r>
        <w:rPr>
          <w:rFonts w:hint="eastAsia" w:ascii="宋体" w:hAnsi="宋体" w:eastAsia="宋体" w:cs="宋体"/>
          <w:bCs/>
          <w:color w:val="000000"/>
          <w:sz w:val="24"/>
          <w:szCs w:val="24"/>
          <w:u w:val="single"/>
        </w:rPr>
        <w:t>验收合格</w:t>
      </w:r>
      <w:r>
        <w:rPr>
          <w:rFonts w:hint="eastAsia" w:ascii="宋体" w:hAnsi="宋体" w:eastAsia="宋体" w:cs="宋体"/>
          <w:color w:val="000000"/>
          <w:sz w:val="24"/>
          <w:szCs w:val="24"/>
        </w:rPr>
        <w:t>。</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Cs w:val="0"/>
          <w:color w:val="000000"/>
          <w:sz w:val="24"/>
          <w:szCs w:val="24"/>
        </w:rPr>
      </w:pPr>
      <w:bookmarkStart w:id="426" w:name="_Toc386638596"/>
      <w:r>
        <w:rPr>
          <w:rFonts w:hint="eastAsia" w:ascii="宋体" w:hAnsi="宋体" w:eastAsia="宋体" w:cs="宋体"/>
          <w:b/>
          <w:bCs/>
          <w:color w:val="000000"/>
          <w:sz w:val="24"/>
          <w:szCs w:val="24"/>
        </w:rPr>
        <w:t>四、签约合同价与合同价格形式</w:t>
      </w:r>
      <w:bookmarkEnd w:id="426"/>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单价合同           </w:t>
      </w:r>
      <w:r>
        <w:rPr>
          <w:rFonts w:hint="eastAsia" w:ascii="宋体" w:hAnsi="宋体" w:eastAsia="宋体" w:cs="宋体"/>
          <w:color w:val="000000"/>
          <w:sz w:val="24"/>
          <w:szCs w:val="24"/>
        </w:rPr>
        <w:t>。</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bookmarkStart w:id="427" w:name="_Toc386638597"/>
      <w:r>
        <w:rPr>
          <w:rFonts w:hint="eastAsia" w:ascii="宋体" w:hAnsi="宋体" w:eastAsia="宋体" w:cs="宋体"/>
          <w:b/>
          <w:bCs/>
          <w:color w:val="000000"/>
          <w:sz w:val="24"/>
          <w:szCs w:val="24"/>
        </w:rPr>
        <w:t>五、项目经理</w:t>
      </w:r>
      <w:bookmarkEnd w:id="427"/>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bookmarkStart w:id="428" w:name="_Toc386638598"/>
      <w:r>
        <w:rPr>
          <w:rFonts w:hint="eastAsia" w:ascii="宋体" w:hAnsi="宋体" w:eastAsia="宋体" w:cs="宋体"/>
          <w:b/>
          <w:bCs/>
          <w:color w:val="000000"/>
          <w:sz w:val="24"/>
          <w:szCs w:val="24"/>
        </w:rPr>
        <w:t>六、合同文件构成</w:t>
      </w:r>
      <w:bookmarkEnd w:id="428"/>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（2）投标函及其附录（如果有）；</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（7）预算书；</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bookmarkStart w:id="429" w:name="_Toc386638599"/>
      <w:r>
        <w:rPr>
          <w:rFonts w:hint="eastAsia" w:ascii="宋体" w:hAnsi="宋体" w:eastAsia="宋体" w:cs="宋体"/>
          <w:b/>
          <w:bCs/>
          <w:color w:val="000000"/>
          <w:sz w:val="24"/>
          <w:szCs w:val="24"/>
        </w:rPr>
        <w:t>七、承诺</w:t>
      </w:r>
      <w:bookmarkEnd w:id="429"/>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八、词语含义</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bookmarkStart w:id="430" w:name="_Toc386638600"/>
      <w:r>
        <w:rPr>
          <w:rFonts w:hint="eastAsia" w:ascii="宋体" w:hAnsi="宋体" w:eastAsia="宋体" w:cs="宋体"/>
          <w:b/>
          <w:bCs/>
          <w:color w:val="000000"/>
          <w:sz w:val="24"/>
          <w:szCs w:val="24"/>
        </w:rPr>
        <w:t>九、签订时间</w:t>
      </w:r>
      <w:bookmarkEnd w:id="430"/>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bookmarkStart w:id="431" w:name="_Toc386638601"/>
      <w:r>
        <w:rPr>
          <w:rFonts w:hint="eastAsia" w:ascii="宋体" w:hAnsi="宋体" w:eastAsia="宋体" w:cs="宋体"/>
          <w:b/>
          <w:bCs/>
          <w:color w:val="000000"/>
          <w:sz w:val="24"/>
          <w:szCs w:val="24"/>
        </w:rPr>
        <w:t>十、签订地点</w:t>
      </w:r>
      <w:bookmarkEnd w:id="431"/>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rPr>
        <w:t>签订。</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bookmarkStart w:id="432" w:name="_Toc386638602"/>
      <w:r>
        <w:rPr>
          <w:rFonts w:hint="eastAsia" w:ascii="宋体" w:hAnsi="宋体" w:eastAsia="宋体" w:cs="宋体"/>
          <w:b/>
          <w:bCs/>
          <w:color w:val="000000"/>
          <w:sz w:val="24"/>
          <w:szCs w:val="24"/>
        </w:rPr>
        <w:t>十一、补充协议</w:t>
      </w:r>
      <w:bookmarkEnd w:id="432"/>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
          <w:bCs/>
          <w:color w:val="000000"/>
          <w:sz w:val="24"/>
          <w:szCs w:val="24"/>
        </w:rPr>
      </w:pPr>
      <w:bookmarkStart w:id="433" w:name="_Toc386638603"/>
      <w:r>
        <w:rPr>
          <w:rFonts w:hint="eastAsia" w:ascii="宋体" w:hAnsi="宋体" w:eastAsia="宋体" w:cs="宋体"/>
          <w:b/>
          <w:bCs/>
          <w:color w:val="000000"/>
          <w:sz w:val="24"/>
          <w:szCs w:val="24"/>
        </w:rPr>
        <w:t>十二、合同生效</w:t>
      </w:r>
      <w:bookmarkEnd w:id="433"/>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双方加盖单位印章并经法定代表人或其委托代理人签字，并按约定提供履约担保后</w:t>
      </w:r>
      <w:r>
        <w:rPr>
          <w:rFonts w:hint="eastAsia" w:ascii="宋体" w:hAnsi="宋体" w:eastAsia="宋体" w:cs="宋体"/>
          <w:bCs/>
          <w:color w:val="000000"/>
          <w:sz w:val="24"/>
          <w:szCs w:val="24"/>
        </w:rPr>
        <w:t>生效。</w:t>
      </w:r>
    </w:p>
    <w:p>
      <w:pPr>
        <w:pStyle w:val="7"/>
        <w:keepNext w:val="0"/>
        <w:keepLines w:val="0"/>
        <w:pageBreakBefore w:val="0"/>
        <w:kinsoku/>
        <w:wordWrap/>
        <w:overflowPunct/>
        <w:topLinePunct w:val="0"/>
        <w:bidi w:val="0"/>
        <w:spacing w:before="0" w:beforeLines="0" w:after="0" w:afterLines="0" w:line="360" w:lineRule="auto"/>
        <w:ind w:left="0" w:firstLine="482" w:firstLineChars="200"/>
        <w:jc w:val="both"/>
        <w:textAlignment w:val="auto"/>
        <w:rPr>
          <w:rFonts w:hint="eastAsia" w:ascii="宋体" w:hAnsi="宋体" w:eastAsia="宋体" w:cs="宋体"/>
          <w:bCs w:val="0"/>
          <w:color w:val="000000"/>
          <w:sz w:val="24"/>
          <w:szCs w:val="24"/>
        </w:rPr>
      </w:pPr>
      <w:bookmarkStart w:id="434" w:name="_Toc386638604"/>
      <w:r>
        <w:rPr>
          <w:rFonts w:hint="eastAsia" w:ascii="宋体" w:hAnsi="宋体" w:eastAsia="宋体" w:cs="宋体"/>
          <w:b/>
          <w:bCs/>
          <w:color w:val="000000"/>
          <w:sz w:val="24"/>
          <w:szCs w:val="24"/>
        </w:rPr>
        <w:t>十三、合同份数</w:t>
      </w:r>
      <w:bookmarkEnd w:id="434"/>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lang w:val="en-US" w:eastAsia="zh-CN"/>
        </w:rPr>
        <w:t xml:space="preserve"> 肆</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贰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贰 </w:t>
      </w:r>
      <w:r>
        <w:rPr>
          <w:rFonts w:hint="eastAsia" w:ascii="宋体" w:hAnsi="宋体" w:eastAsia="宋体" w:cs="宋体"/>
          <w:bCs/>
          <w:color w:val="000000"/>
          <w:sz w:val="24"/>
          <w:szCs w:val="24"/>
        </w:rPr>
        <w:t>份</w:t>
      </w:r>
      <w:r>
        <w:rPr>
          <w:rFonts w:hint="eastAsia" w:ascii="宋体" w:hAnsi="宋体" w:eastAsia="宋体" w:cs="宋体"/>
          <w:bCs/>
          <w:color w:val="000000"/>
          <w:sz w:val="24"/>
          <w:szCs w:val="24"/>
          <w:lang w:eastAsia="zh-CN"/>
        </w:rPr>
        <w:t>。</w:t>
      </w:r>
    </w:p>
    <w:p>
      <w:pPr>
        <w:pStyle w:val="79"/>
        <w:rPr>
          <w:rFonts w:hint="eastAsia"/>
          <w:lang w:eastAsia="zh-CN"/>
        </w:rPr>
      </w:pPr>
    </w:p>
    <w:p>
      <w:pPr>
        <w:pStyle w:val="79"/>
        <w:rPr>
          <w:rFonts w:hint="eastAsia"/>
          <w:lang w:eastAsia="zh-CN"/>
        </w:rPr>
      </w:pP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承包人：</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(公章)</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法定代表人或其委托代理人：</w:t>
      </w:r>
    </w:p>
    <w:p>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（签字）</w:t>
      </w:r>
    </w:p>
    <w:p>
      <w:pPr>
        <w:pStyle w:val="79"/>
        <w:rPr>
          <w:rFonts w:hint="eastAsia"/>
        </w:rPr>
      </w:pPr>
    </w:p>
    <w:p>
      <w:pPr>
        <w:pageBreakBefore w:val="0"/>
        <w:tabs>
          <w:tab w:val="left" w:pos="4410"/>
        </w:tabs>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pPr>
        <w:pStyle w:val="5"/>
        <w:keepNext w:val="0"/>
        <w:keepLines w:val="0"/>
        <w:pageBreakBefore w:val="0"/>
        <w:numPr>
          <w:ilvl w:val="0"/>
          <w:numId w:val="0"/>
        </w:numPr>
        <w:tabs>
          <w:tab w:val="clear" w:pos="900"/>
        </w:tabs>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435" w:name="_Toc386638605"/>
      <w:r>
        <w:rPr>
          <w:rFonts w:hint="eastAsia" w:ascii="宋体" w:hAnsi="宋体" w:eastAsia="宋体" w:cs="宋体"/>
          <w:b/>
          <w:color w:val="000000"/>
          <w:sz w:val="32"/>
          <w:szCs w:val="32"/>
        </w:rPr>
        <w:t>第二部分</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通用合同条款</w:t>
      </w:r>
      <w:bookmarkEnd w:id="435"/>
      <w:bookmarkStart w:id="436" w:name="_Toc337558727"/>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通用合同条款直接引用中国建筑工业出版社出版的《建设工程施工合同（示范文本）（GF-201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-0201）第二部分“通用合同条款”内容。</w:t>
      </w:r>
    </w:p>
    <w:bookmarkEnd w:id="436"/>
    <w:p>
      <w:pPr>
        <w:pageBreakBefore w:val="0"/>
        <w:kinsoku/>
        <w:wordWrap/>
        <w:overflowPunct/>
        <w:topLinePunct w:val="0"/>
        <w:bidi w:val="0"/>
        <w:spacing w:line="360" w:lineRule="auto"/>
        <w:ind w:left="0" w:firstLine="480" w:firstLineChars="200"/>
        <w:jc w:val="both"/>
        <w:textAlignment w:val="auto"/>
        <w:outlineLvl w:val="1"/>
        <w:rPr>
          <w:rFonts w:hint="eastAsia" w:ascii="宋体" w:hAnsi="宋体" w:eastAsia="宋体" w:cs="宋体"/>
          <w:color w:val="000000"/>
          <w:sz w:val="24"/>
          <w:szCs w:val="24"/>
        </w:rPr>
      </w:pPr>
      <w:bookmarkStart w:id="437" w:name="_Toc411083384"/>
      <w:bookmarkStart w:id="438" w:name="_Toc296891203"/>
      <w:bookmarkStart w:id="439" w:name="_Toc297120463"/>
      <w:bookmarkStart w:id="440" w:name="_Toc296944502"/>
      <w:bookmarkStart w:id="441" w:name="_Toc296346664"/>
      <w:bookmarkStart w:id="442" w:name="_Toc296503163"/>
      <w:bookmarkStart w:id="443" w:name="_Toc296890991"/>
      <w:bookmarkStart w:id="444" w:name="_Toc292559872"/>
      <w:bookmarkStart w:id="445" w:name="_Toc292559367"/>
      <w:bookmarkStart w:id="446" w:name="_Toc296347162"/>
      <w:bookmarkStart w:id="447" w:name="_Toc297048349"/>
    </w:p>
    <w:p>
      <w:pPr>
        <w:pStyle w:val="5"/>
        <w:keepNext w:val="0"/>
        <w:keepLines w:val="0"/>
        <w:pageBreakBefore w:val="0"/>
        <w:numPr>
          <w:ilvl w:val="2"/>
          <w:numId w:val="0"/>
        </w:numPr>
        <w:tabs>
          <w:tab w:val="clear" w:pos="900"/>
        </w:tabs>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第三部分 专用条款</w:t>
      </w:r>
      <w:bookmarkEnd w:id="437"/>
    </w:p>
    <w:p>
      <w:pPr>
        <w:pStyle w:val="7"/>
        <w:pageBreakBefore w:val="0"/>
        <w:kinsoku/>
        <w:wordWrap/>
        <w:overflowPunct/>
        <w:topLinePunct w:val="0"/>
        <w:bidi w:val="0"/>
        <w:spacing w:before="0" w:beforeLines="0" w:after="0" w:afterLines="0" w:line="360" w:lineRule="auto"/>
        <w:jc w:val="left"/>
        <w:textAlignment w:val="auto"/>
        <w:rPr>
          <w:rFonts w:hint="eastAsia" w:ascii="宋体" w:hAnsi="宋体" w:eastAsia="宋体" w:cs="宋体"/>
          <w:b w:val="0"/>
          <w:color w:val="000000"/>
          <w:sz w:val="24"/>
          <w:szCs w:val="24"/>
        </w:rPr>
      </w:pPr>
      <w:bookmarkStart w:id="448" w:name="_Toc351203633"/>
      <w:bookmarkStart w:id="449" w:name="_Toc386638607"/>
      <w:r>
        <w:rPr>
          <w:rFonts w:hint="eastAsia" w:ascii="宋体" w:hAnsi="宋体" w:eastAsia="宋体" w:cs="宋体"/>
          <w:b w:val="0"/>
          <w:color w:val="000000"/>
          <w:sz w:val="24"/>
          <w:szCs w:val="24"/>
        </w:rPr>
        <w:t>1</w:t>
      </w:r>
      <w:bookmarkStart w:id="450" w:name="_Toc296346657"/>
      <w:bookmarkStart w:id="451" w:name="_Toc296944495"/>
      <w:bookmarkStart w:id="452" w:name="_Toc297120456"/>
      <w:bookmarkStart w:id="453" w:name="_Toc292559361"/>
      <w:bookmarkStart w:id="454" w:name="_Toc296890984"/>
      <w:bookmarkStart w:id="455" w:name="_Toc296347155"/>
      <w:bookmarkStart w:id="456" w:name="_Toc296891196"/>
      <w:bookmarkStart w:id="457" w:name="_Toc297048342"/>
      <w:bookmarkStart w:id="458" w:name="_Toc296503156"/>
      <w:bookmarkStart w:id="459" w:name="_Toc292559866"/>
      <w:r>
        <w:rPr>
          <w:rFonts w:hint="eastAsia" w:ascii="宋体" w:hAnsi="宋体" w:eastAsia="宋体" w:cs="宋体"/>
          <w:b w:val="0"/>
          <w:color w:val="000000"/>
          <w:sz w:val="24"/>
          <w:szCs w:val="24"/>
        </w:rPr>
        <w:t>. 一般约定</w:t>
      </w:r>
      <w:bookmarkEnd w:id="448"/>
      <w:bookmarkEnd w:id="449"/>
    </w:p>
    <w:bookmarkEnd w:id="450"/>
    <w:bookmarkEnd w:id="451"/>
    <w:bookmarkEnd w:id="452"/>
    <w:bookmarkEnd w:id="453"/>
    <w:bookmarkEnd w:id="454"/>
    <w:bookmarkEnd w:id="455"/>
    <w:bookmarkEnd w:id="456"/>
    <w:bookmarkEnd w:id="457"/>
    <w:bookmarkEnd w:id="458"/>
    <w:bookmarkEnd w:id="459"/>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合同</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1.1.1.10</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其他合同文件包括：</w:t>
      </w:r>
      <w:r>
        <w:rPr>
          <w:rFonts w:hint="eastAsia" w:ascii="宋体" w:hAnsi="宋体" w:eastAsia="宋体" w:cs="宋体"/>
          <w:color w:val="000000"/>
          <w:sz w:val="24"/>
          <w:szCs w:val="24"/>
          <w:u w:val="single"/>
        </w:rPr>
        <w:t xml:space="preserve">双方与合同有关的工程设计变更联系单、洽商、签证等书面协议或文件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监理人：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1.1.3.9 永久占地包括：</w:t>
      </w:r>
      <w:r>
        <w:rPr>
          <w:rFonts w:hint="eastAsia" w:ascii="宋体" w:hAnsi="宋体" w:eastAsia="宋体" w:cs="宋体"/>
          <w:color w:val="000000"/>
          <w:sz w:val="24"/>
          <w:szCs w:val="24"/>
          <w:u w:val="single"/>
        </w:rPr>
        <w:t xml:space="preserve">            /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1.1.3.10 临时占地包括：</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法律</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浙江省、宁波市、宁海县有关工程建设的法规、规章及规范性文件</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国家、浙江省、宁波市有关工程建设相关的施工及验收规范和标准</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 发包人提供国外标准、规范的名称：</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发包人提供国外标准、规范的份数：</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发包人提供国外标准、规范的名称：</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发包人对工程的技术标准和功能要求的特殊要求：</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（1）合同协议书；（2）中标通知书；（3）投标函及其附录；（4）专用合同条款及其附件；（5）通用合同条款；（6）技术标准和要求；（7）图纸；（8）预算书；（9）其他合同文件。</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向承包人发出中标通知书后3天内</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2套</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工程承包范围内的各专业工程</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施工组织设计、工程进度计划、专项施工方案、加工图、大样图、协调配合图等</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施工组织设计、工程进度计划在工程开工前15天，其他文件在相应专项工程或部位施工前5天</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一式五套、电子版一套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纸质版本及电子版本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rPr>
        <w:t>承包人在施工现场保存至少一套完整的图纸和承包人文件</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发包人和承包人应当在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通用条款规定的时间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内将与合同有关的通知、批准、证明、证书、指示、指令、要求、请求、同意、意见、确定和决定等书面函件送达对方当事人。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1.7.2 发包人接收文件的地点：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发包人驻办公所在地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发包人指定的接收人为：</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承包人接收文件的地点：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承包人驻办公所在地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承包人指定的接收人为：</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监理人接收文件的地点：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监理人驻办公所在地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监理人指定的接收人为：</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60" w:name="_Toc304295521"/>
      <w:bookmarkStart w:id="461" w:name="_Toc303539100"/>
      <w:bookmarkStart w:id="462" w:name="_Toc318581155"/>
      <w:bookmarkStart w:id="463" w:name="_Toc300934943"/>
      <w:bookmarkStart w:id="464" w:name="_Toc312677986"/>
      <w:r>
        <w:rPr>
          <w:rFonts w:hint="eastAsia" w:ascii="宋体" w:hAnsi="宋体" w:eastAsia="宋体" w:cs="宋体"/>
          <w:color w:val="000000"/>
          <w:sz w:val="24"/>
          <w:szCs w:val="24"/>
        </w:rPr>
        <w:t>.10.1 出入现场的权利</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关于出入现场的权利的约定：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bookmarkEnd w:id="460"/>
    <w:bookmarkEnd w:id="461"/>
    <w:bookmarkEnd w:id="462"/>
    <w:bookmarkEnd w:id="463"/>
    <w:bookmarkEnd w:id="464"/>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65" w:name="_Toc318581156"/>
      <w:bookmarkStart w:id="466" w:name="_Toc312677987"/>
      <w:bookmarkStart w:id="467" w:name="_Toc304295522"/>
      <w:bookmarkStart w:id="468" w:name="_Toc303539101"/>
      <w:bookmarkStart w:id="469" w:name="_Toc300934944"/>
      <w:r>
        <w:rPr>
          <w:rFonts w:hint="eastAsia" w:ascii="宋体" w:hAnsi="宋体" w:eastAsia="宋体" w:cs="宋体"/>
          <w:color w:val="000000"/>
          <w:sz w:val="24"/>
          <w:szCs w:val="24"/>
        </w:rPr>
        <w:t>.10.3 场内交通</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关于场外交通和场内交通的边界的约定：</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按本工程规划红线范围及桩号界定</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关于发包人向承包人免费提供满足工程施工需要的场内道路和交通设施的约定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rPr>
        <w:t>承包人负责修建、维修、养护和管理施工所需的场内临时道路和交通设施，费用由承包人自行负责</w:t>
      </w:r>
      <w:r>
        <w:rPr>
          <w:rFonts w:hint="eastAsia" w:ascii="宋体" w:hAnsi="宋体" w:eastAsia="宋体" w:cs="宋体"/>
          <w:color w:val="000000"/>
          <w:sz w:val="24"/>
          <w:szCs w:val="24"/>
        </w:rPr>
        <w:t>。</w:t>
      </w:r>
      <w:bookmarkEnd w:id="465"/>
      <w:bookmarkEnd w:id="466"/>
      <w:bookmarkEnd w:id="467"/>
      <w:bookmarkEnd w:id="468"/>
      <w:bookmarkEnd w:id="469"/>
      <w:bookmarkStart w:id="470" w:name="_Toc318581157"/>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超大件和超重件的运输</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运输超大件或超重件所需的道路和桥梁临时加固改造费用和其他有关费用由</w:t>
      </w:r>
      <w:r>
        <w:rPr>
          <w:rFonts w:hint="eastAsia" w:ascii="宋体" w:hAnsi="宋体" w:eastAsia="宋体" w:cs="宋体"/>
          <w:color w:val="000000"/>
          <w:sz w:val="24"/>
          <w:szCs w:val="24"/>
          <w:u w:val="single"/>
        </w:rPr>
        <w:t>承包人</w:t>
      </w:r>
      <w:r>
        <w:rPr>
          <w:rFonts w:hint="eastAsia" w:ascii="宋体" w:hAnsi="宋体" w:eastAsia="宋体" w:cs="宋体"/>
          <w:color w:val="000000"/>
          <w:sz w:val="24"/>
          <w:szCs w:val="24"/>
        </w:rPr>
        <w:t>承担。</w:t>
      </w:r>
    </w:p>
    <w:bookmarkEnd w:id="470"/>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bookmarkStart w:id="471" w:name="_Toc386638608"/>
      <w:bookmarkStart w:id="472" w:name="_Toc351203634"/>
      <w:r>
        <w:rPr>
          <w:rFonts w:hint="eastAsia" w:ascii="宋体" w:hAnsi="宋体" w:eastAsia="宋体" w:cs="宋体"/>
          <w:color w:val="000000"/>
          <w:sz w:val="24"/>
          <w:szCs w:val="24"/>
        </w:rPr>
        <w:t>1.13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工程量清单错误的修正</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允出现工程量清单错误时，是否调整合同价格：</w:t>
      </w:r>
      <w:r>
        <w:rPr>
          <w:rFonts w:hint="eastAsia" w:ascii="宋体" w:hAnsi="宋体" w:eastAsia="宋体" w:cs="宋体"/>
          <w:color w:val="000000"/>
          <w:sz w:val="24"/>
          <w:szCs w:val="24"/>
          <w:u w:val="single"/>
        </w:rPr>
        <w:t xml:space="preserve">   是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(1)工程量清单项目缺项、项目多列或重复列项；(2)工程量清单项目数量有误；(3)未按照国家现行计量规范中强制性规定计量的。</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73" w:name="_Toc296347156"/>
      <w:bookmarkStart w:id="474" w:name="_Toc297048343"/>
      <w:bookmarkStart w:id="475" w:name="_Toc296346658"/>
      <w:bookmarkStart w:id="476" w:name="_Toc296944496"/>
      <w:bookmarkStart w:id="477" w:name="_Toc296890985"/>
      <w:bookmarkStart w:id="478" w:name="_Toc296503157"/>
      <w:bookmarkStart w:id="479" w:name="_Toc297120457"/>
      <w:bookmarkStart w:id="480" w:name="_Toc296891197"/>
      <w:bookmarkStart w:id="481" w:name="_Toc292559362"/>
      <w:bookmarkStart w:id="482" w:name="_Toc292559867"/>
      <w:r>
        <w:rPr>
          <w:rFonts w:hint="eastAsia" w:ascii="宋体" w:hAnsi="宋体" w:eastAsia="宋体" w:cs="宋体"/>
          <w:b w:val="0"/>
          <w:color w:val="000000"/>
          <w:sz w:val="24"/>
          <w:szCs w:val="24"/>
        </w:rPr>
        <w:t>. 发包人</w:t>
      </w:r>
      <w:bookmarkEnd w:id="471"/>
      <w:bookmarkEnd w:id="472"/>
    </w:p>
    <w:bookmarkEnd w:id="473"/>
    <w:bookmarkEnd w:id="474"/>
    <w:bookmarkEnd w:id="475"/>
    <w:bookmarkEnd w:id="476"/>
    <w:bookmarkEnd w:id="477"/>
    <w:bookmarkEnd w:id="478"/>
    <w:bookmarkEnd w:id="479"/>
    <w:bookmarkEnd w:id="480"/>
    <w:bookmarkEnd w:id="481"/>
    <w:bookmarkEnd w:id="482"/>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发包人派驻施工现场代表：</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2.4.2 提供施工条件关于发包人应负责提供施工所需要的条件，包括：</w:t>
      </w:r>
      <w:r>
        <w:rPr>
          <w:rFonts w:hint="eastAsia" w:ascii="宋体" w:hAnsi="宋体" w:eastAsia="宋体" w:cs="宋体"/>
          <w:color w:val="000000"/>
          <w:sz w:val="24"/>
          <w:szCs w:val="24"/>
          <w:u w:val="single"/>
        </w:rPr>
        <w:t>施工所需水、电接至施工现场；施工场地与公共道路的通道开通；工程地质和地下管线资料；发包人办理的施工所需证件等。</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2.5 资金来源证明及支付担保：</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不需提供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483" w:name="_Toc386638609"/>
      <w:bookmarkStart w:id="484" w:name="_Toc351203635"/>
      <w:r>
        <w:rPr>
          <w:rFonts w:hint="eastAsia" w:ascii="宋体" w:hAnsi="宋体" w:eastAsia="宋体" w:cs="宋体"/>
          <w:b w:val="0"/>
          <w:color w:val="000000"/>
          <w:sz w:val="24"/>
          <w:szCs w:val="24"/>
        </w:rPr>
        <w:t>3</w:t>
      </w:r>
      <w:bookmarkStart w:id="485" w:name="_Toc297048344"/>
      <w:bookmarkStart w:id="486" w:name="_Toc296944497"/>
      <w:bookmarkStart w:id="487" w:name="_Toc292559868"/>
      <w:bookmarkStart w:id="488" w:name="_Toc292559363"/>
      <w:bookmarkStart w:id="489" w:name="_Toc297120458"/>
      <w:bookmarkStart w:id="490" w:name="_Toc296891198"/>
      <w:bookmarkStart w:id="491" w:name="_Toc296346659"/>
      <w:bookmarkStart w:id="492" w:name="_Toc296503158"/>
      <w:bookmarkStart w:id="493" w:name="_Toc296347157"/>
      <w:bookmarkStart w:id="494" w:name="_Toc296890986"/>
      <w:r>
        <w:rPr>
          <w:rFonts w:hint="eastAsia" w:ascii="宋体" w:hAnsi="宋体" w:eastAsia="宋体" w:cs="宋体"/>
          <w:b w:val="0"/>
          <w:color w:val="000000"/>
          <w:sz w:val="24"/>
          <w:szCs w:val="24"/>
        </w:rPr>
        <w:t>. 承包人</w:t>
      </w:r>
      <w:bookmarkEnd w:id="483"/>
      <w:bookmarkEnd w:id="484"/>
    </w:p>
    <w:bookmarkEnd w:id="485"/>
    <w:bookmarkEnd w:id="486"/>
    <w:bookmarkEnd w:id="487"/>
    <w:bookmarkEnd w:id="488"/>
    <w:bookmarkEnd w:id="489"/>
    <w:bookmarkEnd w:id="490"/>
    <w:bookmarkEnd w:id="491"/>
    <w:bookmarkEnd w:id="492"/>
    <w:bookmarkEnd w:id="493"/>
    <w:bookmarkEnd w:id="494"/>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 xml:space="preserve"> 按宁海县城建档案归档要求提交竣工资料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sz w:val="24"/>
          <w:szCs w:val="24"/>
          <w:u w:val="single"/>
        </w:rPr>
        <w:t xml:space="preserve"> 肆套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由承包人自行承担</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在具备竣工验收合格条件后2个月内</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纸质和电子资料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（6）承包人应履行的其他义务：</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(1)因患病等身体原因无法坚持施工现场管理工作的；</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(2)退休或离开本单位的；</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(3)工程因故停止(或暂停3个月以上)建设或领取中标通知书后未开工达3个月以上的；</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(4)被建设主管部门责令停止(暂停)上岗资格、建议吊销或吊销相关证书，或被有关部门依法追究刑事责任的。</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项目负责人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项目负责人：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承包人对项目负责人的授权范围如下：</w:t>
      </w:r>
      <w:r>
        <w:rPr>
          <w:rFonts w:hint="eastAsia" w:ascii="宋体" w:hAnsi="宋体" w:eastAsia="宋体" w:cs="宋体"/>
          <w:color w:val="000000"/>
          <w:sz w:val="24"/>
          <w:szCs w:val="24"/>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关于项目经理每月在施工现场的时间要求：</w:t>
      </w:r>
      <w:r>
        <w:rPr>
          <w:rFonts w:hint="eastAsia" w:ascii="宋体" w:hAnsi="宋体" w:eastAsia="宋体" w:cs="宋体"/>
          <w:color w:val="000000"/>
          <w:sz w:val="24"/>
          <w:szCs w:val="24"/>
          <w:u w:val="single"/>
        </w:rPr>
        <w:t>月到位率不少于每月20日历天，</w:t>
      </w:r>
      <w:r>
        <w:rPr>
          <w:rFonts w:hint="eastAsia" w:ascii="宋体" w:hAnsi="宋体" w:eastAsia="宋体" w:cs="宋体"/>
          <w:b/>
          <w:color w:val="000000"/>
          <w:sz w:val="24"/>
          <w:szCs w:val="24"/>
          <w:u w:val="single"/>
        </w:rPr>
        <w:t>（除特殊情况外）</w:t>
      </w:r>
      <w:r>
        <w:rPr>
          <w:rFonts w:hint="eastAsia" w:ascii="宋体" w:hAnsi="宋体" w:eastAsia="宋体" w:cs="宋体"/>
          <w:color w:val="000000"/>
          <w:sz w:val="24"/>
          <w:szCs w:val="24"/>
          <w:u w:val="single"/>
        </w:rPr>
        <w:t>且重要工程例会及验收环节等必须由项目经理参加，否则处违约金1000元/人/天</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发包人有权解除合同，由此造成的费用增加和工期延误损失均由承包人承担</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处违约金10000元/次，违约金从监理和发包人发现违约情况的当月工程款中扣除。</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3.2.4 承包人无正当理由拒绝更换项目经理的违约责任：</w:t>
      </w:r>
      <w:r>
        <w:rPr>
          <w:rFonts w:hint="eastAsia" w:ascii="宋体" w:hAnsi="宋体" w:eastAsia="宋体" w:cs="宋体"/>
          <w:color w:val="000000"/>
          <w:sz w:val="24"/>
          <w:szCs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承包人应在合同备案前将项目管理机构及施工现场管理人员报招标代理机构审查，并报发包人备案。</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承包人无正当理由拒绝撤换项目部关键岗位人员的违约责任：</w:t>
      </w:r>
      <w:r>
        <w:rPr>
          <w:rFonts w:hint="eastAsia" w:ascii="宋体" w:hAnsi="宋体" w:eastAsia="宋体" w:cs="宋体"/>
          <w:color w:val="000000"/>
          <w:sz w:val="24"/>
          <w:szCs w:val="24"/>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3.3.4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承包人项目部关键岗位人员离开施工现场的批准要求：</w:t>
      </w:r>
      <w:r>
        <w:rPr>
          <w:rFonts w:hint="eastAsia" w:ascii="宋体" w:hAnsi="宋体" w:eastAsia="宋体" w:cs="宋体"/>
          <w:color w:val="000000"/>
          <w:sz w:val="24"/>
          <w:szCs w:val="24"/>
          <w:u w:val="single"/>
        </w:rPr>
        <w:t>书面形式，并由发包人及总监工程师签字确认</w:t>
      </w:r>
      <w:r>
        <w:rPr>
          <w:rFonts w:hint="eastAsia" w:ascii="宋体" w:hAnsi="宋体" w:eastAsia="宋体" w:cs="宋体"/>
          <w:color w:val="000000"/>
          <w:sz w:val="24"/>
          <w:szCs w:val="24"/>
          <w:u w:val="single"/>
          <w:lang w:eastAsia="zh-CN"/>
        </w:rPr>
        <w:t>。</w:t>
      </w:r>
    </w:p>
    <w:p>
      <w:pPr>
        <w:pageBreakBefore w:val="0"/>
        <w:kinsoku/>
        <w:wordWrap/>
        <w:overflowPunct/>
        <w:topLinePunct w:val="0"/>
        <w:bidi w:val="0"/>
        <w:spacing w:line="360" w:lineRule="auto"/>
        <w:ind w:left="0" w:firstLine="480" w:firstLineChars="20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3.3.5</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承包人擅自更换项目部关键岗位人员的违约责任：</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495" w:name="_Toc297216151"/>
      <w:bookmarkStart w:id="496" w:name="_Toc304295523"/>
      <w:bookmarkStart w:id="497" w:name="_Toc312677988"/>
      <w:bookmarkStart w:id="498" w:name="_Toc296503159"/>
      <w:bookmarkStart w:id="499" w:name="_Toc292559364"/>
      <w:bookmarkStart w:id="500" w:name="_Toc296347158"/>
      <w:bookmarkStart w:id="501" w:name="_Toc297120459"/>
      <w:bookmarkStart w:id="502" w:name="_Toc300934945"/>
      <w:bookmarkStart w:id="503" w:name="_Toc292559869"/>
      <w:bookmarkStart w:id="504" w:name="_Toc296891199"/>
      <w:bookmarkStart w:id="505" w:name="_Toc296944498"/>
      <w:bookmarkStart w:id="506" w:name="_Toc297048345"/>
      <w:bookmarkStart w:id="507" w:name="_Toc296890987"/>
      <w:bookmarkStart w:id="508" w:name="_Toc303539102"/>
      <w:bookmarkStart w:id="509" w:name="_Toc297123492"/>
      <w:bookmarkStart w:id="510" w:name="_Toc296346660"/>
      <w:r>
        <w:rPr>
          <w:rFonts w:hint="eastAsia" w:ascii="宋体" w:hAnsi="宋体" w:eastAsia="宋体" w:cs="宋体"/>
          <w:color w:val="000000"/>
          <w:sz w:val="24"/>
          <w:szCs w:val="24"/>
        </w:rPr>
        <w:t>.5 分包</w:t>
      </w:r>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511" w:name="_Toc297120460"/>
      <w:bookmarkStart w:id="512" w:name="_Toc300934946"/>
      <w:bookmarkStart w:id="513" w:name="_Toc296347159"/>
      <w:bookmarkStart w:id="514" w:name="_Toc318581158"/>
      <w:bookmarkStart w:id="515" w:name="_Toc297123493"/>
      <w:bookmarkStart w:id="516" w:name="_Toc292559870"/>
      <w:bookmarkStart w:id="517" w:name="_Toc304295524"/>
      <w:bookmarkStart w:id="518" w:name="_Toc297048346"/>
      <w:bookmarkStart w:id="519" w:name="_Toc312677989"/>
      <w:bookmarkStart w:id="520" w:name="_Toc296891200"/>
      <w:bookmarkStart w:id="521" w:name="_Toc303539103"/>
      <w:bookmarkStart w:id="522" w:name="_Toc296346661"/>
      <w:bookmarkStart w:id="523" w:name="_Toc297216152"/>
      <w:bookmarkStart w:id="524" w:name="_Toc292559365"/>
      <w:bookmarkStart w:id="525" w:name="_Toc296944499"/>
      <w:bookmarkStart w:id="526" w:name="_Toc296890988"/>
      <w:bookmarkStart w:id="527" w:name="_Toc296503160"/>
      <w:r>
        <w:rPr>
          <w:rFonts w:hint="eastAsia" w:ascii="宋体" w:hAnsi="宋体" w:eastAsia="宋体" w:cs="宋体"/>
          <w:color w:val="000000"/>
          <w:sz w:val="24"/>
          <w:szCs w:val="24"/>
        </w:rPr>
        <w:t>.5.1 分包的一般约定</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禁止分包的工程包括：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主体结构、关键性工作的范围：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528" w:name="_Toc312677990"/>
      <w:bookmarkStart w:id="529" w:name="_Toc318581159"/>
      <w:r>
        <w:rPr>
          <w:rFonts w:hint="eastAsia" w:ascii="宋体" w:hAnsi="宋体" w:eastAsia="宋体" w:cs="宋体"/>
          <w:color w:val="000000"/>
          <w:sz w:val="24"/>
          <w:szCs w:val="24"/>
        </w:rPr>
        <w:t>.5.2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分包的确定</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允许分包的专业工程包括：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528"/>
    <w:bookmarkEnd w:id="529"/>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承包人负责照管工程及工程相关的材料、工程设备的起始时间：</w:t>
      </w:r>
      <w:r>
        <w:rPr>
          <w:rFonts w:hint="eastAsia" w:ascii="宋体" w:hAnsi="宋体" w:eastAsia="宋体" w:cs="宋体"/>
          <w:color w:val="000000"/>
          <w:sz w:val="24"/>
          <w:szCs w:val="24"/>
          <w:u w:val="single"/>
        </w:rPr>
        <w:t>工程开工令发布之日</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bookmarkStart w:id="530" w:name="_Toc386638610"/>
      <w:bookmarkStart w:id="531" w:name="_Toc351203636"/>
      <w:r>
        <w:rPr>
          <w:rFonts w:hint="eastAsia" w:ascii="宋体" w:hAnsi="宋体" w:eastAsia="宋体" w:cs="宋体"/>
          <w:color w:val="000000"/>
          <w:sz w:val="24"/>
          <w:szCs w:val="24"/>
        </w:rPr>
        <w:t>3.7 履约担保</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eastAsia="宋体" w:cs="宋体"/>
          <w:sz w:val="24"/>
          <w:szCs w:val="24"/>
          <w:u w:val="single"/>
        </w:rPr>
        <w:t xml:space="preserve">      是      </w:t>
      </w:r>
      <w:r>
        <w:rPr>
          <w:rFonts w:hint="eastAsia" w:ascii="宋体" w:hAnsi="宋体" w:eastAsia="宋体" w:cs="宋体"/>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承包人提供履约担保的形式、金额及期限的约定：</w:t>
      </w:r>
      <w:bookmarkStart w:id="532" w:name="_Hlk89720919"/>
      <w:r>
        <w:rPr>
          <w:rFonts w:hint="eastAsia" w:ascii="宋体" w:hAnsi="宋体" w:eastAsia="宋体" w:cs="宋体"/>
          <w:sz w:val="24"/>
          <w:szCs w:val="24"/>
          <w:u w:val="single"/>
        </w:rPr>
        <w:t>履约保证金金额：合同金额的1%；履约保证金形式：银行汇票（电汇）、银行保函、保险保单或支票（仅限于使用宁波大市区范围内的银行开具的支票）等形式；担保收件人：</w:t>
      </w:r>
      <w:r>
        <w:rPr>
          <w:rFonts w:hint="eastAsia" w:ascii="宋体" w:hAnsi="宋体" w:eastAsia="宋体" w:cs="宋体"/>
          <w:sz w:val="24"/>
          <w:szCs w:val="24"/>
          <w:u w:val="single"/>
          <w:lang w:val="en-US" w:eastAsia="zh-CN"/>
        </w:rPr>
        <w:t>发包人</w:t>
      </w:r>
      <w:r>
        <w:rPr>
          <w:rFonts w:hint="eastAsia" w:ascii="宋体" w:hAnsi="宋体" w:eastAsia="宋体" w:cs="宋体"/>
          <w:sz w:val="24"/>
          <w:szCs w:val="24"/>
          <w:u w:val="single"/>
        </w:rPr>
        <w:t>；履约保证金的退取：项目验收合格后，根据实际履约情况扣除相应违约金后无息退还履约保证金（但如</w:t>
      </w:r>
      <w:r>
        <w:rPr>
          <w:rFonts w:hint="eastAsia" w:ascii="宋体" w:hAnsi="宋体" w:eastAsia="宋体" w:cs="宋体"/>
          <w:sz w:val="24"/>
          <w:szCs w:val="24"/>
          <w:u w:val="single"/>
          <w:lang w:val="en-US" w:eastAsia="zh-CN"/>
        </w:rPr>
        <w:t>承包人</w:t>
      </w:r>
      <w:r>
        <w:rPr>
          <w:rFonts w:hint="eastAsia" w:ascii="宋体" w:hAnsi="宋体" w:eastAsia="宋体" w:cs="宋体"/>
          <w:sz w:val="24"/>
          <w:szCs w:val="24"/>
          <w:u w:val="single"/>
        </w:rPr>
        <w:t>未能履行合同规定的任何义务，</w:t>
      </w:r>
      <w:r>
        <w:rPr>
          <w:rFonts w:hint="eastAsia" w:ascii="宋体" w:hAnsi="宋体" w:eastAsia="宋体" w:cs="宋体"/>
          <w:sz w:val="24"/>
          <w:szCs w:val="24"/>
          <w:u w:val="single"/>
          <w:lang w:val="en-US" w:eastAsia="zh-CN"/>
        </w:rPr>
        <w:t>发包人</w:t>
      </w:r>
      <w:r>
        <w:rPr>
          <w:rFonts w:hint="eastAsia" w:ascii="宋体" w:hAnsi="宋体" w:eastAsia="宋体" w:cs="宋体"/>
          <w:sz w:val="24"/>
          <w:szCs w:val="24"/>
          <w:u w:val="single"/>
        </w:rPr>
        <w:t>有权从履约保证金中得到补偿）。</w:t>
      </w:r>
    </w:p>
    <w:bookmarkEnd w:id="532"/>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33" w:name="_Toc297120462"/>
      <w:bookmarkStart w:id="534" w:name="_Toc297048348"/>
      <w:bookmarkStart w:id="535" w:name="_Toc296346663"/>
      <w:bookmarkStart w:id="536" w:name="_Toc296890990"/>
      <w:bookmarkStart w:id="537" w:name="_Toc296891202"/>
      <w:bookmarkStart w:id="538" w:name="_Toc267251413"/>
      <w:bookmarkStart w:id="539" w:name="_Toc292559871"/>
      <w:bookmarkStart w:id="540" w:name="_Toc296503162"/>
      <w:bookmarkStart w:id="541" w:name="_Toc296347161"/>
      <w:bookmarkStart w:id="542" w:name="_Toc292559366"/>
      <w:bookmarkStart w:id="543" w:name="_Toc296944501"/>
      <w:r>
        <w:rPr>
          <w:rFonts w:hint="eastAsia" w:ascii="宋体" w:hAnsi="宋体" w:eastAsia="宋体" w:cs="宋体"/>
          <w:b w:val="0"/>
          <w:color w:val="000000"/>
          <w:sz w:val="24"/>
          <w:szCs w:val="24"/>
        </w:rPr>
        <w:t>. 监</w:t>
      </w:r>
      <w:bookmarkEnd w:id="533"/>
      <w:bookmarkEnd w:id="534"/>
      <w:bookmarkEnd w:id="535"/>
      <w:bookmarkEnd w:id="536"/>
      <w:bookmarkEnd w:id="537"/>
      <w:bookmarkEnd w:id="538"/>
      <w:bookmarkEnd w:id="539"/>
      <w:bookmarkEnd w:id="540"/>
      <w:bookmarkEnd w:id="541"/>
      <w:bookmarkEnd w:id="542"/>
      <w:bookmarkEnd w:id="543"/>
      <w:r>
        <w:rPr>
          <w:rFonts w:hint="eastAsia" w:ascii="宋体" w:hAnsi="宋体" w:eastAsia="宋体" w:cs="宋体"/>
          <w:b w:val="0"/>
          <w:color w:val="000000"/>
          <w:sz w:val="24"/>
          <w:szCs w:val="24"/>
        </w:rPr>
        <w:t>理人</w:t>
      </w:r>
      <w:bookmarkEnd w:id="530"/>
      <w:bookmarkEnd w:id="531"/>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监理人的一般规定</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工程建设监理合同授予监理人的权利</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涉及费用、工期、图纸更改等工程变更指令和付款、暂停工程施工指令的下达权需取得发包人书面批准后方可执行</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4.4 商定或确定：</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在发包人和承包人不能通过协商达成一致意见时，总监理工程师应按照合同约定作出公正确定，应在合同发包人会商之日起7天内提供书面确定意见。</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544" w:name="_Toc267251418"/>
      <w:bookmarkStart w:id="545" w:name="_Toc386638611"/>
      <w:bookmarkStart w:id="546" w:name="_Toc351203637"/>
      <w:r>
        <w:rPr>
          <w:rFonts w:hint="eastAsia" w:ascii="宋体" w:hAnsi="宋体" w:eastAsia="宋体" w:cs="宋体"/>
          <w:b w:val="0"/>
          <w:color w:val="000000"/>
          <w:sz w:val="24"/>
          <w:szCs w:val="24"/>
        </w:rPr>
        <w:t>5</w:t>
      </w:r>
      <w:bookmarkEnd w:id="544"/>
      <w:r>
        <w:rPr>
          <w:rFonts w:hint="eastAsia" w:ascii="宋体" w:hAnsi="宋体" w:eastAsia="宋体" w:cs="宋体"/>
          <w:b w:val="0"/>
          <w:color w:val="000000"/>
          <w:sz w:val="24"/>
          <w:szCs w:val="24"/>
        </w:rPr>
        <w:t>. 工程质量</w:t>
      </w:r>
      <w:bookmarkEnd w:id="545"/>
      <w:bookmarkEnd w:id="546"/>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5.1.1</w:t>
      </w:r>
      <w:r>
        <w:rPr>
          <w:rFonts w:hint="eastAsia" w:ascii="宋体" w:hAnsi="宋体" w:eastAsia="宋体" w:cs="宋体"/>
          <w:bCs/>
          <w:color w:val="000000"/>
          <w:sz w:val="24"/>
          <w:szCs w:val="24"/>
          <w:lang w:val="en-US" w:eastAsia="zh-CN"/>
        </w:rPr>
        <w:t xml:space="preserve"> </w:t>
      </w:r>
      <w:r>
        <w:rPr>
          <w:rFonts w:hint="eastAsia" w:ascii="宋体" w:hAnsi="宋体" w:eastAsia="宋体" w:cs="宋体"/>
          <w:color w:val="000000"/>
          <w:sz w:val="24"/>
          <w:szCs w:val="24"/>
          <w:u w:val="none"/>
        </w:rPr>
        <w:t>质量</w:t>
      </w:r>
      <w:r>
        <w:rPr>
          <w:rFonts w:hint="eastAsia" w:ascii="宋体" w:hAnsi="宋体" w:eastAsia="宋体" w:cs="宋体"/>
          <w:bCs/>
          <w:color w:val="000000"/>
          <w:sz w:val="24"/>
          <w:szCs w:val="24"/>
        </w:rPr>
        <w:t>要求：</w:t>
      </w:r>
      <w:r>
        <w:rPr>
          <w:rFonts w:hint="eastAsia" w:ascii="宋体" w:hAnsi="宋体" w:eastAsia="宋体" w:cs="宋体"/>
          <w:color w:val="000000"/>
          <w:sz w:val="24"/>
          <w:szCs w:val="24"/>
          <w:u w:val="single"/>
        </w:rPr>
        <w:t>符合现行国家有关工程施工质量验收规范和标准要求，验收合格。</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bookmarkStart w:id="547" w:name="_Toc303539106"/>
      <w:bookmarkStart w:id="548" w:name="_Toc297216155"/>
      <w:bookmarkStart w:id="549" w:name="_Toc300934949"/>
      <w:bookmarkStart w:id="550" w:name="_Toc297123496"/>
      <w:bookmarkStart w:id="551" w:name="_Toc304295527"/>
      <w:bookmarkStart w:id="552" w:name="_Toc318581164"/>
      <w:bookmarkStart w:id="553" w:name="_Toc312677997"/>
      <w:r>
        <w:rPr>
          <w:rFonts w:hint="eastAsia" w:ascii="宋体" w:hAnsi="宋体" w:eastAsia="宋体" w:cs="宋体"/>
          <w:color w:val="000000"/>
          <w:sz w:val="24"/>
          <w:szCs w:val="24"/>
        </w:rPr>
        <w:t>.1.2 特殊质量标准和要求：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关于工程奖项的约定：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承包人提前通知监理人隐蔽工程检查的期限的约定：</w:t>
      </w:r>
      <w:r>
        <w:rPr>
          <w:rFonts w:hint="eastAsia" w:ascii="宋体" w:hAnsi="宋体" w:eastAsia="宋体" w:cs="宋体"/>
          <w:color w:val="000000"/>
          <w:sz w:val="24"/>
          <w:szCs w:val="24"/>
          <w:u w:val="single"/>
        </w:rPr>
        <w:t>承包人应在共同检查前48小时书面通知监理人检查</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监理人不能按时进行检查时，应提前</w:t>
      </w:r>
      <w:r>
        <w:rPr>
          <w:rFonts w:hint="eastAsia" w:ascii="宋体" w:hAnsi="宋体" w:eastAsia="宋体" w:cs="宋体"/>
          <w:color w:val="000000"/>
          <w:sz w:val="24"/>
          <w:szCs w:val="24"/>
          <w:u w:val="single"/>
        </w:rPr>
        <w:t>24</w:t>
      </w:r>
      <w:r>
        <w:rPr>
          <w:rFonts w:hint="eastAsia" w:ascii="宋体" w:hAnsi="宋体" w:eastAsia="宋体" w:cs="宋体"/>
          <w:color w:val="000000"/>
          <w:sz w:val="24"/>
          <w:szCs w:val="24"/>
        </w:rPr>
        <w:t>小时提交书面延期要求。</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48</w:t>
      </w:r>
      <w:r>
        <w:rPr>
          <w:rFonts w:hint="eastAsia" w:ascii="宋体" w:hAnsi="宋体" w:eastAsia="宋体" w:cs="宋体"/>
          <w:color w:val="000000"/>
          <w:sz w:val="24"/>
          <w:szCs w:val="24"/>
        </w:rPr>
        <w:t>小时。</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554" w:name="_Toc386638612"/>
      <w:bookmarkStart w:id="555" w:name="_Toc351203638"/>
      <w:r>
        <w:rPr>
          <w:rFonts w:hint="eastAsia" w:ascii="宋体" w:hAnsi="宋体" w:eastAsia="宋体" w:cs="宋体"/>
          <w:b w:val="0"/>
          <w:color w:val="000000"/>
          <w:sz w:val="24"/>
          <w:szCs w:val="24"/>
        </w:rPr>
        <w:t>6. 安全文明施工与环境保护</w:t>
      </w:r>
      <w:bookmarkEnd w:id="554"/>
      <w:bookmarkEnd w:id="555"/>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安全文明施工</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6.1.1 项目安全生产的达标目标及相应事项的约定：</w:t>
      </w:r>
      <w:r>
        <w:rPr>
          <w:rFonts w:hint="eastAsia" w:ascii="宋体" w:hAnsi="宋体" w:eastAsia="宋体" w:cs="宋体"/>
          <w:color w:val="000000"/>
          <w:sz w:val="24"/>
          <w:szCs w:val="24"/>
          <w:u w:val="single"/>
        </w:rPr>
        <w:t>合格，若有工伤事故、工料损失和其他任何损失，概由乙方负责</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6.1.4 关于治安保卫的特别约定：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关于编制施工场地治安管理计划的约定：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6.1.5 文明施工</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合同当事人对文明施工的要求：</w:t>
      </w:r>
      <w:r>
        <w:rPr>
          <w:rFonts w:hint="eastAsia" w:ascii="宋体" w:hAnsi="宋体" w:eastAsia="宋体" w:cs="宋体"/>
          <w:color w:val="000000"/>
          <w:sz w:val="24"/>
          <w:szCs w:val="24"/>
          <w:u w:val="single"/>
        </w:rPr>
        <w:t>按《宁波市建设工程文明施工管理规定》(宁波</w:t>
      </w:r>
      <w:r>
        <w:rPr>
          <w:rFonts w:hint="eastAsia" w:ascii="宋体" w:hAnsi="宋体" w:eastAsia="宋体" w:cs="宋体"/>
          <w:color w:val="000000"/>
          <w:sz w:val="24"/>
          <w:szCs w:val="24"/>
          <w:u w:val="single"/>
          <w:lang w:eastAsia="zh-CN"/>
        </w:rPr>
        <w:t>建筑</w:t>
      </w:r>
      <w:r>
        <w:rPr>
          <w:rFonts w:hint="eastAsia" w:ascii="宋体" w:hAnsi="宋体" w:eastAsia="宋体" w:cs="宋体"/>
          <w:color w:val="000000"/>
          <w:sz w:val="24"/>
          <w:szCs w:val="24"/>
          <w:u w:val="single"/>
        </w:rPr>
        <w:t>府令第195号)、《关于印发宁海县建筑工地扬尘综合整治专项实施方案的通知》(宁建［2013］62号)文件要求执行</w:t>
      </w:r>
      <w:r>
        <w:rPr>
          <w:rFonts w:hint="eastAsia" w:ascii="宋体" w:hAnsi="宋体" w:eastAsia="宋体" w:cs="宋体"/>
          <w:color w:val="000000"/>
          <w:sz w:val="24"/>
          <w:szCs w:val="24"/>
        </w:rPr>
        <w:t>。</w:t>
      </w:r>
    </w:p>
    <w:bookmarkEnd w:id="547"/>
    <w:bookmarkEnd w:id="548"/>
    <w:bookmarkEnd w:id="549"/>
    <w:bookmarkEnd w:id="550"/>
    <w:bookmarkEnd w:id="551"/>
    <w:bookmarkEnd w:id="552"/>
    <w:bookmarkEnd w:id="553"/>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556" w:name="_Toc386638613"/>
      <w:bookmarkStart w:id="557" w:name="_Toc351203639"/>
      <w:r>
        <w:rPr>
          <w:rFonts w:hint="eastAsia" w:ascii="宋体" w:hAnsi="宋体" w:eastAsia="宋体" w:cs="宋体"/>
          <w:b w:val="0"/>
          <w:color w:val="000000"/>
          <w:sz w:val="24"/>
          <w:szCs w:val="24"/>
        </w:rPr>
        <w:t>7. 工期和进度</w:t>
      </w:r>
      <w:bookmarkEnd w:id="556"/>
      <w:bookmarkEnd w:id="557"/>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7.1.1 合同当事人约定的施工组织设计应包括的其他内容：</w:t>
      </w:r>
      <w:r>
        <w:rPr>
          <w:rFonts w:hint="eastAsia" w:ascii="宋体" w:hAnsi="宋体" w:eastAsia="宋体" w:cs="宋体"/>
          <w:color w:val="000000"/>
          <w:sz w:val="24"/>
          <w:szCs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4"/>
          <w:szCs w:val="24"/>
        </w:rPr>
        <w:t>。</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7.1.2 施工组织设计的提交和修改</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承包人提交详细施工组织设计的期限的约定：</w:t>
      </w:r>
      <w:r>
        <w:rPr>
          <w:rFonts w:hint="eastAsia" w:ascii="宋体" w:hAnsi="宋体" w:eastAsia="宋体" w:cs="宋体"/>
          <w:color w:val="000000"/>
          <w:sz w:val="24"/>
          <w:szCs w:val="24"/>
          <w:u w:val="single"/>
        </w:rPr>
        <w:t>合同签订后14天内，但至迟不得晚于开工前7天</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color w:val="000000"/>
          <w:sz w:val="24"/>
          <w:szCs w:val="24"/>
          <w:u w:val="single"/>
        </w:rPr>
        <w:t>收到7天内</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558" w:name="_Toc300934966"/>
      <w:bookmarkStart w:id="559" w:name="_Toc297216173"/>
      <w:bookmarkStart w:id="560" w:name="_Toc297123514"/>
      <w:bookmarkStart w:id="561" w:name="_Toc304295541"/>
      <w:bookmarkStart w:id="562" w:name="_Toc312677479"/>
      <w:bookmarkStart w:id="563" w:name="_Toc303539123"/>
      <w:bookmarkStart w:id="564" w:name="_Toc312678005"/>
      <w:r>
        <w:rPr>
          <w:rFonts w:hint="eastAsia" w:ascii="宋体" w:hAnsi="宋体" w:eastAsia="宋体" w:cs="宋体"/>
          <w:color w:val="000000"/>
          <w:sz w:val="24"/>
          <w:szCs w:val="24"/>
        </w:rPr>
        <w:t>.2 施工进度计划</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color w:val="000000"/>
          <w:sz w:val="24"/>
          <w:szCs w:val="24"/>
          <w:u w:val="single"/>
        </w:rPr>
        <w:t>收到7天内</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发包人应按约定完成开工准备工作。</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开工通知</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color w:val="000000"/>
          <w:sz w:val="24"/>
          <w:szCs w:val="24"/>
          <w:u w:val="single"/>
        </w:rPr>
        <w:t xml:space="preserve"> 90 </w:t>
      </w:r>
      <w:r>
        <w:rPr>
          <w:rFonts w:hint="eastAsia" w:ascii="宋体" w:hAnsi="宋体" w:eastAsia="宋体" w:cs="宋体"/>
          <w:color w:val="000000"/>
          <w:sz w:val="24"/>
          <w:szCs w:val="24"/>
        </w:rPr>
        <w:t>天内发出开工通知的，承包人有权提出价格调整要求，或者解除合同。</w:t>
      </w:r>
    </w:p>
    <w:bookmarkEnd w:id="558"/>
    <w:bookmarkEnd w:id="559"/>
    <w:bookmarkEnd w:id="560"/>
    <w:bookmarkEnd w:id="561"/>
    <w:bookmarkEnd w:id="562"/>
    <w:bookmarkEnd w:id="563"/>
    <w:bookmarkEnd w:id="564"/>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7.4.1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发包人通过监理人向承包人提供测量基准点、基准线和水准点及其书面资料的期限：</w:t>
      </w:r>
      <w:r>
        <w:rPr>
          <w:rFonts w:hint="eastAsia" w:ascii="宋体" w:hAnsi="宋体" w:eastAsia="宋体" w:cs="宋体"/>
          <w:color w:val="000000"/>
          <w:sz w:val="24"/>
          <w:szCs w:val="24"/>
          <w:u w:val="single"/>
        </w:rPr>
        <w:t>不得晚于开工通知中载明的开工日期前7天</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565" w:name="_Toc297123516"/>
      <w:bookmarkStart w:id="566" w:name="_Toc303539125"/>
      <w:bookmarkStart w:id="567" w:name="_Toc304295546"/>
      <w:bookmarkStart w:id="568" w:name="_Toc300934968"/>
      <w:bookmarkStart w:id="569" w:name="_Toc312677484"/>
      <w:bookmarkStart w:id="570" w:name="_Toc297216175"/>
      <w:bookmarkStart w:id="571" w:name="_Toc312678010"/>
      <w:r>
        <w:rPr>
          <w:rFonts w:hint="eastAsia" w:ascii="宋体" w:hAnsi="宋体" w:eastAsia="宋体" w:cs="宋体"/>
          <w:color w:val="000000"/>
          <w:sz w:val="24"/>
          <w:szCs w:val="24"/>
        </w:rPr>
        <w:t>.5 工期延误</w:t>
      </w:r>
    </w:p>
    <w:bookmarkEnd w:id="565"/>
    <w:bookmarkEnd w:id="566"/>
    <w:bookmarkEnd w:id="567"/>
    <w:bookmarkEnd w:id="568"/>
    <w:bookmarkEnd w:id="569"/>
    <w:bookmarkEnd w:id="570"/>
    <w:bookmarkEnd w:id="571"/>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7.5.1 因发包人原因导致工期延误</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（7）因发包人原因导致工期延误的其他情形：</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572" w:name="_Toc312678012"/>
      <w:bookmarkStart w:id="573" w:name="_Toc318581169"/>
      <w:bookmarkStart w:id="574" w:name="_Toc312677486"/>
      <w:bookmarkStart w:id="575" w:name="_Toc300934970"/>
      <w:bookmarkStart w:id="576" w:name="_Toc304295548"/>
      <w:bookmarkStart w:id="577" w:name="_Toc297216177"/>
      <w:bookmarkStart w:id="578" w:name="_Toc297123518"/>
      <w:bookmarkStart w:id="579" w:name="_Toc303539127"/>
      <w:r>
        <w:rPr>
          <w:rFonts w:hint="eastAsia" w:ascii="宋体" w:hAnsi="宋体" w:eastAsia="宋体" w:cs="宋体"/>
          <w:color w:val="000000"/>
          <w:sz w:val="24"/>
          <w:szCs w:val="24"/>
        </w:rPr>
        <w:t>.5.2 因承包人原因导致工期延误</w:t>
      </w:r>
    </w:p>
    <w:bookmarkEnd w:id="572"/>
    <w:bookmarkEnd w:id="573"/>
    <w:bookmarkEnd w:id="574"/>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w:t>
      </w:r>
      <w:bookmarkStart w:id="580" w:name="_Toc312678013"/>
      <w:bookmarkStart w:id="581" w:name="_Toc312677487"/>
      <w:bookmarkStart w:id="582" w:name="_Toc318581170"/>
      <w:r>
        <w:rPr>
          <w:rFonts w:hint="eastAsia" w:ascii="宋体" w:hAnsi="宋体" w:eastAsia="宋体" w:cs="宋体"/>
          <w:color w:val="000000"/>
          <w:sz w:val="24"/>
          <w:szCs w:val="24"/>
        </w:rPr>
        <w:t>承包人原因造成工期延误，逾期竣工违约金的计算方法为：</w:t>
      </w:r>
      <w:r>
        <w:rPr>
          <w:rFonts w:hint="eastAsia" w:ascii="宋体" w:hAnsi="宋体" w:cs="宋体"/>
          <w:color w:val="000000"/>
          <w:sz w:val="24"/>
          <w:szCs w:val="24"/>
          <w:u w:val="single"/>
          <w:lang w:val="en-US" w:eastAsia="zh-CN"/>
        </w:rPr>
        <w:t>1</w:t>
      </w:r>
      <w:r>
        <w:rPr>
          <w:rFonts w:hint="eastAsia" w:ascii="宋体" w:hAnsi="宋体" w:eastAsia="宋体" w:cs="宋体"/>
          <w:color w:val="000000"/>
          <w:sz w:val="24"/>
          <w:szCs w:val="24"/>
          <w:u w:val="single"/>
        </w:rPr>
        <w:t>000元/天</w:t>
      </w:r>
      <w:r>
        <w:rPr>
          <w:rFonts w:hint="eastAsia" w:ascii="宋体" w:hAnsi="宋体" w:eastAsia="宋体" w:cs="宋体"/>
          <w:color w:val="000000"/>
          <w:sz w:val="24"/>
          <w:szCs w:val="24"/>
        </w:rPr>
        <w:t>。</w:t>
      </w:r>
      <w:bookmarkEnd w:id="575"/>
      <w:bookmarkEnd w:id="576"/>
      <w:bookmarkEnd w:id="577"/>
      <w:bookmarkEnd w:id="578"/>
      <w:bookmarkEnd w:id="579"/>
      <w:bookmarkEnd w:id="580"/>
      <w:bookmarkEnd w:id="581"/>
    </w:p>
    <w:bookmarkEnd w:id="582"/>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因承包人原因造成工期延误，逾</w:t>
      </w:r>
      <w:bookmarkStart w:id="583" w:name="_Toc318581171"/>
      <w:bookmarkStart w:id="584" w:name="_Toc312678014"/>
      <w:r>
        <w:rPr>
          <w:rFonts w:hint="eastAsia" w:ascii="宋体" w:hAnsi="宋体" w:eastAsia="宋体" w:cs="宋体"/>
          <w:color w:val="000000"/>
          <w:sz w:val="24"/>
          <w:szCs w:val="24"/>
        </w:rPr>
        <w:t>期竣工违约金的上限：</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合同价款的</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w:t>
      </w:r>
    </w:p>
    <w:bookmarkEnd w:id="583"/>
    <w:bookmarkEnd w:id="584"/>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585" w:name="_Toc297216178"/>
      <w:bookmarkStart w:id="586" w:name="_Toc303539128"/>
      <w:bookmarkStart w:id="587" w:name="_Toc304295549"/>
      <w:bookmarkStart w:id="588" w:name="_Toc297123519"/>
      <w:bookmarkStart w:id="589" w:name="_Toc300934971"/>
      <w:bookmarkStart w:id="590" w:name="_Toc312678015"/>
      <w:r>
        <w:rPr>
          <w:rFonts w:hint="eastAsia" w:ascii="宋体" w:hAnsi="宋体" w:eastAsia="宋体" w:cs="宋体"/>
          <w:color w:val="000000"/>
          <w:sz w:val="24"/>
          <w:szCs w:val="24"/>
        </w:rPr>
        <w:t>.6 不</w:t>
      </w:r>
      <w:bookmarkEnd w:id="585"/>
      <w:bookmarkEnd w:id="586"/>
      <w:bookmarkEnd w:id="587"/>
      <w:bookmarkEnd w:id="588"/>
      <w:bookmarkEnd w:id="589"/>
      <w:bookmarkEnd w:id="590"/>
      <w:r>
        <w:rPr>
          <w:rFonts w:hint="eastAsia" w:ascii="宋体" w:hAnsi="宋体" w:eastAsia="宋体" w:cs="宋体"/>
          <w:color w:val="000000"/>
          <w:sz w:val="24"/>
          <w:szCs w:val="24"/>
        </w:rPr>
        <w:t>利物质条件</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bookmarkStart w:id="591" w:name="_Toc297216179"/>
      <w:bookmarkStart w:id="592" w:name="_Toc303539129"/>
      <w:bookmarkStart w:id="593" w:name="_Toc297123520"/>
      <w:bookmarkStart w:id="594" w:name="_Toc300934972"/>
      <w:bookmarkStart w:id="595" w:name="_Toc318581172"/>
      <w:bookmarkStart w:id="596" w:name="_Toc304295550"/>
      <w:bookmarkStart w:id="597" w:name="_Toc312678016"/>
      <w:r>
        <w:rPr>
          <w:rFonts w:hint="eastAsia" w:ascii="宋体" w:hAnsi="宋体" w:eastAsia="宋体" w:cs="宋体"/>
          <w:color w:val="000000"/>
          <w:sz w:val="24"/>
          <w:szCs w:val="24"/>
        </w:rPr>
        <w:t>不利物质条件的其他情形和有关约定：</w:t>
      </w:r>
      <w:bookmarkEnd w:id="591"/>
      <w:bookmarkEnd w:id="592"/>
      <w:bookmarkEnd w:id="593"/>
      <w:bookmarkEnd w:id="594"/>
      <w:bookmarkEnd w:id="595"/>
      <w:bookmarkEnd w:id="596"/>
      <w:bookmarkEnd w:id="597"/>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598" w:name="_Toc300934973"/>
      <w:bookmarkStart w:id="599" w:name="_Toc304295551"/>
      <w:bookmarkStart w:id="600" w:name="_Toc312678017"/>
      <w:bookmarkStart w:id="601" w:name="_Toc297216180"/>
      <w:bookmarkStart w:id="602" w:name="_Toc297123521"/>
      <w:bookmarkStart w:id="603" w:name="_Toc303539130"/>
      <w:r>
        <w:rPr>
          <w:rFonts w:hint="eastAsia" w:ascii="宋体" w:hAnsi="宋体" w:eastAsia="宋体" w:cs="宋体"/>
          <w:color w:val="000000"/>
          <w:sz w:val="24"/>
          <w:szCs w:val="24"/>
        </w:rPr>
        <w:t>.7</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异常恶劣的气候条件</w:t>
      </w:r>
      <w:bookmarkEnd w:id="598"/>
      <w:bookmarkEnd w:id="599"/>
      <w:bookmarkEnd w:id="600"/>
      <w:bookmarkEnd w:id="601"/>
      <w:bookmarkEnd w:id="602"/>
      <w:bookmarkEnd w:id="603"/>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7.9.2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提前竣工的奖励：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7"/>
        <w:keepNext w:val="0"/>
        <w:keepLines w:val="0"/>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604" w:name="_Toc386638614"/>
      <w:bookmarkStart w:id="605" w:name="_Toc351203640"/>
      <w:r>
        <w:rPr>
          <w:rFonts w:hint="eastAsia" w:ascii="宋体" w:hAnsi="宋体" w:eastAsia="宋体" w:cs="宋体"/>
          <w:b w:val="0"/>
          <w:color w:val="000000"/>
          <w:sz w:val="24"/>
          <w:szCs w:val="24"/>
        </w:rPr>
        <w:t>8. 材料与设备</w:t>
      </w:r>
      <w:bookmarkEnd w:id="604"/>
      <w:bookmarkEnd w:id="605"/>
    </w:p>
    <w:bookmarkEnd w:id="438"/>
    <w:bookmarkEnd w:id="439"/>
    <w:bookmarkEnd w:id="440"/>
    <w:bookmarkEnd w:id="441"/>
    <w:bookmarkEnd w:id="442"/>
    <w:bookmarkEnd w:id="443"/>
    <w:bookmarkEnd w:id="444"/>
    <w:bookmarkEnd w:id="445"/>
    <w:bookmarkEnd w:id="446"/>
    <w:bookmarkEnd w:id="447"/>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606" w:name="_Toc303539136"/>
      <w:bookmarkStart w:id="607" w:name="_Toc304295556"/>
      <w:bookmarkStart w:id="608" w:name="_Toc296890995"/>
      <w:bookmarkStart w:id="609" w:name="_Toc296891207"/>
      <w:bookmarkStart w:id="610" w:name="_Toc312678019"/>
      <w:bookmarkStart w:id="611" w:name="_Toc312677493"/>
      <w:bookmarkStart w:id="612" w:name="_Toc292559372"/>
      <w:bookmarkStart w:id="613" w:name="_Toc297048353"/>
      <w:bookmarkStart w:id="614" w:name="_Toc297120467"/>
      <w:bookmarkStart w:id="615" w:name="_Toc300934979"/>
      <w:bookmarkStart w:id="616" w:name="_Toc296503167"/>
      <w:bookmarkStart w:id="617" w:name="_Toc280868654"/>
      <w:bookmarkStart w:id="618" w:name="_Toc296347166"/>
      <w:bookmarkStart w:id="619" w:name="_Toc292559877"/>
      <w:bookmarkStart w:id="620" w:name="_Toc297123527"/>
      <w:bookmarkStart w:id="621" w:name="_Toc296346668"/>
      <w:bookmarkStart w:id="622" w:name="_Toc296944506"/>
      <w:bookmarkStart w:id="623" w:name="_Toc297216186"/>
      <w:bookmarkStart w:id="624" w:name="_Toc280868656"/>
      <w:bookmarkStart w:id="625" w:name="_Toc280868655"/>
      <w:bookmarkStart w:id="626" w:name="_Toc267251424"/>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材料与工程设备的保管与使用</w:t>
      </w:r>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627" w:name="_Toc292559878"/>
      <w:bookmarkStart w:id="628" w:name="_Toc292559373"/>
      <w:bookmarkStart w:id="629" w:name="_Toc297216187"/>
      <w:bookmarkStart w:id="630" w:name="_Toc300934980"/>
      <w:bookmarkStart w:id="631" w:name="_Toc297048354"/>
      <w:bookmarkStart w:id="632" w:name="_Toc296347167"/>
      <w:bookmarkStart w:id="633" w:name="_Toc296891208"/>
      <w:bookmarkStart w:id="634" w:name="_Toc312678020"/>
      <w:bookmarkStart w:id="635" w:name="_Toc318581173"/>
      <w:bookmarkStart w:id="636" w:name="_Toc304295557"/>
      <w:bookmarkStart w:id="637" w:name="_Toc296944507"/>
      <w:bookmarkStart w:id="638" w:name="_Toc296890996"/>
      <w:bookmarkStart w:id="639" w:name="_Toc296503168"/>
      <w:bookmarkStart w:id="640" w:name="_Toc296346669"/>
      <w:bookmarkStart w:id="641" w:name="_Toc303539137"/>
      <w:bookmarkStart w:id="642" w:name="_Toc297123528"/>
      <w:bookmarkStart w:id="643" w:name="_Toc297120468"/>
      <w:bookmarkStart w:id="644" w:name="_Toc312677494"/>
      <w:r>
        <w:rPr>
          <w:rFonts w:hint="eastAsia" w:ascii="宋体" w:hAnsi="宋体" w:eastAsia="宋体" w:cs="宋体"/>
          <w:color w:val="000000"/>
          <w:sz w:val="24"/>
          <w:szCs w:val="24"/>
        </w:rPr>
        <w:t>.4.1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发包人供应的材料设备的保管费用的承担：</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bookmarkEnd w:id="627"/>
      <w:bookmarkEnd w:id="628"/>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8.6.1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样品的报送与封存</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需要承包人报送样品的材料或工程设备，样品的种类、名称、规格、数量要求：</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8.8.1 承包人提供的施工设备和临时设施</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关于修建临时设施费用承担的约定：</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由承包人自行承担</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Pr>
        <w:pStyle w:val="7"/>
        <w:keepNext w:val="0"/>
        <w:keepLines w:val="0"/>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645" w:name="_Toc351203641"/>
      <w:bookmarkStart w:id="646" w:name="_Toc386638615"/>
      <w:r>
        <w:rPr>
          <w:rFonts w:hint="eastAsia" w:ascii="宋体" w:hAnsi="宋体" w:eastAsia="宋体" w:cs="宋体"/>
          <w:b w:val="0"/>
          <w:color w:val="000000"/>
          <w:sz w:val="24"/>
          <w:szCs w:val="24"/>
        </w:rPr>
        <w:t>9</w:t>
      </w:r>
      <w:bookmarkEnd w:id="624"/>
      <w:bookmarkEnd w:id="625"/>
      <w:bookmarkEnd w:id="626"/>
      <w:bookmarkStart w:id="647" w:name="_Toc304295559"/>
      <w:bookmarkStart w:id="648" w:name="_Toc300934982"/>
      <w:bookmarkStart w:id="649" w:name="_Toc312677495"/>
      <w:bookmarkStart w:id="650" w:name="_Toc297216192"/>
      <w:bookmarkStart w:id="651" w:name="_Toc303539139"/>
      <w:bookmarkStart w:id="652" w:name="_Toc297123533"/>
      <w:bookmarkStart w:id="653" w:name="_Toc312678021"/>
      <w:bookmarkStart w:id="654" w:name="_Toc267251428"/>
      <w:bookmarkStart w:id="655" w:name="_Toc296944512"/>
      <w:bookmarkStart w:id="656" w:name="_Toc296891001"/>
      <w:bookmarkStart w:id="657" w:name="_Toc267251427"/>
      <w:bookmarkStart w:id="658" w:name="_Toc292559378"/>
      <w:bookmarkStart w:id="659" w:name="_Toc297048359"/>
      <w:bookmarkStart w:id="660" w:name="_Toc296347172"/>
      <w:bookmarkStart w:id="661" w:name="_Toc296891213"/>
      <w:bookmarkStart w:id="662" w:name="_Toc297120473"/>
      <w:bookmarkStart w:id="663" w:name="_Toc296503173"/>
      <w:bookmarkStart w:id="664" w:name="_Toc296346674"/>
      <w:bookmarkStart w:id="665" w:name="_Toc292559883"/>
      <w:r>
        <w:rPr>
          <w:rFonts w:hint="eastAsia" w:ascii="宋体" w:hAnsi="宋体" w:eastAsia="宋体" w:cs="宋体"/>
          <w:b w:val="0"/>
          <w:color w:val="000000"/>
          <w:sz w:val="24"/>
          <w:szCs w:val="24"/>
        </w:rPr>
        <w:t>. 试验与检验</w:t>
      </w:r>
      <w:bookmarkEnd w:id="645"/>
      <w:bookmarkEnd w:id="646"/>
    </w:p>
    <w:bookmarkEnd w:id="647"/>
    <w:bookmarkEnd w:id="648"/>
    <w:bookmarkEnd w:id="649"/>
    <w:bookmarkEnd w:id="650"/>
    <w:bookmarkEnd w:id="651"/>
    <w:bookmarkEnd w:id="652"/>
    <w:bookmarkEnd w:id="653"/>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666" w:name="_Toc300934983"/>
      <w:bookmarkStart w:id="667" w:name="_Toc312678022"/>
      <w:bookmarkStart w:id="668" w:name="_Toc297123534"/>
      <w:bookmarkStart w:id="669" w:name="_Toc297216193"/>
      <w:bookmarkStart w:id="670" w:name="_Toc304295560"/>
      <w:bookmarkStart w:id="671" w:name="_Toc312677496"/>
      <w:bookmarkStart w:id="672" w:name="_Toc303539140"/>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试验设备与试验人员</w:t>
      </w:r>
    </w:p>
    <w:bookmarkEnd w:id="666"/>
    <w:bookmarkEnd w:id="667"/>
    <w:bookmarkEnd w:id="668"/>
    <w:bookmarkEnd w:id="669"/>
    <w:bookmarkEnd w:id="670"/>
    <w:bookmarkEnd w:id="671"/>
    <w:bookmarkEnd w:id="672"/>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673" w:name="_Toc304295561"/>
      <w:bookmarkStart w:id="674" w:name="_Toc312678023"/>
      <w:bookmarkStart w:id="675" w:name="_Toc303539141"/>
      <w:bookmarkStart w:id="676" w:name="_Toc297123535"/>
      <w:bookmarkStart w:id="677" w:name="_Toc297216194"/>
      <w:bookmarkStart w:id="678" w:name="_Toc312677497"/>
      <w:bookmarkStart w:id="679" w:name="_Toc300934984"/>
      <w:bookmarkStart w:id="680" w:name="_Toc318581174"/>
      <w:r>
        <w:rPr>
          <w:rFonts w:hint="eastAsia" w:ascii="宋体" w:hAnsi="宋体" w:eastAsia="宋体" w:cs="宋体"/>
          <w:color w:val="000000"/>
          <w:sz w:val="24"/>
          <w:szCs w:val="24"/>
        </w:rPr>
        <w:t>.1.2 试验设备</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施工现场需要配置的试验场所：</w:t>
      </w:r>
      <w:bookmarkEnd w:id="673"/>
      <w:bookmarkEnd w:id="674"/>
      <w:bookmarkEnd w:id="675"/>
      <w:bookmarkEnd w:id="676"/>
      <w:bookmarkEnd w:id="677"/>
      <w:bookmarkEnd w:id="678"/>
      <w:bookmarkEnd w:id="679"/>
      <w:bookmarkStart w:id="681" w:name="_Toc300934985"/>
      <w:bookmarkStart w:id="682" w:name="_Toc297123536"/>
      <w:bookmarkStart w:id="683" w:name="_Toc303539142"/>
      <w:bookmarkStart w:id="684" w:name="_Toc297216195"/>
      <w:bookmarkStart w:id="685" w:name="_Toc312677498"/>
      <w:bookmarkStart w:id="686" w:name="_Toc304295562"/>
      <w:bookmarkStart w:id="687" w:name="_Toc312678024"/>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施工现场需要配备的试验设备：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施工现场需要具备的其他试验条件：</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9.4 现场工艺试验</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现场工艺试验的有关约定：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54"/>
    <w:bookmarkEnd w:id="655"/>
    <w:bookmarkEnd w:id="656"/>
    <w:bookmarkEnd w:id="657"/>
    <w:bookmarkEnd w:id="658"/>
    <w:bookmarkEnd w:id="659"/>
    <w:bookmarkEnd w:id="660"/>
    <w:bookmarkEnd w:id="661"/>
    <w:bookmarkEnd w:id="662"/>
    <w:bookmarkEnd w:id="663"/>
    <w:bookmarkEnd w:id="664"/>
    <w:bookmarkEnd w:id="665"/>
    <w:bookmarkEnd w:id="680"/>
    <w:bookmarkEnd w:id="681"/>
    <w:bookmarkEnd w:id="682"/>
    <w:bookmarkEnd w:id="683"/>
    <w:bookmarkEnd w:id="684"/>
    <w:bookmarkEnd w:id="685"/>
    <w:bookmarkEnd w:id="686"/>
    <w:bookmarkEnd w:id="687"/>
    <w:p>
      <w:pPr>
        <w:pStyle w:val="7"/>
        <w:keepNext w:val="0"/>
        <w:keepLines w:val="0"/>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688" w:name="_Toc351203642"/>
      <w:bookmarkStart w:id="689" w:name="_Toc386638616"/>
      <w:bookmarkStart w:id="690" w:name="_Toc267251441"/>
      <w:bookmarkStart w:id="691" w:name="_Toc267251442"/>
      <w:bookmarkStart w:id="692" w:name="_Toc267251435"/>
      <w:bookmarkStart w:id="693" w:name="_Toc267251437"/>
      <w:bookmarkStart w:id="694" w:name="_Toc267251439"/>
      <w:bookmarkStart w:id="695" w:name="_Toc267251433"/>
      <w:bookmarkStart w:id="696" w:name="_Toc267251440"/>
      <w:r>
        <w:rPr>
          <w:rFonts w:hint="eastAsia" w:ascii="宋体" w:hAnsi="宋体" w:eastAsia="宋体" w:cs="宋体"/>
          <w:b w:val="0"/>
          <w:color w:val="000000"/>
          <w:sz w:val="24"/>
          <w:szCs w:val="24"/>
        </w:rPr>
        <w:t>1</w:t>
      </w:r>
      <w:bookmarkStart w:id="697" w:name="_Toc292559903"/>
      <w:bookmarkStart w:id="698" w:name="_Toc303539146"/>
      <w:bookmarkStart w:id="699" w:name="_Toc304295566"/>
      <w:bookmarkStart w:id="700" w:name="_Toc296503193"/>
      <w:bookmarkStart w:id="701" w:name="_Toc292559398"/>
      <w:bookmarkStart w:id="702" w:name="_Toc297120493"/>
      <w:bookmarkStart w:id="703" w:name="_Toc296347192"/>
      <w:bookmarkStart w:id="704" w:name="_Toc296944532"/>
      <w:bookmarkStart w:id="705" w:name="_Toc297123540"/>
      <w:bookmarkStart w:id="706" w:name="_Toc297048379"/>
      <w:bookmarkStart w:id="707" w:name="_Toc297216199"/>
      <w:bookmarkStart w:id="708" w:name="_Toc300934989"/>
      <w:bookmarkStart w:id="709" w:name="_Toc296891233"/>
      <w:bookmarkStart w:id="710" w:name="_Toc296346694"/>
      <w:bookmarkStart w:id="711" w:name="_Toc296891021"/>
      <w:bookmarkStart w:id="712" w:name="_Toc312677499"/>
      <w:bookmarkStart w:id="713" w:name="_Toc312678025"/>
      <w:r>
        <w:rPr>
          <w:rFonts w:hint="eastAsia" w:ascii="宋体" w:hAnsi="宋体" w:eastAsia="宋体" w:cs="宋体"/>
          <w:b w:val="0"/>
          <w:color w:val="000000"/>
          <w:sz w:val="24"/>
          <w:szCs w:val="24"/>
        </w:rPr>
        <w:t>0. 变更</w:t>
      </w:r>
      <w:bookmarkEnd w:id="688"/>
      <w:bookmarkEnd w:id="689"/>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bookmarkEnd w:id="712"/>
    <w:bookmarkEnd w:id="713"/>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714" w:name="_Toc312677500"/>
      <w:bookmarkStart w:id="715" w:name="_Toc297120494"/>
      <w:bookmarkStart w:id="716" w:name="_Toc297123541"/>
      <w:bookmarkStart w:id="717" w:name="_Toc297048380"/>
      <w:bookmarkStart w:id="718" w:name="_Toc292559399"/>
      <w:bookmarkStart w:id="719" w:name="_Toc292559904"/>
      <w:bookmarkStart w:id="720" w:name="_Toc296346695"/>
      <w:bookmarkStart w:id="721" w:name="_Toc296891022"/>
      <w:bookmarkStart w:id="722" w:name="_Toc300934990"/>
      <w:bookmarkStart w:id="723" w:name="_Toc296503194"/>
      <w:bookmarkStart w:id="724" w:name="_Toc296891234"/>
      <w:bookmarkStart w:id="725" w:name="_Toc312678026"/>
      <w:bookmarkStart w:id="726" w:name="_Toc303539147"/>
      <w:bookmarkStart w:id="727" w:name="_Toc304295567"/>
      <w:bookmarkStart w:id="728" w:name="_Toc297216200"/>
      <w:bookmarkStart w:id="729" w:name="_Toc296944533"/>
      <w:bookmarkStart w:id="730" w:name="_Toc296347193"/>
      <w:r>
        <w:rPr>
          <w:rFonts w:hint="eastAsia" w:ascii="宋体" w:hAnsi="宋体" w:eastAsia="宋体" w:cs="宋体"/>
          <w:color w:val="000000"/>
          <w:sz w:val="24"/>
          <w:szCs w:val="24"/>
        </w:rPr>
        <w:t>0.1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变更的范围</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除了通用合同条款明确的以外还包括：工程质量、规模标准（等级）的改变调整；工程施工内容增、减、取消；设计图纸的修改（包括</w:t>
      </w:r>
      <w:r>
        <w:rPr>
          <w:rFonts w:hint="eastAsia" w:ascii="宋体" w:hAnsi="宋体" w:eastAsia="宋体" w:cs="宋体"/>
          <w:color w:val="000000"/>
          <w:sz w:val="24"/>
          <w:szCs w:val="24"/>
          <w:u w:val="single"/>
          <w:shd w:val="clear" w:color="auto" w:fill="FFFFFF"/>
        </w:rPr>
        <w:t>功能或构造、</w:t>
      </w:r>
      <w:r>
        <w:rPr>
          <w:rFonts w:hint="eastAsia" w:ascii="宋体" w:hAnsi="宋体" w:eastAsia="宋体" w:cs="宋体"/>
          <w:color w:val="000000"/>
          <w:sz w:val="24"/>
          <w:szCs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eastAsia="宋体" w:cs="宋体"/>
          <w:color w:val="000000"/>
          <w:sz w:val="24"/>
          <w:szCs w:val="24"/>
        </w:rPr>
        <w:t>。</w:t>
      </w:r>
    </w:p>
    <w:bookmarkEnd w:id="690"/>
    <w:bookmarkEnd w:id="691"/>
    <w:bookmarkEnd w:id="692"/>
    <w:bookmarkEnd w:id="693"/>
    <w:bookmarkEnd w:id="694"/>
    <w:bookmarkEnd w:id="695"/>
    <w:bookmarkEnd w:id="696"/>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bookmarkStart w:id="731" w:name="_Toc351203645"/>
      <w:bookmarkStart w:id="732" w:name="_Toc386638619"/>
      <w:bookmarkStart w:id="733" w:name="_Toc292559929"/>
      <w:bookmarkStart w:id="734" w:name="_Toc297048405"/>
      <w:bookmarkStart w:id="735" w:name="_Toc292559424"/>
      <w:bookmarkStart w:id="736" w:name="_Toc303539172"/>
      <w:bookmarkStart w:id="737" w:name="_Toc297120519"/>
      <w:bookmarkStart w:id="738" w:name="_Toc296891259"/>
      <w:bookmarkStart w:id="739" w:name="_Toc297216223"/>
      <w:bookmarkStart w:id="740" w:name="_Toc296347218"/>
      <w:bookmarkStart w:id="741" w:name="_Toc300935015"/>
      <w:bookmarkStart w:id="742" w:name="_Toc296346720"/>
      <w:bookmarkStart w:id="743" w:name="_Toc304295593"/>
      <w:bookmarkStart w:id="744" w:name="_Toc297123564"/>
      <w:bookmarkStart w:id="745" w:name="_Toc312678053"/>
      <w:bookmarkStart w:id="746" w:name="_Toc296891047"/>
      <w:bookmarkStart w:id="747" w:name="_Toc296503219"/>
      <w:bookmarkStart w:id="748" w:name="_Toc296944558"/>
      <w:r>
        <w:rPr>
          <w:rFonts w:hint="eastAsia" w:ascii="宋体" w:hAnsi="宋体" w:eastAsia="宋体" w:cs="宋体"/>
          <w:sz w:val="24"/>
          <w:szCs w:val="24"/>
        </w:rPr>
        <w:t>10.4 变更估价</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10.4.1 变更估价原则</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关于变更估价的约定</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①已标价工程量清单中存在适用于变更工程项目的，采用该项目的单价；</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②已标价工程量清单中不存在适用单价但存在与变更工程类似项目价格的，可以参照类似项目的单价；如</w:t>
      </w:r>
      <w:r>
        <w:rPr>
          <w:rFonts w:hint="eastAsia" w:ascii="宋体" w:hAnsi="宋体" w:eastAsia="宋体" w:cs="宋体"/>
          <w:kern w:val="0"/>
          <w:sz w:val="24"/>
          <w:szCs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cs="宋体"/>
          <w:sz w:val="24"/>
          <w:szCs w:val="24"/>
          <w:lang w:val="en-US" w:eastAsia="zh-CN"/>
        </w:rPr>
        <w:t>中标</w:t>
      </w:r>
      <w:r>
        <w:rPr>
          <w:rFonts w:hint="eastAsia" w:ascii="宋体" w:hAnsi="宋体" w:eastAsia="宋体" w:cs="宋体"/>
          <w:color w:val="auto"/>
          <w:sz w:val="24"/>
          <w:szCs w:val="24"/>
        </w:rPr>
        <w:t>下浮率</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成交价/招标控制价）×100%，成交价及招标控制价均指剔除了暂估价、暂列金、其他不可竞争费用后的价格。]</w:t>
      </w:r>
      <w:r>
        <w:rPr>
          <w:rFonts w:hint="eastAsia" w:ascii="宋体" w:hAnsi="宋体" w:eastAsia="宋体" w:cs="宋体"/>
          <w:color w:val="auto"/>
          <w:sz w:val="24"/>
          <w:szCs w:val="24"/>
        </w:rPr>
        <w:t>组价后提出，经发包人确认后调整。[工程类别：</w:t>
      </w:r>
      <w:r>
        <w:rPr>
          <w:rFonts w:hint="eastAsia" w:ascii="宋体" w:hAnsi="宋体"/>
          <w:sz w:val="24"/>
          <w:lang w:val="en-US" w:eastAsia="zh-CN"/>
        </w:rPr>
        <w:t>管理费土建工程按单独装修工程计取，安装工程按水、电、暖通、消防、智能自控及通信安装工程中值计取。安全文明施工费（市区工程）、冬雨季施工增加费、均按《浙江省建设工程计价规则》（2018版）相关规定中值计取，规费按《浙江省建设工程计价规则》（2018版）相关规定的30%，安责险按市建管2024【12】号文件计算，税金按9%计取,不计提前竣工费、二次搬运费、标化工地增加费、优质工程增加费，计税方式按一般计税方式计算。</w:t>
      </w:r>
      <w:r>
        <w:rPr>
          <w:rFonts w:hint="eastAsia" w:ascii="宋体" w:hAnsi="宋体" w:eastAsia="宋体" w:cs="宋体"/>
          <w:color w:val="auto"/>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④施工组织措施费</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规费</w:t>
      </w:r>
      <w:r>
        <w:rPr>
          <w:rFonts w:hint="eastAsia" w:ascii="宋体" w:hAnsi="宋体" w:eastAsia="宋体" w:cs="宋体"/>
          <w:kern w:val="0"/>
          <w:sz w:val="24"/>
          <w:szCs w:val="24"/>
        </w:rPr>
        <w:t>按</w:t>
      </w:r>
      <w:r>
        <w:rPr>
          <w:rFonts w:hint="eastAsia" w:ascii="宋体" w:hAnsi="宋体" w:eastAsia="宋体" w:cs="宋体"/>
          <w:sz w:val="24"/>
          <w:szCs w:val="24"/>
        </w:rPr>
        <w:t>已标价工程量清单中的所列</w:t>
      </w:r>
      <w:r>
        <w:rPr>
          <w:rFonts w:hint="eastAsia" w:ascii="宋体" w:hAnsi="宋体" w:eastAsia="宋体" w:cs="宋体"/>
          <w:kern w:val="0"/>
          <w:sz w:val="24"/>
          <w:szCs w:val="24"/>
        </w:rPr>
        <w:t>费用包干使用，不作调整</w:t>
      </w:r>
      <w:r>
        <w:rPr>
          <w:rFonts w:hint="eastAsia" w:ascii="宋体" w:hAnsi="宋体" w:cs="宋体"/>
          <w:kern w:val="0"/>
          <w:sz w:val="24"/>
          <w:szCs w:val="24"/>
          <w:lang w:eastAsia="zh-CN"/>
        </w:rPr>
        <w:t>；</w:t>
      </w:r>
      <w:r>
        <w:rPr>
          <w:rFonts w:hint="eastAsia" w:ascii="宋体" w:hAnsi="宋体" w:eastAsia="宋体" w:cs="宋体"/>
          <w:kern w:val="0"/>
          <w:sz w:val="24"/>
          <w:szCs w:val="24"/>
        </w:rPr>
        <w:t>新增的单项或单位工程</w:t>
      </w:r>
      <w:r>
        <w:rPr>
          <w:rFonts w:hint="eastAsia" w:ascii="宋体" w:hAnsi="宋体" w:cs="宋体"/>
          <w:kern w:val="0"/>
          <w:sz w:val="24"/>
          <w:szCs w:val="24"/>
          <w:lang w:val="en-US" w:eastAsia="zh-CN"/>
        </w:rPr>
        <w:t>仍可</w:t>
      </w:r>
      <w:r>
        <w:rPr>
          <w:rFonts w:hint="eastAsia" w:ascii="宋体" w:hAnsi="宋体" w:eastAsia="宋体" w:cs="宋体"/>
          <w:kern w:val="0"/>
          <w:sz w:val="24"/>
          <w:szCs w:val="24"/>
        </w:rPr>
        <w:t>按相应工程计取。</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749" w:name="_Toc297120497"/>
      <w:bookmarkStart w:id="750" w:name="_Toc297216203"/>
      <w:bookmarkStart w:id="751" w:name="_Toc300934993"/>
      <w:bookmarkStart w:id="752" w:name="_Toc296891025"/>
      <w:bookmarkStart w:id="753" w:name="_Toc296346698"/>
      <w:bookmarkStart w:id="754" w:name="_Toc297123544"/>
      <w:bookmarkStart w:id="755" w:name="_Toc296347196"/>
      <w:bookmarkStart w:id="756" w:name="_Toc297048383"/>
      <w:bookmarkStart w:id="757" w:name="_Toc296503197"/>
      <w:bookmarkStart w:id="758" w:name="_Toc296944536"/>
      <w:bookmarkStart w:id="759" w:name="_Toc296891237"/>
      <w:bookmarkStart w:id="760" w:name="_Toc292559907"/>
      <w:bookmarkStart w:id="761" w:name="_Toc303539150"/>
      <w:bookmarkStart w:id="762" w:name="_Toc292559402"/>
      <w:bookmarkStart w:id="763" w:name="_Toc312677503"/>
      <w:bookmarkStart w:id="764" w:name="_Toc304295570"/>
      <w:bookmarkStart w:id="765" w:name="_Toc312678029"/>
      <w:r>
        <w:rPr>
          <w:rFonts w:hint="eastAsia" w:ascii="宋体" w:hAnsi="宋体" w:eastAsia="宋体" w:cs="宋体"/>
          <w:color w:val="000000"/>
          <w:sz w:val="24"/>
          <w:szCs w:val="24"/>
        </w:rPr>
        <w:t>0.5</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Start w:id="766" w:name="_Toc300934994"/>
      <w:bookmarkStart w:id="767" w:name="_Toc303539151"/>
      <w:bookmarkStart w:id="768" w:name="_Toc296503203"/>
      <w:bookmarkStart w:id="769" w:name="_Toc296891031"/>
      <w:bookmarkStart w:id="770" w:name="_Toc292559913"/>
      <w:bookmarkStart w:id="771" w:name="_Toc296346704"/>
      <w:bookmarkStart w:id="772" w:name="_Toc296944542"/>
      <w:bookmarkStart w:id="773" w:name="_Toc292559408"/>
      <w:bookmarkStart w:id="774" w:name="_Toc297048389"/>
      <w:bookmarkStart w:id="775" w:name="_Toc297120503"/>
      <w:bookmarkStart w:id="776" w:name="_Toc297123545"/>
      <w:bookmarkStart w:id="777" w:name="_Toc297216204"/>
      <w:bookmarkStart w:id="778" w:name="_Toc296347202"/>
      <w:bookmarkStart w:id="779" w:name="_Toc296891243"/>
      <w:r>
        <w:rPr>
          <w:rFonts w:hint="eastAsia" w:ascii="宋体" w:hAnsi="宋体" w:eastAsia="宋体" w:cs="宋体"/>
          <w:color w:val="000000"/>
          <w:sz w:val="24"/>
          <w:szCs w:val="24"/>
        </w:rPr>
        <w:t>包人的合理化建议</w:t>
      </w:r>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监理人审查承包人合理化建议的期限：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发包人审批承包人合理化建议的期限：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承</w:t>
      </w:r>
      <w:bookmarkStart w:id="780" w:name="_Toc296891244"/>
      <w:bookmarkStart w:id="781" w:name="_Toc304295571"/>
      <w:bookmarkStart w:id="782" w:name="_Toc318581175"/>
      <w:bookmarkStart w:id="783" w:name="_Toc300934995"/>
      <w:bookmarkStart w:id="784" w:name="_Toc303539152"/>
      <w:bookmarkStart w:id="785" w:name="_Toc297216205"/>
      <w:bookmarkStart w:id="786" w:name="_Toc312677504"/>
      <w:bookmarkStart w:id="787" w:name="_Toc292559914"/>
      <w:bookmarkStart w:id="788" w:name="_Toc296891032"/>
      <w:bookmarkStart w:id="789" w:name="_Toc297120504"/>
      <w:bookmarkStart w:id="790" w:name="_Toc292559409"/>
      <w:bookmarkStart w:id="791" w:name="_Toc312678030"/>
      <w:bookmarkStart w:id="792" w:name="_Toc297048390"/>
      <w:bookmarkStart w:id="793" w:name="_Toc296944543"/>
      <w:bookmarkStart w:id="794" w:name="_Toc297123546"/>
      <w:bookmarkStart w:id="795" w:name="_Toc296347203"/>
      <w:bookmarkStart w:id="796" w:name="_Toc296503204"/>
      <w:bookmarkStart w:id="797" w:name="_Toc296346705"/>
      <w:r>
        <w:rPr>
          <w:rFonts w:hint="eastAsia" w:ascii="宋体" w:hAnsi="宋体" w:eastAsia="宋体" w:cs="宋体"/>
          <w:color w:val="000000"/>
          <w:sz w:val="24"/>
          <w:szCs w:val="24"/>
        </w:rPr>
        <w:t>包人提出的合理化建议降低了合同价格或者提高了工程经济效益的奖励的方法和金额为：</w:t>
      </w:r>
      <w:r>
        <w:rPr>
          <w:rFonts w:hint="eastAsia" w:ascii="宋体" w:hAnsi="宋体" w:eastAsia="宋体" w:cs="宋体"/>
          <w:color w:val="000000"/>
          <w:kern w:val="0"/>
          <w:sz w:val="24"/>
          <w:szCs w:val="24"/>
        </w:rPr>
        <w:t>奖励由承包人的合理化建议带给发包人利益的</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u w:val="single"/>
          <w:lang w:eastAsia="zh-CN"/>
        </w:rPr>
        <w:t>。</w:t>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bookmarkStart w:id="798" w:name="_Toc318581176"/>
      <w:bookmarkStart w:id="799" w:name="_Toc312677508"/>
      <w:bookmarkStart w:id="800" w:name="_Toc312678034"/>
      <w:r>
        <w:rPr>
          <w:rFonts w:hint="eastAsia" w:ascii="宋体" w:hAnsi="宋体" w:eastAsia="宋体" w:cs="宋体"/>
          <w:color w:val="000000"/>
          <w:sz w:val="24"/>
          <w:szCs w:val="24"/>
        </w:rPr>
        <w:t>1</w:t>
      </w:r>
      <w:bookmarkStart w:id="801" w:name="_Toc296891027"/>
      <w:bookmarkStart w:id="802" w:name="_Toc304295574"/>
      <w:bookmarkStart w:id="803" w:name="_Toc296346700"/>
      <w:bookmarkStart w:id="804" w:name="_Toc300934997"/>
      <w:bookmarkStart w:id="805" w:name="_Toc296891239"/>
      <w:bookmarkStart w:id="806" w:name="_Toc297123548"/>
      <w:bookmarkStart w:id="807" w:name="_Toc296347198"/>
      <w:bookmarkStart w:id="808" w:name="_Toc296503199"/>
      <w:bookmarkStart w:id="809" w:name="_Toc297120499"/>
      <w:bookmarkStart w:id="810" w:name="_Toc312677507"/>
      <w:bookmarkStart w:id="811" w:name="_Toc312678033"/>
      <w:bookmarkStart w:id="812" w:name="_Toc297216207"/>
      <w:bookmarkStart w:id="813" w:name="_Toc296944538"/>
      <w:bookmarkStart w:id="814" w:name="_Toc303539154"/>
      <w:bookmarkStart w:id="815" w:name="_Toc292559909"/>
      <w:bookmarkStart w:id="816" w:name="_Toc297048385"/>
      <w:bookmarkStart w:id="817" w:name="_Toc292559404"/>
      <w:r>
        <w:rPr>
          <w:rFonts w:hint="eastAsia" w:ascii="宋体" w:hAnsi="宋体" w:eastAsia="宋体" w:cs="宋体"/>
          <w:color w:val="000000"/>
          <w:sz w:val="24"/>
          <w:szCs w:val="24"/>
        </w:rPr>
        <w:t>0.7 暂估价</w:t>
      </w:r>
    </w:p>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10.7.1 依法必须招标的暂估价项目</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对于依法必须招标的暂估价项目的确认和批准采取第</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种方式确定。</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10.7.2 不属于依法必须招标的暂估价项目</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对于不属于依法必须招标的暂估价项目的确认和批准采取第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3</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种方式确定。</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bookmarkEnd w:id="798"/>
      <w:bookmarkEnd w:id="799"/>
      <w:bookmarkEnd w:id="800"/>
      <w:r>
        <w:rPr>
          <w:rFonts w:hint="eastAsia" w:ascii="宋体" w:hAnsi="宋体" w:cs="宋体"/>
          <w:color w:val="000000"/>
          <w:kern w:val="0"/>
          <w:sz w:val="24"/>
          <w:szCs w:val="24"/>
          <w:lang w:val="en-US" w:eastAsia="zh-CN"/>
        </w:rPr>
        <w:t>：</w:t>
      </w:r>
      <w:r>
        <w:rPr>
          <w:rFonts w:hint="eastAsia" w:ascii="宋体" w:hAnsi="宋体" w:eastAsia="宋体" w:cs="宋体"/>
          <w:color w:val="000000"/>
          <w:sz w:val="24"/>
          <w:szCs w:val="24"/>
          <w:u w:val="single"/>
          <w:lang w:val="en-US" w:eastAsia="zh-CN"/>
        </w:rPr>
        <w:t>吊轨隔断屏风</w:t>
      </w:r>
      <w:r>
        <w:rPr>
          <w:rFonts w:hint="eastAsia" w:ascii="宋体" w:hAnsi="宋体" w:cs="宋体"/>
          <w:color w:val="000000"/>
          <w:sz w:val="24"/>
          <w:szCs w:val="24"/>
          <w:u w:val="single"/>
          <w:lang w:val="en-US" w:eastAsia="zh-CN"/>
        </w:rPr>
        <w:t>、</w:t>
      </w:r>
      <w:r>
        <w:rPr>
          <w:rFonts w:hint="eastAsia" w:ascii="宋体" w:hAnsi="宋体" w:eastAsia="宋体" w:cs="宋体"/>
          <w:color w:val="000000"/>
          <w:sz w:val="24"/>
          <w:szCs w:val="24"/>
          <w:u w:val="single"/>
          <w:lang w:val="en-US" w:eastAsia="zh-CN"/>
        </w:rPr>
        <w:t>文化布置（含深化设计费用）</w:t>
      </w:r>
      <w:r>
        <w:rPr>
          <w:rFonts w:hint="eastAsia" w:ascii="宋体" w:hAnsi="宋体" w:cs="宋体"/>
          <w:color w:val="000000"/>
          <w:sz w:val="24"/>
          <w:szCs w:val="24"/>
          <w:u w:val="single"/>
          <w:lang w:val="en-US" w:eastAsia="zh-CN"/>
        </w:rPr>
        <w:t>、</w:t>
      </w:r>
      <w:r>
        <w:rPr>
          <w:rFonts w:hint="eastAsia" w:ascii="宋体" w:hAnsi="宋体" w:eastAsia="宋体" w:cs="宋体"/>
          <w:color w:val="000000"/>
          <w:sz w:val="24"/>
          <w:szCs w:val="24"/>
          <w:u w:val="single"/>
          <w:lang w:val="en-US" w:eastAsia="zh-CN"/>
        </w:rPr>
        <w:t>木作山群定制墙</w:t>
      </w:r>
      <w:r>
        <w:rPr>
          <w:rFonts w:hint="eastAsia" w:ascii="宋体" w:hAnsi="宋体" w:cs="宋体"/>
          <w:color w:val="000000"/>
          <w:sz w:val="24"/>
          <w:szCs w:val="24"/>
          <w:u w:val="single"/>
          <w:lang w:val="en-US" w:eastAsia="zh-CN"/>
        </w:rPr>
        <w:t>，该三部分暂估内容根据实际情况按实签证计算</w:t>
      </w:r>
      <w:r>
        <w:rPr>
          <w:rFonts w:hint="eastAsia" w:ascii="宋体" w:hAnsi="宋体" w:eastAsia="宋体" w:cs="宋体"/>
          <w:color w:val="000000"/>
          <w:sz w:val="24"/>
          <w:szCs w:val="24"/>
          <w:u w:val="single"/>
          <w:lang w:val="en-US" w:eastAsia="zh-CN"/>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合同当事人关于暂列金额使用的约定：</w:t>
      </w:r>
      <w:r>
        <w:rPr>
          <w:rFonts w:hint="eastAsia" w:ascii="宋体" w:hAnsi="宋体" w:eastAsia="宋体" w:cs="宋体"/>
          <w:color w:val="000000"/>
          <w:sz w:val="24"/>
          <w:szCs w:val="24"/>
          <w:u w:val="single"/>
          <w:lang w:val="en-US" w:eastAsia="zh-CN"/>
        </w:rPr>
        <w:t>由建设单位掌握使用</w:t>
      </w:r>
      <w:r>
        <w:rPr>
          <w:rFonts w:hint="eastAsia" w:ascii="宋体" w:hAnsi="宋体" w:eastAsia="宋体" w:cs="宋体"/>
          <w:color w:val="000000"/>
          <w:kern w:val="0"/>
          <w:sz w:val="24"/>
          <w:szCs w:val="24"/>
        </w:rPr>
        <w:t>。</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818" w:name="_Toc351203643"/>
      <w:bookmarkStart w:id="819" w:name="_Toc386638617"/>
      <w:r>
        <w:rPr>
          <w:rFonts w:hint="eastAsia" w:ascii="宋体" w:hAnsi="宋体" w:eastAsia="宋体" w:cs="宋体"/>
          <w:b w:val="0"/>
          <w:color w:val="000000"/>
          <w:sz w:val="24"/>
          <w:szCs w:val="24"/>
        </w:rPr>
        <w:t>11. 价格调整</w:t>
      </w:r>
      <w:bookmarkEnd w:id="818"/>
      <w:bookmarkEnd w:id="819"/>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bookmarkStart w:id="820" w:name="_Toc304295577"/>
      <w:bookmarkStart w:id="821" w:name="_Toc296891241"/>
      <w:bookmarkStart w:id="822" w:name="_Toc297123550"/>
      <w:bookmarkStart w:id="823" w:name="_Toc292559911"/>
      <w:bookmarkStart w:id="824" w:name="_Toc292559406"/>
      <w:bookmarkStart w:id="825" w:name="_Toc300935000"/>
      <w:bookmarkStart w:id="826" w:name="_Toc296503201"/>
      <w:bookmarkStart w:id="827" w:name="_Toc296891029"/>
      <w:bookmarkStart w:id="828" w:name="_Toc296347200"/>
      <w:bookmarkStart w:id="829" w:name="_Toc297120501"/>
      <w:bookmarkStart w:id="830" w:name="_Toc303539157"/>
      <w:bookmarkStart w:id="831" w:name="_Toc312678039"/>
      <w:bookmarkStart w:id="832" w:name="_Toc296346702"/>
      <w:bookmarkStart w:id="833" w:name="_Toc297216209"/>
      <w:bookmarkStart w:id="834" w:name="_Toc296944540"/>
      <w:bookmarkStart w:id="835" w:name="_Toc297048387"/>
      <w:r>
        <w:rPr>
          <w:rFonts w:hint="eastAsia" w:ascii="宋体" w:hAnsi="宋体" w:eastAsia="宋体" w:cs="宋体"/>
          <w:sz w:val="24"/>
          <w:szCs w:val="24"/>
        </w:rPr>
        <w:t>11.1 市场价格波动引起的调整</w:t>
      </w: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市场价格波动是否调整合同价格的约定：</w:t>
      </w:r>
      <w:r>
        <w:rPr>
          <w:rFonts w:hint="eastAsia" w:ascii="宋体" w:hAnsi="宋体" w:eastAsia="宋体" w:cs="宋体"/>
          <w:color w:val="000000"/>
          <w:sz w:val="24"/>
          <w:szCs w:val="24"/>
          <w:u w:val="single"/>
          <w:lang w:val="en-US" w:eastAsia="zh-CN"/>
        </w:rPr>
        <w:t>施工期间因市场价格波动引起的变化不予调整。</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sz w:val="24"/>
          <w:szCs w:val="24"/>
        </w:rPr>
      </w:pPr>
      <w:bookmarkStart w:id="836" w:name="_Toc292559410"/>
      <w:bookmarkStart w:id="837" w:name="_Toc296891245"/>
      <w:bookmarkStart w:id="838" w:name="_Toc297048391"/>
      <w:bookmarkStart w:id="839" w:name="_Toc292559915"/>
      <w:bookmarkStart w:id="840" w:name="_Toc296346706"/>
      <w:bookmarkStart w:id="841" w:name="_Toc296503205"/>
      <w:bookmarkStart w:id="842" w:name="_Toc296944544"/>
      <w:bookmarkStart w:id="843" w:name="_Toc297120505"/>
      <w:bookmarkStart w:id="844" w:name="_Toc296891033"/>
      <w:bookmarkStart w:id="845" w:name="_Toc296347204"/>
      <w:bookmarkStart w:id="846" w:name="_Toc351203644"/>
      <w:bookmarkStart w:id="847" w:name="_Toc386638618"/>
      <w:bookmarkStart w:id="848" w:name="_Toc300935002"/>
      <w:bookmarkStart w:id="849" w:name="_Toc312678040"/>
      <w:bookmarkStart w:id="850" w:name="_Toc303539159"/>
      <w:bookmarkStart w:id="851" w:name="_Toc304295579"/>
      <w:bookmarkStart w:id="852" w:name="_Toc297123552"/>
      <w:bookmarkStart w:id="853" w:name="_Toc297216211"/>
      <w:bookmarkStart w:id="854" w:name="_Toc304295581"/>
      <w:bookmarkStart w:id="855" w:name="_Toc303539161"/>
      <w:bookmarkStart w:id="856" w:name="_Toc297123554"/>
      <w:bookmarkStart w:id="857" w:name="_Toc312678042"/>
      <w:bookmarkStart w:id="858" w:name="_Toc300935004"/>
      <w:bookmarkStart w:id="859" w:name="_Toc297216213"/>
      <w:bookmarkStart w:id="860" w:name="_Toc296347206"/>
      <w:bookmarkStart w:id="861" w:name="_Toc296503207"/>
      <w:bookmarkStart w:id="862" w:name="_Toc296944546"/>
      <w:bookmarkStart w:id="863" w:name="_Toc292559917"/>
      <w:bookmarkStart w:id="864" w:name="_Toc296891247"/>
      <w:bookmarkStart w:id="865" w:name="_Toc296891035"/>
      <w:bookmarkStart w:id="866" w:name="_Toc297048393"/>
      <w:bookmarkStart w:id="867" w:name="_Toc297120507"/>
      <w:bookmarkStart w:id="868" w:name="_Toc292559412"/>
      <w:bookmarkStart w:id="869" w:name="_Toc296346708"/>
      <w:r>
        <w:rPr>
          <w:rFonts w:hint="eastAsia" w:ascii="宋体" w:hAnsi="宋体" w:eastAsia="宋体" w:cs="宋体"/>
          <w:b w:val="0"/>
          <w:sz w:val="24"/>
          <w:szCs w:val="24"/>
        </w:rPr>
        <w:t xml:space="preserve">12. </w:t>
      </w:r>
      <w:bookmarkEnd w:id="836"/>
      <w:bookmarkEnd w:id="837"/>
      <w:bookmarkEnd w:id="838"/>
      <w:bookmarkEnd w:id="839"/>
      <w:bookmarkEnd w:id="840"/>
      <w:bookmarkEnd w:id="841"/>
      <w:bookmarkEnd w:id="842"/>
      <w:bookmarkEnd w:id="843"/>
      <w:bookmarkEnd w:id="844"/>
      <w:bookmarkEnd w:id="845"/>
      <w:r>
        <w:rPr>
          <w:rFonts w:hint="eastAsia" w:ascii="宋体" w:hAnsi="宋体" w:eastAsia="宋体" w:cs="宋体"/>
          <w:b w:val="0"/>
          <w:sz w:val="24"/>
          <w:szCs w:val="24"/>
        </w:rPr>
        <w:t>合同价格、计量与支付</w:t>
      </w:r>
      <w:bookmarkEnd w:id="846"/>
      <w:bookmarkEnd w:id="847"/>
    </w:p>
    <w:bookmarkEnd w:id="848"/>
    <w:bookmarkEnd w:id="849"/>
    <w:bookmarkEnd w:id="850"/>
    <w:bookmarkEnd w:id="851"/>
    <w:bookmarkEnd w:id="852"/>
    <w:bookmarkEnd w:id="853"/>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bookmarkStart w:id="870" w:name="_Toc292559411"/>
      <w:bookmarkStart w:id="871" w:name="_Toc292559916"/>
      <w:bookmarkStart w:id="872" w:name="_Toc267251461"/>
      <w:bookmarkStart w:id="873" w:name="_Toc297048392"/>
      <w:bookmarkStart w:id="874" w:name="_Toc296944545"/>
      <w:bookmarkStart w:id="875" w:name="_Toc296503206"/>
      <w:bookmarkStart w:id="876" w:name="_Toc296346707"/>
      <w:bookmarkStart w:id="877" w:name="_Toc296347205"/>
      <w:bookmarkStart w:id="878" w:name="_Toc296891034"/>
      <w:bookmarkStart w:id="879" w:name="_Toc296891246"/>
      <w:bookmarkStart w:id="880" w:name="_Toc297120506"/>
      <w:bookmarkStart w:id="881" w:name="_Toc300935003"/>
      <w:bookmarkStart w:id="882" w:name="_Toc312678041"/>
      <w:bookmarkStart w:id="883" w:name="_Toc297216212"/>
      <w:bookmarkStart w:id="884" w:name="_Toc304295580"/>
      <w:bookmarkStart w:id="885" w:name="_Toc297123553"/>
      <w:bookmarkStart w:id="886" w:name="_Toc303539160"/>
      <w:r>
        <w:rPr>
          <w:rFonts w:hint="eastAsia" w:ascii="宋体" w:hAnsi="宋体" w:eastAsia="宋体" w:cs="宋体"/>
          <w:sz w:val="24"/>
          <w:szCs w:val="24"/>
        </w:rPr>
        <w:t>12.1 合</w:t>
      </w:r>
      <w:bookmarkEnd w:id="870"/>
      <w:bookmarkEnd w:id="871"/>
      <w:bookmarkEnd w:id="872"/>
      <w:r>
        <w:rPr>
          <w:rFonts w:hint="eastAsia" w:ascii="宋体" w:hAnsi="宋体" w:eastAsia="宋体" w:cs="宋体"/>
          <w:sz w:val="24"/>
          <w:szCs w:val="24"/>
        </w:rPr>
        <w:t>同价</w:t>
      </w:r>
      <w:bookmarkEnd w:id="873"/>
      <w:bookmarkEnd w:id="874"/>
      <w:bookmarkEnd w:id="875"/>
      <w:bookmarkEnd w:id="876"/>
      <w:bookmarkEnd w:id="877"/>
      <w:bookmarkEnd w:id="878"/>
      <w:bookmarkEnd w:id="879"/>
      <w:bookmarkEnd w:id="880"/>
      <w:r>
        <w:rPr>
          <w:rFonts w:hint="eastAsia" w:ascii="宋体" w:hAnsi="宋体" w:eastAsia="宋体" w:cs="宋体"/>
          <w:sz w:val="24"/>
          <w:szCs w:val="24"/>
        </w:rPr>
        <w:t>格形式</w:t>
      </w:r>
    </w:p>
    <w:bookmarkEnd w:id="881"/>
    <w:bookmarkEnd w:id="882"/>
    <w:bookmarkEnd w:id="883"/>
    <w:bookmarkEnd w:id="884"/>
    <w:bookmarkEnd w:id="885"/>
    <w:bookmarkEnd w:id="886"/>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
          <w:kern w:val="0"/>
          <w:sz w:val="24"/>
          <w:szCs w:val="24"/>
          <w:u w:val="single"/>
          <w:lang w:eastAsia="zh-CN"/>
        </w:rPr>
      </w:pPr>
      <w:r>
        <w:rPr>
          <w:rFonts w:hint="eastAsia" w:ascii="宋体" w:hAnsi="宋体" w:eastAsia="宋体" w:cs="宋体"/>
          <w:kern w:val="0"/>
          <w:sz w:val="24"/>
          <w:szCs w:val="24"/>
        </w:rPr>
        <w:t>1、本合同采用合同当事人签订的合同协议书中约定的价格形式，即</w:t>
      </w:r>
      <w:r>
        <w:rPr>
          <w:rFonts w:hint="eastAsia" w:ascii="宋体" w:hAnsi="宋体" w:eastAsia="宋体" w:cs="宋体"/>
          <w:kern w:val="0"/>
          <w:sz w:val="24"/>
          <w:szCs w:val="24"/>
          <w:lang w:eastAsia="zh-CN"/>
        </w:rPr>
        <w:t>：</w:t>
      </w:r>
      <w:r>
        <w:rPr>
          <w:rFonts w:hint="eastAsia" w:ascii="宋体" w:hAnsi="宋体" w:eastAsia="宋体" w:cs="宋体"/>
          <w:b/>
          <w:kern w:val="0"/>
          <w:sz w:val="24"/>
          <w:szCs w:val="24"/>
          <w:u w:val="single"/>
        </w:rPr>
        <w:t>单价合同</w:t>
      </w:r>
      <w:r>
        <w:rPr>
          <w:rFonts w:hint="eastAsia" w:ascii="宋体" w:hAnsi="宋体" w:eastAsia="宋体" w:cs="宋体"/>
          <w:b/>
          <w:kern w:val="0"/>
          <w:sz w:val="24"/>
          <w:szCs w:val="24"/>
          <w:u w:val="single"/>
          <w:lang w:eastAsia="zh-CN"/>
        </w:rPr>
        <w:t>。</w:t>
      </w:r>
    </w:p>
    <w:p>
      <w:pPr>
        <w:pageBreakBefore w:val="0"/>
        <w:kinsoku/>
        <w:wordWrap/>
        <w:overflowPunct/>
        <w:topLinePunct w:val="0"/>
        <w:bidi w:val="0"/>
        <w:spacing w:line="36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其中：</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本项目工程量均按实结算</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新增项目</w:t>
      </w:r>
      <w:r>
        <w:rPr>
          <w:rFonts w:hint="eastAsia" w:ascii="宋体" w:hAnsi="宋体" w:eastAsia="宋体" w:cs="宋体"/>
          <w:kern w:val="0"/>
          <w:sz w:val="24"/>
          <w:szCs w:val="24"/>
        </w:rPr>
        <w:t>按实际情况重新组价</w:t>
      </w:r>
      <w:r>
        <w:rPr>
          <w:rFonts w:hint="eastAsia" w:ascii="宋体" w:hAnsi="宋体" w:eastAsia="宋体" w:cs="宋体"/>
          <w:kern w:val="0"/>
          <w:sz w:val="24"/>
          <w:szCs w:val="24"/>
          <w:lang w:val="en-US" w:eastAsia="zh-CN"/>
        </w:rPr>
        <w:t>计算</w:t>
      </w:r>
      <w:r>
        <w:rPr>
          <w:rFonts w:hint="eastAsia" w:ascii="宋体" w:hAnsi="宋体" w:eastAsia="宋体" w:cs="宋体"/>
          <w:kern w:val="0"/>
          <w:sz w:val="24"/>
          <w:szCs w:val="24"/>
        </w:rPr>
        <w:t>（组价方式见合同10.4.1款内容）。</w:t>
      </w:r>
    </w:p>
    <w:p>
      <w:pPr>
        <w:pageBreakBefore w:val="0"/>
        <w:numPr>
          <w:ilvl w:val="0"/>
          <w:numId w:val="7"/>
        </w:numPr>
        <w:kinsoku/>
        <w:wordWrap/>
        <w:overflowPunct/>
        <w:topLinePunct w:val="0"/>
        <w:bidi w:val="0"/>
        <w:spacing w:line="360" w:lineRule="auto"/>
        <w:ind w:left="0" w:firstLine="480" w:firstLineChars="200"/>
        <w:jc w:val="both"/>
        <w:textAlignment w:val="auto"/>
        <w:rPr>
          <w:rFonts w:hint="eastAsia" w:ascii="宋体" w:hAnsi="宋体"/>
          <w:sz w:val="24"/>
        </w:rPr>
      </w:pPr>
      <w:r>
        <w:rPr>
          <w:rFonts w:hint="eastAsia" w:ascii="宋体" w:hAnsi="宋体"/>
          <w:b w:val="0"/>
          <w:bCs w:val="0"/>
          <w:kern w:val="0"/>
          <w:sz w:val="24"/>
          <w:szCs w:val="24"/>
        </w:rPr>
        <w:t>《</w:t>
      </w:r>
      <w:r>
        <w:rPr>
          <w:rFonts w:hint="eastAsia" w:ascii="宋体" w:hAnsi="宋体"/>
          <w:b w:val="0"/>
          <w:bCs w:val="0"/>
          <w:kern w:val="0"/>
          <w:sz w:val="24"/>
          <w:szCs w:val="24"/>
          <w:lang w:eastAsia="zh-CN"/>
        </w:rPr>
        <w:t>房屋建筑与装饰</w:t>
      </w:r>
      <w:r>
        <w:rPr>
          <w:rFonts w:hint="eastAsia" w:ascii="宋体" w:hAnsi="宋体"/>
          <w:b w:val="0"/>
          <w:bCs w:val="0"/>
          <w:kern w:val="0"/>
          <w:sz w:val="24"/>
          <w:szCs w:val="24"/>
        </w:rPr>
        <w:t>工程工程量计算规范》</w:t>
      </w:r>
      <w:r>
        <w:rPr>
          <w:rFonts w:hint="eastAsia" w:ascii="宋体" w:hAnsi="宋体"/>
          <w:b w:val="0"/>
          <w:bCs w:val="0"/>
          <w:kern w:val="0"/>
          <w:sz w:val="24"/>
          <w:szCs w:val="24"/>
          <w:lang w:eastAsia="zh-CN"/>
        </w:rPr>
        <w:t>（</w:t>
      </w:r>
      <w:r>
        <w:rPr>
          <w:rFonts w:hint="eastAsia" w:ascii="宋体" w:hAnsi="宋体"/>
          <w:b w:val="0"/>
          <w:bCs w:val="0"/>
          <w:kern w:val="0"/>
          <w:sz w:val="24"/>
          <w:szCs w:val="24"/>
        </w:rPr>
        <w:t>GB5085</w:t>
      </w:r>
      <w:r>
        <w:rPr>
          <w:rFonts w:hint="eastAsia" w:ascii="宋体" w:hAnsi="宋体"/>
          <w:b w:val="0"/>
          <w:bCs w:val="0"/>
          <w:kern w:val="0"/>
          <w:sz w:val="24"/>
          <w:szCs w:val="24"/>
          <w:lang w:val="en-US" w:eastAsia="zh-CN"/>
        </w:rPr>
        <w:t>4</w:t>
      </w:r>
      <w:r>
        <w:rPr>
          <w:rFonts w:hint="eastAsia" w:ascii="宋体" w:hAnsi="宋体"/>
          <w:b w:val="0"/>
          <w:bCs w:val="0"/>
          <w:kern w:val="0"/>
          <w:sz w:val="24"/>
          <w:szCs w:val="24"/>
        </w:rPr>
        <w:t>-2013</w:t>
      </w:r>
      <w:r>
        <w:rPr>
          <w:rFonts w:hint="eastAsia" w:ascii="宋体" w:hAnsi="宋体"/>
          <w:b w:val="0"/>
          <w:bCs w:val="0"/>
          <w:kern w:val="0"/>
          <w:sz w:val="24"/>
          <w:szCs w:val="24"/>
          <w:lang w:eastAsia="zh-CN"/>
        </w:rPr>
        <w:t>）、</w:t>
      </w:r>
      <w:r>
        <w:rPr>
          <w:rFonts w:hint="eastAsia" w:ascii="宋体" w:hAnsi="宋体"/>
          <w:b w:val="0"/>
          <w:bCs w:val="0"/>
          <w:kern w:val="0"/>
          <w:sz w:val="24"/>
          <w:szCs w:val="24"/>
        </w:rPr>
        <w:t>《通用安装工程工程量计算规范》</w:t>
      </w:r>
      <w:r>
        <w:rPr>
          <w:rFonts w:hint="eastAsia" w:ascii="宋体" w:hAnsi="宋体"/>
          <w:b w:val="0"/>
          <w:bCs w:val="0"/>
          <w:kern w:val="0"/>
          <w:sz w:val="24"/>
          <w:szCs w:val="24"/>
          <w:lang w:eastAsia="zh-CN"/>
        </w:rPr>
        <w:t>（</w:t>
      </w:r>
      <w:r>
        <w:rPr>
          <w:rFonts w:hint="eastAsia" w:ascii="宋体" w:hAnsi="宋体"/>
          <w:b w:val="0"/>
          <w:bCs w:val="0"/>
          <w:kern w:val="0"/>
          <w:sz w:val="24"/>
          <w:szCs w:val="24"/>
        </w:rPr>
        <w:t>GB50856-2013</w:t>
      </w:r>
      <w:r>
        <w:rPr>
          <w:rFonts w:hint="eastAsia" w:ascii="宋体" w:hAnsi="宋体"/>
          <w:b w:val="0"/>
          <w:bCs w:val="0"/>
          <w:kern w:val="0"/>
          <w:sz w:val="24"/>
          <w:szCs w:val="24"/>
          <w:lang w:eastAsia="zh-CN"/>
        </w:rPr>
        <w:t>）</w:t>
      </w:r>
      <w:r>
        <w:rPr>
          <w:rFonts w:hint="eastAsia" w:ascii="宋体" w:hAnsi="宋体"/>
          <w:sz w:val="24"/>
        </w:rPr>
        <w:t>、《浙江省</w:t>
      </w:r>
      <w:r>
        <w:rPr>
          <w:rFonts w:hint="eastAsia" w:ascii="宋体" w:hAnsi="宋体"/>
          <w:sz w:val="24"/>
          <w:lang w:val="en-US" w:eastAsia="zh-CN"/>
        </w:rPr>
        <w:t>房屋建筑与装饰</w:t>
      </w:r>
      <w:r>
        <w:rPr>
          <w:rFonts w:hint="eastAsia" w:ascii="宋体" w:hAnsi="宋体"/>
          <w:sz w:val="24"/>
        </w:rPr>
        <w:t>工程预算定额》（201</w:t>
      </w:r>
      <w:r>
        <w:rPr>
          <w:rFonts w:hint="eastAsia" w:ascii="宋体" w:hAnsi="宋体"/>
          <w:sz w:val="24"/>
          <w:lang w:val="en-US" w:eastAsia="zh-CN"/>
        </w:rPr>
        <w:t>8</w:t>
      </w:r>
      <w:r>
        <w:rPr>
          <w:rFonts w:hint="eastAsia" w:ascii="宋体" w:hAnsi="宋体"/>
          <w:sz w:val="24"/>
        </w:rPr>
        <w:t>版）</w:t>
      </w:r>
      <w:r>
        <w:rPr>
          <w:rFonts w:hint="eastAsia" w:ascii="宋体" w:hAnsi="宋体"/>
          <w:sz w:val="24"/>
          <w:lang w:eastAsia="zh-CN"/>
        </w:rPr>
        <w:t>、</w:t>
      </w:r>
      <w:r>
        <w:rPr>
          <w:rFonts w:hint="eastAsia" w:ascii="宋体" w:hAnsi="宋体"/>
          <w:sz w:val="24"/>
        </w:rPr>
        <w:t>《浙江省</w:t>
      </w:r>
      <w:r>
        <w:rPr>
          <w:rFonts w:hint="eastAsia" w:ascii="宋体" w:hAnsi="宋体"/>
          <w:sz w:val="24"/>
          <w:lang w:val="en-US" w:eastAsia="zh-CN"/>
        </w:rPr>
        <w:t>通用安装</w:t>
      </w:r>
      <w:r>
        <w:rPr>
          <w:rFonts w:hint="eastAsia" w:ascii="宋体" w:hAnsi="宋体"/>
          <w:sz w:val="24"/>
        </w:rPr>
        <w:t>工程预算定额》（201</w:t>
      </w:r>
      <w:r>
        <w:rPr>
          <w:rFonts w:hint="eastAsia" w:ascii="宋体" w:hAnsi="宋体"/>
          <w:sz w:val="24"/>
          <w:lang w:val="en-US" w:eastAsia="zh-CN"/>
        </w:rPr>
        <w:t>8</w:t>
      </w:r>
      <w:r>
        <w:rPr>
          <w:rFonts w:hint="eastAsia" w:ascii="宋体" w:hAnsi="宋体"/>
          <w:sz w:val="24"/>
        </w:rPr>
        <w:t>版）、</w:t>
      </w:r>
      <w:r>
        <w:rPr>
          <w:rFonts w:hint="eastAsia" w:ascii="宋体" w:hAnsi="宋体" w:cs="宋体"/>
          <w:kern w:val="28"/>
          <w:sz w:val="24"/>
          <w:lang w:bidi="ar"/>
        </w:rPr>
        <w:t>《浙江省建设工程计价规则》（2018版）</w:t>
      </w:r>
      <w:r>
        <w:rPr>
          <w:rFonts w:hint="eastAsia" w:ascii="宋体" w:hAnsi="宋体" w:cs="宋体"/>
          <w:kern w:val="28"/>
          <w:sz w:val="24"/>
          <w:lang w:eastAsia="zh-CN" w:bidi="ar"/>
        </w:rPr>
        <w:t>、</w:t>
      </w:r>
      <w:r>
        <w:rPr>
          <w:rFonts w:hint="eastAsia" w:ascii="宋体" w:hAnsi="宋体" w:cs="宋体"/>
          <w:kern w:val="28"/>
          <w:sz w:val="24"/>
          <w:lang w:bidi="ar"/>
        </w:rPr>
        <w:t>《关于</w:t>
      </w:r>
      <w:r>
        <w:rPr>
          <w:rFonts w:hint="eastAsia" w:ascii="宋体" w:hAnsi="宋体" w:cs="宋体"/>
          <w:kern w:val="28"/>
          <w:sz w:val="24"/>
          <w:lang w:eastAsia="zh-CN" w:bidi="ar"/>
        </w:rPr>
        <w:t>增值税</w:t>
      </w:r>
      <w:r>
        <w:rPr>
          <w:rFonts w:hint="eastAsia" w:ascii="宋体" w:hAnsi="宋体" w:cs="宋体"/>
          <w:kern w:val="28"/>
          <w:sz w:val="24"/>
          <w:lang w:bidi="ar"/>
        </w:rPr>
        <w:t>调整</w:t>
      </w:r>
      <w:r>
        <w:rPr>
          <w:rFonts w:hint="eastAsia" w:ascii="宋体" w:hAnsi="宋体" w:cs="宋体"/>
          <w:kern w:val="28"/>
          <w:sz w:val="24"/>
          <w:lang w:eastAsia="zh-CN" w:bidi="ar"/>
        </w:rPr>
        <w:t>后我省</w:t>
      </w:r>
      <w:r>
        <w:rPr>
          <w:rFonts w:hint="eastAsia" w:ascii="宋体" w:hAnsi="宋体" w:cs="宋体"/>
          <w:kern w:val="28"/>
          <w:sz w:val="24"/>
          <w:lang w:bidi="ar"/>
        </w:rPr>
        <w:t>建设工程</w:t>
      </w:r>
      <w:r>
        <w:rPr>
          <w:rFonts w:hint="eastAsia" w:ascii="宋体" w:hAnsi="宋体" w:cs="宋体"/>
          <w:kern w:val="28"/>
          <w:sz w:val="24"/>
          <w:lang w:eastAsia="zh-CN" w:bidi="ar"/>
        </w:rPr>
        <w:t>计价依据增值税税率及有关计价调整</w:t>
      </w:r>
      <w:r>
        <w:rPr>
          <w:rFonts w:hint="eastAsia" w:ascii="宋体" w:hAnsi="宋体" w:cs="宋体"/>
          <w:kern w:val="28"/>
          <w:sz w:val="24"/>
          <w:lang w:bidi="ar"/>
        </w:rPr>
        <w:t>的通知》（</w:t>
      </w:r>
      <w:r>
        <w:rPr>
          <w:rFonts w:hint="eastAsia" w:ascii="宋体" w:hAnsi="宋体" w:cs="宋体"/>
          <w:kern w:val="28"/>
          <w:sz w:val="24"/>
          <w:lang w:eastAsia="zh-CN" w:bidi="ar"/>
        </w:rPr>
        <w:t>浙建建发</w:t>
      </w:r>
      <w:r>
        <w:rPr>
          <w:rFonts w:hint="eastAsia" w:ascii="宋体" w:hAnsi="宋体" w:cs="宋体"/>
          <w:kern w:val="28"/>
          <w:sz w:val="24"/>
          <w:lang w:bidi="ar"/>
        </w:rPr>
        <w:t>[201</w:t>
      </w:r>
      <w:r>
        <w:rPr>
          <w:rFonts w:hint="eastAsia" w:ascii="宋体" w:hAnsi="宋体" w:cs="宋体"/>
          <w:kern w:val="28"/>
          <w:sz w:val="24"/>
          <w:lang w:val="en-US" w:eastAsia="zh-CN" w:bidi="ar"/>
        </w:rPr>
        <w:t>9</w:t>
      </w:r>
      <w:r>
        <w:rPr>
          <w:rFonts w:hint="eastAsia" w:ascii="宋体" w:hAnsi="宋体" w:cs="宋体"/>
          <w:kern w:val="28"/>
          <w:sz w:val="24"/>
          <w:lang w:bidi="ar"/>
        </w:rPr>
        <w:t>]</w:t>
      </w:r>
      <w:r>
        <w:rPr>
          <w:rFonts w:hint="eastAsia" w:ascii="宋体" w:hAnsi="宋体" w:cs="宋体"/>
          <w:kern w:val="28"/>
          <w:sz w:val="24"/>
          <w:lang w:val="en-US" w:eastAsia="zh-CN" w:bidi="ar"/>
        </w:rPr>
        <w:t>92</w:t>
      </w:r>
      <w:r>
        <w:rPr>
          <w:rFonts w:hint="eastAsia" w:ascii="宋体" w:hAnsi="宋体" w:cs="宋体"/>
          <w:kern w:val="28"/>
          <w:sz w:val="24"/>
          <w:lang w:bidi="ar"/>
        </w:rPr>
        <w:t>号）</w:t>
      </w:r>
      <w:r>
        <w:rPr>
          <w:rFonts w:hint="eastAsia" w:ascii="宋体" w:hAnsi="宋体"/>
          <w:sz w:val="24"/>
        </w:rPr>
        <w:t>及相关补充定额等。</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 预付款</w:t>
      </w:r>
    </w:p>
    <w:bookmarkEnd w:id="854"/>
    <w:bookmarkEnd w:id="855"/>
    <w:bookmarkEnd w:id="856"/>
    <w:bookmarkEnd w:id="857"/>
    <w:bookmarkEnd w:id="858"/>
    <w:bookmarkEnd w:id="859"/>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12.2.1 预付款的支付</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sz w:val="24"/>
          <w:szCs w:val="24"/>
        </w:rPr>
        <w:t>预付款支付比例或期限：</w:t>
      </w:r>
      <w:r>
        <w:rPr>
          <w:rFonts w:hint="eastAsia" w:ascii="宋体" w:hAnsi="宋体" w:eastAsia="宋体" w:cs="宋体"/>
          <w:kern w:val="0"/>
          <w:sz w:val="24"/>
          <w:szCs w:val="24"/>
          <w:u w:val="single"/>
        </w:rPr>
        <w:t>开工报告批准后7日内，发包人支付给承包人合同</w:t>
      </w:r>
      <w:r>
        <w:rPr>
          <w:rFonts w:hint="eastAsia" w:ascii="宋体" w:hAnsi="宋体" w:eastAsia="宋体" w:cs="宋体"/>
          <w:b w:val="0"/>
          <w:bCs w:val="0"/>
          <w:i w:val="0"/>
          <w:iCs/>
          <w:color w:val="000000"/>
          <w:kern w:val="2"/>
          <w:sz w:val="24"/>
          <w:szCs w:val="24"/>
          <w:highlight w:val="none"/>
          <w:u w:val="single"/>
          <w:lang w:val="en-US" w:eastAsia="zh-CN" w:bidi="ar-SA"/>
        </w:rPr>
        <w:t>总价（扣除未确定的暂定金额、暂列金额）</w:t>
      </w:r>
      <w:r>
        <w:rPr>
          <w:rFonts w:hint="eastAsia" w:ascii="宋体" w:hAnsi="宋体" w:eastAsia="宋体" w:cs="宋体"/>
          <w:kern w:val="0"/>
          <w:sz w:val="24"/>
          <w:szCs w:val="24"/>
          <w:u w:val="single"/>
        </w:rPr>
        <w:t>的</w:t>
      </w:r>
      <w:r>
        <w:rPr>
          <w:rFonts w:hint="eastAsia" w:ascii="宋体" w:hAnsi="宋体" w:eastAsia="宋体" w:cs="宋体"/>
          <w:kern w:val="0"/>
          <w:sz w:val="24"/>
          <w:szCs w:val="24"/>
          <w:u w:val="single"/>
          <w:lang w:val="en-US" w:eastAsia="zh-CN"/>
        </w:rPr>
        <w:t>40</w:t>
      </w:r>
      <w:r>
        <w:rPr>
          <w:rFonts w:hint="eastAsia" w:ascii="宋体" w:hAnsi="宋体" w:eastAsia="宋体" w:cs="宋体"/>
          <w:kern w:val="0"/>
          <w:sz w:val="24"/>
          <w:szCs w:val="24"/>
          <w:u w:val="single"/>
        </w:rPr>
        <w:t>%作为工程预付款。</w:t>
      </w:r>
    </w:p>
    <w:p>
      <w:pPr>
        <w:pageBreakBefore w:val="0"/>
        <w:kinsoku/>
        <w:wordWrap/>
        <w:overflowPunct/>
        <w:topLinePunct w:val="0"/>
        <w:bidi w:val="0"/>
        <w:spacing w:line="360" w:lineRule="auto"/>
        <w:ind w:left="0" w:firstLine="480" w:firstLineChars="200"/>
        <w:jc w:val="both"/>
        <w:textAlignment w:val="auto"/>
        <w:rPr>
          <w:rFonts w:hint="default" w:ascii="宋体" w:hAnsi="宋体" w:eastAsia="宋体" w:cs="宋体"/>
          <w:color w:val="000000"/>
          <w:sz w:val="24"/>
          <w:szCs w:val="24"/>
          <w:lang w:val="en-US"/>
        </w:rPr>
      </w:pPr>
      <w:r>
        <w:rPr>
          <w:rFonts w:hint="eastAsia" w:ascii="宋体" w:hAnsi="宋体" w:eastAsia="宋体" w:cs="宋体"/>
          <w:sz w:val="24"/>
          <w:szCs w:val="24"/>
        </w:rPr>
        <w:t>预付款扣回的方式(时间、金额)</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不</w:t>
      </w:r>
      <w:r>
        <w:rPr>
          <w:rFonts w:hint="eastAsia" w:ascii="宋体" w:hAnsi="宋体" w:eastAsia="宋体" w:cs="宋体"/>
          <w:sz w:val="24"/>
          <w:szCs w:val="24"/>
          <w:u w:val="single"/>
        </w:rPr>
        <w:t>扣回</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 xml:space="preserve">                                 </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860"/>
    <w:bookmarkEnd w:id="861"/>
    <w:bookmarkEnd w:id="862"/>
    <w:bookmarkEnd w:id="863"/>
    <w:bookmarkEnd w:id="864"/>
    <w:bookmarkEnd w:id="865"/>
    <w:bookmarkEnd w:id="866"/>
    <w:bookmarkEnd w:id="867"/>
    <w:bookmarkEnd w:id="868"/>
    <w:bookmarkEnd w:id="869"/>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按现行的工程量计算规则执行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按进度进行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12.3.4 总价合同的计量</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关于总价合同计量的约定：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12.3.5总价合同采用支付分解表计量支付的，是否适用第12.3.4 项〔总价合同的计量〕约定进行计量：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12.3.6 其他价格形式合同的计量</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12.4 工程进度款支付</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bookmarkStart w:id="887" w:name="_Toc296346712"/>
      <w:bookmarkStart w:id="888" w:name="_Toc297123556"/>
      <w:bookmarkStart w:id="889" w:name="_Toc292559921"/>
      <w:bookmarkStart w:id="890" w:name="_Toc297120511"/>
      <w:bookmarkStart w:id="891" w:name="_Toc296503211"/>
      <w:bookmarkStart w:id="892" w:name="_Toc296347210"/>
      <w:bookmarkStart w:id="893" w:name="_Toc296891039"/>
      <w:bookmarkStart w:id="894" w:name="_Toc296891251"/>
      <w:bookmarkStart w:id="895" w:name="_Toc297048397"/>
      <w:bookmarkStart w:id="896" w:name="_Toc292559416"/>
      <w:bookmarkStart w:id="897" w:name="_Toc297216215"/>
      <w:bookmarkStart w:id="898" w:name="_Toc303539163"/>
      <w:bookmarkStart w:id="899" w:name="_Toc300935006"/>
      <w:bookmarkStart w:id="900" w:name="_Toc296944550"/>
      <w:r>
        <w:rPr>
          <w:rFonts w:hint="eastAsia" w:ascii="宋体" w:hAnsi="宋体" w:eastAsia="宋体" w:cs="宋体"/>
          <w:color w:val="000000"/>
          <w:sz w:val="24"/>
          <w:szCs w:val="24"/>
        </w:rPr>
        <w:t>关于付款周期的约定：</w:t>
      </w:r>
    </w:p>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（1）施工合同签订且开工报告批准后7日内，采购人支付合同总价（扣除未确定的暂定金额、暂列金额）的40%作为工程预付款；</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（2）合同工程量全部完成后支付合同总价（扣除未确定的暂定金额、暂列金额）的40%；</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（3）工程竣工验收合格后，根据相关部门核准的最终决算价，付清尾款。</w:t>
      </w:r>
    </w:p>
    <w:p>
      <w:pPr>
        <w:pageBreakBefore w:val="0"/>
        <w:kinsoku/>
        <w:wordWrap/>
        <w:overflowPunct/>
        <w:topLinePunct w:val="0"/>
        <w:bidi w:val="0"/>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 验收和工程试车</w:t>
      </w:r>
      <w:bookmarkEnd w:id="731"/>
      <w:bookmarkEnd w:id="732"/>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13.1.2监理人不能按时进行验收时，应提前</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小时提交书面延期要求。</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48</w:t>
      </w:r>
      <w:r>
        <w:rPr>
          <w:rFonts w:hint="eastAsia" w:ascii="宋体" w:hAnsi="宋体" w:eastAsia="宋体" w:cs="宋体"/>
          <w:color w:val="000000"/>
          <w:sz w:val="24"/>
          <w:szCs w:val="24"/>
        </w:rPr>
        <w:t>小时。</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bookmarkStart w:id="901" w:name="_Toc297048409"/>
      <w:bookmarkStart w:id="902" w:name="_Toc296891263"/>
      <w:bookmarkStart w:id="903" w:name="_Toc297123565"/>
      <w:bookmarkStart w:id="904" w:name="_Toc296346724"/>
      <w:bookmarkStart w:id="905" w:name="_Toc296347222"/>
      <w:bookmarkStart w:id="906" w:name="_Toc297120523"/>
      <w:bookmarkStart w:id="907" w:name="_Toc303539173"/>
      <w:bookmarkStart w:id="908" w:name="_Toc292559933"/>
      <w:bookmarkStart w:id="909" w:name="_Toc312678056"/>
      <w:bookmarkStart w:id="910" w:name="_Toc300935016"/>
      <w:bookmarkStart w:id="911" w:name="_Toc296503223"/>
      <w:bookmarkStart w:id="912" w:name="_Toc296891051"/>
      <w:bookmarkStart w:id="913" w:name="_Toc304295596"/>
      <w:bookmarkStart w:id="914" w:name="_Toc296944562"/>
      <w:bookmarkStart w:id="915" w:name="_Toc297216224"/>
      <w:bookmarkStart w:id="916" w:name="_Toc292559428"/>
      <w:bookmarkStart w:id="917" w:name="_Toc267251471"/>
      <w:bookmarkStart w:id="918" w:name="_Toc267251473"/>
      <w:bookmarkStart w:id="919" w:name="_Toc267251476"/>
      <w:bookmarkStart w:id="920" w:name="_Toc267251472"/>
      <w:bookmarkStart w:id="921" w:name="_Toc267251470"/>
      <w:bookmarkStart w:id="922" w:name="_Toc267251474"/>
      <w:bookmarkStart w:id="923" w:name="_Toc267251475"/>
      <w:r>
        <w:rPr>
          <w:rFonts w:hint="eastAsia" w:ascii="宋体" w:hAnsi="宋体" w:eastAsia="宋体" w:cs="宋体"/>
          <w:color w:val="000000"/>
          <w:sz w:val="24"/>
          <w:szCs w:val="24"/>
        </w:rPr>
        <w:t>13.2 竣工验收</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13.2.1竣工验收条件</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工程具备以下条件的，承包人可以申请竣工验收：</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（1）除发包人同意的甩项工作和缺陷修补工作外，合同范围内的全部工程以及有关工作，包括合同要求的试验、试运行以及检验均已完成，并符合合同要求；</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（2）已按合同约定编制了甩项工作和缺陷修补工作清单以及相应的施工计划；</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（3）已按合同约定的内容和份数备齐竣工资料。</w:t>
      </w:r>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bookmarkStart w:id="924" w:name="_Toc280868704"/>
      <w:bookmarkStart w:id="925" w:name="_Toc280868705"/>
      <w:bookmarkStart w:id="926" w:name="_Toc280868706"/>
      <w:bookmarkStart w:id="927" w:name="_Toc280868707"/>
      <w:bookmarkStart w:id="928" w:name="_Toc280868708"/>
      <w:bookmarkStart w:id="929" w:name="_Toc280868709"/>
      <w:r>
        <w:rPr>
          <w:rFonts w:hint="eastAsia" w:ascii="宋体" w:hAnsi="宋体" w:eastAsia="宋体" w:cs="宋体"/>
          <w:color w:val="000000"/>
          <w:sz w:val="24"/>
          <w:szCs w:val="24"/>
        </w:rPr>
        <w:t>13.2.2竣工验收程序</w:t>
      </w:r>
    </w:p>
    <w:bookmarkEnd w:id="924"/>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关于竣工验收程序的约定：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kinsoku/>
        <w:wordWrap/>
        <w:overflowPunct/>
        <w:topLinePunct w:val="0"/>
        <w:autoSpaceDN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发包人不按照本项约定组织竣工验收、颁发工程接收证书的违约金的计算方法：</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925"/>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926"/>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承包人向发包人移交工程的期限：在颁发工程接收证书后</w:t>
      </w:r>
      <w:r>
        <w:rPr>
          <w:rFonts w:hint="eastAsia" w:ascii="宋体" w:hAnsi="宋体" w:eastAsia="宋体" w:cs="宋体"/>
          <w:color w:val="000000"/>
          <w:sz w:val="24"/>
          <w:szCs w:val="24"/>
          <w:u w:val="single"/>
        </w:rPr>
        <w:t xml:space="preserve"> 7</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天内完成工程的移交。</w:t>
      </w:r>
    </w:p>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倍标准向承包人支付逾期接收工程的违约金。</w:t>
      </w:r>
    </w:p>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倍向发包人支付逾期移交工程的违约金。</w:t>
      </w:r>
    </w:p>
    <w:bookmarkEnd w:id="927"/>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928"/>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13.3.1 试车程序</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工程试车内容：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（1）单机无负荷试车费用由</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承担；</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（2）无负荷联动试车费用由</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承担。</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13.3.3 投料试车</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关于投料试车相关事项的约定：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13.6.1 竣工退场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承包人完成竣工退场的期限：承包人应当在发包人颁发工程接收证书后</w:t>
      </w:r>
      <w:r>
        <w:rPr>
          <w:rFonts w:hint="eastAsia" w:ascii="宋体" w:hAnsi="宋体" w:eastAsia="宋体" w:cs="宋体"/>
          <w:color w:val="000000"/>
          <w:sz w:val="24"/>
          <w:szCs w:val="24"/>
          <w:u w:val="single"/>
        </w:rPr>
        <w:t>14</w:t>
      </w:r>
      <w:r>
        <w:rPr>
          <w:rFonts w:hint="eastAsia" w:ascii="宋体" w:hAnsi="宋体" w:eastAsia="宋体" w:cs="宋体"/>
          <w:color w:val="000000"/>
          <w:sz w:val="24"/>
          <w:szCs w:val="24"/>
        </w:rPr>
        <w:t>天内完成竣工退场，逾期未完成的，按通用条款执行。</w:t>
      </w:r>
    </w:p>
    <w:bookmarkEnd w:id="917"/>
    <w:bookmarkEnd w:id="918"/>
    <w:bookmarkEnd w:id="919"/>
    <w:bookmarkEnd w:id="920"/>
    <w:bookmarkEnd w:id="921"/>
    <w:bookmarkEnd w:id="922"/>
    <w:bookmarkEnd w:id="923"/>
    <w:bookmarkEnd w:id="929"/>
    <w:p>
      <w:pPr>
        <w:pStyle w:val="7"/>
        <w:keepNext w:val="0"/>
        <w:keepLines w:val="0"/>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930" w:name="_Toc386638620"/>
      <w:bookmarkStart w:id="931" w:name="_Toc351203646"/>
      <w:bookmarkStart w:id="932" w:name="_Toc351203647"/>
      <w:bookmarkStart w:id="933" w:name="_Toc386638621"/>
      <w:bookmarkStart w:id="934" w:name="_Toc267251483"/>
      <w:bookmarkStart w:id="935" w:name="_Toc267251482"/>
      <w:bookmarkStart w:id="936" w:name="_Toc267251484"/>
      <w:bookmarkStart w:id="937" w:name="_Toc267251485"/>
      <w:bookmarkStart w:id="938" w:name="_Toc267251490"/>
      <w:bookmarkStart w:id="939" w:name="_Toc267251489"/>
      <w:bookmarkStart w:id="940" w:name="_Toc267251488"/>
      <w:bookmarkStart w:id="941" w:name="_Toc267251486"/>
      <w:bookmarkStart w:id="942" w:name="_Toc267251494"/>
      <w:bookmarkStart w:id="943" w:name="_Toc267251503"/>
      <w:bookmarkStart w:id="944" w:name="_Toc267251501"/>
      <w:bookmarkStart w:id="945" w:name="_Toc267251502"/>
      <w:bookmarkStart w:id="946" w:name="_Toc267251498"/>
      <w:bookmarkStart w:id="947" w:name="_Toc267251497"/>
      <w:bookmarkStart w:id="948" w:name="_Toc267251493"/>
      <w:bookmarkStart w:id="949" w:name="_Toc267251496"/>
      <w:bookmarkStart w:id="950" w:name="_Toc267251492"/>
      <w:bookmarkStart w:id="951" w:name="_Toc267251495"/>
      <w:bookmarkStart w:id="952" w:name="_Toc267251499"/>
      <w:bookmarkStart w:id="953" w:name="_Toc267251491"/>
      <w:bookmarkStart w:id="954" w:name="_Toc267251515"/>
      <w:bookmarkStart w:id="955" w:name="_Toc267251506"/>
      <w:bookmarkStart w:id="956" w:name="_Toc267251511"/>
      <w:bookmarkStart w:id="957" w:name="_Toc267251514"/>
      <w:bookmarkStart w:id="958" w:name="_Toc267251504"/>
      <w:bookmarkStart w:id="959" w:name="_Toc267251508"/>
      <w:bookmarkStart w:id="960" w:name="_Toc267251510"/>
      <w:bookmarkStart w:id="961" w:name="_Toc267251507"/>
      <w:bookmarkStart w:id="962" w:name="_Toc267251509"/>
      <w:bookmarkStart w:id="963" w:name="_Toc267251513"/>
      <w:r>
        <w:rPr>
          <w:rFonts w:hint="eastAsia" w:ascii="宋体" w:hAnsi="宋体" w:eastAsia="宋体" w:cs="宋体"/>
          <w:b w:val="0"/>
          <w:color w:val="000000"/>
          <w:sz w:val="24"/>
          <w:szCs w:val="24"/>
        </w:rPr>
        <w:t>14. 竣工结算</w:t>
      </w:r>
      <w:bookmarkEnd w:id="930"/>
      <w:bookmarkEnd w:id="931"/>
    </w:p>
    <w:p>
      <w:pPr>
        <w:pStyle w:val="969"/>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14.1竣工结算款的申请</w:t>
      </w:r>
    </w:p>
    <w:p>
      <w:pPr>
        <w:pStyle w:val="969"/>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承包人应在工程竣工结算审核完成、竣工验收并取得《建筑工程竣工档案专项验收意见书》、竣工结算审核结论及相关资料备案后</w:t>
      </w:r>
      <w:r>
        <w:rPr>
          <w:rFonts w:hint="eastAsia" w:hAnsi="宋体" w:eastAsia="宋体" w:cs="宋体"/>
          <w:b w:val="0"/>
          <w:color w:val="000000"/>
          <w:sz w:val="24"/>
          <w:szCs w:val="24"/>
          <w:u w:val="single"/>
          <w:lang w:val="en-US" w:eastAsia="zh-CN"/>
        </w:rPr>
        <w:t xml:space="preserve"> </w:t>
      </w:r>
      <w:r>
        <w:rPr>
          <w:rFonts w:hint="eastAsia" w:ascii="宋体" w:hAnsi="宋体" w:eastAsia="宋体" w:cs="宋体"/>
          <w:b w:val="0"/>
          <w:color w:val="000000"/>
          <w:sz w:val="24"/>
          <w:szCs w:val="24"/>
          <w:u w:val="single"/>
        </w:rPr>
        <w:t>7</w:t>
      </w:r>
      <w:r>
        <w:rPr>
          <w:rFonts w:hint="eastAsia" w:hAnsi="宋体" w:eastAsia="宋体" w:cs="宋体"/>
          <w:b w:val="0"/>
          <w:color w:val="000000"/>
          <w:sz w:val="24"/>
          <w:szCs w:val="24"/>
          <w:u w:val="single"/>
          <w:lang w:val="en-US" w:eastAsia="zh-CN"/>
        </w:rPr>
        <w:t xml:space="preserve"> </w:t>
      </w:r>
      <w:r>
        <w:rPr>
          <w:rFonts w:hint="eastAsia" w:ascii="宋体" w:hAnsi="宋体" w:eastAsia="宋体" w:cs="宋体"/>
          <w:b w:val="0"/>
          <w:color w:val="000000"/>
          <w:sz w:val="24"/>
          <w:szCs w:val="24"/>
        </w:rPr>
        <w:t>天内向发包人提交竣工结算申请单（附相关结算资料）。</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14.2竣工结算书的提交和核对</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承包人应当在工程竣工验收合格后</w:t>
      </w:r>
      <w:r>
        <w:rPr>
          <w:rFonts w:hint="eastAsia" w:ascii="宋体" w:hAnsi="宋体" w:eastAsia="宋体" w:cs="宋体"/>
          <w:color w:val="000000"/>
          <w:sz w:val="24"/>
          <w:szCs w:val="24"/>
          <w:u w:val="single"/>
        </w:rPr>
        <w:t xml:space="preserve"> 60 </w:t>
      </w:r>
      <w:r>
        <w:rPr>
          <w:rFonts w:hint="eastAsia" w:ascii="宋体" w:hAnsi="宋体" w:eastAsia="宋体" w:cs="宋体"/>
          <w:color w:val="000000"/>
          <w:kern w:val="0"/>
          <w:sz w:val="24"/>
          <w:szCs w:val="24"/>
        </w:rPr>
        <w:t>天</w:t>
      </w:r>
      <w:r>
        <w:rPr>
          <w:rFonts w:hint="eastAsia" w:ascii="宋体" w:hAnsi="宋体" w:eastAsia="宋体" w:cs="宋体"/>
          <w:color w:val="000000"/>
          <w:sz w:val="24"/>
          <w:szCs w:val="24"/>
        </w:rPr>
        <w:t>内向发包人提交工程竣工结算书及其完整的结算资料</w:t>
      </w:r>
      <w:r>
        <w:rPr>
          <w:rFonts w:hint="eastAsia" w:ascii="宋体" w:hAnsi="宋体" w:eastAsia="宋体" w:cs="宋体"/>
          <w:color w:val="000000"/>
          <w:sz w:val="24"/>
          <w:szCs w:val="24"/>
          <w:u w:val="single"/>
        </w:rPr>
        <w:t xml:space="preserve"> 叁 </w:t>
      </w:r>
      <w:r>
        <w:rPr>
          <w:rFonts w:hint="eastAsia" w:ascii="宋体" w:hAnsi="宋体" w:eastAsia="宋体" w:cs="宋体"/>
          <w:color w:val="000000"/>
          <w:sz w:val="24"/>
          <w:szCs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color w:val="000000"/>
          <w:sz w:val="24"/>
          <w:szCs w:val="24"/>
          <w:u w:val="single"/>
        </w:rPr>
        <w:t xml:space="preserve"> 60 </w:t>
      </w:r>
      <w:r>
        <w:rPr>
          <w:rFonts w:hint="eastAsia" w:ascii="宋体" w:hAnsi="宋体" w:eastAsia="宋体" w:cs="宋体"/>
          <w:color w:val="000000"/>
          <w:sz w:val="24"/>
          <w:szCs w:val="24"/>
        </w:rPr>
        <w:t>日内完成对竣工结算书的核对。</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14.3 竣工结算审核</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sz w:val="24"/>
          <w:szCs w:val="24"/>
          <w:lang w:bidi="ar"/>
        </w:rPr>
        <w:t>本工程的竣工结算由发包人核对后委托具有相应资质的工程造价咨询企业审核，作为支付工程价款最终结算支付的依据。</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3份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承包人应在缺陷责任期终止证书颁发后7天内提交</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发包人对最终结结算申请单内容有异议的，有权要求承包人进行修正和提供补充资料，但应当出具书面意见。承包人应当按照发包人的书面意见提交修正后的最终结算申请单。</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14.4.2 最终结清证书和支付</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（1）发包人完成最终结清申请单的审批并颁发最终结清证书的期限：发包人应在收到承包人提交的最终结清申请单后</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14</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天内完成审批并向承包人颁发最终结清证书。发包人逾期未完成审批，又未提出修改意见的，视为发包人同意承包人提交的最终结清申请单并已颁发最终结清证书。</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（2）发包人完成支付的期限：</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发包人应在颁发最终结清证书后</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14</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天</w:t>
      </w:r>
      <w:r>
        <w:rPr>
          <w:rFonts w:hint="eastAsia" w:ascii="宋体" w:hAnsi="宋体" w:eastAsia="宋体" w:cs="宋体"/>
          <w:color w:val="000000"/>
          <w:sz w:val="24"/>
          <w:szCs w:val="24"/>
        </w:rPr>
        <w:t>内完成支付。发包人逾期支付的违约责任按通用条款执行。</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15. 缺陷责任期与保修</w:t>
      </w:r>
      <w:bookmarkEnd w:id="932"/>
      <w:bookmarkEnd w:id="933"/>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934"/>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15.2.1 本合同缺陷责任期为</w:t>
      </w:r>
      <w:r>
        <w:rPr>
          <w:rFonts w:hint="eastAsia" w:ascii="宋体" w:hAnsi="宋体" w:cs="宋体"/>
          <w:color w:val="000000"/>
          <w:sz w:val="24"/>
          <w:szCs w:val="24"/>
          <w:u w:val="single"/>
          <w:lang w:val="en-US" w:eastAsia="zh-CN"/>
        </w:rPr>
        <w:t>12</w:t>
      </w:r>
      <w:r>
        <w:rPr>
          <w:rFonts w:hint="eastAsia" w:ascii="宋体" w:hAnsi="宋体" w:eastAsia="宋体" w:cs="宋体"/>
          <w:color w:val="000000"/>
          <w:sz w:val="24"/>
          <w:szCs w:val="24"/>
        </w:rPr>
        <w:t>个月。</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12</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个月。</w:t>
      </w:r>
    </w:p>
    <w:bookmarkEnd w:id="935"/>
    <w:bookmarkEnd w:id="936"/>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（1）承包人提供的质量保证担保形式为质量保证金保函。</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①采用质量保证金保函的，承包人最迟在缺陷责任期开始前7日将向发包人提供符合发包人要求的《质量保证金保函》格式的银行保函一份。</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缺陷责任期延长的，承包人最迟应在原缺陷责任期届满之日前14天向发包人提交延长缺陷责任期的质量保证金保函或顺延原保函的有效期截止时间，否则发包人有权向第三方担保人提出索赔。</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②采用质量保证金的，在工程竣工结算时发包人在合同尾款中一次性扣留。</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（2）质量保证金保函担保时间或质量保证金扣留期限与第15.2款约定的缺陷责任期保持一致。</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（3）质量保证金额度为工程结算价款的</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（4）承包人与质量保证担保有关的费用由承包人承担；因承包人原因导致缺陷责任期延长的，继续提供质量保证担保所增加的费用由承包人承担。</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（5）保修期从发包人批准的竣工验收通过之日起计算。在合同保修期间，对承包人责任的工程质量问题，承包人应负责无偿修补，由此给发包人造成的损失须予以赔偿。</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（6）根据《宁波市财政局关于坚决打赢新冠肺炎疫情防控阻击战做好政府采购支持企业发展工作的通知》（甬财政发〔2020〕166号）文件规定，本项目不收取质量保证金。</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保修</w:t>
      </w:r>
    </w:p>
    <w:bookmarkEnd w:id="937"/>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工程保修期为：</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1、地基基础工程和主体结构工程为设计文件规定的该工程合理使用年限；</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2、屋面防水工程、有防水要求的卫生间、房间和外墙面的防渗漏为</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年；</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3、节能工程、太阳能系统工程，为</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年；</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4、装修工程、附属工程、电气管线、给排水管道、设备安装工程为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2 </w:t>
      </w:r>
      <w:r>
        <w:rPr>
          <w:rFonts w:hint="eastAsia" w:ascii="宋体" w:hAnsi="宋体" w:eastAsia="宋体" w:cs="宋体"/>
          <w:color w:val="000000"/>
          <w:sz w:val="24"/>
          <w:szCs w:val="24"/>
        </w:rPr>
        <w:t>年；</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5、供热与供冷系统为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2 </w:t>
      </w:r>
      <w:r>
        <w:rPr>
          <w:rFonts w:hint="eastAsia" w:ascii="宋体" w:hAnsi="宋体" w:eastAsia="宋体" w:cs="宋体"/>
          <w:color w:val="000000"/>
          <w:sz w:val="24"/>
          <w:szCs w:val="24"/>
        </w:rPr>
        <w:t>个采暖期、供冷期；</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6、住宅小区内的给排水设施、道路等配套工程为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1 </w:t>
      </w:r>
      <w:r>
        <w:rPr>
          <w:rFonts w:hint="eastAsia" w:ascii="宋体" w:hAnsi="宋体" w:eastAsia="宋体" w:cs="宋体"/>
          <w:color w:val="000000"/>
          <w:sz w:val="24"/>
          <w:szCs w:val="24"/>
        </w:rPr>
        <w:t>年；</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7、其他项目保修期限约定如下：</w:t>
      </w:r>
      <w:r>
        <w:rPr>
          <w:rFonts w:hint="eastAsia" w:ascii="宋体" w:hAnsi="宋体" w:eastAsia="宋体" w:cs="宋体"/>
          <w:color w:val="000000"/>
          <w:sz w:val="24"/>
          <w:szCs w:val="24"/>
          <w:u w:val="single"/>
        </w:rPr>
        <w:t>除上述约定外，本工程其余部分保修期为</w:t>
      </w:r>
      <w:r>
        <w:rPr>
          <w:rFonts w:hint="eastAsia" w:ascii="宋体" w:hAnsi="宋体" w:cs="宋体"/>
          <w:color w:val="000000"/>
          <w:sz w:val="24"/>
          <w:szCs w:val="24"/>
          <w:u w:val="single"/>
          <w:lang w:val="en-US" w:eastAsia="zh-CN"/>
        </w:rPr>
        <w:t>1</w:t>
      </w:r>
      <w:r>
        <w:rPr>
          <w:rFonts w:hint="eastAsia" w:ascii="宋体" w:hAnsi="宋体" w:eastAsia="宋体" w:cs="宋体"/>
          <w:color w:val="000000"/>
          <w:sz w:val="24"/>
          <w:szCs w:val="24"/>
          <w:u w:val="single"/>
        </w:rPr>
        <w:t>年。</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承包人收到保修通知并到达工程现场的合理时间：</w:t>
      </w:r>
      <w:r>
        <w:rPr>
          <w:rFonts w:hint="eastAsia" w:ascii="宋体" w:hAnsi="宋体" w:eastAsia="宋体" w:cs="宋体"/>
          <w:color w:val="000000"/>
          <w:sz w:val="24"/>
          <w:szCs w:val="24"/>
          <w:u w:val="single"/>
        </w:rPr>
        <w:t xml:space="preserve"> 48小时内(含48小时)     </w:t>
      </w:r>
      <w:r>
        <w:rPr>
          <w:rFonts w:hint="eastAsia" w:ascii="宋体" w:hAnsi="宋体" w:eastAsia="宋体" w:cs="宋体"/>
          <w:color w:val="000000"/>
          <w:sz w:val="24"/>
          <w:szCs w:val="24"/>
        </w:rPr>
        <w:t>。</w:t>
      </w:r>
    </w:p>
    <w:bookmarkEnd w:id="938"/>
    <w:bookmarkEnd w:id="939"/>
    <w:bookmarkEnd w:id="940"/>
    <w:bookmarkEnd w:id="941"/>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964" w:name="_Toc351203648"/>
      <w:bookmarkStart w:id="965" w:name="_Toc386638622"/>
      <w:bookmarkStart w:id="966" w:name="_Toc280868717"/>
      <w:bookmarkStart w:id="967" w:name="_Toc280868718"/>
      <w:r>
        <w:rPr>
          <w:rFonts w:hint="eastAsia" w:ascii="宋体" w:hAnsi="宋体" w:eastAsia="宋体" w:cs="宋体"/>
          <w:b w:val="0"/>
          <w:color w:val="000000"/>
          <w:sz w:val="24"/>
          <w:szCs w:val="24"/>
        </w:rPr>
        <w:t>16. 违约</w:t>
      </w:r>
      <w:bookmarkEnd w:id="964"/>
      <w:bookmarkEnd w:id="965"/>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发包人违约的情形</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发包人违约的其他情形：</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16.1.2 发包人违约的责任</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发包人违约责任的承担方式和计算方法：</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（1）因发包人原因未能在计划开工日期前7天内下达开工通知的违约责任：</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（2）因发包人原因未能按合同约定支付合同价款的违约责任：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（3）发包人违反第10.1款〔变更的范围〕第（2）项约定，自行实施被取消的工作或转由他人实施的违约责任：</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（5）因发包人违反合同约定造成暂停施工的违约责任：</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（6）发包人无正当理由没有在约定期限内发出复工指示，导致承包人无法复工的违约责任：</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（7）其他：</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承包人按16.1.1项〔发包人违约的情形〕约定暂停施工满</w:t>
      </w:r>
      <w:r>
        <w:rPr>
          <w:rFonts w:hint="eastAsia" w:ascii="宋体" w:hAnsi="宋体" w:eastAsia="宋体" w:cs="宋体"/>
          <w:color w:val="000000"/>
          <w:sz w:val="24"/>
          <w:szCs w:val="24"/>
          <w:u w:val="single"/>
        </w:rPr>
        <w:t xml:space="preserve"> 28 </w:t>
      </w:r>
      <w:r>
        <w:rPr>
          <w:rFonts w:hint="eastAsia" w:ascii="宋体" w:hAnsi="宋体" w:eastAsia="宋体" w:cs="宋体"/>
          <w:color w:val="000000"/>
          <w:sz w:val="24"/>
          <w:szCs w:val="24"/>
        </w:rPr>
        <w:t>天后发包人仍不纠正其违约行为并致使合同目的不能实现的，承包人有权解除合同。</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16.2.1 承包人违约的情形、承担方式和计算方法</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（1）发生下列情况之一，视作承包人违约，并承担相应金额违约金，违约金从工程款中扣除。</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①未达到工程质量验收合格标准违约金为中标价的2.5%</w:t>
      </w:r>
      <w:r>
        <w:rPr>
          <w:rFonts w:hint="eastAsia" w:ascii="宋体" w:hAnsi="宋体" w:eastAsia="宋体" w:cs="宋体"/>
          <w:color w:val="000000"/>
          <w:sz w:val="24"/>
          <w:szCs w:val="24"/>
          <w:lang w:eastAsia="zh-CN"/>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②未履行安全文明施工承诺违约金为中标价的2.5%</w:t>
      </w:r>
      <w:r>
        <w:rPr>
          <w:rFonts w:hint="eastAsia" w:ascii="宋体" w:hAnsi="宋体" w:eastAsia="宋体" w:cs="宋体"/>
          <w:color w:val="000000"/>
          <w:sz w:val="24"/>
          <w:szCs w:val="24"/>
          <w:lang w:eastAsia="zh-CN"/>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③主要机械设备：未履行按竞包文件配备施工所需的主要机械设备到场承诺的，承担违约金为中标价1%</w:t>
      </w:r>
      <w:r>
        <w:rPr>
          <w:rFonts w:hint="eastAsia" w:ascii="宋体" w:hAnsi="宋体" w:eastAsia="宋体" w:cs="宋体"/>
          <w:color w:val="000000"/>
          <w:sz w:val="24"/>
          <w:szCs w:val="24"/>
          <w:lang w:eastAsia="zh-CN"/>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（2）发生下列情况之一，视作承包人违约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实际施工期到位率以监理和发包人当月统计情况为准，违约金从月报工程款中扣除。</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1、未履行项目经理及项目部关键岗位人员月实际施工期到场承诺违约金</w:t>
      </w:r>
      <w:r>
        <w:rPr>
          <w:rFonts w:hint="eastAsia" w:ascii="宋体" w:hAnsi="宋体" w:eastAsia="宋体" w:cs="宋体"/>
          <w:color w:val="000000"/>
          <w:sz w:val="24"/>
          <w:szCs w:val="24"/>
          <w:u w:val="single"/>
        </w:rPr>
        <w:t>1000</w:t>
      </w:r>
      <w:r>
        <w:rPr>
          <w:rFonts w:hint="eastAsia" w:ascii="宋体" w:hAnsi="宋体" w:eastAsia="宋体" w:cs="宋体"/>
          <w:color w:val="000000"/>
          <w:sz w:val="24"/>
          <w:szCs w:val="24"/>
        </w:rPr>
        <w:t>元/人/天。</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2、承包人擅自更换项目负责人违约金</w:t>
      </w:r>
      <w:r>
        <w:rPr>
          <w:rFonts w:hint="eastAsia" w:ascii="宋体" w:hAnsi="宋体" w:eastAsia="宋体" w:cs="宋体"/>
          <w:color w:val="000000"/>
          <w:kern w:val="0"/>
          <w:sz w:val="24"/>
          <w:szCs w:val="24"/>
          <w:u w:val="single"/>
        </w:rPr>
        <w:t>10000</w:t>
      </w:r>
      <w:r>
        <w:rPr>
          <w:rFonts w:hint="eastAsia" w:ascii="宋体" w:hAnsi="宋体" w:eastAsia="宋体" w:cs="宋体"/>
          <w:color w:val="000000"/>
          <w:kern w:val="0"/>
          <w:sz w:val="24"/>
          <w:szCs w:val="24"/>
        </w:rPr>
        <w:t>元/次。</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3、承包人擅自更换项目部其余关键岗位人员违约金</w:t>
      </w:r>
      <w:r>
        <w:rPr>
          <w:rFonts w:hint="eastAsia" w:ascii="宋体" w:hAnsi="宋体" w:eastAsia="宋体" w:cs="宋体"/>
          <w:color w:val="000000"/>
          <w:kern w:val="0"/>
          <w:sz w:val="24"/>
          <w:szCs w:val="24"/>
          <w:u w:val="single"/>
        </w:rPr>
        <w:t>5000</w:t>
      </w:r>
      <w:r>
        <w:rPr>
          <w:rFonts w:hint="eastAsia" w:ascii="宋体" w:hAnsi="宋体" w:eastAsia="宋体" w:cs="宋体"/>
          <w:color w:val="000000"/>
          <w:kern w:val="0"/>
          <w:sz w:val="24"/>
          <w:szCs w:val="24"/>
        </w:rPr>
        <w:t>元/人/次。</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关于承包人违约解除合同的特别约定：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4"/>
          <w:szCs w:val="24"/>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4"/>
          <w:szCs w:val="24"/>
        </w:rPr>
        <w:t>。</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968" w:name="_Toc386638623"/>
      <w:bookmarkStart w:id="969" w:name="_Toc351203649"/>
      <w:r>
        <w:rPr>
          <w:rFonts w:hint="eastAsia" w:ascii="宋体" w:hAnsi="宋体" w:eastAsia="宋体" w:cs="宋体"/>
          <w:b w:val="0"/>
          <w:color w:val="000000"/>
          <w:sz w:val="24"/>
          <w:szCs w:val="24"/>
        </w:rPr>
        <w:t>17. 不可抗力</w:t>
      </w:r>
      <w:bookmarkEnd w:id="966"/>
      <w:bookmarkEnd w:id="968"/>
      <w:bookmarkEnd w:id="969"/>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28</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天内完成款项的支付。</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bookmarkStart w:id="970" w:name="_Toc386638624"/>
      <w:bookmarkStart w:id="971" w:name="_Toc351203650"/>
      <w:r>
        <w:rPr>
          <w:rFonts w:hint="eastAsia" w:ascii="宋体" w:hAnsi="宋体" w:eastAsia="宋体" w:cs="宋体"/>
          <w:b w:val="0"/>
          <w:color w:val="000000"/>
          <w:sz w:val="24"/>
          <w:szCs w:val="24"/>
        </w:rPr>
        <w:t>18. 保险</w:t>
      </w:r>
      <w:bookmarkEnd w:id="970"/>
      <w:bookmarkEnd w:id="971"/>
    </w:p>
    <w:bookmarkEnd w:id="942"/>
    <w:bookmarkEnd w:id="943"/>
    <w:bookmarkEnd w:id="944"/>
    <w:bookmarkEnd w:id="945"/>
    <w:bookmarkEnd w:id="946"/>
    <w:bookmarkEnd w:id="947"/>
    <w:bookmarkEnd w:id="948"/>
    <w:bookmarkEnd w:id="949"/>
    <w:bookmarkEnd w:id="950"/>
    <w:bookmarkEnd w:id="951"/>
    <w:bookmarkEnd w:id="952"/>
    <w:bookmarkEnd w:id="953"/>
    <w:bookmarkEnd w:id="967"/>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bookmarkStart w:id="972" w:name="_Toc351203651"/>
      <w:bookmarkStart w:id="973" w:name="_Toc386638625"/>
      <w:r>
        <w:rPr>
          <w:rFonts w:hint="eastAsia" w:ascii="宋体" w:hAnsi="宋体" w:eastAsia="宋体" w:cs="宋体"/>
          <w:sz w:val="24"/>
          <w:szCs w:val="24"/>
        </w:rPr>
        <w:t>18.1 工程保险</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关于工程保险的特别约定：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18.3 其他保险</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sz w:val="24"/>
          <w:szCs w:val="24"/>
        </w:rPr>
        <w:t>关于其他保险的约定：</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民工工伤保险</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sz w:val="24"/>
          <w:szCs w:val="24"/>
        </w:rPr>
        <w:t>承包人是否应为其施工设备等办理财产保险：承包人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应当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为其施工设备等办理财产保险</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18.7 通知义务</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rPr>
        <w:t>关于变更保险合同时的通知义务的约定：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bidi w:val="0"/>
        <w:spacing w:line="360" w:lineRule="auto"/>
        <w:ind w:left="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本工程的民工工伤保险和建筑施工人员团体意外伤害保险由承包人一次性支付。</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承包人为建设项目缴纳工伤保险费后，应当将《建设项目工伤保险参保登记表》和《建设项目从业人员工伤保险费代缴协议》发送给本建设项目中各分包单位。</w:t>
      </w:r>
    </w:p>
    <w:p>
      <w:pPr>
        <w:pageBreakBefore w:val="0"/>
        <w:kinsoku/>
        <w:wordWrap/>
        <w:overflowPunct/>
        <w:topLinePunct w:val="0"/>
        <w:bidi w:val="0"/>
        <w:spacing w:line="360" w:lineRule="auto"/>
        <w:ind w:left="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承包人缴纳建筑施工人员团体意外伤害保险时应按照《团体建筑工人意外伤害保险条款（2012版）》规定采用按总造价计算保险费用的方法缴纳。</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为其施工设备等办理财产保险：承包人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应当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为其施工设备等办理财产保险</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20. 争议解决</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 争议评审</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20.3.2 争议评审小组的决定</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仲裁或诉讼</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发包人同承包人发生合同价款、工程结算和其他造价事项争议，一般采用下列程序解决：</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（1）由合同双方本着合法、客观、平等、合理的原则进行协商；</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（2）提请建设工程造价管理机构进行调解；</w:t>
      </w:r>
    </w:p>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（3）不愿协商、调解，或者协商、调解不成的</w:t>
      </w:r>
      <w:r>
        <w:rPr>
          <w:rFonts w:hint="eastAsia" w:ascii="宋体" w:hAnsi="宋体" w:eastAsia="宋体" w:cs="宋体"/>
          <w:b/>
          <w:color w:val="000000"/>
          <w:sz w:val="24"/>
          <w:szCs w:val="24"/>
        </w:rPr>
        <w:t>，</w:t>
      </w:r>
      <w:r>
        <w:rPr>
          <w:rFonts w:hint="eastAsia" w:ascii="宋体" w:hAnsi="宋体" w:eastAsia="宋体" w:cs="宋体"/>
          <w:color w:val="000000"/>
          <w:sz w:val="24"/>
          <w:szCs w:val="24"/>
        </w:rPr>
        <w:t>可以选择采用第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2</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种下列方式解决：</w:t>
      </w:r>
    </w:p>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仲裁委员会申请仲裁；</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宁海县 </w:t>
      </w:r>
      <w:r>
        <w:rPr>
          <w:rFonts w:hint="eastAsia" w:ascii="宋体" w:hAnsi="宋体" w:eastAsia="宋体" w:cs="宋体"/>
          <w:color w:val="000000"/>
          <w:sz w:val="24"/>
          <w:szCs w:val="24"/>
        </w:rPr>
        <w:t>人民法院提起诉讼。</w:t>
      </w:r>
    </w:p>
    <w:p>
      <w:pPr>
        <w:pStyle w:val="7"/>
        <w:pageBreakBefore w:val="0"/>
        <w:kinsoku/>
        <w:wordWrap/>
        <w:overflowPunct/>
        <w:topLinePunct w:val="0"/>
        <w:bidi w:val="0"/>
        <w:spacing w:before="0" w:beforeLines="0" w:after="0" w:afterLines="0" w:line="360" w:lineRule="auto"/>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21、补充条款</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实际施工时，无论工程量增减多少，承包人均应无条件服从</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增减工程量或工程项目按价款结算的有关条款结算，承包人不得提出额外索赔。</w:t>
      </w:r>
    </w:p>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在工程开工后直至完工退场，工地现场发生的卫生费、治安费等均由承包人承担。</w:t>
      </w:r>
    </w:p>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承包人须自备发电机，保证在停电时能连续施工，费用由承包人自理。</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根据《宁海县人民政府办公室关于印发2013年建设工程扬尘综合整治专项行动实施方案的通知》(宁政办发［2013］83号)文件规定，中标人应做好防止扬尘污染环境等相关工作，该费用已包括在合同价中。</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z w:val="24"/>
          <w:szCs w:val="24"/>
        </w:rPr>
        <w:t>21.5</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pacing w:val="8"/>
          <w:sz w:val="24"/>
          <w:szCs w:val="24"/>
        </w:rPr>
        <w:t>民工工伤保险费按甬发改投资［2014］540号，</w:t>
      </w:r>
      <w:r>
        <w:rPr>
          <w:rFonts w:hint="eastAsia" w:ascii="宋体" w:hAnsi="宋体" w:eastAsia="宋体" w:cs="宋体"/>
          <w:color w:val="000000"/>
          <w:sz w:val="24"/>
          <w:szCs w:val="24"/>
        </w:rPr>
        <w:t>该费用已包括在合同价中，承包人</w:t>
      </w:r>
      <w:r>
        <w:rPr>
          <w:rFonts w:hint="eastAsia" w:ascii="宋体" w:hAnsi="宋体" w:eastAsia="宋体" w:cs="宋体"/>
          <w:color w:val="000000"/>
          <w:spacing w:val="8"/>
          <w:sz w:val="24"/>
          <w:szCs w:val="24"/>
        </w:rPr>
        <w:t>应办理相关险种</w:t>
      </w:r>
      <w:r>
        <w:rPr>
          <w:rFonts w:hint="eastAsia" w:ascii="宋体" w:hAnsi="宋体" w:eastAsia="宋体" w:cs="宋体"/>
          <w:color w:val="000000"/>
          <w:sz w:val="24"/>
          <w:szCs w:val="24"/>
        </w:rPr>
        <w:t>。</w:t>
      </w:r>
    </w:p>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21.6</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施工场地周围邻近建筑物、地下管线、构筑物由承包人负责保护及承担措施费用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保护期间若发生损坏，由承包人承担。</w:t>
      </w:r>
    </w:p>
    <w:p>
      <w:pPr>
        <w:pageBreakBefore w:val="0"/>
        <w:kinsoku/>
        <w:wordWrap/>
        <w:overflowPunct/>
        <w:topLinePunct w:val="0"/>
        <w:bidi w:val="0"/>
        <w:adjustRightInd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val="en-US" w:eastAsia="zh-CN"/>
        </w:rPr>
        <w:t xml:space="preserve">7 </w:t>
      </w:r>
      <w:r>
        <w:rPr>
          <w:rFonts w:hint="eastAsia" w:ascii="宋体" w:hAnsi="宋体" w:eastAsia="宋体" w:cs="宋体"/>
          <w:color w:val="000000"/>
          <w:sz w:val="24"/>
          <w:szCs w:val="24"/>
        </w:rPr>
        <w:t>承包人应充分考虑施工过程中的各种不利因素，合理安排施工人员，在合同工期内保质保量完成施工任务。</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承包人需配合发包人做好上级领导的检查工作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发包人在不妨碍承包人正常作业的情况下，可以随时对作业质量安全进行检查。</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按规定计取的安全文明施工费不得挪作它用，应能保障工程现场的安全文明施工，并按相关文件执行。</w:t>
      </w:r>
    </w:p>
    <w:bookmarkEnd w:id="954"/>
    <w:bookmarkEnd w:id="955"/>
    <w:bookmarkEnd w:id="956"/>
    <w:bookmarkEnd w:id="957"/>
    <w:bookmarkEnd w:id="958"/>
    <w:bookmarkEnd w:id="959"/>
    <w:bookmarkEnd w:id="960"/>
    <w:bookmarkEnd w:id="961"/>
    <w:bookmarkEnd w:id="962"/>
    <w:bookmarkEnd w:id="963"/>
    <w:bookmarkEnd w:id="972"/>
    <w:bookmarkEnd w:id="973"/>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21.1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施工过程中</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临时围护费用</w:t>
      </w:r>
      <w:r>
        <w:rPr>
          <w:rFonts w:hint="eastAsia" w:ascii="宋体" w:hAnsi="宋体" w:eastAsia="宋体" w:cs="宋体"/>
          <w:color w:val="000000"/>
          <w:sz w:val="24"/>
          <w:szCs w:val="24"/>
          <w:lang w:eastAsia="zh-CN"/>
        </w:rPr>
        <w:t>（包括因配合施工而引起的多次围护）</w:t>
      </w:r>
      <w:r>
        <w:rPr>
          <w:rFonts w:hint="eastAsia" w:ascii="宋体" w:hAnsi="宋体" w:eastAsia="宋体" w:cs="宋体"/>
          <w:color w:val="000000"/>
          <w:sz w:val="24"/>
          <w:szCs w:val="24"/>
        </w:rPr>
        <w:t>由承包人根据实地情况，在投标报价时综合考虑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包含在合同价中</w:t>
      </w:r>
      <w:r>
        <w:rPr>
          <w:rFonts w:hint="eastAsia" w:ascii="宋体" w:hAnsi="宋体" w:eastAsia="宋体" w:cs="宋体"/>
          <w:color w:val="000000"/>
          <w:sz w:val="24"/>
          <w:szCs w:val="24"/>
          <w:lang w:eastAsia="zh-CN"/>
        </w:rPr>
        <w:t>。</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发包人</w:t>
      </w:r>
      <w:r>
        <w:rPr>
          <w:rFonts w:hint="eastAsia" w:ascii="宋体" w:hAnsi="宋体" w:eastAsia="宋体" w:cs="宋体"/>
          <w:color w:val="000000"/>
          <w:sz w:val="24"/>
          <w:szCs w:val="24"/>
          <w:lang w:val="en-US" w:eastAsia="zh-CN"/>
        </w:rPr>
        <w:t>的其他专业</w:t>
      </w:r>
      <w:r>
        <w:rPr>
          <w:rFonts w:hint="eastAsia" w:ascii="宋体" w:hAnsi="宋体" w:eastAsia="宋体" w:cs="宋体"/>
          <w:color w:val="000000"/>
          <w:sz w:val="24"/>
          <w:szCs w:val="24"/>
          <w:lang w:eastAsia="zh-CN"/>
        </w:rPr>
        <w:t>分包工程，</w:t>
      </w:r>
      <w:r>
        <w:rPr>
          <w:rFonts w:hint="eastAsia" w:ascii="宋体" w:hAnsi="宋体" w:eastAsia="宋体" w:cs="宋体"/>
          <w:color w:val="000000"/>
          <w:sz w:val="24"/>
          <w:szCs w:val="24"/>
          <w:lang w:val="en-US" w:eastAsia="zh-CN"/>
        </w:rPr>
        <w:t>承包方</w:t>
      </w:r>
      <w:r>
        <w:rPr>
          <w:rFonts w:hint="eastAsia" w:ascii="宋体" w:hAnsi="宋体" w:eastAsia="宋体" w:cs="宋体"/>
          <w:color w:val="000000"/>
          <w:sz w:val="24"/>
          <w:szCs w:val="24"/>
          <w:lang w:eastAsia="zh-CN"/>
        </w:rPr>
        <w:t>须</w:t>
      </w:r>
      <w:r>
        <w:rPr>
          <w:rFonts w:hint="eastAsia" w:ascii="宋体" w:hAnsi="宋体" w:eastAsia="宋体" w:cs="宋体"/>
          <w:color w:val="000000"/>
          <w:sz w:val="24"/>
          <w:szCs w:val="24"/>
        </w:rPr>
        <w:t>做好施工管理、协调、配合等工作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配合费由分包单位支付给承包方，配合费按实计算，由双方友好协商。</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 xml:space="preserve"> 正式施工前，承包方须做好图纸交底会议的牵头工作，因承包方原因造成的返工及造价增加由其自身承担。</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 xml:space="preserve"> 对图纸有但清单中未列入的项目或做法，承包方需在图纸交底时提出，如有增加，待相关变更手续完毕后方可实施。</w:t>
      </w:r>
    </w:p>
    <w:p>
      <w:pPr>
        <w:pageBreakBefore w:val="0"/>
        <w:kinsoku/>
        <w:wordWrap/>
        <w:overflowPunct/>
        <w:topLinePunct w:val="0"/>
        <w:bidi w:val="0"/>
        <w:spacing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本合同未尽事宜，由双方协商解决。</w:t>
      </w:r>
    </w:p>
    <w:p>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pPr>
        <w:spacing w:line="440" w:lineRule="exact"/>
        <w:rPr>
          <w:rFonts w:hint="eastAsia" w:ascii="宋体" w:hAnsi="宋体" w:eastAsia="宋体" w:cs="宋体"/>
          <w:color w:val="000000"/>
          <w:sz w:val="24"/>
          <w:lang w:eastAsia="zh-CN"/>
        </w:rPr>
      </w:pPr>
      <w:r>
        <w:rPr>
          <w:rFonts w:hint="eastAsia" w:ascii="宋体" w:hAnsi="宋体" w:cs="宋体"/>
          <w:color w:val="000000"/>
          <w:sz w:val="24"/>
        </w:rPr>
        <w:t>附件</w:t>
      </w:r>
      <w:r>
        <w:rPr>
          <w:rFonts w:hint="eastAsia" w:ascii="宋体" w:hAnsi="宋体" w:cs="宋体"/>
          <w:color w:val="000000"/>
          <w:sz w:val="24"/>
          <w:lang w:val="en-US" w:eastAsia="zh-CN"/>
        </w:rPr>
        <w:t>1</w:t>
      </w:r>
      <w:r>
        <w:rPr>
          <w:rFonts w:hint="eastAsia" w:ascii="宋体" w:hAnsi="宋体" w:cs="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cs="宋体"/>
          <w:b/>
          <w:color w:val="000000"/>
          <w:sz w:val="32"/>
          <w:szCs w:val="32"/>
        </w:rPr>
      </w:pPr>
      <w:bookmarkStart w:id="974" w:name="_Toc411083385"/>
      <w:r>
        <w:rPr>
          <w:rFonts w:hint="eastAsia" w:ascii="宋体" w:hAnsi="宋体" w:cs="宋体"/>
          <w:b/>
          <w:color w:val="000000"/>
          <w:sz w:val="32"/>
          <w:szCs w:val="32"/>
        </w:rPr>
        <w:t>工程质量保修书</w:t>
      </w:r>
      <w:bookmarkEnd w:id="974"/>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color w:val="000000"/>
          <w:sz w:val="24"/>
        </w:rPr>
      </w:pPr>
      <w:r>
        <w:rPr>
          <w:rFonts w:hint="eastAsia" w:ascii="宋体" w:hAnsi="宋体" w:cs="宋体"/>
          <w:b/>
          <w:color w:val="000000"/>
          <w:sz w:val="24"/>
        </w:rPr>
        <w:t>一、工程保修范围和内容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u w:val="none"/>
          <w:lang w:eastAsia="zh-CN"/>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color w:val="000000"/>
          <w:sz w:val="24"/>
        </w:rPr>
      </w:pPr>
      <w:r>
        <w:rPr>
          <w:rFonts w:hint="eastAsia" w:ascii="宋体" w:hAnsi="宋体" w:cs="宋体"/>
          <w:b/>
          <w:color w:val="000000"/>
          <w:sz w:val="24"/>
        </w:rPr>
        <w:t>二、保修期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2</w:t>
      </w:r>
      <w:r>
        <w:rPr>
          <w:rFonts w:hint="eastAsia" w:ascii="宋体" w:hAnsi="宋体" w:cs="宋体"/>
          <w:color w:val="000000"/>
          <w:sz w:val="24"/>
          <w:u w:val="single"/>
          <w:lang w:val="en-US" w:eastAsia="zh-CN"/>
        </w:rPr>
        <w:t xml:space="preserve"> </w:t>
      </w:r>
      <w:r>
        <w:rPr>
          <w:rFonts w:hint="eastAsia" w:ascii="宋体" w:hAnsi="宋体" w:cs="宋体"/>
          <w:color w:val="000000"/>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w:t>
      </w:r>
      <w:r>
        <w:rPr>
          <w:rFonts w:hint="eastAsia" w:ascii="宋体" w:hAnsi="宋体" w:cs="宋体"/>
          <w:color w:val="000000"/>
          <w:sz w:val="24"/>
          <w:u w:val="single"/>
          <w:lang w:val="en-US" w:eastAsia="zh-CN"/>
        </w:rPr>
        <w:t>1</w:t>
      </w:r>
      <w:r>
        <w:rPr>
          <w:rFonts w:hint="eastAsia" w:ascii="宋体" w:hAnsi="宋体" w:cs="宋体"/>
          <w:color w:val="000000"/>
          <w:sz w:val="24"/>
          <w:u w:val="single"/>
        </w:rPr>
        <w:t>年</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000000"/>
          <w:sz w:val="24"/>
        </w:rPr>
      </w:pPr>
      <w:r>
        <w:rPr>
          <w:rFonts w:hint="eastAsia" w:ascii="宋体" w:hAnsi="宋体" w:eastAsia="宋体" w:cs="宋体"/>
          <w:b/>
          <w:color w:val="000000"/>
          <w:sz w:val="24"/>
        </w:rPr>
        <w:t>三、缺陷责任期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lang w:val="en-US" w:eastAsia="zh-CN"/>
        </w:rPr>
        <w:t xml:space="preserve"> 12</w:t>
      </w:r>
      <w:r>
        <w:rPr>
          <w:rFonts w:hint="eastAsia" w:ascii="宋体" w:hAnsi="宋体" w:cs="宋体"/>
          <w:color w:val="000000"/>
          <w:sz w:val="24"/>
          <w:u w:val="single"/>
        </w:rPr>
        <w:t xml:space="preserve"> </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12</w:t>
      </w:r>
      <w:r>
        <w:rPr>
          <w:rFonts w:hint="eastAsia" w:ascii="宋体" w:hAnsi="宋体" w:cs="宋体"/>
          <w:color w:val="000000"/>
          <w:sz w:val="24"/>
          <w:u w:val="single"/>
          <w:lang w:val="en-US" w:eastAsia="zh-CN"/>
        </w:rPr>
        <w:t xml:space="preserve"> </w:t>
      </w:r>
      <w:r>
        <w:rPr>
          <w:rFonts w:hint="eastAsia" w:ascii="宋体" w:hAnsi="宋体" w:cs="宋体"/>
          <w:color w:val="000000"/>
          <w:sz w:val="24"/>
        </w:rPr>
        <w:t>个月。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color w:val="000000"/>
          <w:sz w:val="24"/>
        </w:rPr>
      </w:pPr>
      <w:r>
        <w:rPr>
          <w:rFonts w:hint="eastAsia" w:ascii="宋体" w:hAnsi="宋体" w:cs="宋体"/>
          <w:b/>
          <w:color w:val="000000"/>
          <w:sz w:val="24"/>
        </w:rPr>
        <w:t>四、保修责任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color w:val="000000"/>
          <w:sz w:val="24"/>
        </w:rPr>
      </w:pPr>
      <w:r>
        <w:rPr>
          <w:rFonts w:hint="eastAsia" w:ascii="宋体" w:hAnsi="宋体" w:cs="宋体"/>
          <w:b/>
          <w:color w:val="000000"/>
          <w:sz w:val="24"/>
        </w:rPr>
        <w:t>五、保修费用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color w:val="000000"/>
          <w:sz w:val="24"/>
        </w:rPr>
      </w:pPr>
      <w:r>
        <w:rPr>
          <w:rFonts w:hint="eastAsia" w:ascii="宋体" w:hAnsi="宋体" w:cs="宋体"/>
          <w:b/>
          <w:color w:val="000000"/>
          <w:sz w:val="24"/>
        </w:rPr>
        <w:t>六、其他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双方约定的其他工程保修责任事项：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u w:val="single"/>
        </w:rPr>
      </w:pPr>
      <w:r>
        <w:rPr>
          <w:rFonts w:hint="eastAsia" w:ascii="宋体" w:hAnsi="宋体"/>
          <w:sz w:val="24"/>
          <w:u w:val="single"/>
        </w:rPr>
        <w:t>发包人应按约定退还质量保修金，质量保修金保留期为</w:t>
      </w:r>
      <w:r>
        <w:rPr>
          <w:rFonts w:hint="eastAsia" w:ascii="宋体" w:hAnsi="宋体"/>
          <w:sz w:val="24"/>
          <w:u w:val="single"/>
          <w:lang w:val="en-US" w:eastAsia="zh-CN"/>
        </w:rPr>
        <w:t>1</w:t>
      </w:r>
      <w:r>
        <w:rPr>
          <w:rFonts w:hint="eastAsia" w:ascii="宋体" w:hAnsi="宋体"/>
          <w:sz w:val="24"/>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 xml:space="preserve">（公章）  </w:t>
      </w:r>
      <w:r>
        <w:rPr>
          <w:rFonts w:hint="eastAsia" w:ascii="宋体" w:hAnsi="宋体" w:cs="宋体"/>
          <w:color w:val="000000"/>
          <w:sz w:val="24"/>
          <w:lang w:val="en-US" w:eastAsia="zh-CN"/>
        </w:rPr>
        <w:t xml:space="preserve">     </w:t>
      </w:r>
      <w:r>
        <w:rPr>
          <w:rFonts w:hint="eastAsia" w:ascii="宋体" w:hAnsi="宋体" w:cs="宋体"/>
          <w:color w:val="000000"/>
          <w:sz w:val="24"/>
        </w:rPr>
        <w:t>承包商：</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（公章）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法定代表人或其                         法定代表人或其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（签字）     </w:t>
      </w:r>
      <w:r>
        <w:rPr>
          <w:rFonts w:hint="eastAsia" w:ascii="宋体" w:hAnsi="宋体" w:cs="宋体"/>
          <w:color w:val="000000"/>
          <w:sz w:val="24"/>
          <w:lang w:val="en-US" w:eastAsia="zh-CN"/>
        </w:rPr>
        <w:t xml:space="preserve">  </w:t>
      </w: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sz w:val="24"/>
        </w:rPr>
      </w:pPr>
    </w:p>
    <w:p>
      <w:pPr>
        <w:pStyle w:val="3"/>
      </w:pPr>
      <w:r>
        <w:rPr>
          <w:rFonts w:hint="eastAsia" w:ascii="宋体" w:hAnsi="宋体" w:cs="宋体"/>
          <w:color w:val="000000"/>
          <w:sz w:val="24"/>
        </w:rPr>
        <w:br w:type="page"/>
      </w:r>
    </w:p>
    <w:p>
      <w:pPr>
        <w:snapToGrid w:val="0"/>
        <w:spacing w:line="360" w:lineRule="auto"/>
        <w:jc w:val="center"/>
        <w:outlineLvl w:val="0"/>
        <w:rPr>
          <w:rFonts w:ascii="宋体" w:hAnsi="宋体" w:cs="宋体"/>
          <w:b/>
          <w:sz w:val="36"/>
          <w:szCs w:val="20"/>
        </w:rPr>
      </w:pPr>
      <w:bookmarkStart w:id="975" w:name="_Toc16395"/>
      <w:r>
        <w:rPr>
          <w:rFonts w:hint="eastAsia" w:ascii="宋体" w:hAnsi="宋体" w:cs="宋体"/>
          <w:b/>
          <w:sz w:val="36"/>
          <w:szCs w:val="20"/>
        </w:rPr>
        <w:t>第六部分</w:t>
      </w:r>
      <w:bookmarkEnd w:id="421"/>
      <w:r>
        <w:rPr>
          <w:rFonts w:hint="eastAsia" w:ascii="宋体" w:hAnsi="宋体" w:cs="宋体"/>
          <w:b/>
          <w:sz w:val="36"/>
          <w:szCs w:val="20"/>
        </w:rPr>
        <w:t xml:space="preserve"> </w:t>
      </w:r>
      <w:bookmarkEnd w:id="422"/>
      <w:r>
        <w:rPr>
          <w:rFonts w:hint="eastAsia" w:ascii="宋体" w:hAnsi="宋体" w:cs="宋体"/>
          <w:b/>
          <w:sz w:val="36"/>
          <w:szCs w:val="20"/>
        </w:rPr>
        <w:t>应提交的有关格式范例</w:t>
      </w:r>
      <w:bookmarkEnd w:id="975"/>
    </w:p>
    <w:p>
      <w:pPr>
        <w:spacing w:line="360" w:lineRule="auto"/>
        <w:jc w:val="center"/>
        <w:outlineLvl w:val="9"/>
        <w:rPr>
          <w:rFonts w:ascii="宋体" w:hAnsi="宋体" w:cs="宋体"/>
          <w:b/>
          <w:kern w:val="0"/>
          <w:sz w:val="36"/>
          <w:szCs w:val="36"/>
        </w:rPr>
      </w:pPr>
    </w:p>
    <w:p>
      <w:pPr>
        <w:spacing w:line="360" w:lineRule="auto"/>
        <w:jc w:val="center"/>
        <w:outlineLvl w:val="0"/>
        <w:rPr>
          <w:rFonts w:ascii="宋体" w:hAnsi="宋体" w:cs="宋体"/>
          <w:b/>
          <w:kern w:val="0"/>
          <w:sz w:val="36"/>
          <w:szCs w:val="36"/>
        </w:rPr>
      </w:pPr>
      <w:bookmarkStart w:id="976" w:name="_Toc1648"/>
      <w:r>
        <w:rPr>
          <w:rFonts w:hint="eastAsia" w:ascii="宋体" w:hAnsi="宋体" w:cs="宋体"/>
          <w:b/>
          <w:kern w:val="0"/>
          <w:sz w:val="36"/>
          <w:szCs w:val="36"/>
        </w:rPr>
        <w:t>资格文件部分</w:t>
      </w:r>
      <w:bookmarkEnd w:id="976"/>
    </w:p>
    <w:p>
      <w:pPr>
        <w:spacing w:line="360" w:lineRule="auto"/>
        <w:jc w:val="center"/>
        <w:outlineLvl w:val="0"/>
        <w:rPr>
          <w:rFonts w:ascii="宋体" w:hAnsi="宋体" w:cs="宋体"/>
          <w:b/>
          <w:kern w:val="0"/>
          <w:sz w:val="36"/>
          <w:szCs w:val="36"/>
        </w:rPr>
      </w:pPr>
      <w:bookmarkStart w:id="977" w:name="_Toc19282"/>
      <w:r>
        <w:rPr>
          <w:rFonts w:hint="eastAsia" w:ascii="宋体" w:hAnsi="宋体" w:cs="宋体"/>
          <w:b/>
          <w:kern w:val="0"/>
          <w:sz w:val="36"/>
          <w:szCs w:val="36"/>
        </w:rPr>
        <w:t>目录</w:t>
      </w:r>
      <w:bookmarkEnd w:id="977"/>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宁波威远工程造价咨询有限公司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宁海桃源街道综合指挥中心改造及提升工程（装修部分）</w:t>
      </w:r>
      <w:r>
        <w:rPr>
          <w:rFonts w:hint="eastAsia" w:ascii="宋体" w:hAnsi="宋体" w:cs="宋体"/>
          <w:sz w:val="24"/>
        </w:rPr>
        <w:t>【项目编号：</w:t>
      </w:r>
      <w:r>
        <w:rPr>
          <w:rFonts w:hint="eastAsia" w:ascii="宋体" w:hAnsi="宋体" w:cs="宋体"/>
          <w:sz w:val="24"/>
          <w:lang w:eastAsia="zh-CN"/>
        </w:rPr>
        <w:t>WYZB-NH2024-008</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headerReference r:id="rId7" w:type="first"/>
          <w:footerReference r:id="rId9" w:type="first"/>
          <w:footerReference r:id="rId8" w:type="default"/>
          <w:pgSz w:w="11905" w:h="16838"/>
          <w:pgMar w:top="1134" w:right="1304" w:bottom="1134" w:left="1304" w:header="850" w:footer="850" w:gutter="283"/>
          <w:pgNumType w:fmt="decimal"/>
          <w:cols w:space="0" w:num="1"/>
          <w:titlePg/>
          <w:rtlGutter w:val="0"/>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5" w:h="16838"/>
          <w:pgMar w:top="1134" w:right="1304" w:bottom="1134" w:left="1304" w:header="850" w:footer="850" w:gutter="283"/>
          <w:pgNumType w:fmt="decimal"/>
          <w:cols w:space="0" w:num="1"/>
          <w:titlePg/>
          <w:rtlGutter w:val="0"/>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5" w:h="16838"/>
          <w:pgMar w:top="1134" w:right="1304" w:bottom="1134" w:left="1304" w:header="850" w:footer="850" w:gutter="283"/>
          <w:pgNumType w:fmt="decimal"/>
          <w:cols w:space="0" w:num="1"/>
          <w:titlePg/>
          <w:rtlGutter w:val="0"/>
          <w:docGrid w:linePitch="312" w:charSpace="0"/>
        </w:sectPr>
      </w:pPr>
    </w:p>
    <w:p>
      <w:pPr>
        <w:pStyle w:val="4"/>
        <w:outlineLvl w:val="9"/>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bookmarkStart w:id="978" w:name="_Toc4453"/>
      <w:r>
        <w:rPr>
          <w:rFonts w:hint="eastAsia" w:ascii="宋体" w:hAnsi="宋体" w:cs="宋体"/>
          <w:b/>
          <w:kern w:val="0"/>
          <w:sz w:val="28"/>
          <w:szCs w:val="28"/>
        </w:rPr>
        <w:t>目录</w:t>
      </w:r>
      <w:bookmarkEnd w:id="978"/>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r>
        <w:rPr>
          <w:rFonts w:hint="eastAsia" w:ascii="宋体" w:hAnsi="宋体" w:cs="宋体"/>
          <w:sz w:val="24"/>
        </w:rPr>
        <w:t>………………………………………………（页码）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5" w:h="16838"/>
          <w:pgMar w:top="1134" w:right="1304" w:bottom="1134" w:left="1304" w:header="850" w:footer="850" w:gutter="283"/>
          <w:pgNumType w:fmt="decimal"/>
          <w:cols w:space="0" w:num="1"/>
          <w:titlePg/>
          <w:rtlGutter w:val="0"/>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宁波威远工程造价咨询有限公司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宁海桃源街道综合指挥中心改造及提升工程（装修部分）</w:t>
      </w:r>
      <w:r>
        <w:rPr>
          <w:rFonts w:hint="eastAsia" w:ascii="宋体" w:hAnsi="宋体" w:cs="宋体"/>
          <w:sz w:val="24"/>
        </w:rPr>
        <w:t>【项目编号：</w:t>
      </w:r>
      <w:r>
        <w:rPr>
          <w:rFonts w:hint="eastAsia" w:ascii="宋体" w:hAnsi="宋体" w:cs="宋体"/>
          <w:sz w:val="24"/>
          <w:lang w:eastAsia="zh-CN"/>
        </w:rPr>
        <w:t>WYZB-NH2024-008</w:t>
      </w:r>
      <w:r>
        <w:rPr>
          <w:rFonts w:hint="eastAsia" w:ascii="宋体" w:hAnsi="宋体" w:cs="宋体"/>
          <w:sz w:val="24"/>
        </w:rPr>
        <w:t>】采购的有关活动，并对此项目提交响应文件及报价。为此：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r>
        <w:rPr>
          <w:rFonts w:hint="eastAsia" w:ascii="宋体" w:hAnsi="宋体" w:cs="宋体"/>
          <w:sz w:val="24"/>
          <w:lang w:eastAsia="zh-CN"/>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val="en-US" w:eastAsia="zh-CN"/>
        </w:rPr>
        <w:t>报价情况说明</w:t>
      </w:r>
      <w:r>
        <w:rPr>
          <w:rFonts w:hint="eastAsia" w:ascii="宋体" w:hAnsi="宋体" w:cs="宋体"/>
          <w:sz w:val="24"/>
        </w:rPr>
        <w:t>（如果有）。</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default" w:ascii="宋体" w:hAnsi="宋体" w:eastAsia="宋体" w:cs="宋体"/>
          <w:color w:val="000000" w:themeColor="text1"/>
          <w:sz w:val="24"/>
          <w14:textFill>
            <w14:solidFill>
              <w14:schemeClr w14:val="tx1"/>
            </w14:solidFill>
          </w14:textFill>
        </w:rPr>
        <w:t>3、我方承诺除商务技术偏离表列出的偏离外，我方响应采购文件的全部要求。对</w:t>
      </w:r>
      <w:r>
        <w:rPr>
          <w:rFonts w:hint="default" w:ascii="宋体" w:hAnsi="宋体" w:eastAsia="宋体" w:cs="宋体"/>
          <w:color w:val="000000" w:themeColor="text1"/>
          <w:sz w:val="24"/>
          <w:lang w:val="en-US" w:eastAsia="zh-CN"/>
          <w14:textFill>
            <w14:solidFill>
              <w14:schemeClr w14:val="tx1"/>
            </w14:solidFill>
          </w14:textFill>
        </w:rPr>
        <w:t>响应</w:t>
      </w:r>
      <w:r>
        <w:rPr>
          <w:rFonts w:hint="default" w:ascii="宋体" w:hAnsi="宋体" w:eastAsia="宋体" w:cs="宋体"/>
          <w:color w:val="000000" w:themeColor="text1"/>
          <w:sz w:val="24"/>
          <w14:textFill>
            <w14:solidFill>
              <w14:schemeClr w14:val="tx1"/>
            </w14:solidFill>
          </w14:textFill>
        </w:rPr>
        <w:t>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5" w:h="16838"/>
          <w:pgMar w:top="1134" w:right="1304" w:bottom="1134" w:left="1304" w:header="850" w:footer="850" w:gutter="283"/>
          <w:pgNumType w:fmt="decimal"/>
          <w:cols w:space="0" w:num="1"/>
          <w:titlePg/>
          <w:rtlGutter w:val="0"/>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hint="eastAsia"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宁波威远工程造价咨询有限公司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宁海桃源街道综合指挥中心改造及提升工程（装修部分）</w:t>
      </w:r>
      <w:r>
        <w:rPr>
          <w:rFonts w:hint="eastAsia" w:ascii="宋体" w:hAnsi="宋体" w:cs="宋体"/>
          <w:sz w:val="24"/>
        </w:rPr>
        <w:t>【项目编号：</w:t>
      </w:r>
      <w:r>
        <w:rPr>
          <w:rFonts w:hint="eastAsia" w:ascii="宋体" w:hAnsi="宋体" w:cs="宋体"/>
          <w:sz w:val="24"/>
          <w:lang w:eastAsia="zh-CN"/>
        </w:rPr>
        <w:t>WYZB-NH2024-008</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宁波威远工程造价咨询有限公司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宁海桃源街道综合指挥中心改造及提升工程（装修部分）</w:t>
      </w:r>
      <w:r>
        <w:rPr>
          <w:rFonts w:hint="eastAsia" w:ascii="宋体" w:hAnsi="宋体" w:cs="宋体"/>
          <w:sz w:val="24"/>
        </w:rPr>
        <w:t>【项目编号：</w:t>
      </w:r>
      <w:r>
        <w:rPr>
          <w:rFonts w:hint="eastAsia" w:ascii="宋体" w:hAnsi="宋体" w:cs="宋体"/>
          <w:sz w:val="24"/>
          <w:lang w:eastAsia="zh-CN"/>
        </w:rPr>
        <w:t>WYZB-NH2024-008</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5" w:h="16838"/>
          <w:pgMar w:top="1134" w:right="1304" w:bottom="1134" w:left="1304" w:header="850" w:footer="850" w:gutter="283"/>
          <w:pgNumType w:fmt="decimal"/>
          <w:cols w:space="0" w:num="1"/>
          <w:titlePg/>
          <w:rtlGutter w:val="0"/>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979"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79"/>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4"/>
        <w:rPr>
          <w:rFonts w:ascii="宋体" w:hAnsi="宋体" w:cs="宋体"/>
          <w:b/>
          <w:kern w:val="0"/>
          <w:sz w:val="32"/>
          <w:szCs w:val="32"/>
        </w:rPr>
      </w:pPr>
    </w:p>
    <w:p>
      <w:pPr>
        <w:pStyle w:val="34"/>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w:t>
      </w:r>
      <w:r>
        <w:rPr>
          <w:rFonts w:hint="eastAsia" w:ascii="宋体" w:hAnsi="宋体" w:cs="宋体"/>
          <w:b/>
          <w:sz w:val="24"/>
          <w:lang w:val="en-US" w:eastAsia="zh-CN"/>
        </w:rPr>
        <w:t>要求提供的评审资料</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hint="eastAsia" w:ascii="宋体" w:hAnsi="宋体" w:eastAsia="宋体" w:cs="宋体"/>
          <w:kern w:val="0"/>
          <w:sz w:val="24"/>
          <w:lang w:eastAsia="zh-CN"/>
        </w:rPr>
      </w:pPr>
      <w:r>
        <w:rPr>
          <w:rFonts w:hint="eastAsia" w:ascii="宋体" w:hAnsi="宋体" w:cs="宋体"/>
          <w:kern w:val="0"/>
          <w:sz w:val="24"/>
        </w:rPr>
        <w:t>供应商保证：除商务技术偏离表列出的偏离外，供应商响应采购文件的全部要求</w:t>
      </w:r>
      <w:r>
        <w:rPr>
          <w:rFonts w:hint="eastAsia" w:ascii="宋体" w:hAnsi="宋体" w:cs="宋体"/>
          <w:kern w:val="0"/>
          <w:sz w:val="24"/>
          <w:lang w:eastAsia="zh-CN"/>
        </w:rPr>
        <w:t>。</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1" w:type="first"/>
          <w:footerReference r:id="rId10" w:type="default"/>
          <w:pgSz w:w="11905" w:h="16838"/>
          <w:pgMar w:top="1134" w:right="1304" w:bottom="1134" w:left="1304" w:header="850" w:footer="850" w:gutter="283"/>
          <w:pgNumType w:fmt="decimal"/>
          <w:cols w:space="0" w:num="1"/>
          <w:titlePg/>
          <w:rtlGutter w:val="0"/>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宁波威远工程造价咨询有限公司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kern w:val="0"/>
          <w:sz w:val="24"/>
          <w:lang w:val="en-US" w:eastAsia="zh-CN"/>
        </w:rPr>
        <w:t>县</w:t>
      </w:r>
      <w:r>
        <w:rPr>
          <w:rFonts w:hint="eastAsia" w:ascii="宋体" w:hAnsi="宋体" w:cs="宋体"/>
          <w:kern w:val="0"/>
          <w:sz w:val="24"/>
          <w:lang w:val="zh-CN"/>
        </w:rPr>
        <w:t>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134" w:right="1304" w:bottom="1134" w:left="1304" w:header="850" w:footer="850" w:gutter="283"/>
          <w:pgNumType w:fmt="decimal"/>
          <w:cols w:space="0" w:num="1"/>
          <w:titlePg/>
          <w:rtlGutter w:val="0"/>
          <w:docGrid w:linePitch="312" w:charSpace="0"/>
        </w:sectPr>
      </w:pPr>
    </w:p>
    <w:p>
      <w:pPr>
        <w:spacing w:line="360" w:lineRule="auto"/>
        <w:jc w:val="center"/>
        <w:outlineLvl w:val="0"/>
        <w:rPr>
          <w:rFonts w:ascii="宋体" w:hAnsi="宋体" w:cs="宋体"/>
          <w:b/>
          <w:kern w:val="0"/>
          <w:sz w:val="36"/>
          <w:szCs w:val="36"/>
        </w:rPr>
      </w:pPr>
      <w:bookmarkStart w:id="980" w:name="_Toc10803"/>
      <w:r>
        <w:rPr>
          <w:rFonts w:hint="eastAsia" w:ascii="宋体" w:hAnsi="宋体" w:cs="宋体"/>
          <w:b/>
          <w:kern w:val="0"/>
          <w:sz w:val="36"/>
          <w:szCs w:val="36"/>
        </w:rPr>
        <w:t>报价文件部分</w:t>
      </w:r>
      <w:bookmarkEnd w:id="980"/>
    </w:p>
    <w:p>
      <w:pPr>
        <w:spacing w:line="360" w:lineRule="auto"/>
        <w:jc w:val="center"/>
        <w:outlineLvl w:val="0"/>
        <w:rPr>
          <w:rFonts w:ascii="宋体" w:hAnsi="宋体" w:cs="宋体"/>
          <w:b/>
          <w:kern w:val="0"/>
          <w:sz w:val="36"/>
          <w:szCs w:val="36"/>
        </w:rPr>
      </w:pPr>
      <w:bookmarkStart w:id="981" w:name="_Toc25383"/>
      <w:r>
        <w:rPr>
          <w:rFonts w:hint="eastAsia" w:ascii="宋体" w:hAnsi="宋体" w:cs="宋体"/>
          <w:b/>
          <w:kern w:val="0"/>
          <w:sz w:val="36"/>
          <w:szCs w:val="36"/>
        </w:rPr>
        <w:t>目录</w:t>
      </w:r>
      <w:bookmarkEnd w:id="981"/>
    </w:p>
    <w:p>
      <w:pPr>
        <w:spacing w:line="360" w:lineRule="auto"/>
        <w:jc w:val="center"/>
        <w:outlineLvl w:val="9"/>
        <w:rPr>
          <w:rFonts w:ascii="宋体" w:hAnsi="宋体" w:cs="宋体"/>
          <w:b/>
          <w:kern w:val="0"/>
          <w:sz w:val="36"/>
          <w:szCs w:val="36"/>
        </w:rPr>
      </w:pPr>
    </w:p>
    <w:p>
      <w:pPr>
        <w:numPr>
          <w:ilvl w:val="0"/>
          <w:numId w:val="8"/>
        </w:num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报价单…………………………………………………………………………（页码）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）已标价工程量清单……………………………………………………………（页码）</w:t>
      </w:r>
    </w:p>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hAnsi="仿宋_GB2312" w:cs="仿宋_GB2312"/>
          <w:b w:val="0"/>
          <w:bCs/>
          <w:snapToGrid w:val="0"/>
          <w:color w:val="000000" w:themeColor="text1"/>
          <w:kern w:val="2"/>
          <w:sz w:val="24"/>
          <w:szCs w:val="24"/>
          <w:lang w:val="en-US" w:eastAsia="zh-CN" w:bidi="ar-SA"/>
          <w14:textFill>
            <w14:solidFill>
              <w14:schemeClr w14:val="tx1"/>
            </w14:solidFill>
          </w14:textFill>
        </w:rPr>
        <w:t>报价情况说明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）中小企业声明函………………………………………………………………（页码）</w:t>
      </w:r>
    </w:p>
    <w:p>
      <w:pPr>
        <w:pStyle w:val="80"/>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4" w:type="first"/>
          <w:headerReference r:id="rId12" w:type="default"/>
          <w:footerReference r:id="rId13" w:type="default"/>
          <w:pgSz w:w="11905" w:h="16838"/>
          <w:pgMar w:top="1134" w:right="1304" w:bottom="1134" w:left="1304" w:header="850" w:footer="850" w:gutter="283"/>
          <w:pgNumType w:fmt="decimal"/>
          <w:cols w:space="0" w:num="1"/>
          <w:titlePg/>
          <w:rtlGutter w:val="0"/>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982" w:name="_Toc8419"/>
      <w:r>
        <w:rPr>
          <w:rFonts w:hint="eastAsia" w:ascii="宋体" w:hAnsi="宋体" w:eastAsia="宋体" w:cs="宋体"/>
          <w:kern w:val="2"/>
          <w:sz w:val="32"/>
          <w:szCs w:val="32"/>
        </w:rPr>
        <w:t>一、报价单</w:t>
      </w:r>
      <w:bookmarkEnd w:id="982"/>
    </w:p>
    <w:p>
      <w:pPr>
        <w:snapToGrid w:val="0"/>
        <w:spacing w:line="360" w:lineRule="auto"/>
        <w:rPr>
          <w:rFonts w:ascii="宋体" w:hAnsi="宋体" w:cs="宋体"/>
          <w:kern w:val="0"/>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宁波威远工程造价咨询有限公司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宁海桃源街道综合指挥中心改造及提升工程（装修部分）</w:t>
      </w:r>
      <w:r>
        <w:rPr>
          <w:rFonts w:hint="eastAsia" w:ascii="宋体" w:hAnsi="宋体" w:cs="宋体"/>
          <w:kern w:val="0"/>
          <w:sz w:val="24"/>
          <w:lang w:val="zh-CN"/>
        </w:rPr>
        <w:t>【项目编号：</w:t>
      </w:r>
      <w:r>
        <w:rPr>
          <w:rFonts w:hint="eastAsia" w:ascii="宋体" w:hAnsi="宋体" w:cs="宋体"/>
          <w:sz w:val="24"/>
          <w:lang w:eastAsia="zh-CN"/>
        </w:rPr>
        <w:t>WYZB-NH2024-008</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1"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b/>
                <w:sz w:val="24"/>
              </w:rPr>
            </w:pPr>
            <w:r>
              <w:rPr>
                <w:rFonts w:hint="eastAsia" w:ascii="宋体" w:hAnsi="宋体" w:cs="宋体"/>
                <w:b/>
                <w:sz w:val="24"/>
              </w:rPr>
              <w:t>项目名称</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b/>
                <w:sz w:val="24"/>
              </w:rPr>
            </w:pPr>
            <w:r>
              <w:rPr>
                <w:rFonts w:hint="eastAsia" w:ascii="宋体" w:hAnsi="宋体" w:cs="宋体"/>
                <w:b/>
                <w:sz w:val="24"/>
              </w:rPr>
              <w:t>施工范围</w:t>
            </w:r>
          </w:p>
        </w:tc>
        <w:tc>
          <w:tcPr>
            <w:tcW w:w="311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b/>
                <w:sz w:val="24"/>
              </w:rPr>
            </w:pPr>
            <w:r>
              <w:rPr>
                <w:rFonts w:hint="eastAsia" w:ascii="宋体" w:hAnsi="宋体" w:cs="宋体"/>
                <w:b/>
                <w:sz w:val="24"/>
              </w:rPr>
              <w:t>施工工期</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b/>
                <w:sz w:val="24"/>
              </w:rPr>
            </w:pPr>
            <w:r>
              <w:rPr>
                <w:rFonts w:hint="eastAsia" w:ascii="宋体" w:hAnsi="宋体" w:cs="宋体"/>
                <w:b/>
                <w:sz w:val="24"/>
              </w:rPr>
              <w:t>项目经理</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b/>
                <w:sz w:val="24"/>
              </w:rPr>
            </w:pPr>
            <w:r>
              <w:rPr>
                <w:rFonts w:hint="eastAsia" w:ascii="宋体" w:hAnsi="宋体" w:cs="宋体"/>
                <w:b/>
                <w:sz w:val="24"/>
              </w:rPr>
              <w:t>执业证书信息</w:t>
            </w:r>
          </w:p>
        </w:tc>
        <w:tc>
          <w:tcPr>
            <w:tcW w:w="311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sz w:val="24"/>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sz w:val="24"/>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sz w:val="24"/>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sz w:val="24"/>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sz w:val="24"/>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12" w:type="dxa"/>
            <w:gridSpan w:val="3"/>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b/>
                <w:sz w:val="24"/>
              </w:rPr>
            </w:pPr>
            <w:r>
              <w:rPr>
                <w:rFonts w:hint="eastAsia" w:ascii="宋体" w:hAnsi="宋体" w:cs="宋体"/>
                <w:b/>
                <w:sz w:val="24"/>
              </w:rPr>
              <w:t>磋商报价（小写）</w:t>
            </w:r>
          </w:p>
        </w:tc>
        <w:tc>
          <w:tcPr>
            <w:tcW w:w="7655" w:type="dxa"/>
            <w:gridSpan w:val="3"/>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12" w:type="dxa"/>
            <w:gridSpan w:val="3"/>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b/>
                <w:sz w:val="24"/>
              </w:rPr>
            </w:pPr>
            <w:r>
              <w:rPr>
                <w:rFonts w:hint="eastAsia" w:ascii="宋体" w:hAnsi="宋体" w:cs="宋体"/>
                <w:b/>
                <w:sz w:val="24"/>
              </w:rPr>
              <w:t>磋商报价（大写）</w:t>
            </w:r>
          </w:p>
        </w:tc>
        <w:tc>
          <w:tcPr>
            <w:tcW w:w="7655" w:type="dxa"/>
            <w:gridSpan w:val="3"/>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3、特别提示：采购代理机构将对项目名称和项目编号，成交供应商名称、地址和成交金额等予以公示。</w:t>
      </w:r>
    </w:p>
    <w:p>
      <w:pPr>
        <w:snapToGrid w:val="0"/>
        <w:spacing w:line="360" w:lineRule="auto"/>
        <w:ind w:firstLine="480" w:firstLineChars="200"/>
        <w:jc w:val="left"/>
        <w:rPr>
          <w:rFonts w:ascii="宋体" w:hAnsi="宋体" w:eastAsia="宋体" w:cs="宋体"/>
          <w:kern w:val="2"/>
          <w:sz w:val="32"/>
          <w:szCs w:val="32"/>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5" w:orient="landscape"/>
          <w:pgMar w:top="1134" w:right="850" w:bottom="1134" w:left="850" w:header="850" w:footer="850" w:gutter="0"/>
          <w:pgNumType w:fmt="decimal"/>
          <w:cols w:space="0" w:num="1"/>
          <w:titlePg/>
          <w:rtlGutter w:val="0"/>
          <w:docGrid w:linePitch="312" w:charSpace="0"/>
        </w:sectPr>
      </w:pPr>
    </w:p>
    <w:p>
      <w:pPr>
        <w:pStyle w:val="693"/>
        <w:keepNext w:val="0"/>
        <w:pageBreakBefore/>
        <w:tabs>
          <w:tab w:val="clear" w:pos="720"/>
        </w:tabs>
        <w:snapToGrid w:val="0"/>
        <w:spacing w:before="120" w:after="120"/>
        <w:outlineLvl w:val="9"/>
        <w:rPr>
          <w:rFonts w:ascii="宋体" w:hAnsi="宋体" w:eastAsia="宋体" w:cs="宋体"/>
          <w:kern w:val="2"/>
          <w:sz w:val="32"/>
          <w:szCs w:val="32"/>
        </w:rPr>
      </w:pPr>
      <w:bookmarkStart w:id="983" w:name="_Toc13508"/>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bookmarkEnd w:id="983"/>
    </w:p>
    <w:p>
      <w:pPr>
        <w:ind w:right="420"/>
        <w:rPr>
          <w:rFonts w:hint="eastAsia" w:ascii="宋体" w:hAnsi="宋体" w:eastAsia="宋体" w:cs="宋体"/>
          <w:sz w:val="24"/>
          <w:lang w:eastAsia="zh-CN"/>
        </w:rPr>
      </w:pPr>
      <w:r>
        <w:rPr>
          <w:rFonts w:hint="eastAsia" w:ascii="宋体" w:hAnsi="宋体" w:cs="宋体"/>
          <w:sz w:val="24"/>
        </w:rPr>
        <w:t>注：按采购文件工程量清单编制</w:t>
      </w:r>
      <w:r>
        <w:rPr>
          <w:rFonts w:hint="eastAsia" w:ascii="宋体" w:hAnsi="宋体" w:cs="宋体"/>
          <w:sz w:val="24"/>
          <w:lang w:eastAsia="zh-CN"/>
        </w:rPr>
        <w:t>。</w:t>
      </w:r>
    </w:p>
    <w:p>
      <w:pPr>
        <w:pStyle w:val="61"/>
        <w:ind w:firstLine="480"/>
        <w:rPr>
          <w:rFonts w:cs="宋体"/>
          <w:sz w:val="24"/>
        </w:rPr>
      </w:pPr>
    </w:p>
    <w:p>
      <w:pPr>
        <w:pStyle w:val="61"/>
        <w:ind w:firstLine="480"/>
        <w:rPr>
          <w:rFonts w:cs="宋体"/>
          <w:sz w:val="24"/>
        </w:rPr>
        <w:sectPr>
          <w:footerReference r:id="rId18" w:type="first"/>
          <w:headerReference r:id="rId15" w:type="default"/>
          <w:footerReference r:id="rId16" w:type="default"/>
          <w:footerReference r:id="rId17" w:type="even"/>
          <w:pgSz w:w="11905" w:h="16838"/>
          <w:pgMar w:top="1134" w:right="1304" w:bottom="1134" w:left="1304" w:header="850" w:footer="850" w:gutter="283"/>
          <w:pgNumType w:fmt="decimal"/>
          <w:cols w:space="0" w:num="1"/>
          <w:titlePg/>
          <w:rtlGutter w:val="0"/>
          <w:docGrid w:linePitch="312" w:charSpace="0"/>
        </w:sectPr>
      </w:pPr>
    </w:p>
    <w:p>
      <w:pPr>
        <w:pStyle w:val="693"/>
        <w:keepNext w:val="0"/>
        <w:pageBreakBefore/>
        <w:tabs>
          <w:tab w:val="clear" w:pos="720"/>
        </w:tabs>
        <w:snapToGrid w:val="0"/>
        <w:spacing w:before="120" w:after="120"/>
        <w:outlineLvl w:val="9"/>
        <w:rPr>
          <w:rFonts w:hint="eastAsia" w:ascii="宋体" w:hAnsi="宋体" w:eastAsia="宋体" w:cs="宋体"/>
          <w:kern w:val="2"/>
          <w:sz w:val="32"/>
          <w:szCs w:val="32"/>
          <w:lang w:val="en-US" w:eastAsia="zh-CN"/>
        </w:rPr>
      </w:pPr>
      <w:bookmarkStart w:id="984" w:name="_Toc5588"/>
      <w:bookmarkStart w:id="985" w:name="_Toc1562"/>
      <w:r>
        <w:rPr>
          <w:rFonts w:hint="eastAsia" w:ascii="宋体" w:hAnsi="宋体" w:eastAsia="宋体" w:cs="宋体"/>
          <w:kern w:val="2"/>
          <w:sz w:val="32"/>
          <w:szCs w:val="32"/>
          <w:lang w:val="en-US" w:eastAsia="zh-CN"/>
        </w:rPr>
        <w:t>三、报价情况说明（如果有）</w:t>
      </w:r>
      <w:bookmarkEnd w:id="984"/>
    </w:p>
    <w:p>
      <w:pPr>
        <w:keepNext w:val="0"/>
        <w:pageBreakBefore w:val="0"/>
        <w:snapToGrid w:val="0"/>
        <w:spacing w:before="120" w:after="120"/>
        <w:outlineLvl w:val="9"/>
        <w:rPr>
          <w:rFonts w:hint="eastAsia"/>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kern w:val="2"/>
          <w:sz w:val="24"/>
          <w:szCs w:val="24"/>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w:t>
      </w:r>
      <w:r>
        <w:rPr>
          <w:rFonts w:hint="eastAsia" w:ascii="宋体" w:hAnsi="宋体" w:eastAsia="宋体" w:cs="宋体"/>
          <w:b w:val="0"/>
          <w:bCs w:val="0"/>
          <w:color w:val="FF0000"/>
          <w:sz w:val="24"/>
          <w:szCs w:val="24"/>
          <w:lang w:val="en-US" w:eastAsia="zh-CN"/>
        </w:rPr>
        <w:t>工程</w:t>
      </w:r>
      <w:r>
        <w:rPr>
          <w:rFonts w:hint="eastAsia" w:ascii="宋体" w:hAnsi="宋体" w:eastAsia="宋体" w:cs="宋体"/>
          <w:b w:val="0"/>
          <w:bCs w:val="0"/>
          <w:color w:val="FF0000"/>
          <w:sz w:val="24"/>
          <w:szCs w:val="24"/>
          <w:lang w:val="en-US"/>
        </w:rPr>
        <w:t>质量或者诚信履约的具体原因</w:t>
      </w:r>
      <w:r>
        <w:rPr>
          <w:rFonts w:hint="eastAsia" w:ascii="宋体" w:hAnsi="宋体" w:eastAsia="宋体" w:cs="宋体"/>
          <w:b w:val="0"/>
          <w:bCs w:val="0"/>
          <w:color w:val="FF0000"/>
          <w:sz w:val="24"/>
          <w:szCs w:val="24"/>
          <w:lang w:val="en-US" w:eastAsia="zh-CN"/>
        </w:rPr>
        <w:t>）</w:t>
      </w:r>
    </w:p>
    <w:p>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pPr>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br w:type="page"/>
      </w: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四</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986" w:name="_Hlk101259491"/>
      <w:r>
        <w:rPr>
          <w:rFonts w:hint="eastAsia" w:ascii="宋体" w:hAnsi="宋体" w:eastAsia="宋体" w:cs="宋体"/>
          <w:sz w:val="32"/>
          <w:szCs w:val="32"/>
        </w:rPr>
        <w:t>（如果有）</w:t>
      </w:r>
      <w:bookmarkEnd w:id="985"/>
      <w:bookmarkEnd w:id="986"/>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987" w:name="_Toc465665161"/>
      <w:bookmarkStart w:id="988" w:name="_Toc20820"/>
      <w:r>
        <w:rPr>
          <w:rFonts w:hint="eastAsia" w:ascii="宋体" w:hAnsi="宋体" w:cs="宋体"/>
        </w:rPr>
        <w:t>附件</w:t>
      </w:r>
      <w:bookmarkEnd w:id="987"/>
      <w:bookmarkEnd w:id="98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989" w:name="OLE_LINK13"/>
      <w:bookmarkStart w:id="990" w:name="OLE_LINK14"/>
      <w:r>
        <w:rPr>
          <w:rFonts w:hint="eastAsia" w:ascii="宋体" w:hAnsi="宋体" w:cs="宋体"/>
          <w:b/>
          <w:spacing w:val="6"/>
          <w:sz w:val="32"/>
          <w:szCs w:val="32"/>
        </w:rPr>
        <w:t>残疾人福利性单位声明函</w:t>
      </w:r>
    </w:p>
    <w:bookmarkEnd w:id="989"/>
    <w:bookmarkEnd w:id="99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pStyle w:val="34"/>
        <w:rPr>
          <w:rFonts w:ascii="宋体" w:hAnsi="宋体" w:cs="宋体"/>
          <w:b/>
          <w:sz w:val="24"/>
        </w:rPr>
      </w:pPr>
    </w:p>
    <w:p>
      <w:pPr>
        <w:pStyle w:val="34"/>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34"/>
        <w:rPr>
          <w:rFonts w:ascii="宋体" w:hAnsi="宋体" w:cs="宋体"/>
          <w:b/>
          <w:spacing w:val="6"/>
          <w:sz w:val="32"/>
          <w:szCs w:val="32"/>
        </w:rPr>
      </w:pPr>
    </w:p>
    <w:p>
      <w:pPr>
        <w:pStyle w:val="34"/>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pStyle w:val="34"/>
        <w:rPr>
          <w:rFonts w:ascii="宋体" w:hAnsi="宋体" w:cs="宋体"/>
          <w:b/>
          <w:spacing w:val="6"/>
          <w:sz w:val="32"/>
          <w:szCs w:val="32"/>
        </w:rPr>
      </w:pPr>
    </w:p>
    <w:p>
      <w:pPr>
        <w:pStyle w:val="34"/>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hint="eastAsia" w:ascii="宋体" w:hAnsi="宋体" w:eastAsia="宋体" w:cs="宋体"/>
          <w:sz w:val="24"/>
          <w:lang w:eastAsia="zh-CN"/>
        </w:rPr>
      </w:pPr>
      <w:r>
        <w:rPr>
          <w:rFonts w:hint="eastAsia" w:ascii="宋体" w:hAnsi="宋体" w:cs="宋体"/>
          <w:sz w:val="24"/>
          <w:u w:val="single"/>
          <w:lang w:eastAsia="zh-CN"/>
        </w:rPr>
        <w:t>宁海县人民政府桃源街道办事处</w:t>
      </w:r>
      <w:r>
        <w:rPr>
          <w:rFonts w:hint="eastAsia" w:ascii="宋体" w:hAnsi="宋体" w:cs="宋体"/>
          <w:sz w:val="24"/>
          <w:u w:val="single"/>
        </w:rPr>
        <w:t>、</w:t>
      </w:r>
      <w:r>
        <w:rPr>
          <w:rFonts w:hint="eastAsia" w:ascii="宋体" w:hAnsi="宋体" w:cs="宋体"/>
          <w:sz w:val="24"/>
          <w:u w:val="single"/>
          <w:lang w:eastAsia="zh-CN"/>
        </w:rPr>
        <w:t>宁波威远工程造价咨询有限公司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宁海桃源街道综合指挥中心改造及提升工程（装修部分）</w:t>
      </w:r>
      <w:r>
        <w:rPr>
          <w:rFonts w:hint="eastAsia" w:ascii="宋体" w:hAnsi="宋体" w:cs="宋体"/>
          <w:sz w:val="24"/>
        </w:rPr>
        <w:t>项目【项目编号：</w:t>
      </w:r>
      <w:r>
        <w:rPr>
          <w:rFonts w:hint="eastAsia" w:ascii="宋体" w:hAnsi="宋体" w:cs="宋体"/>
          <w:sz w:val="24"/>
          <w:lang w:eastAsia="zh-CN"/>
        </w:rPr>
        <w:t>WYZB-NH2024-008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宁海桃源街道综合指挥中心改造及提升工程（装修部分）</w:t>
      </w:r>
      <w:r>
        <w:rPr>
          <w:rFonts w:hint="eastAsia" w:ascii="宋体" w:hAnsi="宋体" w:cs="宋体"/>
          <w:sz w:val="24"/>
        </w:rPr>
        <w:t>【项目编号：</w:t>
      </w:r>
      <w:r>
        <w:rPr>
          <w:rFonts w:hint="eastAsia" w:ascii="宋体" w:hAnsi="宋体" w:cs="宋体"/>
          <w:sz w:val="24"/>
          <w:lang w:eastAsia="zh-CN"/>
        </w:rPr>
        <w:t>WYZB-NH2024-008</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99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991"/>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5" w:h="16838"/>
          <w:pgMar w:top="1134" w:right="1304" w:bottom="1134" w:left="1304" w:header="850" w:footer="850" w:gutter="283"/>
          <w:pgNumType w:fmt="decimal"/>
          <w:cols w:space="0" w:num="1"/>
          <w:titlePg/>
          <w:rtlGutter w:val="0"/>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宁海桃源街道综合指挥中心改造及提升工程（装修部分）</w:t>
      </w:r>
      <w:r>
        <w:rPr>
          <w:rFonts w:hint="eastAsia" w:ascii="宋体" w:hAnsi="宋体" w:cs="宋体"/>
          <w:sz w:val="24"/>
        </w:rPr>
        <w:t>【项目编号：</w:t>
      </w:r>
      <w:r>
        <w:rPr>
          <w:rFonts w:hint="eastAsia" w:ascii="宋体" w:hAnsi="宋体" w:cs="宋体"/>
          <w:sz w:val="24"/>
          <w:lang w:eastAsia="zh-CN"/>
        </w:rPr>
        <w:t>WYZB-NH2024-008</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99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9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5" w:h="16838"/>
          <w:pgMar w:top="1134" w:right="1304" w:bottom="1134" w:left="1304" w:header="850" w:footer="850" w:gutter="283"/>
          <w:pgNumType w:fmt="decimal"/>
          <w:cols w:space="0" w:num="1"/>
          <w:titlePg/>
          <w:rtlGutter w:val="0"/>
          <w:docGrid w:linePitch="312" w:charSpace="0"/>
        </w:sectPr>
      </w:pPr>
    </w:p>
    <w:p>
      <w:pPr>
        <w:autoSpaceDE w:val="0"/>
        <w:autoSpaceDN w:val="0"/>
        <w:jc w:val="center"/>
        <w:outlineLvl w:val="0"/>
        <w:rPr>
          <w:rFonts w:ascii="宋体" w:hAnsi="宋体" w:cs="宋体"/>
          <w:b/>
          <w:bCs/>
          <w:sz w:val="32"/>
          <w:szCs w:val="32"/>
        </w:rPr>
      </w:pPr>
      <w:bookmarkStart w:id="993" w:name="_Toc5348"/>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bookmarkEnd w:id="993"/>
    </w:p>
    <w:p>
      <w:pPr>
        <w:spacing w:line="360" w:lineRule="auto"/>
        <w:jc w:val="center"/>
        <w:rPr>
          <w:rFonts w:ascii="宋体" w:hAnsi="宋体" w:cs="宋体"/>
          <w:sz w:val="24"/>
          <w:u w:val="single"/>
        </w:rPr>
      </w:pPr>
    </w:p>
    <w:p>
      <w:pPr>
        <w:spacing w:line="360" w:lineRule="auto"/>
        <w:jc w:val="center"/>
        <w:outlineLvl w:val="0"/>
        <w:rPr>
          <w:rFonts w:ascii="宋体" w:hAnsi="宋体" w:cs="宋体"/>
          <w:b/>
          <w:sz w:val="32"/>
          <w:szCs w:val="32"/>
        </w:rPr>
      </w:pPr>
      <w:bookmarkStart w:id="994" w:name="_Toc29102"/>
      <w:r>
        <w:rPr>
          <w:rFonts w:hint="eastAsia" w:ascii="宋体" w:hAnsi="宋体" w:cs="宋体"/>
          <w:b/>
          <w:sz w:val="32"/>
          <w:szCs w:val="32"/>
        </w:rPr>
        <w:t>中小企业声明函（工程）</w:t>
      </w:r>
      <w:bookmarkEnd w:id="994"/>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lang w:eastAsia="zh-CN"/>
        </w:rPr>
        <w:t>宁海县人民政府桃源街道办事处</w:t>
      </w:r>
      <w:r>
        <w:rPr>
          <w:rFonts w:hint="eastAsia" w:ascii="宋体" w:hAnsi="宋体" w:cs="宋体"/>
          <w:sz w:val="24"/>
          <w:highlight w:val="none"/>
        </w:rPr>
        <w:t>的</w:t>
      </w:r>
      <w:r>
        <w:rPr>
          <w:rFonts w:hint="eastAsia" w:ascii="宋体" w:hAnsi="宋体" w:cs="宋体"/>
          <w:sz w:val="24"/>
          <w:highlight w:val="none"/>
          <w:u w:val="single"/>
          <w:lang w:eastAsia="zh-CN"/>
        </w:rPr>
        <w:t>宁海桃源街道综合指挥中心改造及提升工程（装修部分）</w:t>
      </w:r>
      <w:r>
        <w:rPr>
          <w:rFonts w:hint="eastAsia" w:ascii="宋体" w:hAnsi="宋体" w:cs="宋体"/>
          <w:sz w:val="24"/>
          <w:highlight w:val="none"/>
        </w:rPr>
        <w:t>采购活动，工程的施工单位全部为符合政策要求的中小企业</w:t>
      </w:r>
      <w:r>
        <w:rPr>
          <w:rFonts w:hint="eastAsia" w:ascii="宋体" w:hAnsi="宋体" w:cs="宋体"/>
          <w:sz w:val="24"/>
          <w:highlight w:val="none"/>
          <w:lang w:val="en-US" w:eastAsia="zh-CN"/>
        </w:rPr>
        <w:t>承建（</w:t>
      </w:r>
      <w:r>
        <w:rPr>
          <w:rFonts w:hint="eastAsia" w:ascii="宋体" w:hAnsi="宋体" w:cs="宋体"/>
          <w:sz w:val="24"/>
          <w:highlight w:val="none"/>
        </w:rPr>
        <w:t>承接</w:t>
      </w:r>
      <w:r>
        <w:rPr>
          <w:rFonts w:hint="eastAsia" w:ascii="宋体" w:hAnsi="宋体" w:cs="宋体"/>
          <w:sz w:val="24"/>
          <w:highlight w:val="none"/>
          <w:lang w:val="en-US" w:eastAsia="zh-CN"/>
        </w:rPr>
        <w:t>）</w:t>
      </w:r>
      <w:r>
        <w:rPr>
          <w:rFonts w:hint="eastAsia" w:ascii="宋体" w:hAnsi="宋体" w:cs="宋体"/>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cs="宋体" w:asciiTheme="minorEastAsia" w:hAnsiTheme="minorEastAsia" w:eastAsiaTheme="minorEastAsia"/>
          <w:kern w:val="0"/>
          <w:sz w:val="24"/>
          <w:highlight w:val="none"/>
          <w:u w:val="single"/>
          <w:lang w:eastAsia="zh-CN"/>
        </w:rPr>
        <w:t>宁海桃源街道综合指挥中心改造及提升工程（装修部分）</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建筑业</w:t>
      </w:r>
      <w:r>
        <w:rPr>
          <w:rFonts w:hint="eastAsia" w:ascii="宋体" w:hAnsi="宋体" w:cs="宋体"/>
          <w:sz w:val="24"/>
          <w:u w:val="single"/>
        </w:rPr>
        <w:t xml:space="preserve">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w:t>
      </w:r>
      <w:r>
        <w:rPr>
          <w:rFonts w:hint="eastAsia" w:ascii="宋体" w:hAnsi="宋体" w:eastAsia="宋体" w:cs="宋体"/>
          <w:sz w:val="24"/>
          <w:lang w:val="en-US" w:eastAsia="zh-CN"/>
        </w:rPr>
        <w:t>作为无效标处理</w:t>
      </w:r>
      <w:r>
        <w:rPr>
          <w:rFonts w:hint="eastAsia" w:ascii="宋体" w:hAnsi="宋体" w:eastAsia="宋体" w:cs="宋体"/>
          <w:sz w:val="24"/>
        </w:rPr>
        <w:t>。声明内容不实的，属于提供虚假材料谋取中标、成交的，依法承担法律责任。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both"/>
        <w:rPr>
          <w:rFonts w:ascii="宋体" w:hAnsi="宋体" w:cs="宋体"/>
          <w:b/>
          <w:sz w:val="32"/>
          <w:szCs w:val="32"/>
        </w:rPr>
      </w:pPr>
    </w:p>
    <w:p>
      <w:pPr>
        <w:spacing w:line="360" w:lineRule="auto"/>
        <w:rPr>
          <w:rFonts w:ascii="宋体" w:hAnsi="宋体" w:cs="宋体"/>
          <w:bCs/>
          <w:sz w:val="24"/>
        </w:rPr>
        <w:sectPr>
          <w:pgSz w:w="11905" w:h="16838"/>
          <w:pgMar w:top="1134" w:right="1304" w:bottom="1134" w:left="1304" w:header="850" w:footer="850" w:gutter="283"/>
          <w:pgNumType w:fmt="decimal"/>
          <w:cols w:space="0" w:num="1"/>
          <w:titlePg/>
          <w:rtlGutter w:val="0"/>
          <w:docGrid w:linePitch="312" w:charSpace="0"/>
        </w:sectPr>
      </w:pPr>
    </w:p>
    <w:p>
      <w:pPr>
        <w:spacing w:line="360" w:lineRule="auto"/>
        <w:outlineLvl w:val="0"/>
        <w:rPr>
          <w:rFonts w:ascii="宋体" w:hAnsi="宋体" w:cs="宋体"/>
          <w:b/>
          <w:spacing w:val="6"/>
          <w:sz w:val="32"/>
          <w:szCs w:val="32"/>
        </w:rPr>
      </w:pPr>
      <w:bookmarkStart w:id="995" w:name="_Toc24396"/>
      <w:r>
        <w:rPr>
          <w:rFonts w:hint="eastAsia" w:ascii="宋体" w:hAnsi="宋体" w:cs="宋体"/>
          <w:b/>
          <w:spacing w:val="6"/>
          <w:sz w:val="32"/>
          <w:szCs w:val="32"/>
        </w:rPr>
        <w:t>附件8：工程</w:t>
      </w:r>
      <w:r>
        <w:rPr>
          <w:rFonts w:hint="eastAsia" w:ascii="宋体" w:hAnsi="宋体" w:cs="宋体"/>
          <w:b/>
          <w:spacing w:val="6"/>
          <w:sz w:val="32"/>
          <w:szCs w:val="32"/>
          <w:lang w:val="en-US" w:eastAsia="zh-CN"/>
        </w:rPr>
        <w:t>预算清单及说明</w:t>
      </w:r>
      <w:r>
        <w:rPr>
          <w:rFonts w:hint="eastAsia" w:ascii="宋体" w:hAnsi="宋体" w:cs="宋体"/>
          <w:b/>
          <w:spacing w:val="6"/>
          <w:sz w:val="32"/>
          <w:szCs w:val="32"/>
        </w:rPr>
        <w:t>（另附）</w:t>
      </w:r>
      <w:bookmarkEnd w:id="995"/>
    </w:p>
    <w:p>
      <w:pPr>
        <w:spacing w:line="360" w:lineRule="auto"/>
        <w:rPr>
          <w:rFonts w:ascii="宋体" w:hAnsi="宋体" w:cs="宋体"/>
          <w:b/>
          <w:spacing w:val="6"/>
          <w:sz w:val="32"/>
          <w:szCs w:val="32"/>
        </w:rPr>
      </w:pPr>
    </w:p>
    <w:p>
      <w:pPr>
        <w:spacing w:line="360" w:lineRule="auto"/>
        <w:outlineLvl w:val="0"/>
        <w:rPr>
          <w:rFonts w:ascii="宋体" w:hAnsi="宋体" w:cs="宋体"/>
          <w:b/>
          <w:spacing w:val="6"/>
          <w:sz w:val="32"/>
          <w:szCs w:val="32"/>
        </w:rPr>
      </w:pPr>
      <w:bookmarkStart w:id="996" w:name="_Toc23341"/>
      <w:r>
        <w:rPr>
          <w:rFonts w:hint="eastAsia" w:ascii="宋体" w:hAnsi="宋体" w:cs="宋体"/>
          <w:b/>
          <w:spacing w:val="6"/>
          <w:sz w:val="32"/>
          <w:szCs w:val="32"/>
        </w:rPr>
        <w:t>附件9：图纸（另附）</w:t>
      </w:r>
      <w:bookmarkEnd w:id="996"/>
    </w:p>
    <w:p>
      <w:pPr>
        <w:pStyle w:val="2"/>
      </w:pPr>
    </w:p>
    <w:sectPr>
      <w:pgSz w:w="11905" w:h="16838"/>
      <w:pgMar w:top="1134" w:right="1304" w:bottom="1134" w:left="1304" w:header="850" w:footer="850" w:gutter="283"/>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91</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89</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88</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jc w:val="right"/>
      <w:rPr>
        <w:rFonts w:ascii="Times New Roman" w:eastAsia="宋体"/>
        <w:b w:val="0"/>
        <w:i w:val="0"/>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jc w:val="right"/>
      <w:rPr>
        <w:rFonts w:ascii="Times New Roman"/>
        <w:b w:val="0"/>
        <w:i w:val="0"/>
        <w:iCs w:val="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3BB7C36"/>
    <w:multiLevelType w:val="singleLevel"/>
    <w:tmpl w:val="93BB7C36"/>
    <w:lvl w:ilvl="0" w:tentative="0">
      <w:start w:val="1"/>
      <w:numFmt w:val="decimal"/>
      <w:suff w:val="nothing"/>
      <w:lvlText w:val="（%1）"/>
      <w:lvlJc w:val="left"/>
    </w:lvl>
  </w:abstractNum>
  <w:abstractNum w:abstractNumId="2">
    <w:nsid w:val="B2105360"/>
    <w:multiLevelType w:val="singleLevel"/>
    <w:tmpl w:val="B2105360"/>
    <w:lvl w:ilvl="0" w:tentative="0">
      <w:start w:val="8"/>
      <w:numFmt w:val="decimal"/>
      <w:suff w:val="space"/>
      <w:lvlText w:val="%1."/>
      <w:lvlJc w:val="left"/>
    </w:lvl>
  </w:abstractNum>
  <w:abstractNum w:abstractNumId="3">
    <w:nsid w:val="B9306417"/>
    <w:multiLevelType w:val="singleLevel"/>
    <w:tmpl w:val="B9306417"/>
    <w:lvl w:ilvl="0" w:tentative="0">
      <w:start w:val="13"/>
      <w:numFmt w:val="decimal"/>
      <w:suff w:val="space"/>
      <w:lvlText w:val="%1."/>
      <w:lvlJc w:val="left"/>
    </w:lvl>
  </w:abstractNum>
  <w:abstractNum w:abstractNumId="4">
    <w:nsid w:val="294E9A89"/>
    <w:multiLevelType w:val="singleLevel"/>
    <w:tmpl w:val="294E9A89"/>
    <w:lvl w:ilvl="0" w:tentative="0">
      <w:start w:val="2"/>
      <w:numFmt w:val="decimal"/>
      <w:suff w:val="space"/>
      <w:lvlText w:val="%1."/>
      <w:lvlJc w:val="left"/>
    </w:lvl>
  </w:abstractNum>
  <w:abstractNum w:abstractNumId="5">
    <w:nsid w:val="4CF0FD0D"/>
    <w:multiLevelType w:val="singleLevel"/>
    <w:tmpl w:val="4CF0FD0D"/>
    <w:lvl w:ilvl="0" w:tentative="0">
      <w:start w:val="27"/>
      <w:numFmt w:val="decimal"/>
      <w:suff w:val="space"/>
      <w:lvlText w:val="%1."/>
      <w:lvlJc w:val="left"/>
    </w:lvl>
  </w:abstractNum>
  <w:abstractNum w:abstractNumId="6">
    <w:nsid w:val="5D8BE24A"/>
    <w:multiLevelType w:val="singleLevel"/>
    <w:tmpl w:val="5D8BE24A"/>
    <w:lvl w:ilvl="0" w:tentative="0">
      <w:start w:val="4"/>
      <w:numFmt w:val="decimal"/>
      <w:suff w:val="space"/>
      <w:lvlText w:val="%1."/>
      <w:lvlJc w:val="left"/>
    </w:lvl>
  </w:abstractNum>
  <w:abstractNum w:abstractNumId="7">
    <w:nsid w:val="5E93C3DD"/>
    <w:multiLevelType w:val="singleLevel"/>
    <w:tmpl w:val="5E93C3DD"/>
    <w:lvl w:ilvl="0" w:tentative="0">
      <w:start w:val="2"/>
      <w:numFmt w:val="decimal"/>
      <w:suff w:val="nothing"/>
      <w:lvlText w:val="%1、"/>
      <w:lvlJc w:val="left"/>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mE0ZDhlODA3NzE1ZTNmYmZkNDUyY2ZkNTU5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70"/>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04"/>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21B"/>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0E40"/>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3CE1"/>
    <w:rsid w:val="019F7441"/>
    <w:rsid w:val="01B37585"/>
    <w:rsid w:val="01C65DA5"/>
    <w:rsid w:val="01D55165"/>
    <w:rsid w:val="01DF6BF8"/>
    <w:rsid w:val="01E70DB5"/>
    <w:rsid w:val="01EC2C57"/>
    <w:rsid w:val="0217238E"/>
    <w:rsid w:val="025F0711"/>
    <w:rsid w:val="026B2E25"/>
    <w:rsid w:val="02824D4D"/>
    <w:rsid w:val="02B01557"/>
    <w:rsid w:val="02DC4B10"/>
    <w:rsid w:val="02DD76CE"/>
    <w:rsid w:val="02F36323"/>
    <w:rsid w:val="02F5619C"/>
    <w:rsid w:val="0326446A"/>
    <w:rsid w:val="032D5555"/>
    <w:rsid w:val="036634D2"/>
    <w:rsid w:val="039C6C7D"/>
    <w:rsid w:val="03DD35E4"/>
    <w:rsid w:val="03F040A4"/>
    <w:rsid w:val="04076900"/>
    <w:rsid w:val="041A5A3B"/>
    <w:rsid w:val="042311BA"/>
    <w:rsid w:val="042B157A"/>
    <w:rsid w:val="04591994"/>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D7510F"/>
    <w:rsid w:val="07245D42"/>
    <w:rsid w:val="07264C62"/>
    <w:rsid w:val="07373DFF"/>
    <w:rsid w:val="07722A16"/>
    <w:rsid w:val="0779354C"/>
    <w:rsid w:val="07A46B95"/>
    <w:rsid w:val="07F92E63"/>
    <w:rsid w:val="08061376"/>
    <w:rsid w:val="08452D77"/>
    <w:rsid w:val="086401F8"/>
    <w:rsid w:val="08661343"/>
    <w:rsid w:val="08751CAA"/>
    <w:rsid w:val="087E4C40"/>
    <w:rsid w:val="087F4AB2"/>
    <w:rsid w:val="08923AEE"/>
    <w:rsid w:val="08A871D0"/>
    <w:rsid w:val="08CF1E07"/>
    <w:rsid w:val="08D66AD6"/>
    <w:rsid w:val="08DA33A3"/>
    <w:rsid w:val="08E80F13"/>
    <w:rsid w:val="09335624"/>
    <w:rsid w:val="0944690F"/>
    <w:rsid w:val="09535675"/>
    <w:rsid w:val="095F057D"/>
    <w:rsid w:val="095F763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AC37021"/>
    <w:rsid w:val="0B30404E"/>
    <w:rsid w:val="0B4C6C14"/>
    <w:rsid w:val="0B547599"/>
    <w:rsid w:val="0B6251C3"/>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20E93"/>
    <w:rsid w:val="0D2A3181"/>
    <w:rsid w:val="0D4A7419"/>
    <w:rsid w:val="0D827401"/>
    <w:rsid w:val="0D84094E"/>
    <w:rsid w:val="0D8A00E9"/>
    <w:rsid w:val="0D8D589E"/>
    <w:rsid w:val="0DA01C73"/>
    <w:rsid w:val="0DD63300"/>
    <w:rsid w:val="0DF50604"/>
    <w:rsid w:val="0DF702FE"/>
    <w:rsid w:val="0E060E51"/>
    <w:rsid w:val="0E5604B2"/>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D2CE2"/>
    <w:rsid w:val="10914580"/>
    <w:rsid w:val="10C26171"/>
    <w:rsid w:val="10F33360"/>
    <w:rsid w:val="10FC16EA"/>
    <w:rsid w:val="110F1D40"/>
    <w:rsid w:val="11266F33"/>
    <w:rsid w:val="112C43F3"/>
    <w:rsid w:val="118963A1"/>
    <w:rsid w:val="11C6522A"/>
    <w:rsid w:val="11E104CC"/>
    <w:rsid w:val="11E20309"/>
    <w:rsid w:val="12255233"/>
    <w:rsid w:val="12437C74"/>
    <w:rsid w:val="12530213"/>
    <w:rsid w:val="127451CA"/>
    <w:rsid w:val="127723A9"/>
    <w:rsid w:val="12862074"/>
    <w:rsid w:val="12883966"/>
    <w:rsid w:val="129E45B4"/>
    <w:rsid w:val="12AF6F40"/>
    <w:rsid w:val="12D81596"/>
    <w:rsid w:val="13072A44"/>
    <w:rsid w:val="135F4BE2"/>
    <w:rsid w:val="139B1A0A"/>
    <w:rsid w:val="139D25C7"/>
    <w:rsid w:val="13BD33B3"/>
    <w:rsid w:val="13BF3CE4"/>
    <w:rsid w:val="13C20EF5"/>
    <w:rsid w:val="141008D8"/>
    <w:rsid w:val="14125FE6"/>
    <w:rsid w:val="146D271E"/>
    <w:rsid w:val="1483335E"/>
    <w:rsid w:val="14982588"/>
    <w:rsid w:val="149A5AD9"/>
    <w:rsid w:val="14A7619D"/>
    <w:rsid w:val="150536C3"/>
    <w:rsid w:val="150C1963"/>
    <w:rsid w:val="151447A0"/>
    <w:rsid w:val="152B4878"/>
    <w:rsid w:val="154A6454"/>
    <w:rsid w:val="15762120"/>
    <w:rsid w:val="16567323"/>
    <w:rsid w:val="16A8729C"/>
    <w:rsid w:val="16B33777"/>
    <w:rsid w:val="16BC70A7"/>
    <w:rsid w:val="16C6339E"/>
    <w:rsid w:val="172F2D79"/>
    <w:rsid w:val="17557BEF"/>
    <w:rsid w:val="177644D0"/>
    <w:rsid w:val="17D349C1"/>
    <w:rsid w:val="1830729E"/>
    <w:rsid w:val="1870062C"/>
    <w:rsid w:val="18817102"/>
    <w:rsid w:val="18830A15"/>
    <w:rsid w:val="18852B28"/>
    <w:rsid w:val="188B5321"/>
    <w:rsid w:val="19205BDC"/>
    <w:rsid w:val="194460D3"/>
    <w:rsid w:val="19932372"/>
    <w:rsid w:val="19A20DD5"/>
    <w:rsid w:val="19AE03F1"/>
    <w:rsid w:val="1A071A03"/>
    <w:rsid w:val="1A1F16AE"/>
    <w:rsid w:val="1A3B5C77"/>
    <w:rsid w:val="1A92472C"/>
    <w:rsid w:val="1A984BAD"/>
    <w:rsid w:val="1AB8220E"/>
    <w:rsid w:val="1AE4166C"/>
    <w:rsid w:val="1AF06CFB"/>
    <w:rsid w:val="1AF11B8D"/>
    <w:rsid w:val="1B11359C"/>
    <w:rsid w:val="1B1A58AD"/>
    <w:rsid w:val="1B2A271F"/>
    <w:rsid w:val="1B530544"/>
    <w:rsid w:val="1B713184"/>
    <w:rsid w:val="1BA209CF"/>
    <w:rsid w:val="1BB4777D"/>
    <w:rsid w:val="1BD07194"/>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04B2B"/>
    <w:rsid w:val="1F0A0FF3"/>
    <w:rsid w:val="1F0C2E79"/>
    <w:rsid w:val="1F5771FF"/>
    <w:rsid w:val="1F646BF6"/>
    <w:rsid w:val="1F904124"/>
    <w:rsid w:val="1FE868A9"/>
    <w:rsid w:val="20034907"/>
    <w:rsid w:val="20173E4B"/>
    <w:rsid w:val="204A02A8"/>
    <w:rsid w:val="204E48BC"/>
    <w:rsid w:val="208921B3"/>
    <w:rsid w:val="20973DEB"/>
    <w:rsid w:val="20B147CB"/>
    <w:rsid w:val="20B26522"/>
    <w:rsid w:val="20B44310"/>
    <w:rsid w:val="211116EB"/>
    <w:rsid w:val="2150441A"/>
    <w:rsid w:val="216133FC"/>
    <w:rsid w:val="21D56769"/>
    <w:rsid w:val="21E52EF3"/>
    <w:rsid w:val="21FB5D7B"/>
    <w:rsid w:val="22015E94"/>
    <w:rsid w:val="220B1C3D"/>
    <w:rsid w:val="221D1D20"/>
    <w:rsid w:val="22334A87"/>
    <w:rsid w:val="22BE6801"/>
    <w:rsid w:val="23243032"/>
    <w:rsid w:val="233500BF"/>
    <w:rsid w:val="23377FF7"/>
    <w:rsid w:val="236B425F"/>
    <w:rsid w:val="23836192"/>
    <w:rsid w:val="23901F29"/>
    <w:rsid w:val="23921F6D"/>
    <w:rsid w:val="239C0061"/>
    <w:rsid w:val="23B908A4"/>
    <w:rsid w:val="23E95BEF"/>
    <w:rsid w:val="23FD0064"/>
    <w:rsid w:val="245375B0"/>
    <w:rsid w:val="24642C0A"/>
    <w:rsid w:val="24B22173"/>
    <w:rsid w:val="24B95AD9"/>
    <w:rsid w:val="24BE24DA"/>
    <w:rsid w:val="24CF5825"/>
    <w:rsid w:val="24D663E6"/>
    <w:rsid w:val="24D77F2B"/>
    <w:rsid w:val="257E00AB"/>
    <w:rsid w:val="258B00E2"/>
    <w:rsid w:val="25A917A6"/>
    <w:rsid w:val="25BE27CC"/>
    <w:rsid w:val="25F74A5C"/>
    <w:rsid w:val="2628662C"/>
    <w:rsid w:val="262D45DE"/>
    <w:rsid w:val="26871DC8"/>
    <w:rsid w:val="26A53EF9"/>
    <w:rsid w:val="26A94201"/>
    <w:rsid w:val="26AC274F"/>
    <w:rsid w:val="27044A29"/>
    <w:rsid w:val="271D34C8"/>
    <w:rsid w:val="276142BF"/>
    <w:rsid w:val="27675BE3"/>
    <w:rsid w:val="27783712"/>
    <w:rsid w:val="27907362"/>
    <w:rsid w:val="28333E1D"/>
    <w:rsid w:val="28454BD6"/>
    <w:rsid w:val="28455253"/>
    <w:rsid w:val="28551971"/>
    <w:rsid w:val="285B1C53"/>
    <w:rsid w:val="289F7086"/>
    <w:rsid w:val="28C32028"/>
    <w:rsid w:val="28CC490F"/>
    <w:rsid w:val="28DE40AA"/>
    <w:rsid w:val="29345E77"/>
    <w:rsid w:val="293D309F"/>
    <w:rsid w:val="294C65AD"/>
    <w:rsid w:val="29806583"/>
    <w:rsid w:val="298B3C4C"/>
    <w:rsid w:val="29F26D24"/>
    <w:rsid w:val="2A15033F"/>
    <w:rsid w:val="2A1662C1"/>
    <w:rsid w:val="2A1C7367"/>
    <w:rsid w:val="2A2815FA"/>
    <w:rsid w:val="2A6D6092"/>
    <w:rsid w:val="2A7D76B4"/>
    <w:rsid w:val="2B437463"/>
    <w:rsid w:val="2B68485A"/>
    <w:rsid w:val="2B7807EE"/>
    <w:rsid w:val="2BA50BF7"/>
    <w:rsid w:val="2BBF00EC"/>
    <w:rsid w:val="2BC37CFD"/>
    <w:rsid w:val="2BD5237F"/>
    <w:rsid w:val="2BE536CE"/>
    <w:rsid w:val="2BE758D9"/>
    <w:rsid w:val="2C09049E"/>
    <w:rsid w:val="2C0A653C"/>
    <w:rsid w:val="2C191F85"/>
    <w:rsid w:val="2CE82D6F"/>
    <w:rsid w:val="2D343236"/>
    <w:rsid w:val="2D6F5FB2"/>
    <w:rsid w:val="2DD15014"/>
    <w:rsid w:val="2DF72DE4"/>
    <w:rsid w:val="2E0220AF"/>
    <w:rsid w:val="2E4B082A"/>
    <w:rsid w:val="2E5D4E86"/>
    <w:rsid w:val="2E5D790B"/>
    <w:rsid w:val="2E821554"/>
    <w:rsid w:val="2E9A3C18"/>
    <w:rsid w:val="2EBB0FEE"/>
    <w:rsid w:val="2EC63002"/>
    <w:rsid w:val="2F0A6B38"/>
    <w:rsid w:val="2F6A001E"/>
    <w:rsid w:val="2F946CCB"/>
    <w:rsid w:val="2FD25781"/>
    <w:rsid w:val="2FDC745C"/>
    <w:rsid w:val="2FFD7934"/>
    <w:rsid w:val="30733ACD"/>
    <w:rsid w:val="308C3862"/>
    <w:rsid w:val="309379D8"/>
    <w:rsid w:val="30A270F7"/>
    <w:rsid w:val="30A720E9"/>
    <w:rsid w:val="30A77AB6"/>
    <w:rsid w:val="30DF1478"/>
    <w:rsid w:val="30EC586F"/>
    <w:rsid w:val="30F04241"/>
    <w:rsid w:val="31750EFD"/>
    <w:rsid w:val="319C6071"/>
    <w:rsid w:val="31A11ECE"/>
    <w:rsid w:val="31AC537E"/>
    <w:rsid w:val="31E3679B"/>
    <w:rsid w:val="31E732FD"/>
    <w:rsid w:val="32517576"/>
    <w:rsid w:val="325C248D"/>
    <w:rsid w:val="32BE5C2C"/>
    <w:rsid w:val="32D63C1D"/>
    <w:rsid w:val="32FB6478"/>
    <w:rsid w:val="332410BB"/>
    <w:rsid w:val="33263B3F"/>
    <w:rsid w:val="336963EB"/>
    <w:rsid w:val="33816EEB"/>
    <w:rsid w:val="339E0BDF"/>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65173"/>
    <w:rsid w:val="373F410B"/>
    <w:rsid w:val="37EE7094"/>
    <w:rsid w:val="38296C89"/>
    <w:rsid w:val="383002EB"/>
    <w:rsid w:val="38586797"/>
    <w:rsid w:val="38BC0149"/>
    <w:rsid w:val="38D87D1C"/>
    <w:rsid w:val="39322FCA"/>
    <w:rsid w:val="39636459"/>
    <w:rsid w:val="396B7F6C"/>
    <w:rsid w:val="39B417A9"/>
    <w:rsid w:val="39FC5695"/>
    <w:rsid w:val="3A006D8E"/>
    <w:rsid w:val="3A137505"/>
    <w:rsid w:val="3A204F94"/>
    <w:rsid w:val="3A3651E5"/>
    <w:rsid w:val="3A3B11A3"/>
    <w:rsid w:val="3A632DB7"/>
    <w:rsid w:val="3A744481"/>
    <w:rsid w:val="3A8C7BEF"/>
    <w:rsid w:val="3A906246"/>
    <w:rsid w:val="3B2349B7"/>
    <w:rsid w:val="3B616CFF"/>
    <w:rsid w:val="3B6259F6"/>
    <w:rsid w:val="3B976654"/>
    <w:rsid w:val="3BC01EFC"/>
    <w:rsid w:val="3BCA786A"/>
    <w:rsid w:val="3BD31E2F"/>
    <w:rsid w:val="3BF15831"/>
    <w:rsid w:val="3BFD7DAA"/>
    <w:rsid w:val="3C105946"/>
    <w:rsid w:val="3C2F4ACA"/>
    <w:rsid w:val="3C471448"/>
    <w:rsid w:val="3C5F759A"/>
    <w:rsid w:val="3C6C525A"/>
    <w:rsid w:val="3CA07775"/>
    <w:rsid w:val="3CCE23CB"/>
    <w:rsid w:val="3CD17D17"/>
    <w:rsid w:val="3D3C7F39"/>
    <w:rsid w:val="3D440F09"/>
    <w:rsid w:val="3D4504A0"/>
    <w:rsid w:val="3D8734BB"/>
    <w:rsid w:val="3D8A6036"/>
    <w:rsid w:val="3D9A11D4"/>
    <w:rsid w:val="3DA16D89"/>
    <w:rsid w:val="3DA364BE"/>
    <w:rsid w:val="3DA44C7C"/>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C3F1F"/>
    <w:rsid w:val="4019356B"/>
    <w:rsid w:val="40592157"/>
    <w:rsid w:val="406E1CAE"/>
    <w:rsid w:val="40A0133A"/>
    <w:rsid w:val="40C31A53"/>
    <w:rsid w:val="40FF545D"/>
    <w:rsid w:val="410067C8"/>
    <w:rsid w:val="41350BBA"/>
    <w:rsid w:val="416176D3"/>
    <w:rsid w:val="418F0D2A"/>
    <w:rsid w:val="41D01505"/>
    <w:rsid w:val="421B789E"/>
    <w:rsid w:val="422D57BE"/>
    <w:rsid w:val="42474939"/>
    <w:rsid w:val="424C3C57"/>
    <w:rsid w:val="42613FF3"/>
    <w:rsid w:val="42660D96"/>
    <w:rsid w:val="428667D2"/>
    <w:rsid w:val="42CD1CE0"/>
    <w:rsid w:val="42E1381E"/>
    <w:rsid w:val="42ED6459"/>
    <w:rsid w:val="42FE58DD"/>
    <w:rsid w:val="43174B3D"/>
    <w:rsid w:val="434B790E"/>
    <w:rsid w:val="4360274F"/>
    <w:rsid w:val="43655275"/>
    <w:rsid w:val="43977AB6"/>
    <w:rsid w:val="43A3342B"/>
    <w:rsid w:val="43B461CF"/>
    <w:rsid w:val="43C31F9B"/>
    <w:rsid w:val="43C77C27"/>
    <w:rsid w:val="43DE09EE"/>
    <w:rsid w:val="43DE27C6"/>
    <w:rsid w:val="44002FAD"/>
    <w:rsid w:val="441C37AA"/>
    <w:rsid w:val="449101DD"/>
    <w:rsid w:val="44C67F95"/>
    <w:rsid w:val="44D648BA"/>
    <w:rsid w:val="44DE1391"/>
    <w:rsid w:val="44FF34A7"/>
    <w:rsid w:val="451B225C"/>
    <w:rsid w:val="452410C9"/>
    <w:rsid w:val="45317DFB"/>
    <w:rsid w:val="455A248C"/>
    <w:rsid w:val="456D3CE4"/>
    <w:rsid w:val="4579042C"/>
    <w:rsid w:val="457F0571"/>
    <w:rsid w:val="45851176"/>
    <w:rsid w:val="45C55BC2"/>
    <w:rsid w:val="45C63B94"/>
    <w:rsid w:val="460E7DA5"/>
    <w:rsid w:val="46422483"/>
    <w:rsid w:val="4650003B"/>
    <w:rsid w:val="4659254A"/>
    <w:rsid w:val="465B0637"/>
    <w:rsid w:val="465E3F0D"/>
    <w:rsid w:val="466A16E6"/>
    <w:rsid w:val="46893F2B"/>
    <w:rsid w:val="46C444E6"/>
    <w:rsid w:val="46C4686E"/>
    <w:rsid w:val="477B778F"/>
    <w:rsid w:val="478203EC"/>
    <w:rsid w:val="47A81BD4"/>
    <w:rsid w:val="47B025FA"/>
    <w:rsid w:val="4809698F"/>
    <w:rsid w:val="4811697D"/>
    <w:rsid w:val="48566CF1"/>
    <w:rsid w:val="487A3E25"/>
    <w:rsid w:val="488B5503"/>
    <w:rsid w:val="48937E21"/>
    <w:rsid w:val="489A0361"/>
    <w:rsid w:val="48A8102D"/>
    <w:rsid w:val="48B94FF3"/>
    <w:rsid w:val="48E37AAB"/>
    <w:rsid w:val="48FD4B4C"/>
    <w:rsid w:val="490A68E0"/>
    <w:rsid w:val="491055FE"/>
    <w:rsid w:val="4924528A"/>
    <w:rsid w:val="495F5B3E"/>
    <w:rsid w:val="496F77D7"/>
    <w:rsid w:val="497654FD"/>
    <w:rsid w:val="49B64211"/>
    <w:rsid w:val="49D41AAC"/>
    <w:rsid w:val="49F6167F"/>
    <w:rsid w:val="4A064FA0"/>
    <w:rsid w:val="4A16615C"/>
    <w:rsid w:val="4A4424D7"/>
    <w:rsid w:val="4A717AA4"/>
    <w:rsid w:val="4AB82D0F"/>
    <w:rsid w:val="4AEB7664"/>
    <w:rsid w:val="4AFC4BAA"/>
    <w:rsid w:val="4AFD7C19"/>
    <w:rsid w:val="4B005883"/>
    <w:rsid w:val="4B0567D1"/>
    <w:rsid w:val="4B236AAE"/>
    <w:rsid w:val="4B2F799D"/>
    <w:rsid w:val="4B707271"/>
    <w:rsid w:val="4B9739F7"/>
    <w:rsid w:val="4BEE2503"/>
    <w:rsid w:val="4BF727EA"/>
    <w:rsid w:val="4C245A30"/>
    <w:rsid w:val="4CAA3FF8"/>
    <w:rsid w:val="4CB6685F"/>
    <w:rsid w:val="4CC0351C"/>
    <w:rsid w:val="4CC367FE"/>
    <w:rsid w:val="4D077F3C"/>
    <w:rsid w:val="4D123355"/>
    <w:rsid w:val="4D2A3B31"/>
    <w:rsid w:val="4D312C52"/>
    <w:rsid w:val="4D3A1520"/>
    <w:rsid w:val="4D905305"/>
    <w:rsid w:val="4D964A72"/>
    <w:rsid w:val="4D9C0FDC"/>
    <w:rsid w:val="4D9C1254"/>
    <w:rsid w:val="4D9E5B15"/>
    <w:rsid w:val="4DB27309"/>
    <w:rsid w:val="4E6474A1"/>
    <w:rsid w:val="4E793892"/>
    <w:rsid w:val="4E800872"/>
    <w:rsid w:val="4EA74993"/>
    <w:rsid w:val="4EC569ED"/>
    <w:rsid w:val="4ED50EA1"/>
    <w:rsid w:val="4EEC050C"/>
    <w:rsid w:val="4F104EC3"/>
    <w:rsid w:val="4F47354A"/>
    <w:rsid w:val="4F911C54"/>
    <w:rsid w:val="4FE625E0"/>
    <w:rsid w:val="5021480F"/>
    <w:rsid w:val="502B6EFE"/>
    <w:rsid w:val="504B57F2"/>
    <w:rsid w:val="505C301C"/>
    <w:rsid w:val="50962ECB"/>
    <w:rsid w:val="50A42E38"/>
    <w:rsid w:val="50A4577F"/>
    <w:rsid w:val="50B73D1F"/>
    <w:rsid w:val="50BD5BC9"/>
    <w:rsid w:val="50C11EEE"/>
    <w:rsid w:val="50E97CFC"/>
    <w:rsid w:val="50FA4028"/>
    <w:rsid w:val="510D65B7"/>
    <w:rsid w:val="511157AB"/>
    <w:rsid w:val="5142540C"/>
    <w:rsid w:val="518832C8"/>
    <w:rsid w:val="519D1EA2"/>
    <w:rsid w:val="519D3C50"/>
    <w:rsid w:val="51A0432A"/>
    <w:rsid w:val="51A86090"/>
    <w:rsid w:val="51B7396D"/>
    <w:rsid w:val="51E952C3"/>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B72895"/>
    <w:rsid w:val="53E325D5"/>
    <w:rsid w:val="54013861"/>
    <w:rsid w:val="54487265"/>
    <w:rsid w:val="544D6070"/>
    <w:rsid w:val="54605E1E"/>
    <w:rsid w:val="54B3506A"/>
    <w:rsid w:val="54CA0D16"/>
    <w:rsid w:val="54DD4057"/>
    <w:rsid w:val="54E7490F"/>
    <w:rsid w:val="54FD2C9C"/>
    <w:rsid w:val="550764A4"/>
    <w:rsid w:val="550B2BF6"/>
    <w:rsid w:val="55214EB5"/>
    <w:rsid w:val="55364EFD"/>
    <w:rsid w:val="555D4828"/>
    <w:rsid w:val="557A4C8B"/>
    <w:rsid w:val="558931E1"/>
    <w:rsid w:val="559002B6"/>
    <w:rsid w:val="55923347"/>
    <w:rsid w:val="55925180"/>
    <w:rsid w:val="55983B1B"/>
    <w:rsid w:val="55A8376B"/>
    <w:rsid w:val="55DC29B6"/>
    <w:rsid w:val="55DD4241"/>
    <w:rsid w:val="56502273"/>
    <w:rsid w:val="566B6D1E"/>
    <w:rsid w:val="57032A2C"/>
    <w:rsid w:val="570F5219"/>
    <w:rsid w:val="572E78E5"/>
    <w:rsid w:val="575D12B5"/>
    <w:rsid w:val="57610A87"/>
    <w:rsid w:val="577B1140"/>
    <w:rsid w:val="577B7F21"/>
    <w:rsid w:val="577F181B"/>
    <w:rsid w:val="5785783C"/>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6E2809"/>
    <w:rsid w:val="5A792B1F"/>
    <w:rsid w:val="5A874767"/>
    <w:rsid w:val="5AA85BE2"/>
    <w:rsid w:val="5AAD6F28"/>
    <w:rsid w:val="5ABE2749"/>
    <w:rsid w:val="5AD63A24"/>
    <w:rsid w:val="5AE51A4D"/>
    <w:rsid w:val="5B2E1A1D"/>
    <w:rsid w:val="5B843A1C"/>
    <w:rsid w:val="5B873E3F"/>
    <w:rsid w:val="5BCF552A"/>
    <w:rsid w:val="5C02690E"/>
    <w:rsid w:val="5C196DA7"/>
    <w:rsid w:val="5C2A048C"/>
    <w:rsid w:val="5C4D2220"/>
    <w:rsid w:val="5C80234E"/>
    <w:rsid w:val="5C8A680C"/>
    <w:rsid w:val="5CE86853"/>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BB7FE7"/>
    <w:rsid w:val="5EDD7F5D"/>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16185"/>
    <w:rsid w:val="61054A27"/>
    <w:rsid w:val="610A52BC"/>
    <w:rsid w:val="610D059B"/>
    <w:rsid w:val="611D2366"/>
    <w:rsid w:val="61421856"/>
    <w:rsid w:val="615227C4"/>
    <w:rsid w:val="61654E3F"/>
    <w:rsid w:val="6182292A"/>
    <w:rsid w:val="619F7F92"/>
    <w:rsid w:val="61EA40EF"/>
    <w:rsid w:val="61F94C26"/>
    <w:rsid w:val="62000E56"/>
    <w:rsid w:val="62344338"/>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4B4267"/>
    <w:rsid w:val="64656A2B"/>
    <w:rsid w:val="648B6EEF"/>
    <w:rsid w:val="64C158BF"/>
    <w:rsid w:val="64CE2EAA"/>
    <w:rsid w:val="653C3090"/>
    <w:rsid w:val="65854376"/>
    <w:rsid w:val="658767BE"/>
    <w:rsid w:val="65892531"/>
    <w:rsid w:val="66195831"/>
    <w:rsid w:val="662E75B1"/>
    <w:rsid w:val="66342C2E"/>
    <w:rsid w:val="663E784C"/>
    <w:rsid w:val="6647172F"/>
    <w:rsid w:val="665C7E0A"/>
    <w:rsid w:val="668A09CB"/>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602928"/>
    <w:rsid w:val="686B0398"/>
    <w:rsid w:val="687C10C9"/>
    <w:rsid w:val="68840C16"/>
    <w:rsid w:val="68876EFB"/>
    <w:rsid w:val="68884654"/>
    <w:rsid w:val="689F444F"/>
    <w:rsid w:val="68B96DBB"/>
    <w:rsid w:val="68CA2805"/>
    <w:rsid w:val="68E320F2"/>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354F35"/>
    <w:rsid w:val="6C517EC7"/>
    <w:rsid w:val="6C552F0B"/>
    <w:rsid w:val="6C8C67B7"/>
    <w:rsid w:val="6C9D744C"/>
    <w:rsid w:val="6D167928"/>
    <w:rsid w:val="6D26299B"/>
    <w:rsid w:val="6D4772EC"/>
    <w:rsid w:val="6D6D4BA2"/>
    <w:rsid w:val="6D9078AF"/>
    <w:rsid w:val="6DAA3FEF"/>
    <w:rsid w:val="6DC0172B"/>
    <w:rsid w:val="6DCB690C"/>
    <w:rsid w:val="6DD41A5B"/>
    <w:rsid w:val="6DF43C2E"/>
    <w:rsid w:val="6DF51CA3"/>
    <w:rsid w:val="6E8335BD"/>
    <w:rsid w:val="6E8E12EF"/>
    <w:rsid w:val="6E972936"/>
    <w:rsid w:val="6E9E6B01"/>
    <w:rsid w:val="6ED446C5"/>
    <w:rsid w:val="6EDA6267"/>
    <w:rsid w:val="6EF07839"/>
    <w:rsid w:val="6F2A7D94"/>
    <w:rsid w:val="6F8331F1"/>
    <w:rsid w:val="6FAE1A09"/>
    <w:rsid w:val="6FD75BF8"/>
    <w:rsid w:val="702116B3"/>
    <w:rsid w:val="707723D0"/>
    <w:rsid w:val="7084292A"/>
    <w:rsid w:val="70E17439"/>
    <w:rsid w:val="70F5661B"/>
    <w:rsid w:val="71360107"/>
    <w:rsid w:val="713B688E"/>
    <w:rsid w:val="7148279F"/>
    <w:rsid w:val="71A87F57"/>
    <w:rsid w:val="71D43752"/>
    <w:rsid w:val="71F1796A"/>
    <w:rsid w:val="71FB63D5"/>
    <w:rsid w:val="72154626"/>
    <w:rsid w:val="72262B5D"/>
    <w:rsid w:val="72283FF7"/>
    <w:rsid w:val="722E7212"/>
    <w:rsid w:val="723A0474"/>
    <w:rsid w:val="725923E4"/>
    <w:rsid w:val="726C5429"/>
    <w:rsid w:val="72864BF7"/>
    <w:rsid w:val="729023FC"/>
    <w:rsid w:val="73C0646E"/>
    <w:rsid w:val="73FE1B82"/>
    <w:rsid w:val="740022CC"/>
    <w:rsid w:val="742222F5"/>
    <w:rsid w:val="74476126"/>
    <w:rsid w:val="74706664"/>
    <w:rsid w:val="747F3682"/>
    <w:rsid w:val="749C4185"/>
    <w:rsid w:val="74CD3299"/>
    <w:rsid w:val="74F3432A"/>
    <w:rsid w:val="75067759"/>
    <w:rsid w:val="752E6DCD"/>
    <w:rsid w:val="7551380D"/>
    <w:rsid w:val="755D394A"/>
    <w:rsid w:val="75600BE5"/>
    <w:rsid w:val="7564475C"/>
    <w:rsid w:val="757B158C"/>
    <w:rsid w:val="7583797F"/>
    <w:rsid w:val="75D20F1D"/>
    <w:rsid w:val="75DA2C18"/>
    <w:rsid w:val="75DA53BE"/>
    <w:rsid w:val="75F54412"/>
    <w:rsid w:val="760C6628"/>
    <w:rsid w:val="761D08E0"/>
    <w:rsid w:val="76312C11"/>
    <w:rsid w:val="765D347C"/>
    <w:rsid w:val="76826699"/>
    <w:rsid w:val="76C87133"/>
    <w:rsid w:val="76CD08D5"/>
    <w:rsid w:val="76DB4B92"/>
    <w:rsid w:val="77052AA4"/>
    <w:rsid w:val="77136511"/>
    <w:rsid w:val="77340A39"/>
    <w:rsid w:val="77351FD0"/>
    <w:rsid w:val="77472422"/>
    <w:rsid w:val="777F31F2"/>
    <w:rsid w:val="77974CF6"/>
    <w:rsid w:val="77A678A4"/>
    <w:rsid w:val="77D1700D"/>
    <w:rsid w:val="77EC04CC"/>
    <w:rsid w:val="78775729"/>
    <w:rsid w:val="78A42DB0"/>
    <w:rsid w:val="78A656AB"/>
    <w:rsid w:val="78B2245C"/>
    <w:rsid w:val="78D06031"/>
    <w:rsid w:val="78E172CC"/>
    <w:rsid w:val="78EA1D1F"/>
    <w:rsid w:val="79036DC3"/>
    <w:rsid w:val="7904172F"/>
    <w:rsid w:val="790F7E27"/>
    <w:rsid w:val="792A231A"/>
    <w:rsid w:val="79316829"/>
    <w:rsid w:val="797E66A9"/>
    <w:rsid w:val="798518A4"/>
    <w:rsid w:val="79A97383"/>
    <w:rsid w:val="79E27E8B"/>
    <w:rsid w:val="79E47F9A"/>
    <w:rsid w:val="79F850CE"/>
    <w:rsid w:val="79FD443C"/>
    <w:rsid w:val="7A1D1975"/>
    <w:rsid w:val="7A3E5150"/>
    <w:rsid w:val="7A4670D6"/>
    <w:rsid w:val="7A4D3D91"/>
    <w:rsid w:val="7A534B63"/>
    <w:rsid w:val="7A615382"/>
    <w:rsid w:val="7A67303B"/>
    <w:rsid w:val="7AAB1D04"/>
    <w:rsid w:val="7ABA4368"/>
    <w:rsid w:val="7AD05746"/>
    <w:rsid w:val="7B257FFD"/>
    <w:rsid w:val="7B343476"/>
    <w:rsid w:val="7B5A2978"/>
    <w:rsid w:val="7B5A7E4C"/>
    <w:rsid w:val="7B65210F"/>
    <w:rsid w:val="7B667AF9"/>
    <w:rsid w:val="7B7468F8"/>
    <w:rsid w:val="7B8030DC"/>
    <w:rsid w:val="7BEE0103"/>
    <w:rsid w:val="7C0A0FE4"/>
    <w:rsid w:val="7C254906"/>
    <w:rsid w:val="7C590818"/>
    <w:rsid w:val="7C7C10F6"/>
    <w:rsid w:val="7C853BEA"/>
    <w:rsid w:val="7C881368"/>
    <w:rsid w:val="7CD564F7"/>
    <w:rsid w:val="7CE262A3"/>
    <w:rsid w:val="7CE27788"/>
    <w:rsid w:val="7CFD1A9F"/>
    <w:rsid w:val="7D0C32F1"/>
    <w:rsid w:val="7D0F408D"/>
    <w:rsid w:val="7D491C6C"/>
    <w:rsid w:val="7D5429C0"/>
    <w:rsid w:val="7D584F27"/>
    <w:rsid w:val="7D6E6D43"/>
    <w:rsid w:val="7D906A30"/>
    <w:rsid w:val="7DB57A34"/>
    <w:rsid w:val="7DE60973"/>
    <w:rsid w:val="7DEF0916"/>
    <w:rsid w:val="7DFC621E"/>
    <w:rsid w:val="7E1E5218"/>
    <w:rsid w:val="7E6C679B"/>
    <w:rsid w:val="7E9A4E1F"/>
    <w:rsid w:val="7E9C0E44"/>
    <w:rsid w:val="7EA051A1"/>
    <w:rsid w:val="7EA7723A"/>
    <w:rsid w:val="7EF56FBB"/>
    <w:rsid w:val="7F0768EB"/>
    <w:rsid w:val="7F0F5AB9"/>
    <w:rsid w:val="7F143BEC"/>
    <w:rsid w:val="7F144C9F"/>
    <w:rsid w:val="7F362021"/>
    <w:rsid w:val="7F4654A4"/>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6">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2"/>
    <w:basedOn w:val="2"/>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7"/>
    <w:basedOn w:val="1"/>
    <w:autoRedefine/>
    <w:qFormat/>
    <w:uiPriority w:val="0"/>
    <w:pPr>
      <w:ind w:firstLine="420" w:firstLineChars="200"/>
    </w:p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8"/>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WPSOffice手动目录 1"/>
    <w:autoRedefine/>
    <w:qFormat/>
    <w:uiPriority w:val="0"/>
    <w:pPr>
      <w:ind w:leftChars="0"/>
    </w:pPr>
    <w:rPr>
      <w:rFonts w:ascii="Times New Roman" w:hAnsi="Times New Roman" w:eastAsia="宋体" w:cs="Times New Roman"/>
      <w:sz w:val="20"/>
      <w:szCs w:val="20"/>
    </w:rPr>
  </w:style>
  <w:style w:type="paragraph" w:customStyle="1" w:styleId="968">
    <w:name w:val="内文正文"/>
    <w:basedOn w:val="34"/>
    <w:autoRedefine/>
    <w:qFormat/>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969">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35605</Words>
  <Characters>37581</Characters>
  <Lines>405</Lines>
  <Paragraphs>114</Paragraphs>
  <TotalTime>23</TotalTime>
  <ScaleCrop>false</ScaleCrop>
  <LinksUpToDate>false</LinksUpToDate>
  <CharactersWithSpaces>55161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Administrator</cp:lastModifiedBy>
  <cp:lastPrinted>2024-05-15T00:31:37Z</cp:lastPrinted>
  <dcterms:modified xsi:type="dcterms:W3CDTF">2024-05-15T05:54:29Z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3A1A37D92AAB4880B51D79D879301D87_13</vt:lpwstr>
  </property>
  <property fmtid="{D5CDD505-2E9C-101B-9397-08002B2CF9AE}" pid="5" name="commondata">
    <vt:lpwstr>eyJoZGlkIjoiNGNlMmFkMDQ1NDY0ZmRiM2Q0NjY4NTFjN2IwMTllYjMifQ==</vt:lpwstr>
  </property>
</Properties>
</file>