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drawing>
          <wp:inline distT="0" distB="0" distL="114300" distR="114300">
            <wp:extent cx="1049020" cy="993140"/>
            <wp:effectExtent l="0" t="0" r="5080" b="10160"/>
            <wp:docPr id="3" name="图片 1" descr="19a9c0e900479c854e488a4f6f1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9a9c0e900479c854e488a4f6f14205"/>
                    <pic:cNvPicPr>
                      <a:picLocks noChangeAspect="1"/>
                    </pic:cNvPicPr>
                  </pic:nvPicPr>
                  <pic:blipFill>
                    <a:blip r:embed="rId14"/>
                    <a:stretch>
                      <a:fillRect/>
                    </a:stretch>
                  </pic:blipFill>
                  <pic:spPr>
                    <a:xfrm>
                      <a:off x="0" y="0"/>
                      <a:ext cx="1049020" cy="993140"/>
                    </a:xfrm>
                    <a:prstGeom prst="rect">
                      <a:avLst/>
                    </a:prstGeom>
                    <a:noFill/>
                    <a:ln>
                      <a:noFill/>
                    </a:ln>
                  </pic:spPr>
                </pic:pic>
              </a:graphicData>
            </a:graphic>
          </wp:inline>
        </w:drawing>
      </w:r>
    </w:p>
    <w:p>
      <w:pPr>
        <w:spacing w:line="360" w:lineRule="auto"/>
        <w:rPr>
          <w:rFonts w:hint="eastAsia" w:ascii="宋体" w:hAnsi="宋体"/>
          <w:b/>
          <w:color w:val="auto"/>
          <w:sz w:val="44"/>
          <w:highlight w:val="none"/>
        </w:rPr>
      </w:pPr>
    </w:p>
    <w:p>
      <w:pPr>
        <w:spacing w:line="360" w:lineRule="auto"/>
        <w:jc w:val="center"/>
        <w:rPr>
          <w:rFonts w:ascii="宋体" w:hAnsi="宋体"/>
          <w:b/>
          <w:color w:val="auto"/>
          <w:sz w:val="36"/>
          <w:szCs w:val="36"/>
          <w:highlight w:val="none"/>
        </w:rPr>
      </w:pPr>
      <w:r>
        <w:rPr>
          <w:rFonts w:hint="eastAsia" w:ascii="宋体" w:hAnsi="宋体"/>
          <w:b/>
          <w:color w:val="auto"/>
          <w:sz w:val="44"/>
          <w:highlight w:val="none"/>
        </w:rPr>
        <w:t xml:space="preserve"> </w:t>
      </w:r>
    </w:p>
    <w:p>
      <w:pPr>
        <w:spacing w:line="360" w:lineRule="auto"/>
        <w:jc w:val="center"/>
        <w:rPr>
          <w:rFonts w:hint="eastAsia" w:ascii="宋体" w:hAnsi="宋体"/>
          <w:b/>
          <w:color w:val="auto"/>
          <w:sz w:val="36"/>
          <w:szCs w:val="36"/>
          <w:highlight w:val="none"/>
        </w:rPr>
      </w:pPr>
    </w:p>
    <w:p>
      <w:pPr>
        <w:spacing w:line="360" w:lineRule="auto"/>
        <w:jc w:val="center"/>
        <w:outlineLvl w:val="0"/>
        <w:rPr>
          <w:rFonts w:ascii="宋体" w:hAnsi="宋体"/>
          <w:b/>
          <w:color w:val="auto"/>
          <w:sz w:val="72"/>
          <w:highlight w:val="none"/>
        </w:rPr>
      </w:pPr>
      <w:bookmarkStart w:id="0" w:name="_Toc3695"/>
      <w:r>
        <w:rPr>
          <w:rFonts w:hint="eastAsia" w:ascii="宋体" w:hAnsi="宋体"/>
          <w:b/>
          <w:color w:val="auto"/>
          <w:sz w:val="72"/>
          <w:highlight w:val="none"/>
        </w:rPr>
        <w:t>公开采购文件</w:t>
      </w:r>
      <w:bookmarkEnd w:id="0"/>
    </w:p>
    <w:p>
      <w:pPr>
        <w:spacing w:line="360" w:lineRule="auto"/>
        <w:jc w:val="center"/>
        <w:rPr>
          <w:rFonts w:ascii="宋体" w:hAnsi="宋体"/>
          <w:b/>
          <w:color w:val="auto"/>
          <w:sz w:val="44"/>
          <w:highlight w:val="none"/>
        </w:rPr>
      </w:pPr>
    </w:p>
    <w:p>
      <w:pPr>
        <w:pStyle w:val="217"/>
        <w:ind w:firstLine="883"/>
        <w:rPr>
          <w:rFonts w:ascii="宋体" w:hAnsi="宋体"/>
          <w:b/>
          <w:color w:val="auto"/>
          <w:sz w:val="44"/>
          <w:highlight w:val="none"/>
        </w:rPr>
      </w:pPr>
    </w:p>
    <w:p>
      <w:pPr>
        <w:pStyle w:val="217"/>
        <w:ind w:firstLine="883"/>
        <w:rPr>
          <w:rFonts w:ascii="宋体" w:hAnsi="宋体"/>
          <w:b/>
          <w:color w:val="auto"/>
          <w:sz w:val="44"/>
          <w:highlight w:val="none"/>
        </w:rPr>
      </w:pPr>
    </w:p>
    <w:p>
      <w:pPr>
        <w:spacing w:line="360" w:lineRule="auto"/>
        <w:rPr>
          <w:rFonts w:ascii="宋体" w:hAnsi="宋体"/>
          <w:b/>
          <w:color w:val="auto"/>
          <w:sz w:val="44"/>
          <w:highlight w:val="none"/>
        </w:rPr>
      </w:pPr>
    </w:p>
    <w:tbl>
      <w:tblPr>
        <w:tblStyle w:val="49"/>
        <w:tblW w:w="9659" w:type="dxa"/>
        <w:jc w:val="center"/>
        <w:tblLayout w:type="fixed"/>
        <w:tblCellMar>
          <w:top w:w="0" w:type="dxa"/>
          <w:left w:w="108" w:type="dxa"/>
          <w:bottom w:w="0" w:type="dxa"/>
          <w:right w:w="108" w:type="dxa"/>
        </w:tblCellMar>
      </w:tblPr>
      <w:tblGrid>
        <w:gridCol w:w="1910"/>
        <w:gridCol w:w="7749"/>
      </w:tblGrid>
      <w:tr>
        <w:tblPrEx>
          <w:tblCellMar>
            <w:top w:w="0" w:type="dxa"/>
            <w:left w:w="108" w:type="dxa"/>
            <w:bottom w:w="0" w:type="dxa"/>
            <w:right w:w="108" w:type="dxa"/>
          </w:tblCellMar>
        </w:tblPrEx>
        <w:trPr>
          <w:trHeight w:val="810" w:hRule="atLeast"/>
          <w:jc w:val="center"/>
        </w:trPr>
        <w:tc>
          <w:tcPr>
            <w:tcW w:w="1910" w:type="dxa"/>
            <w:noWrap w:val="0"/>
            <w:vAlign w:val="center"/>
          </w:tcPr>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采购编号：</w:t>
            </w:r>
          </w:p>
        </w:tc>
        <w:tc>
          <w:tcPr>
            <w:tcW w:w="7749" w:type="dxa"/>
            <w:noWrap w:val="0"/>
            <w:vAlign w:val="center"/>
          </w:tcPr>
          <w:p>
            <w:pPr>
              <w:jc w:val="left"/>
              <w:rPr>
                <w:rFonts w:hint="default" w:ascii="宋体" w:hAnsi="宋体" w:eastAsia="宋体" w:cs="宋体"/>
                <w:b/>
                <w:color w:val="auto"/>
                <w:sz w:val="30"/>
                <w:szCs w:val="30"/>
                <w:highlight w:val="none"/>
                <w:lang w:val="en-US" w:eastAsia="zh-CN"/>
              </w:rPr>
            </w:pPr>
            <w:r>
              <w:rPr>
                <w:rFonts w:hint="default" w:ascii="宋体" w:hAnsi="宋体" w:eastAsia="宋体" w:cs="宋体"/>
                <w:b/>
                <w:color w:val="auto"/>
                <w:sz w:val="30"/>
                <w:szCs w:val="30"/>
                <w:highlight w:val="none"/>
                <w:lang w:val="en-US" w:eastAsia="zh-CN"/>
              </w:rPr>
              <w:t>NBSD2024-019</w:t>
            </w:r>
          </w:p>
        </w:tc>
      </w:tr>
      <w:tr>
        <w:tblPrEx>
          <w:tblCellMar>
            <w:top w:w="0" w:type="dxa"/>
            <w:left w:w="108" w:type="dxa"/>
            <w:bottom w:w="0" w:type="dxa"/>
            <w:right w:w="108" w:type="dxa"/>
          </w:tblCellMar>
        </w:tblPrEx>
        <w:trPr>
          <w:trHeight w:val="810" w:hRule="atLeast"/>
          <w:jc w:val="center"/>
        </w:trPr>
        <w:tc>
          <w:tcPr>
            <w:tcW w:w="1910" w:type="dxa"/>
            <w:noWrap w:val="0"/>
            <w:vAlign w:val="center"/>
          </w:tcPr>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项目名称：</w:t>
            </w:r>
          </w:p>
        </w:tc>
        <w:tc>
          <w:tcPr>
            <w:tcW w:w="7749" w:type="dxa"/>
            <w:noWrap w:val="0"/>
            <w:vAlign w:val="center"/>
          </w:tcPr>
          <w:p>
            <w:pPr>
              <w:jc w:val="left"/>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宁海县政府投资项目智慧管理系统信创迭代升级项目</w:t>
            </w:r>
          </w:p>
        </w:tc>
      </w:tr>
      <w:tr>
        <w:tblPrEx>
          <w:tblCellMar>
            <w:top w:w="0" w:type="dxa"/>
            <w:left w:w="108" w:type="dxa"/>
            <w:bottom w:w="0" w:type="dxa"/>
            <w:right w:w="108" w:type="dxa"/>
          </w:tblCellMar>
        </w:tblPrEx>
        <w:trPr>
          <w:trHeight w:val="810" w:hRule="atLeast"/>
          <w:jc w:val="center"/>
        </w:trPr>
        <w:tc>
          <w:tcPr>
            <w:tcW w:w="1910" w:type="dxa"/>
            <w:noWrap w:val="0"/>
            <w:vAlign w:val="center"/>
          </w:tcPr>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采购单位：</w:t>
            </w:r>
          </w:p>
        </w:tc>
        <w:tc>
          <w:tcPr>
            <w:tcW w:w="7749" w:type="dxa"/>
            <w:noWrap w:val="0"/>
            <w:vAlign w:val="center"/>
          </w:tcPr>
          <w:p>
            <w:pPr>
              <w:jc w:val="left"/>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eastAsia="zh-CN"/>
              </w:rPr>
              <w:t>宁海县发展和改革局</w:t>
            </w:r>
            <w:r>
              <w:rPr>
                <w:rFonts w:hint="eastAsia" w:ascii="宋体" w:hAnsi="宋体" w:eastAsia="宋体" w:cs="宋体"/>
                <w:b/>
                <w:color w:val="auto"/>
                <w:sz w:val="30"/>
                <w:szCs w:val="30"/>
                <w:highlight w:val="none"/>
                <w:lang w:eastAsia="zh-CN"/>
              </w:rPr>
              <w:t>（盖章）</w:t>
            </w:r>
          </w:p>
        </w:tc>
      </w:tr>
      <w:tr>
        <w:tblPrEx>
          <w:tblCellMar>
            <w:top w:w="0" w:type="dxa"/>
            <w:left w:w="108" w:type="dxa"/>
            <w:bottom w:w="0" w:type="dxa"/>
            <w:right w:w="108" w:type="dxa"/>
          </w:tblCellMar>
        </w:tblPrEx>
        <w:trPr>
          <w:trHeight w:val="810" w:hRule="atLeast"/>
          <w:jc w:val="center"/>
        </w:trPr>
        <w:tc>
          <w:tcPr>
            <w:tcW w:w="1910" w:type="dxa"/>
            <w:noWrap w:val="0"/>
            <w:vAlign w:val="center"/>
          </w:tcPr>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代理机构：</w:t>
            </w:r>
          </w:p>
        </w:tc>
        <w:tc>
          <w:tcPr>
            <w:tcW w:w="7749" w:type="dxa"/>
            <w:noWrap w:val="0"/>
            <w:vAlign w:val="center"/>
          </w:tcPr>
          <w:p>
            <w:pPr>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宁波市盛达工程管理咨询有限公司（盖章）</w:t>
            </w:r>
          </w:p>
        </w:tc>
      </w:tr>
      <w:tr>
        <w:tblPrEx>
          <w:tblCellMar>
            <w:top w:w="0" w:type="dxa"/>
            <w:left w:w="108" w:type="dxa"/>
            <w:bottom w:w="0" w:type="dxa"/>
            <w:right w:w="108" w:type="dxa"/>
          </w:tblCellMar>
        </w:tblPrEx>
        <w:trPr>
          <w:trHeight w:val="810" w:hRule="atLeast"/>
          <w:jc w:val="center"/>
        </w:trPr>
        <w:tc>
          <w:tcPr>
            <w:tcW w:w="9659" w:type="dxa"/>
            <w:gridSpan w:val="2"/>
            <w:noWrap w:val="0"/>
            <w:vAlign w:val="center"/>
          </w:tcPr>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202</w:t>
            </w:r>
            <w:r>
              <w:rPr>
                <w:rFonts w:hint="eastAsia" w:ascii="宋体" w:hAnsi="宋体" w:cs="宋体"/>
                <w:b/>
                <w:color w:val="auto"/>
                <w:sz w:val="30"/>
                <w:szCs w:val="30"/>
                <w:highlight w:val="none"/>
                <w:lang w:val="en-US" w:eastAsia="zh-CN"/>
              </w:rPr>
              <w:t>4</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6</w:t>
            </w:r>
            <w:r>
              <w:rPr>
                <w:rFonts w:hint="eastAsia" w:ascii="宋体" w:hAnsi="宋体" w:eastAsia="宋体" w:cs="宋体"/>
                <w:b/>
                <w:color w:val="auto"/>
                <w:sz w:val="30"/>
                <w:szCs w:val="30"/>
                <w:highlight w:val="none"/>
              </w:rPr>
              <w:t>月</w:t>
            </w:r>
          </w:p>
        </w:tc>
      </w:tr>
    </w:tbl>
    <w:p>
      <w:pPr>
        <w:pStyle w:val="25"/>
        <w:spacing w:before="120" w:after="120" w:line="360" w:lineRule="auto"/>
        <w:jc w:val="center"/>
        <w:rPr>
          <w:rFonts w:ascii="Times New Roman" w:hAnsi="Times New Roman"/>
          <w:color w:val="auto"/>
          <w:sz w:val="44"/>
          <w:szCs w:val="44"/>
          <w:highlight w:val="none"/>
        </w:rPr>
        <w:sectPr>
          <w:footerReference r:id="rId5" w:type="first"/>
          <w:footerReference r:id="rId3" w:type="default"/>
          <w:footerReference r:id="rId4" w:type="even"/>
          <w:type w:val="continuous"/>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rPr>
          <w:rFonts w:hint="eastAsia" w:ascii="宋体" w:hAnsi="宋体" w:cs="宋体"/>
          <w:b/>
          <w:bCs/>
          <w:color w:val="auto"/>
          <w:sz w:val="52"/>
          <w:szCs w:val="52"/>
          <w:highlight w:val="none"/>
        </w:rPr>
      </w:pPr>
    </w:p>
    <w:p>
      <w:pP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br w:type="page"/>
      </w:r>
    </w:p>
    <w:p>
      <w:pPr>
        <w:widowControl/>
        <w:jc w:val="center"/>
        <w:rPr>
          <w:rFonts w:ascii="宋体" w:hAnsi="宋体"/>
          <w:b/>
          <w:bCs/>
          <w:color w:val="auto"/>
          <w:sz w:val="52"/>
          <w:szCs w:val="52"/>
          <w:highlight w:val="none"/>
        </w:rPr>
      </w:pPr>
      <w:r>
        <w:rPr>
          <w:rFonts w:hint="eastAsia" w:ascii="宋体" w:hAnsi="宋体" w:cs="宋体"/>
          <w:b/>
          <w:bCs/>
          <w:color w:val="auto"/>
          <w:sz w:val="52"/>
          <w:szCs w:val="52"/>
          <w:highlight w:val="none"/>
        </w:rPr>
        <w:t>目</w:t>
      </w:r>
      <w:r>
        <w:rPr>
          <w:rFonts w:ascii="宋体" w:hAnsi="宋体" w:cs="宋体"/>
          <w:b/>
          <w:bCs/>
          <w:color w:val="auto"/>
          <w:sz w:val="52"/>
          <w:szCs w:val="52"/>
          <w:highlight w:val="none"/>
        </w:rPr>
        <w:t xml:space="preserve">    </w:t>
      </w:r>
      <w:r>
        <w:rPr>
          <w:rFonts w:hint="eastAsia" w:ascii="宋体" w:hAnsi="宋体" w:cs="宋体"/>
          <w:b/>
          <w:bCs/>
          <w:color w:val="auto"/>
          <w:sz w:val="52"/>
          <w:szCs w:val="52"/>
          <w:highlight w:val="none"/>
        </w:rPr>
        <w:t>录</w:t>
      </w:r>
    </w:p>
    <w:p>
      <w:pPr>
        <w:widowControl/>
        <w:jc w:val="left"/>
        <w:rPr>
          <w:rFonts w:ascii="宋体" w:hAnsi="宋体"/>
          <w:b/>
          <w:bCs/>
          <w:color w:val="auto"/>
          <w:sz w:val="32"/>
          <w:szCs w:val="32"/>
          <w:highlight w:val="none"/>
        </w:rPr>
      </w:pPr>
      <w:bookmarkStart w:id="1" w:name="_Toc14924"/>
      <w:bookmarkStart w:id="2" w:name="_Toc16499"/>
    </w:p>
    <w:sdt>
      <w:sdtPr>
        <w:rPr>
          <w:rFonts w:ascii="宋体" w:hAnsi="宋体" w:eastAsia="宋体" w:cs="Times New Roman"/>
          <w:color w:val="auto"/>
          <w:kern w:val="2"/>
          <w:sz w:val="21"/>
          <w:szCs w:val="21"/>
          <w:highlight w:val="none"/>
          <w:lang w:val="en-US" w:eastAsia="zh-CN" w:bidi="ar-SA"/>
        </w:rPr>
        <w:id w:val="147458625"/>
        <w15:color w:val="DBDBDB"/>
        <w:docPartObj>
          <w:docPartGallery w:val="Table of Contents"/>
          <w:docPartUnique/>
        </w:docPartObj>
      </w:sdtPr>
      <w:sdtEndPr>
        <w:rPr>
          <w:rFonts w:ascii="宋体" w:hAnsi="宋体" w:eastAsia="宋体" w:cs="Times New Roman"/>
          <w:color w:val="auto"/>
          <w:kern w:val="2"/>
          <w:sz w:val="21"/>
          <w:szCs w:val="21"/>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300"/>
            <w:tabs>
              <w:tab w:val="right" w:leader="dot" w:pos="8504"/>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pPr>
            <w:pStyle w:val="300"/>
            <w:tabs>
              <w:tab w:val="right" w:leader="dot" w:pos="8504"/>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_Toc10338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第一章 公开招标采购公告</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_Toc10338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300"/>
            <w:tabs>
              <w:tab w:val="right" w:leader="dot" w:pos="8504"/>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_Toc7170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kern w:val="2"/>
              <w:sz w:val="24"/>
              <w:szCs w:val="24"/>
              <w:highlight w:val="none"/>
              <w:lang w:val="en-US" w:eastAsia="zh-CN" w:bidi="ar-SA"/>
            </w:rPr>
            <w:t>第二章</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采购需求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_Toc7170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300"/>
            <w:tabs>
              <w:tab w:val="right" w:leader="dot" w:pos="8504"/>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_Toc25123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 xml:space="preserve">第三章  </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须知</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_Toc25123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300"/>
            <w:tabs>
              <w:tab w:val="right" w:leader="dot" w:pos="8504"/>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_Toc15474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第四章  评标办法及评分标准</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_Toc15474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300"/>
            <w:tabs>
              <w:tab w:val="right" w:leader="dot" w:pos="8504"/>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_Toc14437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第五章  合同主要条款</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_Toc14437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300"/>
            <w:tabs>
              <w:tab w:val="right" w:leader="dot" w:pos="8504"/>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_Toc12566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第六章  投标文件格式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_Toc12566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rPr>
              <w:color w:val="auto"/>
              <w:highlight w:val="none"/>
            </w:rPr>
          </w:pPr>
          <w:r>
            <w:rPr>
              <w:color w:val="auto"/>
              <w:highlight w:val="none"/>
            </w:rPr>
            <w:fldChar w:fldCharType="end"/>
          </w:r>
        </w:p>
      </w:sdtContent>
    </w:sdt>
    <w:p>
      <w:pPr>
        <w:pStyle w:val="40"/>
        <w:tabs>
          <w:tab w:val="right" w:leader="dot" w:pos="8959"/>
        </w:tabs>
        <w:snapToGrid w:val="0"/>
        <w:ind w:left="0" w:leftChars="0"/>
        <w:rPr>
          <w:rFonts w:hint="eastAsia" w:ascii="宋体" w:eastAsia="宋体" w:cs="宋体"/>
          <w:b/>
          <w:bCs/>
          <w:color w:val="auto"/>
          <w:sz w:val="32"/>
          <w:szCs w:val="32"/>
          <w:highlight w:val="none"/>
          <w:lang w:eastAsia="zh-CN"/>
        </w:rPr>
      </w:pPr>
      <w:r>
        <w:rPr>
          <w:rFonts w:hint="eastAsia" w:ascii="宋体" w:cs="宋体"/>
          <w:b/>
          <w:bCs/>
          <w:color w:val="auto"/>
          <w:sz w:val="32"/>
          <w:szCs w:val="32"/>
          <w:highlight w:val="none"/>
          <w:lang w:val="en-US" w:eastAsia="zh-CN"/>
        </w:rPr>
        <w:t xml:space="preserve">  </w:t>
      </w:r>
    </w:p>
    <w:p>
      <w:pPr>
        <w:pStyle w:val="40"/>
        <w:tabs>
          <w:tab w:val="right" w:leader="dot" w:pos="8959"/>
        </w:tabs>
        <w:snapToGrid w:val="0"/>
        <w:ind w:left="0" w:leftChars="0"/>
        <w:rPr>
          <w:rFonts w:ascii="宋体" w:cs="宋体"/>
          <w:b/>
          <w:bCs/>
          <w:color w:val="auto"/>
          <w:sz w:val="32"/>
          <w:szCs w:val="32"/>
          <w:highlight w:val="none"/>
        </w:rPr>
      </w:pPr>
    </w:p>
    <w:p>
      <w:pPr>
        <w:pStyle w:val="19"/>
        <w:rPr>
          <w:rFonts w:hint="eastAsia" w:ascii="宋体" w:hAnsi="宋体" w:cs="宋体"/>
          <w:b/>
          <w:bCs/>
          <w:color w:val="auto"/>
          <w:sz w:val="32"/>
          <w:szCs w:val="32"/>
          <w:highlight w:val="none"/>
        </w:rPr>
      </w:pPr>
      <w:r>
        <w:rPr>
          <w:rFonts w:hint="eastAsia" w:ascii="宋体" w:cs="宋体"/>
          <w:b/>
          <w:bCs/>
          <w:color w:val="auto"/>
          <w:sz w:val="32"/>
          <w:szCs w:val="32"/>
          <w:highlight w:val="none"/>
          <w:lang w:val="en-US" w:eastAsia="zh-CN"/>
        </w:rPr>
        <w:t xml:space="preserve"> </w:t>
      </w:r>
    </w:p>
    <w:p>
      <w:pPr>
        <w:pStyle w:val="47"/>
        <w:rPr>
          <w:rFonts w:hint="eastAsia" w:ascii="宋体" w:hAnsi="宋体" w:cs="宋体"/>
          <w:b/>
          <w:bCs/>
          <w:color w:val="auto"/>
          <w:sz w:val="32"/>
          <w:szCs w:val="32"/>
          <w:highlight w:val="none"/>
        </w:rPr>
      </w:pPr>
    </w:p>
    <w:p>
      <w:pPr>
        <w:pStyle w:val="47"/>
        <w:rPr>
          <w:rFonts w:hint="eastAsia" w:ascii="宋体" w:hAnsi="宋体" w:cs="宋体"/>
          <w:b/>
          <w:bCs/>
          <w:color w:val="auto"/>
          <w:sz w:val="32"/>
          <w:szCs w:val="32"/>
          <w:highlight w:val="none"/>
        </w:rPr>
        <w:sectPr>
          <w:footerReference r:id="rId8" w:type="first"/>
          <w:headerReference r:id="rId6" w:type="default"/>
          <w:footerReference r:id="rId7" w:type="default"/>
          <w:type w:val="continuous"/>
          <w:pgSz w:w="11906" w:h="16838"/>
          <w:pgMar w:top="1418" w:right="1701" w:bottom="1418" w:left="1701"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pStyle w:val="45"/>
        <w:rPr>
          <w:color w:val="auto"/>
          <w:highlight w:val="none"/>
        </w:rPr>
      </w:pPr>
      <w:bookmarkStart w:id="3" w:name="_Toc10338"/>
      <w:r>
        <w:rPr>
          <w:rFonts w:hint="eastAsia"/>
          <w:color w:val="auto"/>
          <w:highlight w:val="none"/>
        </w:rPr>
        <w:t>第一章</w:t>
      </w:r>
      <w:r>
        <w:rPr>
          <w:color w:val="auto"/>
          <w:highlight w:val="none"/>
        </w:rPr>
        <w:t xml:space="preserve"> </w:t>
      </w:r>
      <w:r>
        <w:rPr>
          <w:rFonts w:hint="eastAsia"/>
          <w:color w:val="auto"/>
          <w:highlight w:val="none"/>
        </w:rPr>
        <w:t>公开招标采购公告</w:t>
      </w:r>
      <w:bookmarkEnd w:id="1"/>
      <w:bookmarkEnd w:id="2"/>
      <w:bookmarkEnd w:id="3"/>
    </w:p>
    <w:p>
      <w:pPr>
        <w:pStyle w:val="44"/>
        <w:keepNext w:val="0"/>
        <w:keepLines w:val="0"/>
        <w:widowControl/>
        <w:suppressLineNumbers w:val="0"/>
        <w:spacing w:before="75" w:beforeAutospacing="0" w:after="75" w:afterAutospacing="0"/>
        <w:ind w:left="0" w:right="0"/>
        <w:rPr>
          <w:rFonts w:hint="eastAsia" w:ascii="宋体" w:hAnsi="宋体" w:eastAsia="宋体" w:cs="宋体"/>
          <w:i w:val="0"/>
          <w:caps w:val="0"/>
          <w:color w:val="auto"/>
          <w:spacing w:val="0"/>
          <w:sz w:val="21"/>
          <w:szCs w:val="21"/>
          <w:highlight w:val="none"/>
          <w:vertAlign w:val="baseline"/>
        </w:rPr>
      </w:pPr>
      <w:bookmarkStart w:id="4" w:name="_Toc26145"/>
      <w:r>
        <w:rPr>
          <w:rFonts w:hint="eastAsia" w:ascii="宋体" w:hAnsi="宋体" w:eastAsia="宋体" w:cs="宋体"/>
          <w:i w:val="0"/>
          <w:caps w:val="0"/>
          <w:color w:val="auto"/>
          <w:spacing w:val="0"/>
          <w:sz w:val="21"/>
          <w:szCs w:val="21"/>
          <w:highlight w:val="none"/>
        </w:rPr>
        <w:t xml:space="preserve">    </w:t>
      </w:r>
    </w:p>
    <w:tbl>
      <w:tblPr>
        <w:tblStyle w:val="4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8528" w:type="dxa"/>
            <w:noWrap w:val="0"/>
            <w:vAlign w:val="top"/>
          </w:tcPr>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u w:val="single"/>
                <w:lang w:val="en-US" w:eastAsia="zh-CN"/>
              </w:rPr>
              <w:t>宁海县政府投资项目智慧管理系统信创迭代升级项目</w:t>
            </w:r>
            <w:r>
              <w:rPr>
                <w:rFonts w:hint="eastAsia" w:ascii="宋体" w:hAnsi="宋体" w:eastAsia="宋体" w:cs="宋体"/>
                <w:color w:val="auto"/>
                <w:kern w:val="0"/>
                <w:sz w:val="22"/>
                <w:szCs w:val="22"/>
                <w:highlight w:val="none"/>
              </w:rPr>
              <w:t>的潜在</w:t>
            </w:r>
            <w:r>
              <w:rPr>
                <w:rFonts w:hint="eastAsia" w:ascii="宋体" w:hAnsi="宋体" w:cs="宋体"/>
                <w:color w:val="auto"/>
                <w:kern w:val="0"/>
                <w:sz w:val="22"/>
                <w:szCs w:val="22"/>
                <w:highlight w:val="none"/>
                <w:lang w:eastAsia="zh-CN"/>
              </w:rPr>
              <w:t>供应商</w:t>
            </w:r>
            <w:r>
              <w:rPr>
                <w:rFonts w:hint="eastAsia" w:ascii="宋体" w:hAnsi="宋体" w:eastAsia="宋体" w:cs="宋体"/>
                <w:color w:val="auto"/>
                <w:kern w:val="0"/>
                <w:sz w:val="22"/>
                <w:szCs w:val="22"/>
                <w:highlight w:val="none"/>
              </w:rPr>
              <w:t>应在政府采购云平台（www.zcygov.cn）获取（下载）招标文件，并于</w:t>
            </w:r>
            <w:r>
              <w:rPr>
                <w:rFonts w:hint="eastAsia" w:ascii="宋体" w:hAnsi="宋体" w:eastAsia="宋体" w:cs="宋体"/>
                <w:color w:val="auto"/>
                <w:kern w:val="0"/>
                <w:sz w:val="22"/>
                <w:szCs w:val="22"/>
                <w:highlight w:val="none"/>
                <w:u w:val="single"/>
              </w:rPr>
              <w:t>202</w:t>
            </w:r>
            <w:r>
              <w:rPr>
                <w:rFonts w:hint="eastAsia" w:ascii="宋体" w:hAnsi="宋体" w:cs="宋体"/>
                <w:color w:val="auto"/>
                <w:kern w:val="0"/>
                <w:sz w:val="22"/>
                <w:szCs w:val="22"/>
                <w:highlight w:val="none"/>
                <w:u w:val="single"/>
                <w:lang w:val="en-US" w:eastAsia="zh-CN"/>
              </w:rPr>
              <w:t>4</w:t>
            </w:r>
            <w:r>
              <w:rPr>
                <w:rFonts w:hint="eastAsia" w:ascii="宋体" w:hAnsi="宋体" w:eastAsia="宋体" w:cs="宋体"/>
                <w:color w:val="auto"/>
                <w:kern w:val="0"/>
                <w:sz w:val="22"/>
                <w:szCs w:val="22"/>
                <w:highlight w:val="none"/>
              </w:rPr>
              <w:t>年</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月</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日</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none"/>
                <w:lang w:val="en-US" w:eastAsia="zh-CN"/>
              </w:rPr>
              <w:t>时</w:t>
            </w:r>
            <w:r>
              <w:rPr>
                <w:rFonts w:hint="eastAsia" w:ascii="宋体" w:hAnsi="宋体" w:eastAsia="宋体" w:cs="宋体"/>
                <w:color w:val="auto"/>
                <w:kern w:val="0"/>
                <w:sz w:val="22"/>
                <w:szCs w:val="22"/>
                <w:highlight w:val="none"/>
              </w:rPr>
              <w:t>（北京时间）前递交（上传）投标文件。</w:t>
            </w:r>
          </w:p>
        </w:tc>
      </w:tr>
    </w:tbl>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宋体" w:hAnsi="宋体" w:eastAsia="宋体" w:cs="宋体"/>
          <w:i w:val="0"/>
          <w:caps w:val="0"/>
          <w:color w:val="auto"/>
          <w:spacing w:val="0"/>
          <w:sz w:val="21"/>
          <w:szCs w:val="21"/>
          <w:highlight w:val="none"/>
        </w:rPr>
      </w:pPr>
      <w:r>
        <w:rPr>
          <w:rFonts w:hint="eastAsia" w:ascii="宋体" w:hAnsi="宋体" w:eastAsia="宋体" w:cs="宋体"/>
          <w:b/>
          <w:bCs/>
          <w:i w:val="0"/>
          <w:caps w:val="0"/>
          <w:color w:val="auto"/>
          <w:spacing w:val="0"/>
          <w:sz w:val="21"/>
          <w:szCs w:val="21"/>
          <w:highlight w:val="none"/>
          <w:lang w:val="en-US" w:eastAsia="zh-CN"/>
        </w:rPr>
        <w:t>一、项目基本情况</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项目编号：</w:t>
      </w:r>
      <w:r>
        <w:rPr>
          <w:rFonts w:hint="eastAsia" w:ascii="宋体" w:hAnsi="宋体" w:eastAsia="宋体" w:cs="宋体"/>
          <w:i w:val="0"/>
          <w:caps w:val="0"/>
          <w:color w:val="auto"/>
          <w:spacing w:val="0"/>
          <w:sz w:val="21"/>
          <w:szCs w:val="21"/>
          <w:highlight w:val="none"/>
          <w:lang w:val="en-US" w:eastAsia="zh-CN"/>
        </w:rPr>
        <w:t>NBSD2024</w:t>
      </w:r>
      <w:r>
        <w:rPr>
          <w:rFonts w:hint="eastAsia" w:ascii="宋体" w:hAnsi="宋体" w:eastAsia="宋体" w:cs="宋体"/>
          <w:i w:val="0"/>
          <w:caps w:val="0"/>
          <w:color w:val="auto"/>
          <w:spacing w:val="0"/>
          <w:sz w:val="21"/>
          <w:szCs w:val="21"/>
          <w:highlight w:val="none"/>
          <w:lang w:val="zh-CN" w:eastAsia="zh-CN"/>
        </w:rPr>
        <w:t>-</w:t>
      </w:r>
      <w:r>
        <w:rPr>
          <w:rFonts w:hint="eastAsia" w:ascii="宋体" w:hAnsi="宋体" w:eastAsia="宋体" w:cs="宋体"/>
          <w:i w:val="0"/>
          <w:caps w:val="0"/>
          <w:color w:val="auto"/>
          <w:spacing w:val="0"/>
          <w:sz w:val="21"/>
          <w:szCs w:val="21"/>
          <w:highlight w:val="none"/>
          <w:lang w:val="en-US" w:eastAsia="zh-CN"/>
        </w:rPr>
        <w:t>019</w:t>
      </w:r>
      <w:r>
        <w:rPr>
          <w:rFonts w:hint="eastAsia" w:ascii="宋体" w:hAnsi="宋体" w:eastAsia="宋体" w:cs="宋体"/>
          <w:i w:val="0"/>
          <w:caps w:val="0"/>
          <w:color w:val="auto"/>
          <w:spacing w:val="0"/>
          <w:sz w:val="21"/>
          <w:szCs w:val="21"/>
          <w:highlight w:val="none"/>
        </w:rPr>
        <w:t>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项目名称：</w:t>
      </w:r>
      <w:r>
        <w:rPr>
          <w:rFonts w:hint="eastAsia" w:ascii="宋体" w:hAnsi="宋体" w:eastAsia="宋体" w:cs="宋体"/>
          <w:i w:val="0"/>
          <w:caps w:val="0"/>
          <w:color w:val="auto"/>
          <w:spacing w:val="0"/>
          <w:sz w:val="21"/>
          <w:szCs w:val="21"/>
          <w:highlight w:val="none"/>
          <w:lang w:eastAsia="zh-CN"/>
        </w:rPr>
        <w:t>宁海县政府投资项目智慧管理系统信创迭代升级项目</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预算金额（元）：</w:t>
      </w:r>
      <w:r>
        <w:rPr>
          <w:rFonts w:hint="eastAsia" w:ascii="宋体" w:hAnsi="宋体" w:eastAsia="宋体" w:cs="宋体"/>
          <w:i w:val="0"/>
          <w:caps w:val="0"/>
          <w:color w:val="auto"/>
          <w:spacing w:val="0"/>
          <w:sz w:val="21"/>
          <w:szCs w:val="21"/>
          <w:highlight w:val="none"/>
          <w:lang w:val="en-US" w:eastAsia="zh-CN"/>
        </w:rPr>
        <w:t>1649400</w:t>
      </w:r>
      <w:r>
        <w:rPr>
          <w:rFonts w:hint="eastAsia" w:ascii="宋体" w:hAnsi="宋体" w:eastAsia="宋体" w:cs="宋体"/>
          <w:i w:val="0"/>
          <w:caps w:val="0"/>
          <w:color w:val="auto"/>
          <w:spacing w:val="0"/>
          <w:sz w:val="21"/>
          <w:szCs w:val="21"/>
          <w:highlight w:val="none"/>
        </w:rPr>
        <w:t>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最高限价（元）：</w:t>
      </w:r>
      <w:r>
        <w:rPr>
          <w:rFonts w:hint="eastAsia" w:ascii="宋体" w:hAnsi="宋体" w:cs="宋体"/>
          <w:i w:val="0"/>
          <w:caps w:val="0"/>
          <w:color w:val="auto"/>
          <w:spacing w:val="0"/>
          <w:sz w:val="21"/>
          <w:szCs w:val="21"/>
          <w:highlight w:val="none"/>
          <w:lang w:val="en-US" w:eastAsia="zh-CN"/>
        </w:rPr>
        <w:t>1590000</w:t>
      </w:r>
      <w:r>
        <w:rPr>
          <w:rFonts w:hint="eastAsia" w:ascii="宋体" w:hAnsi="宋体" w:eastAsia="宋体" w:cs="宋体"/>
          <w:i w:val="0"/>
          <w:caps w:val="0"/>
          <w:color w:val="auto"/>
          <w:spacing w:val="0"/>
          <w:sz w:val="21"/>
          <w:szCs w:val="21"/>
          <w:highlight w:val="none"/>
        </w:rPr>
        <w:t>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rPr>
        <w:t>采购需求：</w:t>
      </w:r>
      <w:r>
        <w:rPr>
          <w:rFonts w:hint="eastAsia" w:ascii="宋体" w:hAnsi="宋体" w:eastAsia="宋体" w:cs="宋体"/>
          <w:i w:val="0"/>
          <w:caps w:val="0"/>
          <w:color w:val="auto"/>
          <w:spacing w:val="0"/>
          <w:sz w:val="21"/>
          <w:szCs w:val="21"/>
          <w:highlight w:val="none"/>
          <w:lang w:val="en-US" w:eastAsia="zh-CN"/>
        </w:rPr>
        <w:t>详见招标文件第二章</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rPr>
        <w:t>标项名称</w:t>
      </w:r>
      <w:r>
        <w:rPr>
          <w:rFonts w:hint="eastAsia" w:ascii="宋体" w:hAnsi="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lang w:eastAsia="zh-CN"/>
        </w:rPr>
        <w:t>宁海县政府投资项目智慧管理系统信创迭代升级项目</w:t>
      </w:r>
      <w:r>
        <w:rPr>
          <w:rFonts w:hint="eastAsia" w:ascii="宋体" w:hAnsi="宋体" w:eastAsia="宋体" w:cs="宋体"/>
          <w:i w:val="0"/>
          <w:caps w:val="0"/>
          <w:color w:val="auto"/>
          <w:spacing w:val="0"/>
          <w:sz w:val="21"/>
          <w:szCs w:val="21"/>
          <w:highlight w:val="none"/>
        </w:rPr>
        <w:t>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rPr>
        <w:t>数量: 1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预算金额（元）</w:t>
      </w:r>
      <w:r>
        <w:rPr>
          <w:rFonts w:hint="eastAsia" w:ascii="宋体" w:hAnsi="宋体" w:cs="宋体"/>
          <w:i w:val="0"/>
          <w:caps w:val="0"/>
          <w:color w:val="auto"/>
          <w:spacing w:val="0"/>
          <w:sz w:val="21"/>
          <w:szCs w:val="21"/>
          <w:highlight w:val="none"/>
          <w:lang w:val="en-US" w:eastAsia="zh-CN"/>
        </w:rPr>
        <w:t>：</w:t>
      </w:r>
      <w:r>
        <w:rPr>
          <w:rFonts w:hint="eastAsia" w:ascii="宋体" w:hAnsi="宋体" w:eastAsia="宋体" w:cs="宋体"/>
          <w:i w:val="0"/>
          <w:caps w:val="0"/>
          <w:color w:val="auto"/>
          <w:spacing w:val="0"/>
          <w:sz w:val="21"/>
          <w:szCs w:val="21"/>
          <w:highlight w:val="none"/>
          <w:lang w:val="en-US" w:eastAsia="zh-CN"/>
        </w:rPr>
        <w:t>1649400</w:t>
      </w:r>
      <w:r>
        <w:rPr>
          <w:rFonts w:hint="eastAsia" w:ascii="宋体" w:hAnsi="宋体" w:eastAsia="宋体" w:cs="宋体"/>
          <w:i w:val="0"/>
          <w:caps w:val="0"/>
          <w:color w:val="auto"/>
          <w:spacing w:val="0"/>
          <w:sz w:val="21"/>
          <w:szCs w:val="21"/>
          <w:highlight w:val="none"/>
        </w:rPr>
        <w:t>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简要规格描述或项目基本概况介绍、用途：</w:t>
      </w:r>
      <w:r>
        <w:rPr>
          <w:rFonts w:hint="eastAsia" w:ascii="宋体" w:hAnsi="宋体" w:eastAsia="宋体" w:cs="宋体"/>
          <w:i w:val="0"/>
          <w:caps w:val="0"/>
          <w:color w:val="auto"/>
          <w:spacing w:val="0"/>
          <w:sz w:val="21"/>
          <w:szCs w:val="21"/>
          <w:highlight w:val="none"/>
          <w:lang w:val="en-US" w:eastAsia="zh-CN"/>
        </w:rPr>
        <w:t>详见招标文件</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val="en-US" w:eastAsia="zh-CN"/>
        </w:rPr>
        <w:t>无</w:t>
      </w:r>
      <w:r>
        <w:rPr>
          <w:rFonts w:hint="eastAsia" w:ascii="宋体" w:hAnsi="宋体" w:eastAsia="宋体" w:cs="宋体"/>
          <w:i w:val="0"/>
          <w:caps w:val="0"/>
          <w:color w:val="auto"/>
          <w:spacing w:val="0"/>
          <w:sz w:val="21"/>
          <w:szCs w:val="21"/>
          <w:highlight w:val="none"/>
        </w:rPr>
        <w:t>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合同履约期限：</w:t>
      </w:r>
      <w:r>
        <w:rPr>
          <w:rFonts w:hint="eastAsia" w:ascii="宋体" w:hAnsi="宋体" w:cs="宋体"/>
          <w:i w:val="0"/>
          <w:caps w:val="0"/>
          <w:color w:val="auto"/>
          <w:spacing w:val="0"/>
          <w:sz w:val="21"/>
          <w:szCs w:val="21"/>
          <w:highlight w:val="none"/>
          <w:lang w:val="en-US" w:eastAsia="zh-CN"/>
        </w:rPr>
        <w:t>合同签订后90天内完成详细设计，并经采购人审核确认；270天内完成项目的全部系统开发建设并通过采购人初验，初验后进入试运行，试运行期为180天，试运行结束后采购人组织最终竣工验收</w:t>
      </w:r>
      <w:r>
        <w:rPr>
          <w:rFonts w:hint="eastAsia" w:ascii="宋体" w:hAnsi="宋体" w:eastAsia="宋体" w:cs="宋体"/>
          <w:i w:val="0"/>
          <w:caps w:val="0"/>
          <w:color w:val="auto"/>
          <w:spacing w:val="0"/>
          <w:sz w:val="21"/>
          <w:szCs w:val="21"/>
          <w:highlight w:val="none"/>
          <w:lang w:val="en-US" w:eastAsia="zh-CN"/>
        </w:rPr>
        <w:t>。</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本项目（否）接受联合体投标。</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宋体" w:hAnsi="宋体" w:eastAsia="宋体" w:cs="宋体"/>
          <w:color w:val="auto"/>
          <w:sz w:val="21"/>
          <w:szCs w:val="21"/>
          <w:highlight w:val="none"/>
        </w:rPr>
      </w:pPr>
      <w:r>
        <w:rPr>
          <w:rStyle w:val="52"/>
          <w:rFonts w:hint="eastAsia" w:ascii="宋体" w:hAnsi="宋体" w:eastAsia="宋体" w:cs="宋体"/>
          <w:i w:val="0"/>
          <w:caps w:val="0"/>
          <w:color w:val="auto"/>
          <w:spacing w:val="0"/>
          <w:sz w:val="21"/>
          <w:szCs w:val="21"/>
          <w:highlight w:val="none"/>
        </w:rPr>
        <w:t>二、申请人的资格要求：</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2.落实政府采购政策需满足的资格要求：</w:t>
      </w:r>
      <w:r>
        <w:rPr>
          <w:rFonts w:hint="eastAsia" w:ascii="宋体" w:hAnsi="宋体" w:eastAsia="宋体" w:cs="宋体"/>
          <w:i w:val="0"/>
          <w:caps w:val="0"/>
          <w:color w:val="auto"/>
          <w:spacing w:val="0"/>
          <w:sz w:val="21"/>
          <w:szCs w:val="21"/>
          <w:highlight w:val="none"/>
          <w:u w:val="single"/>
          <w:lang w:val="en-US" w:eastAsia="zh-CN"/>
        </w:rPr>
        <w:t>本次采购专门面向中小企业，供应商应为符合《政府采购促进中小企业发展管理办法》（财库﹝2020﹞46 号）规定的中小企业（其中，小微企业包括视同为小型、微型企业的监狱企业、残疾人福利性单位）。即本次采购全部由符合政策要求的中小企业承接，提供中小企业声明函</w:t>
      </w:r>
      <w:r>
        <w:rPr>
          <w:rFonts w:hint="eastAsia" w:ascii="宋体" w:hAnsi="宋体" w:eastAsia="宋体" w:cs="宋体"/>
          <w:i w:val="0"/>
          <w:caps w:val="0"/>
          <w:color w:val="auto"/>
          <w:spacing w:val="0"/>
          <w:sz w:val="21"/>
          <w:szCs w:val="21"/>
          <w:highlight w:val="none"/>
          <w:lang w:val="en-US" w:eastAsia="zh-CN"/>
        </w:rPr>
        <w:t>。</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3.本项目的特定资格要求：</w:t>
      </w:r>
      <w:r>
        <w:rPr>
          <w:rFonts w:hint="eastAsia" w:ascii="宋体" w:hAnsi="宋体" w:eastAsia="宋体" w:cs="宋体"/>
          <w:i w:val="0"/>
          <w:caps w:val="0"/>
          <w:color w:val="auto"/>
          <w:spacing w:val="0"/>
          <w:sz w:val="21"/>
          <w:szCs w:val="21"/>
          <w:highlight w:val="none"/>
          <w:u w:val="single"/>
          <w:lang w:val="en-US" w:eastAsia="zh-CN"/>
        </w:rPr>
        <w:t>无</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lang w:val="en-US" w:eastAsia="zh-CN"/>
        </w:rPr>
        <w:t>4.</w:t>
      </w:r>
      <w:r>
        <w:rPr>
          <w:rFonts w:hint="eastAsia" w:ascii="宋体" w:hAnsi="宋体" w:eastAsia="宋体" w:cs="宋体"/>
          <w:i w:val="0"/>
          <w:caps w:val="0"/>
          <w:color w:val="auto"/>
          <w:spacing w:val="0"/>
          <w:sz w:val="21"/>
          <w:szCs w:val="21"/>
          <w:highlight w:val="none"/>
        </w:rPr>
        <w:t xml:space="preserve">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i w:val="0"/>
          <w:caps w:val="0"/>
          <w:color w:val="auto"/>
          <w:spacing w:val="0"/>
          <w:sz w:val="21"/>
          <w:szCs w:val="21"/>
          <w:highlight w:val="none"/>
          <w:lang w:val="en-US" w:eastAsia="zh-CN"/>
        </w:rPr>
        <w:sectPr>
          <w:footerReference r:id="rId9" w:type="default"/>
          <w:pgSz w:w="11906" w:h="16838"/>
          <w:pgMar w:top="1474" w:right="1797" w:bottom="1247" w:left="1797" w:header="851" w:footer="851" w:gutter="0"/>
          <w:pgBorders>
            <w:top w:val="none" w:sz="0" w:space="0"/>
            <w:left w:val="none" w:sz="0" w:space="0"/>
            <w:bottom w:val="none" w:sz="0" w:space="0"/>
            <w:right w:val="none" w:sz="0" w:space="0"/>
          </w:pgBorders>
          <w:pgNumType w:fmt="decimal" w:start="1"/>
          <w:cols w:space="720" w:num="1"/>
          <w:docGrid w:linePitch="312" w:charSpace="0"/>
        </w:sectPr>
      </w:pP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lang w:val="en-US" w:eastAsia="zh-CN"/>
        </w:rPr>
        <w:t>5.</w:t>
      </w:r>
      <w:r>
        <w:rPr>
          <w:rFonts w:hint="eastAsia" w:ascii="宋体" w:hAnsi="宋体" w:eastAsia="宋体" w:cs="宋体"/>
          <w:i w:val="0"/>
          <w:caps w:val="0"/>
          <w:color w:val="auto"/>
          <w:spacing w:val="0"/>
          <w:sz w:val="21"/>
          <w:szCs w:val="21"/>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单位将依法取消其中标资格）</w:t>
      </w:r>
      <w:r>
        <w:rPr>
          <w:rFonts w:hint="eastAsia" w:ascii="宋体" w:hAnsi="宋体" w:eastAsia="宋体" w:cs="宋体"/>
          <w:i w:val="0"/>
          <w:caps w:val="0"/>
          <w:color w:val="auto"/>
          <w:spacing w:val="0"/>
          <w:sz w:val="21"/>
          <w:szCs w:val="21"/>
          <w:highlight w:val="none"/>
          <w:lang w:eastAsia="zh-CN"/>
        </w:rPr>
        <w:t>。</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宋体" w:hAnsi="宋体" w:eastAsia="宋体" w:cs="宋体"/>
          <w:i w:val="0"/>
          <w:caps w:val="0"/>
          <w:color w:val="auto"/>
          <w:spacing w:val="0"/>
          <w:sz w:val="21"/>
          <w:szCs w:val="21"/>
          <w:highlight w:val="none"/>
        </w:rPr>
      </w:pPr>
      <w:r>
        <w:rPr>
          <w:rStyle w:val="52"/>
          <w:rFonts w:hint="eastAsia" w:ascii="宋体" w:hAnsi="宋体" w:eastAsia="宋体" w:cs="宋体"/>
          <w:i w:val="0"/>
          <w:caps w:val="0"/>
          <w:color w:val="auto"/>
          <w:spacing w:val="0"/>
          <w:sz w:val="21"/>
          <w:szCs w:val="21"/>
          <w:highlight w:val="none"/>
        </w:rPr>
        <w:t>三、获取招标文件</w:t>
      </w:r>
      <w:r>
        <w:rPr>
          <w:rFonts w:hint="eastAsia" w:ascii="宋体" w:hAnsi="宋体" w:eastAsia="宋体" w:cs="宋体"/>
          <w:i w:val="0"/>
          <w:caps w:val="0"/>
          <w:color w:val="auto"/>
          <w:spacing w:val="0"/>
          <w:sz w:val="21"/>
          <w:szCs w:val="21"/>
          <w:highlight w:val="none"/>
        </w:rPr>
        <w:t>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u w:val="none"/>
          <w:lang w:val="en-US" w:eastAsia="zh-CN"/>
        </w:rPr>
        <w:t>1.</w:t>
      </w:r>
      <w:r>
        <w:rPr>
          <w:rFonts w:hint="eastAsia" w:ascii="宋体" w:hAnsi="宋体" w:eastAsia="宋体" w:cs="宋体"/>
          <w:i w:val="0"/>
          <w:caps w:val="0"/>
          <w:color w:val="auto"/>
          <w:spacing w:val="0"/>
          <w:sz w:val="21"/>
          <w:szCs w:val="21"/>
          <w:highlight w:val="none"/>
          <w:u w:val="none"/>
        </w:rPr>
        <w:t>时间</w:t>
      </w:r>
      <w:r>
        <w:rPr>
          <w:rFonts w:hint="eastAsia" w:ascii="宋体" w:hAnsi="宋体" w:eastAsia="宋体" w:cs="宋体"/>
          <w:i w:val="0"/>
          <w:caps w:val="0"/>
          <w:color w:val="auto"/>
          <w:spacing w:val="0"/>
          <w:sz w:val="21"/>
          <w:szCs w:val="21"/>
          <w:highlight w:val="none"/>
          <w:u w:val="none"/>
          <w:lang w:eastAsia="zh-CN"/>
        </w:rPr>
        <w:t>：</w:t>
      </w:r>
      <w:r>
        <w:rPr>
          <w:rFonts w:hint="eastAsia" w:ascii="宋体" w:hAnsi="宋体" w:eastAsia="宋体" w:cs="宋体"/>
          <w:color w:val="auto"/>
          <w:sz w:val="21"/>
          <w:szCs w:val="21"/>
          <w:highlight w:val="none"/>
          <w:u w:val="single"/>
          <w:lang w:val="en-US"/>
        </w:rPr>
        <w:t xml:space="preserve">  /  </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i w:val="0"/>
          <w:caps w:val="0"/>
          <w:color w:val="auto"/>
          <w:spacing w:val="0"/>
          <w:sz w:val="21"/>
          <w:szCs w:val="21"/>
          <w:highlight w:val="none"/>
          <w:u w:val="none"/>
        </w:rPr>
        <w:t>，每天上午00:00至12:00</w:t>
      </w:r>
      <w:r>
        <w:rPr>
          <w:rFonts w:hint="eastAsia" w:ascii="宋体" w:hAnsi="宋体" w:eastAsia="宋体" w:cs="宋体"/>
          <w:i w:val="0"/>
          <w:caps w:val="0"/>
          <w:color w:val="auto"/>
          <w:spacing w:val="0"/>
          <w:sz w:val="21"/>
          <w:szCs w:val="21"/>
          <w:highlight w:val="none"/>
          <w:u w:val="none"/>
          <w:lang w:eastAsia="zh-CN"/>
        </w:rPr>
        <w:t>，</w:t>
      </w:r>
      <w:r>
        <w:rPr>
          <w:rFonts w:hint="eastAsia" w:ascii="宋体" w:hAnsi="宋体" w:eastAsia="宋体" w:cs="宋体"/>
          <w:i w:val="0"/>
          <w:caps w:val="0"/>
          <w:color w:val="auto"/>
          <w:spacing w:val="0"/>
          <w:sz w:val="21"/>
          <w:szCs w:val="21"/>
          <w:highlight w:val="none"/>
          <w:u w:val="none"/>
        </w:rPr>
        <w:t>下午12:00至23:59（北京时间，线上获取法定节假日均可，线下获取文件法定节假日除外）</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lang w:val="en-US" w:eastAsia="zh-CN"/>
        </w:rPr>
        <w:t>2.</w:t>
      </w:r>
      <w:r>
        <w:rPr>
          <w:rFonts w:hint="eastAsia" w:ascii="宋体" w:hAnsi="宋体" w:eastAsia="宋体" w:cs="宋体"/>
          <w:i w:val="0"/>
          <w:caps w:val="0"/>
          <w:color w:val="auto"/>
          <w:spacing w:val="0"/>
          <w:sz w:val="21"/>
          <w:szCs w:val="21"/>
          <w:highlight w:val="none"/>
        </w:rPr>
        <w:t>地点（网址）：政府采购云平台www.zcygov.cn。（免费获取）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i w:val="0"/>
          <w:caps w:val="0"/>
          <w:color w:val="auto"/>
          <w:spacing w:val="0"/>
          <w:sz w:val="21"/>
          <w:szCs w:val="21"/>
          <w:highlight w:val="none"/>
        </w:rPr>
        <w:t>方式：政府采购云平台www.zcygov.cn。（免费获取）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lang w:val="en-US" w:eastAsia="zh-CN"/>
        </w:rPr>
        <w:t>4.</w:t>
      </w:r>
      <w:r>
        <w:rPr>
          <w:rFonts w:hint="eastAsia" w:ascii="宋体" w:hAnsi="宋体" w:eastAsia="宋体" w:cs="宋体"/>
          <w:i w:val="0"/>
          <w:caps w:val="0"/>
          <w:color w:val="auto"/>
          <w:spacing w:val="0"/>
          <w:sz w:val="21"/>
          <w:szCs w:val="21"/>
          <w:highlight w:val="none"/>
        </w:rPr>
        <w:t>售价（元）：0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宋体" w:hAnsi="宋体" w:eastAsia="宋体" w:cs="宋体"/>
          <w:i w:val="0"/>
          <w:caps w:val="0"/>
          <w:color w:val="auto"/>
          <w:spacing w:val="0"/>
          <w:sz w:val="21"/>
          <w:szCs w:val="21"/>
          <w:highlight w:val="none"/>
        </w:rPr>
      </w:pPr>
      <w:r>
        <w:rPr>
          <w:rStyle w:val="52"/>
          <w:rFonts w:hint="eastAsia" w:ascii="宋体" w:hAnsi="宋体" w:eastAsia="宋体" w:cs="宋体"/>
          <w:i w:val="0"/>
          <w:caps w:val="0"/>
          <w:color w:val="auto"/>
          <w:spacing w:val="0"/>
          <w:sz w:val="21"/>
          <w:szCs w:val="21"/>
          <w:highlight w:val="none"/>
        </w:rPr>
        <w:t>四、提交投标文件截止时间、开标时间和地点</w:t>
      </w:r>
    </w:p>
    <w:p>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u w:val="none"/>
        </w:rPr>
        <w:t>提交投标文件截止时间：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分（北京时间）</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u w:val="none"/>
        </w:rPr>
        <w:t>投标地点（网址）：</w:t>
      </w:r>
      <w:r>
        <w:rPr>
          <w:rFonts w:hint="eastAsia" w:ascii="宋体" w:hAnsi="宋体" w:eastAsia="宋体" w:cs="宋体"/>
          <w:i w:val="0"/>
          <w:caps w:val="0"/>
          <w:color w:val="auto"/>
          <w:spacing w:val="0"/>
          <w:sz w:val="21"/>
          <w:szCs w:val="21"/>
          <w:highlight w:val="none"/>
          <w:u w:val="none"/>
          <w:lang w:eastAsia="zh-CN"/>
        </w:rPr>
        <w:t>供应商</w:t>
      </w:r>
      <w:r>
        <w:rPr>
          <w:rFonts w:hint="eastAsia" w:ascii="宋体" w:hAnsi="宋体" w:eastAsia="宋体" w:cs="宋体"/>
          <w:i w:val="0"/>
          <w:caps w:val="0"/>
          <w:color w:val="auto"/>
          <w:spacing w:val="0"/>
          <w:sz w:val="21"/>
          <w:szCs w:val="21"/>
          <w:highlight w:val="none"/>
          <w:u w:val="none"/>
        </w:rPr>
        <w:t>通过“政府采购云平台（www.zcygov.cn）”在线制作、传输递交电子投标文件。 </w:t>
      </w:r>
      <w:r>
        <w:rPr>
          <w:rFonts w:hint="eastAsia" w:ascii="宋体" w:hAnsi="宋体" w:eastAsia="宋体" w:cs="宋体"/>
          <w:i w:val="0"/>
          <w:caps w:val="0"/>
          <w:color w:val="auto"/>
          <w:spacing w:val="0"/>
          <w:sz w:val="21"/>
          <w:szCs w:val="21"/>
          <w:highlight w:val="none"/>
        </w:rPr>
        <w:t> </w:t>
      </w:r>
    </w:p>
    <w:p>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u w:val="none"/>
        </w:rPr>
        <w:t>开标时间：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分（北京时间）</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u w:val="none"/>
        </w:rPr>
        <w:t>开标地点（网址）：宁海县公共资源交易中心开标室（宁海县桃源街道金水东路5号五楼，详见五楼大厅公告）</w:t>
      </w:r>
      <w:r>
        <w:rPr>
          <w:rFonts w:hint="eastAsia" w:ascii="宋体" w:hAnsi="宋体" w:eastAsia="宋体" w:cs="宋体"/>
          <w:i w:val="0"/>
          <w:caps w:val="0"/>
          <w:color w:val="auto"/>
          <w:spacing w:val="0"/>
          <w:sz w:val="21"/>
          <w:szCs w:val="21"/>
          <w:highlight w:val="none"/>
        </w:rPr>
        <w:t>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宋体" w:hAnsi="宋体" w:eastAsia="宋体" w:cs="宋体"/>
          <w:i w:val="0"/>
          <w:caps w:val="0"/>
          <w:color w:val="auto"/>
          <w:spacing w:val="0"/>
          <w:sz w:val="21"/>
          <w:szCs w:val="21"/>
          <w:highlight w:val="none"/>
        </w:rPr>
      </w:pPr>
      <w:r>
        <w:rPr>
          <w:rStyle w:val="52"/>
          <w:rFonts w:hint="eastAsia" w:ascii="宋体" w:hAnsi="宋体" w:eastAsia="宋体" w:cs="宋体"/>
          <w:i w:val="0"/>
          <w:caps w:val="0"/>
          <w:color w:val="auto"/>
          <w:spacing w:val="0"/>
          <w:sz w:val="21"/>
          <w:szCs w:val="21"/>
          <w:highlight w:val="none"/>
        </w:rPr>
        <w:t>五、公告期限</w:t>
      </w:r>
      <w:r>
        <w:rPr>
          <w:rFonts w:hint="eastAsia" w:ascii="宋体" w:hAnsi="宋体" w:eastAsia="宋体" w:cs="宋体"/>
          <w:i w:val="0"/>
          <w:caps w:val="0"/>
          <w:color w:val="auto"/>
          <w:spacing w:val="0"/>
          <w:sz w:val="21"/>
          <w:szCs w:val="21"/>
          <w:highlight w:val="none"/>
        </w:rPr>
        <w:t> </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自本公告发布之日起5个工作日。</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宋体" w:hAnsi="宋体" w:eastAsia="宋体" w:cs="宋体"/>
          <w:i w:val="0"/>
          <w:caps w:val="0"/>
          <w:color w:val="auto"/>
          <w:spacing w:val="0"/>
          <w:sz w:val="21"/>
          <w:szCs w:val="21"/>
          <w:highlight w:val="none"/>
        </w:rPr>
      </w:pPr>
      <w:r>
        <w:rPr>
          <w:rStyle w:val="52"/>
          <w:rFonts w:hint="eastAsia" w:ascii="宋体" w:hAnsi="宋体" w:eastAsia="宋体" w:cs="宋体"/>
          <w:i w:val="0"/>
          <w:caps w:val="0"/>
          <w:color w:val="auto"/>
          <w:spacing w:val="0"/>
          <w:sz w:val="21"/>
          <w:szCs w:val="21"/>
          <w:highlight w:val="none"/>
        </w:rPr>
        <w:t>六、其他补充事宜</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 xml:space="preserve"> 2.其他事项：</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2.1落实的政策：</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2.1.1对小微企业的产品给予价格优惠（监狱企业、残疾人福利性单位视同小微企业；残疾人福利性单位属于小型、微型企业的，不重复享受政策）；</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2.1.2扶持不发达地区和少数民族地区；</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需按照《浙江省政府采购</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注册及诚信管理暂行办法》的规定在“浙江政府采购网”政采云平台注册登记的，成为浙江省政府采购注册</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。如未注册的</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，请注意注册所需时间。</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2.3投标与开标注意事项</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2.3.1本项目实行网上投标，采用电子投标文件。若</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参与投标，自行承担投标一切费用。</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2.3.2标前准备：各</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应在开标前确保成为浙江政府采购网正式注册入库</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，并完成CA数字证书办理。因未注册入库、未办理CA数字证书等原因造成无法投标或投标失败等后果由</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自行承担。</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2.3.3投标文件制作：</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2.3.3.1应按照本项目招标文件和政府采购云平台的要求编制、加密并递交投标文件。</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在使用系统进行投标的过程中遇到涉及平台使用的任何问题，可致电政府采购云平台技术支持热线咨询，联系方式：</w:t>
      </w:r>
      <w:r>
        <w:rPr>
          <w:rFonts w:hint="eastAsia" w:ascii="宋体" w:hAnsi="宋体" w:eastAsia="宋体" w:cs="宋体"/>
          <w:color w:val="auto"/>
          <w:kern w:val="0"/>
          <w:sz w:val="21"/>
          <w:szCs w:val="21"/>
          <w:highlight w:val="none"/>
          <w:lang w:eastAsia="zh-CN"/>
        </w:rPr>
        <w:t>95763</w:t>
      </w:r>
      <w:r>
        <w:rPr>
          <w:rFonts w:hint="eastAsia" w:ascii="宋体" w:hAnsi="宋体" w:eastAsia="宋体" w:cs="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2.3.3.2</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通过政府采购云平台电子投标工具制作投标文件，电子投标工具请</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自行前往浙江政府采购网下载并安装，投标文件制作具体流程详见政府采购云平台。</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2.3.3.3以U盘存储的电子备份投标文件1份，按政府采购云平台要求</w:t>
      </w:r>
      <w:r>
        <w:rPr>
          <w:rFonts w:hint="eastAsia" w:ascii="宋体" w:hAnsi="宋体" w:eastAsia="宋体" w:cs="宋体"/>
          <w:color w:val="auto"/>
          <w:sz w:val="21"/>
          <w:szCs w:val="21"/>
          <w:highlight w:val="none"/>
        </w:rPr>
        <w:t>制作的电子备份文件</w:t>
      </w:r>
      <w:r>
        <w:rPr>
          <w:rFonts w:hint="eastAsia" w:ascii="宋体" w:hAnsi="宋体" w:eastAsia="宋体" w:cs="宋体"/>
          <w:color w:val="auto"/>
          <w:kern w:val="0"/>
          <w:sz w:val="21"/>
          <w:szCs w:val="21"/>
          <w:highlight w:val="none"/>
        </w:rPr>
        <w:t>，以用于异常情况处理。</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2.4本招标公告附件中的招标文件仅供阅览使用，</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应在规定的招标文件获取期限内在政采云平台登录</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注册的账号后获取招标文件，未按上述方式获取招标文件的，不得对招标文件提起质疑投诉。</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应于投标截止时间前将电子投标文件上传到政府采购云平台www.zcygov.cn，未上传电子投标文件，视为</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放弃投标。</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如提供备份投标文件的，应于提交投标文件截止时间前，将以U盘存储的电子备份投标文件密封，递交至</w:t>
      </w:r>
      <w:r>
        <w:rPr>
          <w:rFonts w:hint="eastAsia" w:ascii="宋体" w:hAnsi="宋体" w:eastAsia="宋体" w:cs="宋体"/>
          <w:color w:val="auto"/>
          <w:sz w:val="21"/>
          <w:szCs w:val="21"/>
          <w:highlight w:val="none"/>
          <w:u w:val="single"/>
          <w:lang w:eastAsia="zh-CN"/>
        </w:rPr>
        <w:t>宁海县公共资源交易中心（宁海县桃源街道金水东路5号五楼，详见五楼大厅公告）</w:t>
      </w:r>
      <w:r>
        <w:rPr>
          <w:rFonts w:hint="eastAsia" w:ascii="宋体" w:hAnsi="宋体" w:eastAsia="宋体" w:cs="宋体"/>
          <w:color w:val="auto"/>
          <w:kern w:val="0"/>
          <w:sz w:val="21"/>
          <w:szCs w:val="21"/>
          <w:highlight w:val="none"/>
        </w:rPr>
        <w:t>，逾期送达或未密封将予以拒收。</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仅提供以U盘存储的电子备份投标文件的，投标无效。</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2.7采购代理机构将在招标文件规定的开标时间通过政府采购云平台组织开标、开启投标文件，所有</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均应准时在线参加。开标时间后30分钟内</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可以登录政府采购云平台www.zcygov.cn，用“项目采购-开标评标”功能进行解密投标文件。若</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在开标时间后30分钟内无法解密或解密失败，可使用备份电子投标文件进行。</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可采用邮寄（含快递）方式或现场方式递交备份投标文件。</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2.8.1采用邮寄方式递交备份投标文件，需按以下要求递交：</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在投标截止时间前将备份投标文件邮寄至规定地点，由采购代理工作人员进行签收，各</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自行考虑邮寄在途时间，邮寄过程中无论何种因素导致备份投标文件未按时递交的后果，均由</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自行负责。备份投标文件递交时间以采购代理实际收到备份投标文件的时间为准。</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拟在</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分（北京时间）</w:t>
      </w:r>
      <w:r>
        <w:rPr>
          <w:rFonts w:hint="eastAsia" w:ascii="宋体" w:hAnsi="宋体" w:eastAsia="宋体" w:cs="宋体"/>
          <w:color w:val="auto"/>
          <w:kern w:val="0"/>
          <w:sz w:val="21"/>
          <w:szCs w:val="21"/>
          <w:highlight w:val="none"/>
        </w:rPr>
        <w:t>（含）前到件的邮寄地址为：</w:t>
      </w:r>
      <w:r>
        <w:rPr>
          <w:rFonts w:hint="eastAsia" w:ascii="宋体" w:hAnsi="宋体" w:eastAsia="宋体" w:cs="宋体"/>
          <w:color w:val="auto"/>
          <w:kern w:val="0"/>
          <w:sz w:val="21"/>
          <w:szCs w:val="21"/>
          <w:highlight w:val="none"/>
          <w:u w:val="single"/>
          <w:lang w:val="en-US" w:eastAsia="zh-CN"/>
        </w:rPr>
        <w:t xml:space="preserve">宁波市江北区唐虞路319号（创富商业中心） 5楼510室 </w:t>
      </w:r>
      <w:r>
        <w:rPr>
          <w:rFonts w:hint="eastAsia" w:ascii="宋体" w:hAnsi="宋体" w:eastAsia="宋体" w:cs="宋体"/>
          <w:i w:val="0"/>
          <w:caps w:val="0"/>
          <w:color w:val="auto"/>
          <w:spacing w:val="0"/>
          <w:sz w:val="21"/>
          <w:szCs w:val="21"/>
          <w:highlight w:val="none"/>
          <w:u w:val="single"/>
          <w:lang w:val="en-US" w:eastAsia="zh-CN"/>
        </w:rPr>
        <w:t>宁波市盛达工程管理咨询有限公司</w:t>
      </w:r>
      <w:r>
        <w:rPr>
          <w:rFonts w:hint="eastAsia" w:ascii="宋体" w:hAnsi="宋体" w:eastAsia="宋体" w:cs="宋体"/>
          <w:color w:val="auto"/>
          <w:kern w:val="0"/>
          <w:sz w:val="21"/>
          <w:szCs w:val="21"/>
          <w:highlight w:val="none"/>
        </w:rPr>
        <w:t>；</w:t>
      </w:r>
    </w:p>
    <w:p>
      <w:pPr>
        <w:keepNext w:val="0"/>
        <w:keepLines w:val="0"/>
        <w:pageBreakBefore w:val="0"/>
        <w:widowControl/>
        <w:tabs>
          <w:tab w:val="left" w:pos="5153"/>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收件人：</w:t>
      </w:r>
      <w:r>
        <w:rPr>
          <w:rFonts w:hint="eastAsia" w:ascii="宋体" w:hAnsi="宋体" w:eastAsia="宋体" w:cs="宋体"/>
          <w:i w:val="0"/>
          <w:caps w:val="0"/>
          <w:color w:val="auto"/>
          <w:spacing w:val="0"/>
          <w:sz w:val="21"/>
          <w:szCs w:val="21"/>
          <w:highlight w:val="none"/>
          <w:u w:val="single"/>
          <w:lang w:val="en-US" w:eastAsia="zh-CN"/>
        </w:rPr>
        <w:t>王瑶红</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联系方式：</w:t>
      </w:r>
      <w:r>
        <w:rPr>
          <w:rFonts w:hint="eastAsia" w:ascii="宋体" w:hAnsi="宋体" w:eastAsia="宋体" w:cs="宋体"/>
          <w:i w:val="0"/>
          <w:caps w:val="0"/>
          <w:color w:val="auto"/>
          <w:spacing w:val="0"/>
          <w:sz w:val="21"/>
          <w:szCs w:val="21"/>
          <w:highlight w:val="none"/>
          <w:u w:val="single"/>
          <w:lang w:val="en-US" w:eastAsia="zh-CN"/>
        </w:rPr>
        <w:t>0574-87636525</w:t>
      </w:r>
      <w:r>
        <w:rPr>
          <w:rFonts w:hint="eastAsia" w:ascii="宋体" w:hAnsi="宋体" w:eastAsia="宋体" w:cs="宋体"/>
          <w:color w:val="auto"/>
          <w:kern w:val="0"/>
          <w:sz w:val="21"/>
          <w:szCs w:val="21"/>
          <w:highlight w:val="none"/>
        </w:rPr>
        <w:tab/>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请各</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确保密封包装在邮寄过程密封包装完好，因邮寄过程的密封破损造成不符合开标要求的，本采购代理及采购人概不负责。</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2.8.2采用现场方式送达备份投标文件，需按以下要求递交：</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在投标截止时间前将备份投标文件送至：</w:t>
      </w:r>
      <w:r>
        <w:rPr>
          <w:rFonts w:hint="eastAsia" w:ascii="宋体" w:hAnsi="宋体" w:eastAsia="宋体" w:cs="宋体"/>
          <w:color w:val="auto"/>
          <w:sz w:val="21"/>
          <w:szCs w:val="21"/>
          <w:highlight w:val="none"/>
          <w:u w:val="single"/>
          <w:lang w:eastAsia="zh-CN"/>
        </w:rPr>
        <w:t>宁海县公共资源交易中心（宁海县桃源街道金水东路5号五楼，详见五楼大厅公告）</w:t>
      </w:r>
      <w:r>
        <w:rPr>
          <w:rFonts w:hint="eastAsia" w:ascii="宋体" w:hAnsi="宋体" w:eastAsia="宋体" w:cs="宋体"/>
          <w:color w:val="auto"/>
          <w:kern w:val="0"/>
          <w:sz w:val="21"/>
          <w:szCs w:val="21"/>
          <w:highlight w:val="none"/>
        </w:rPr>
        <w:t>。</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i w:val="0"/>
          <w:caps w:val="0"/>
          <w:color w:val="auto"/>
          <w:spacing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开标过程全程视频监控记录。</w:t>
      </w:r>
      <w:r>
        <w:rPr>
          <w:rFonts w:hint="eastAsia" w:ascii="宋体" w:hAnsi="宋体" w:eastAsia="宋体" w:cs="宋体"/>
          <w:i w:val="0"/>
          <w:caps w:val="0"/>
          <w:color w:val="auto"/>
          <w:spacing w:val="0"/>
          <w:sz w:val="21"/>
          <w:szCs w:val="21"/>
          <w:highlight w:val="none"/>
        </w:rPr>
        <w:t>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宋体" w:hAnsi="宋体" w:eastAsia="宋体" w:cs="宋体"/>
          <w:i w:val="0"/>
          <w:caps w:val="0"/>
          <w:color w:val="auto"/>
          <w:spacing w:val="0"/>
          <w:sz w:val="21"/>
          <w:szCs w:val="21"/>
          <w:highlight w:val="none"/>
        </w:rPr>
      </w:pPr>
      <w:r>
        <w:rPr>
          <w:rStyle w:val="52"/>
          <w:rFonts w:hint="eastAsia" w:ascii="宋体" w:hAnsi="宋体" w:eastAsia="宋体" w:cs="宋体"/>
          <w:i w:val="0"/>
          <w:caps w:val="0"/>
          <w:color w:val="auto"/>
          <w:spacing w:val="0"/>
          <w:sz w:val="21"/>
          <w:szCs w:val="21"/>
          <w:highlight w:val="none"/>
        </w:rPr>
        <w:t>七、对本次采购提出询问、质疑、投诉，请按以下方式联系</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1.采购人信息</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名    称：</w:t>
      </w:r>
      <w:r>
        <w:rPr>
          <w:rFonts w:hint="eastAsia" w:ascii="宋体" w:hAnsi="宋体" w:eastAsia="宋体" w:cs="宋体"/>
          <w:i w:val="0"/>
          <w:caps w:val="0"/>
          <w:color w:val="auto"/>
          <w:spacing w:val="0"/>
          <w:sz w:val="21"/>
          <w:szCs w:val="21"/>
          <w:highlight w:val="none"/>
          <w:lang w:eastAsia="zh-CN"/>
        </w:rPr>
        <w:t>宁海县发展和改革局</w:t>
      </w:r>
      <w:r>
        <w:rPr>
          <w:rFonts w:hint="eastAsia" w:ascii="宋体" w:hAnsi="宋体" w:eastAsia="宋体" w:cs="宋体"/>
          <w:i w:val="0"/>
          <w:caps w:val="0"/>
          <w:color w:val="auto"/>
          <w:spacing w:val="0"/>
          <w:sz w:val="21"/>
          <w:szCs w:val="21"/>
          <w:highlight w:val="none"/>
        </w:rPr>
        <w:t> </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地    址：宁海县环城东路21号 </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caps w:val="0"/>
          <w:color w:val="auto"/>
          <w:spacing w:val="0"/>
          <w:sz w:val="21"/>
          <w:szCs w:val="21"/>
          <w:highlight w:val="none"/>
        </w:rPr>
        <w:t>项目联系人（询问）：</w:t>
      </w:r>
      <w:r>
        <w:rPr>
          <w:rFonts w:hint="eastAsia" w:ascii="宋体" w:hAnsi="宋体" w:eastAsia="宋体" w:cs="宋体"/>
          <w:i w:val="0"/>
          <w:caps w:val="0"/>
          <w:color w:val="auto"/>
          <w:spacing w:val="0"/>
          <w:sz w:val="21"/>
          <w:szCs w:val="21"/>
          <w:highlight w:val="none"/>
          <w:lang w:val="en-US" w:eastAsia="zh-CN"/>
        </w:rPr>
        <w:t>叶老师</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caps w:val="0"/>
          <w:color w:val="auto"/>
          <w:spacing w:val="0"/>
          <w:sz w:val="21"/>
          <w:szCs w:val="21"/>
          <w:highlight w:val="none"/>
        </w:rPr>
        <w:t>项目联系方式（询问）：</w:t>
      </w:r>
      <w:r>
        <w:rPr>
          <w:rFonts w:hint="eastAsia" w:ascii="宋体" w:hAnsi="宋体" w:eastAsia="宋体" w:cs="宋体"/>
          <w:i w:val="0"/>
          <w:caps w:val="0"/>
          <w:color w:val="auto"/>
          <w:spacing w:val="0"/>
          <w:sz w:val="21"/>
          <w:szCs w:val="21"/>
          <w:highlight w:val="none"/>
          <w:lang w:val="en-US" w:eastAsia="zh-CN"/>
        </w:rPr>
        <w:t>0574-59976537</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质疑联系人：</w:t>
      </w:r>
      <w:r>
        <w:rPr>
          <w:rFonts w:hint="eastAsia" w:ascii="宋体" w:hAnsi="宋体" w:eastAsia="宋体" w:cs="宋体"/>
          <w:i w:val="0"/>
          <w:caps w:val="0"/>
          <w:color w:val="auto"/>
          <w:spacing w:val="0"/>
          <w:sz w:val="21"/>
          <w:szCs w:val="21"/>
          <w:highlight w:val="none"/>
          <w:lang w:val="en-US" w:eastAsia="zh-CN"/>
        </w:rPr>
        <w:t>叶老师</w:t>
      </w:r>
      <w:r>
        <w:rPr>
          <w:rFonts w:hint="eastAsia" w:ascii="宋体" w:hAnsi="宋体" w:eastAsia="宋体" w:cs="宋体"/>
          <w:i w:val="0"/>
          <w:caps w:val="0"/>
          <w:color w:val="auto"/>
          <w:spacing w:val="0"/>
          <w:sz w:val="21"/>
          <w:szCs w:val="21"/>
          <w:highlight w:val="none"/>
        </w:rPr>
        <w:t> </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质疑联系方式：</w:t>
      </w:r>
      <w:r>
        <w:rPr>
          <w:rFonts w:hint="eastAsia" w:ascii="宋体" w:hAnsi="宋体" w:eastAsia="宋体" w:cs="宋体"/>
          <w:i w:val="0"/>
          <w:caps w:val="0"/>
          <w:color w:val="auto"/>
          <w:spacing w:val="0"/>
          <w:sz w:val="21"/>
          <w:szCs w:val="21"/>
          <w:highlight w:val="none"/>
          <w:lang w:val="en-US" w:eastAsia="zh-CN"/>
        </w:rPr>
        <w:t>0574-59976537</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rPr>
        <w:t>    </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2.采购代理机构信息            </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名    称：</w:t>
      </w:r>
      <w:r>
        <w:rPr>
          <w:rFonts w:hint="eastAsia" w:ascii="宋体" w:hAnsi="宋体" w:eastAsia="宋体" w:cs="宋体"/>
          <w:i w:val="0"/>
          <w:caps w:val="0"/>
          <w:color w:val="auto"/>
          <w:spacing w:val="0"/>
          <w:sz w:val="21"/>
          <w:szCs w:val="21"/>
          <w:highlight w:val="none"/>
          <w:lang w:val="en-US" w:eastAsia="zh-CN"/>
        </w:rPr>
        <w:t>宁波市盛达工程管理咨询有限公司</w:t>
      </w:r>
      <w:r>
        <w:rPr>
          <w:rFonts w:hint="eastAsia" w:ascii="宋体" w:hAnsi="宋体" w:eastAsia="宋体" w:cs="宋体"/>
          <w:i w:val="0"/>
          <w:caps w:val="0"/>
          <w:color w:val="auto"/>
          <w:spacing w:val="0"/>
          <w:sz w:val="21"/>
          <w:szCs w:val="21"/>
          <w:highlight w:val="none"/>
        </w:rPr>
        <w:t>             </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地    址：</w:t>
      </w:r>
      <w:r>
        <w:rPr>
          <w:rFonts w:hint="eastAsia" w:ascii="宋体" w:hAnsi="宋体" w:eastAsia="宋体" w:cs="宋体"/>
          <w:i w:val="0"/>
          <w:caps w:val="0"/>
          <w:color w:val="auto"/>
          <w:spacing w:val="0"/>
          <w:sz w:val="21"/>
          <w:szCs w:val="21"/>
          <w:highlight w:val="none"/>
          <w:lang w:val="en-US" w:eastAsia="zh-CN"/>
        </w:rPr>
        <w:t xml:space="preserve">宁海县桃源街道时代大道178号蓝田办公二楼 </w:t>
      </w:r>
      <w:r>
        <w:rPr>
          <w:rFonts w:hint="eastAsia" w:ascii="宋体" w:hAnsi="宋体" w:eastAsia="宋体" w:cs="宋体"/>
          <w:i w:val="0"/>
          <w:caps w:val="0"/>
          <w:color w:val="auto"/>
          <w:spacing w:val="0"/>
          <w:sz w:val="21"/>
          <w:szCs w:val="21"/>
          <w:highlight w:val="none"/>
        </w:rPr>
        <w:t>           </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项目联系人（询问）：</w:t>
      </w:r>
      <w:r>
        <w:rPr>
          <w:rFonts w:hint="eastAsia" w:ascii="宋体" w:hAnsi="宋体" w:eastAsia="宋体" w:cs="宋体"/>
          <w:i w:val="0"/>
          <w:caps w:val="0"/>
          <w:color w:val="auto"/>
          <w:spacing w:val="0"/>
          <w:sz w:val="21"/>
          <w:szCs w:val="21"/>
          <w:highlight w:val="none"/>
          <w:lang w:val="en-US" w:eastAsia="zh-CN"/>
        </w:rPr>
        <w:t>王瑶红、蔡青青、张琳玲</w:t>
      </w:r>
      <w:r>
        <w:rPr>
          <w:rFonts w:hint="eastAsia" w:ascii="宋体" w:hAnsi="宋体" w:eastAsia="宋体" w:cs="宋体"/>
          <w:i w:val="0"/>
          <w:caps w:val="0"/>
          <w:color w:val="auto"/>
          <w:spacing w:val="0"/>
          <w:sz w:val="21"/>
          <w:szCs w:val="21"/>
          <w:highlight w:val="none"/>
        </w:rPr>
        <w:t>             </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caps w:val="0"/>
          <w:color w:val="auto"/>
          <w:spacing w:val="0"/>
          <w:sz w:val="21"/>
          <w:szCs w:val="21"/>
          <w:highlight w:val="none"/>
        </w:rPr>
        <w:t>项目联系方式（询问）：</w:t>
      </w:r>
      <w:r>
        <w:rPr>
          <w:rFonts w:hint="eastAsia" w:ascii="宋体" w:hAnsi="宋体" w:eastAsia="宋体" w:cs="宋体"/>
          <w:i w:val="0"/>
          <w:caps w:val="0"/>
          <w:color w:val="auto"/>
          <w:spacing w:val="0"/>
          <w:sz w:val="21"/>
          <w:szCs w:val="21"/>
          <w:highlight w:val="none"/>
          <w:lang w:val="en-US" w:eastAsia="zh-CN"/>
        </w:rPr>
        <w:t>0574-87636525</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质疑联系人</w:t>
      </w:r>
      <w:r>
        <w:rPr>
          <w:rFonts w:hint="eastAsia" w:ascii="宋体" w:hAnsi="宋体" w:eastAsia="宋体" w:cs="宋体"/>
          <w:i w:val="0"/>
          <w:caps w:val="0"/>
          <w:color w:val="auto"/>
          <w:spacing w:val="0"/>
          <w:sz w:val="21"/>
          <w:szCs w:val="21"/>
          <w:highlight w:val="none"/>
          <w:lang w:val="en-US" w:eastAsia="zh-CN"/>
        </w:rPr>
        <w:t>：张琳玲</w:t>
      </w:r>
      <w:r>
        <w:rPr>
          <w:rFonts w:hint="eastAsia" w:ascii="宋体" w:hAnsi="宋体" w:eastAsia="宋体" w:cs="宋体"/>
          <w:i w:val="0"/>
          <w:caps w:val="0"/>
          <w:color w:val="auto"/>
          <w:spacing w:val="0"/>
          <w:sz w:val="21"/>
          <w:szCs w:val="21"/>
          <w:highlight w:val="none"/>
        </w:rPr>
        <w:t xml:space="preserve">          </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质疑联系方式：</w:t>
      </w:r>
      <w:r>
        <w:rPr>
          <w:rFonts w:hint="eastAsia" w:ascii="宋体" w:hAnsi="宋体" w:eastAsia="宋体" w:cs="宋体"/>
          <w:i w:val="0"/>
          <w:caps w:val="0"/>
          <w:color w:val="auto"/>
          <w:spacing w:val="0"/>
          <w:sz w:val="21"/>
          <w:szCs w:val="21"/>
          <w:highlight w:val="none"/>
          <w:lang w:val="en-US" w:eastAsia="zh-CN"/>
        </w:rPr>
        <w:t>0574-87636525</w:t>
      </w:r>
      <w:r>
        <w:rPr>
          <w:rFonts w:hint="eastAsia" w:ascii="宋体" w:hAnsi="宋体" w:eastAsia="宋体" w:cs="宋体"/>
          <w:i w:val="0"/>
          <w:caps w:val="0"/>
          <w:color w:val="auto"/>
          <w:spacing w:val="0"/>
          <w:sz w:val="21"/>
          <w:szCs w:val="21"/>
          <w:highlight w:val="none"/>
        </w:rPr>
        <w:t>　　　　　　     </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rPr>
        <w:t>    </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3.同级政府采购监督管理部门            </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名    称：宁海县政府采购管理办公室             </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地    址：宁海县跃龙街道桃源中路218号             </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传    真：0574-65265612             </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联系人 ：王老师              </w:t>
      </w:r>
    </w:p>
    <w:p>
      <w:pPr>
        <w:pStyle w:val="4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仿宋" w:hAnsi="仿宋" w:eastAsia="仿宋" w:cs="仿宋"/>
          <w:i w:val="0"/>
          <w:caps w:val="0"/>
          <w:color w:val="auto"/>
          <w:spacing w:val="0"/>
          <w:sz w:val="24"/>
          <w:szCs w:val="24"/>
          <w:highlight w:val="none"/>
          <w:lang w:eastAsia="zh-CN"/>
        </w:rPr>
      </w:pPr>
      <w:r>
        <w:rPr>
          <w:rFonts w:hint="eastAsia" w:ascii="宋体" w:hAnsi="宋体" w:eastAsia="宋体" w:cs="宋体"/>
          <w:i w:val="0"/>
          <w:caps w:val="0"/>
          <w:color w:val="auto"/>
          <w:spacing w:val="0"/>
          <w:sz w:val="21"/>
          <w:szCs w:val="21"/>
          <w:highlight w:val="none"/>
        </w:rPr>
        <w:t>监督投诉电话：0574-65265668     </w:t>
      </w:r>
      <w:r>
        <w:rPr>
          <w:rFonts w:hint="eastAsia" w:ascii="仿宋" w:hAnsi="仿宋" w:eastAsia="仿宋" w:cs="仿宋"/>
          <w:i w:val="0"/>
          <w:caps w:val="0"/>
          <w:color w:val="auto"/>
          <w:spacing w:val="0"/>
          <w:sz w:val="24"/>
          <w:szCs w:val="24"/>
          <w:highlight w:val="none"/>
        </w:rPr>
        <w:t xml:space="preserve">      </w:t>
      </w:r>
    </w:p>
    <w:p>
      <w:pPr>
        <w:pStyle w:val="44"/>
        <w:keepNext w:val="0"/>
        <w:keepLines w:val="0"/>
        <w:widowControl/>
        <w:suppressLineNumbers w:val="0"/>
        <w:spacing w:before="75" w:beforeAutospacing="0" w:after="75" w:afterAutospacing="0" w:line="300" w:lineRule="atLeast"/>
        <w:ind w:left="0" w:right="0"/>
        <w:rPr>
          <w:color w:val="auto"/>
          <w:highlight w:val="none"/>
        </w:rPr>
      </w:pPr>
      <w:r>
        <w:rPr>
          <w:rFonts w:hint="eastAsia" w:ascii="仿宋" w:hAnsi="仿宋" w:eastAsia="仿宋" w:cs="仿宋"/>
          <w:i w:val="0"/>
          <w:caps w:val="0"/>
          <w:color w:val="auto"/>
          <w:spacing w:val="0"/>
          <w:sz w:val="24"/>
          <w:szCs w:val="24"/>
          <w:highlight w:val="none"/>
        </w:rPr>
        <w:t>         </w:t>
      </w:r>
    </w:p>
    <w:p>
      <w:pPr>
        <w:pStyle w:val="44"/>
        <w:keepNext w:val="0"/>
        <w:keepLines w:val="0"/>
        <w:widowControl/>
        <w:suppressLineNumbers w:val="0"/>
        <w:spacing w:before="75" w:beforeAutospacing="0" w:after="75" w:afterAutospacing="0" w:line="300" w:lineRule="atLeast"/>
        <w:ind w:left="0" w:right="0"/>
        <w:rPr>
          <w:color w:val="auto"/>
          <w:highlight w:val="none"/>
        </w:rPr>
      </w:pPr>
      <w:r>
        <w:rPr>
          <w:rFonts w:hint="eastAsia" w:ascii="宋体" w:hAnsi="宋体" w:eastAsia="宋体" w:cs="宋体"/>
          <w:i w:val="0"/>
          <w:caps w:val="0"/>
          <w:color w:val="auto"/>
          <w:spacing w:val="0"/>
          <w:sz w:val="21"/>
          <w:szCs w:val="21"/>
          <w:highlight w:val="none"/>
        </w:rPr>
        <w:t xml:space="preserve">     </w:t>
      </w:r>
      <w:r>
        <w:rPr>
          <w:rFonts w:hint="eastAsia" w:ascii="仿宋" w:hAnsi="仿宋" w:eastAsia="仿宋" w:cs="仿宋"/>
          <w:i w:val="0"/>
          <w:caps w:val="0"/>
          <w:color w:val="auto"/>
          <w:spacing w:val="0"/>
          <w:sz w:val="24"/>
          <w:szCs w:val="24"/>
          <w:highlight w:val="none"/>
        </w:rPr>
        <w:t>          </w:t>
      </w:r>
    </w:p>
    <w:p>
      <w:pPr>
        <w:pStyle w:val="45"/>
        <w:numPr>
          <w:ilvl w:val="0"/>
          <w:numId w:val="0"/>
        </w:numPr>
        <w:rPr>
          <w:rFonts w:hint="eastAsia"/>
          <w:color w:val="auto"/>
          <w:highlight w:val="none"/>
        </w:rPr>
      </w:pPr>
      <w:bookmarkStart w:id="5" w:name="_Toc7170"/>
      <w:r>
        <w:rPr>
          <w:rFonts w:hint="eastAsia" w:ascii="Cambria" w:hAnsi="Cambria" w:eastAsia="宋体" w:cs="Times New Roman"/>
          <w:b/>
          <w:bCs/>
          <w:color w:val="auto"/>
          <w:kern w:val="2"/>
          <w:sz w:val="32"/>
          <w:szCs w:val="32"/>
          <w:highlight w:val="none"/>
          <w:lang w:val="en-US" w:eastAsia="zh-CN" w:bidi="ar-SA"/>
        </w:rPr>
        <w:t>第二章</w:t>
      </w:r>
      <w:bookmarkEnd w:id="4"/>
      <w:r>
        <w:rPr>
          <w:rFonts w:hint="eastAsia"/>
          <w:color w:val="auto"/>
          <w:highlight w:val="none"/>
          <w:lang w:val="en-US" w:eastAsia="zh-CN"/>
        </w:rPr>
        <w:t xml:space="preserve">  </w:t>
      </w:r>
      <w:r>
        <w:rPr>
          <w:rFonts w:hint="eastAsia"/>
          <w:color w:val="auto"/>
          <w:highlight w:val="none"/>
        </w:rPr>
        <w:t>采购需求</w:t>
      </w:r>
      <w:bookmarkEnd w:id="5"/>
    </w:p>
    <w:p>
      <w:pPr>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outlineLvl w:val="1"/>
        <w:rPr>
          <w:rFonts w:hint="eastAsia" w:ascii="宋体" w:hAnsi="宋体" w:eastAsia="宋体" w:cs="宋体"/>
          <w:b/>
          <w:bCs/>
          <w:color w:val="auto"/>
          <w:kern w:val="0"/>
          <w:sz w:val="21"/>
          <w:szCs w:val="21"/>
          <w:highlight w:val="none"/>
        </w:rPr>
      </w:pPr>
      <w:bookmarkStart w:id="6" w:name="_Toc32726"/>
      <w:r>
        <w:rPr>
          <w:rFonts w:hint="eastAsia" w:ascii="宋体" w:hAnsi="宋体" w:eastAsia="宋体" w:cs="宋体"/>
          <w:b/>
          <w:bCs/>
          <w:color w:val="auto"/>
          <w:kern w:val="0"/>
          <w:sz w:val="21"/>
          <w:szCs w:val="21"/>
          <w:highlight w:val="none"/>
          <w:lang w:eastAsia="zh-CN"/>
        </w:rPr>
        <w:t>一、</w:t>
      </w:r>
      <w:r>
        <w:rPr>
          <w:rFonts w:hint="eastAsia" w:ascii="宋体" w:hAnsi="宋体" w:eastAsia="宋体" w:cs="宋体"/>
          <w:b/>
          <w:bCs/>
          <w:color w:val="auto"/>
          <w:kern w:val="0"/>
          <w:sz w:val="21"/>
          <w:szCs w:val="21"/>
          <w:highlight w:val="none"/>
        </w:rPr>
        <w:t>项目概况</w:t>
      </w:r>
    </w:p>
    <w:p>
      <w:pPr>
        <w:keepNext/>
        <w:keepLines/>
        <w:numPr>
          <w:ilvl w:val="0"/>
          <w:numId w:val="0"/>
        </w:numPr>
        <w:adjustRightInd/>
        <w:snapToGrid/>
        <w:ind w:firstLine="422" w:firstLineChars="200"/>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1.概述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浙江数字化改革总体方案》对数字化改革提供了指导思想，方案要求数字化改革要突出一体化、全方位、制度重塑、数字赋能和现代化，以重大任务和年度目标为切入点，以破解问题为工作导向，建设跨部门多场景协同应用，加快完善高质量发展、高水平均衡、高品质生活、高效能治理的体制机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宁海县政府投资项目智慧管理系统按照“以用促建、共建共享、统筹统建”的指导思想，打造健壮稳定、集约高效、自主可控、安全可信、开放兼容的宁海造价协同智慧公共数据平台，从而实现区域业务协同，公共数据共享。通过该平台实现全县建设单位在线提交概算、预算和招标控制价等申请业务；发改局造价管理业务部门实现对各建设单位提交上来的概算、预算等申报申请进行在线受理、审核，对提交上来的招标控制价进行备案管理；通过平台委派到中介机构进行业务受理，并对审核结果进行复审并把最终结果发送到建设单位，实现业务流程闭环管理。</w:t>
      </w:r>
      <w:bookmarkStart w:id="7" w:name="_Toc155602976"/>
      <w:bookmarkEnd w:id="7"/>
      <w:bookmarkStart w:id="8" w:name="_Toc153174389"/>
      <w:bookmarkEnd w:id="8"/>
      <w:bookmarkStart w:id="9" w:name="_Toc152599059"/>
      <w:bookmarkEnd w:id="9"/>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工程项目建设管理平台主要满足全县各建投平台公司、乡镇街道及各业务行政单位的单位内部业务管理，实现所有建设项目信息管理，以保证项目基本资料完整、信息层次清晰、结构严密、各类表格快捷自动生成，并方便项目信息输入、整理与存储利于随时提取信息；（2）造价协同平台</w:t>
      </w:r>
      <w:r>
        <w:rPr>
          <w:rFonts w:hint="eastAsia" w:ascii="宋体" w:hAnsi="宋体" w:eastAsia="宋体" w:cs="宋体"/>
          <w:color w:val="auto"/>
          <w:sz w:val="21"/>
          <w:szCs w:val="21"/>
          <w:highlight w:val="none"/>
          <w:lang w:val="en-US" w:eastAsia="zh-CN"/>
        </w:rPr>
        <w:t>主要包括建设单位在线申报申请模块，对概算、预算进行在线申报，对招标控制价进行备案提交并对业务办理结果进行查看；业务管理部门对申报进行受理、审核资料完备性基本核准，并推送中介协审单位，对审核结果进行复审、文件下发，对中介单位及人员进行管理、考核，过程协审合同生成、费用结算等；</w:t>
      </w: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zh-CN" w:eastAsia="zh-CN" w:bidi="ar-SA"/>
        </w:rPr>
        <w:t>造价协审主要为第三方中介管理平台，主要实现对发改局、财政局交办的概算、预算、结算和决算评审项目进行办理，并对办理过程成果、结果进行上传系统提交给发改和财政审核管理人员，并提交自己的办理费用、查看履约考核成绩等</w:t>
      </w:r>
      <w:bookmarkStart w:id="10" w:name="_Toc155971527"/>
      <w:bookmarkStart w:id="11" w:name="_Toc155602980"/>
      <w:bookmarkStart w:id="12" w:name="_Toc156658599"/>
      <w:bookmarkStart w:id="13" w:name="_Toc155971407"/>
      <w:r>
        <w:rPr>
          <w:rFonts w:hint="eastAsia" w:ascii="宋体" w:hAnsi="宋体" w:cs="宋体"/>
          <w:b w:val="0"/>
          <w:bCs w:val="0"/>
          <w:color w:val="auto"/>
          <w:kern w:val="2"/>
          <w:sz w:val="21"/>
          <w:szCs w:val="21"/>
          <w:highlight w:val="none"/>
          <w:lang w:val="zh-CN" w:eastAsia="zh-CN" w:bidi="ar-SA"/>
        </w:rPr>
        <w:t>；</w:t>
      </w:r>
      <w:r>
        <w:rPr>
          <w:rFonts w:hint="eastAsia" w:ascii="宋体" w:hAnsi="宋体" w:eastAsia="宋体" w:cs="宋体"/>
          <w:b w:val="0"/>
          <w:bCs w:val="0"/>
          <w:color w:val="auto"/>
          <w:kern w:val="2"/>
          <w:sz w:val="21"/>
          <w:szCs w:val="21"/>
          <w:highlight w:val="none"/>
          <w:lang w:val="zh-CN" w:eastAsia="zh-CN" w:bidi="ar-SA"/>
        </w:rPr>
        <w:t>（</w:t>
      </w:r>
      <w:r>
        <w:rPr>
          <w:rFonts w:hint="eastAsia" w:ascii="宋体" w:hAnsi="宋体" w:eastAsia="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zh-CN" w:eastAsia="zh-CN" w:bidi="ar-SA"/>
        </w:rPr>
        <w:t>）</w:t>
      </w:r>
      <w:r>
        <w:rPr>
          <w:rFonts w:hint="eastAsia" w:ascii="宋体" w:hAnsi="宋体" w:eastAsia="宋体" w:cs="宋体"/>
          <w:b w:val="0"/>
          <w:bCs w:val="0"/>
          <w:color w:val="auto"/>
          <w:kern w:val="2"/>
          <w:sz w:val="21"/>
          <w:szCs w:val="21"/>
          <w:highlight w:val="none"/>
          <w:lang w:val="en-US" w:eastAsia="zh-CN" w:bidi="ar-SA"/>
        </w:rPr>
        <w:t>项目决策分析平台</w:t>
      </w:r>
      <w:bookmarkEnd w:id="10"/>
      <w:bookmarkEnd w:id="11"/>
      <w:bookmarkEnd w:id="12"/>
      <w:bookmarkEnd w:id="13"/>
      <w:r>
        <w:rPr>
          <w:rFonts w:hint="eastAsia" w:ascii="宋体" w:hAnsi="宋体" w:eastAsia="宋体" w:cs="宋体"/>
          <w:b w:val="0"/>
          <w:bCs w:val="0"/>
          <w:color w:val="auto"/>
          <w:kern w:val="2"/>
          <w:sz w:val="21"/>
          <w:szCs w:val="21"/>
          <w:highlight w:val="none"/>
          <w:lang w:val="zh-CN" w:eastAsia="zh-CN" w:bidi="ar-SA"/>
        </w:rPr>
        <w:t>能对数据进行搜集、融合、挖掘和分析，将分析后的数据以动态、直观的多维报表、图形形式展现给决策层，为领导决策提供数据依据</w:t>
      </w:r>
      <w:bookmarkStart w:id="14" w:name="_Toc155971528"/>
      <w:bookmarkStart w:id="15" w:name="_Toc475521137"/>
      <w:bookmarkStart w:id="16" w:name="_Toc155971408"/>
      <w:bookmarkStart w:id="17" w:name="_Toc156658600"/>
      <w:bookmarkStart w:id="18" w:name="_Toc155602981"/>
      <w:r>
        <w:rPr>
          <w:rFonts w:hint="eastAsia" w:ascii="宋体" w:hAnsi="宋体" w:eastAsia="宋体" w:cs="宋体"/>
          <w:b w:val="0"/>
          <w:bCs w:val="0"/>
          <w:color w:val="auto"/>
          <w:kern w:val="2"/>
          <w:sz w:val="21"/>
          <w:szCs w:val="21"/>
          <w:highlight w:val="none"/>
          <w:lang w:val="zh-CN" w:eastAsia="zh-CN" w:bidi="ar-SA"/>
        </w:rPr>
        <w:t>；</w:t>
      </w:r>
      <w:r>
        <w:rPr>
          <w:rFonts w:hint="eastAsia" w:ascii="宋体" w:hAnsi="宋体" w:eastAsia="宋体" w:cs="宋体"/>
          <w:b w:val="0"/>
          <w:bCs w:val="0"/>
          <w:color w:val="auto"/>
          <w:kern w:val="2"/>
          <w:sz w:val="21"/>
          <w:szCs w:val="21"/>
          <w:highlight w:val="none"/>
          <w:lang w:val="en-US" w:eastAsia="zh-CN" w:bidi="ar-SA"/>
        </w:rPr>
        <w:t>(5)移动办公平台</w:t>
      </w:r>
      <w:bookmarkEnd w:id="14"/>
      <w:bookmarkEnd w:id="15"/>
      <w:bookmarkEnd w:id="16"/>
      <w:bookmarkEnd w:id="17"/>
      <w:bookmarkEnd w:id="18"/>
      <w:r>
        <w:rPr>
          <w:rFonts w:hint="eastAsia" w:ascii="宋体" w:hAnsi="宋体" w:eastAsia="宋体" w:cs="宋体"/>
          <w:b w:val="0"/>
          <w:bCs w:val="0"/>
          <w:color w:val="auto"/>
          <w:kern w:val="2"/>
          <w:sz w:val="21"/>
          <w:szCs w:val="21"/>
          <w:highlight w:val="none"/>
          <w:lang w:val="zh-CN" w:eastAsia="zh-CN" w:bidi="ar-SA"/>
        </w:rPr>
        <w:t>充分利用移动互联的优势，实现日常的待办任务、工作事项、信息查询功能，通过手机APP或者单位</w:t>
      </w:r>
      <w:r>
        <w:rPr>
          <w:rFonts w:hint="eastAsia" w:ascii="宋体" w:hAnsi="宋体" w:eastAsia="宋体" w:cs="宋体"/>
          <w:b w:val="0"/>
          <w:bCs w:val="0"/>
          <w:color w:val="auto"/>
          <w:kern w:val="2"/>
          <w:sz w:val="21"/>
          <w:szCs w:val="21"/>
          <w:highlight w:val="none"/>
          <w:lang w:val="en-US" w:eastAsia="zh-CN" w:bidi="ar-SA"/>
        </w:rPr>
        <w:t>浙政钉实</w:t>
      </w:r>
      <w:r>
        <w:rPr>
          <w:rFonts w:hint="eastAsia" w:ascii="宋体" w:hAnsi="宋体" w:eastAsia="宋体" w:cs="宋体"/>
          <w:b w:val="0"/>
          <w:bCs w:val="0"/>
          <w:color w:val="auto"/>
          <w:kern w:val="2"/>
          <w:sz w:val="21"/>
          <w:szCs w:val="21"/>
          <w:highlight w:val="none"/>
          <w:lang w:val="zh-CN" w:eastAsia="zh-CN" w:bidi="ar-SA"/>
        </w:rPr>
        <w:t>现对</w:t>
      </w:r>
      <w:r>
        <w:rPr>
          <w:rFonts w:hint="eastAsia" w:ascii="宋体" w:hAnsi="宋体" w:eastAsia="宋体" w:cs="宋体"/>
          <w:b w:val="0"/>
          <w:bCs w:val="0"/>
          <w:color w:val="auto"/>
          <w:kern w:val="2"/>
          <w:sz w:val="21"/>
          <w:szCs w:val="21"/>
          <w:highlight w:val="none"/>
          <w:lang w:val="en-US" w:eastAsia="zh-CN" w:bidi="ar-SA"/>
        </w:rPr>
        <w:t>项目基础信息、项目进度、工程资料、招标管理、合同管理、造价管理、投资月报、质量管理、变更管理、资金管理</w:t>
      </w:r>
      <w:r>
        <w:rPr>
          <w:rFonts w:hint="eastAsia" w:ascii="宋体" w:hAnsi="宋体" w:eastAsia="宋体" w:cs="宋体"/>
          <w:b w:val="0"/>
          <w:bCs w:val="0"/>
          <w:color w:val="auto"/>
          <w:kern w:val="2"/>
          <w:sz w:val="21"/>
          <w:szCs w:val="21"/>
          <w:highlight w:val="none"/>
          <w:lang w:val="zh-CN" w:eastAsia="zh-CN" w:bidi="ar-SA"/>
        </w:rPr>
        <w:t>等数据添加、查看，内部会签和申报在线审核、办理，实现随时随地办公；（</w:t>
      </w:r>
      <w:r>
        <w:rPr>
          <w:rFonts w:hint="eastAsia" w:ascii="宋体" w:hAnsi="宋体" w:eastAsia="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zh-CN" w:eastAsia="zh-CN" w:bidi="ar-SA"/>
        </w:rPr>
        <w:t>）</w:t>
      </w:r>
      <w:r>
        <w:rPr>
          <w:rFonts w:hint="eastAsia" w:ascii="宋体" w:hAnsi="宋体" w:eastAsia="宋体" w:cs="宋体"/>
          <w:b w:val="0"/>
          <w:bCs w:val="0"/>
          <w:color w:val="auto"/>
          <w:kern w:val="2"/>
          <w:sz w:val="21"/>
          <w:szCs w:val="21"/>
          <w:highlight w:val="none"/>
          <w:lang w:val="en-US" w:eastAsia="zh-CN" w:bidi="ar-SA"/>
        </w:rPr>
        <w:t>数据共享规范在实现全县项目数据完善的基础上，为应对后期可能和其它系统产生数据交互，以实现数据实时共享，为第三方系统提供开放接口和数据交换接入规范。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随着信息化的发展，全县各工程项目建设单位和主管单位对工程数字化管理提出了更高的要求，各工程建设单位需要通过系统实现对</w:t>
      </w: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val="en-US" w:eastAsia="zh-CN"/>
        </w:rPr>
        <w:t>决策、</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、投资、进度、合同、质量、安全、</w:t>
      </w:r>
      <w:r>
        <w:rPr>
          <w:rFonts w:hint="eastAsia" w:ascii="宋体" w:hAnsi="宋体" w:eastAsia="宋体" w:cs="宋体"/>
          <w:color w:val="auto"/>
          <w:sz w:val="21"/>
          <w:szCs w:val="21"/>
          <w:highlight w:val="none"/>
          <w:lang w:val="en-US" w:eastAsia="zh-CN"/>
        </w:rPr>
        <w:t>支付、资料、内部管理</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val="en-US" w:eastAsia="zh-CN"/>
        </w:rPr>
        <w:t>项目全过程管理，财政部门需要通过系统实现对项目结算、决算在线的业务办理。原</w:t>
      </w:r>
      <w:r>
        <w:rPr>
          <w:rFonts w:hint="eastAsia" w:ascii="宋体" w:hAnsi="宋体" w:eastAsia="宋体" w:cs="宋体"/>
          <w:color w:val="auto"/>
          <w:sz w:val="21"/>
          <w:szCs w:val="21"/>
          <w:highlight w:val="none"/>
        </w:rPr>
        <w:t>宁海县政府投资项目</w:t>
      </w:r>
      <w:r>
        <w:rPr>
          <w:rFonts w:hint="eastAsia" w:ascii="宋体" w:hAnsi="宋体" w:eastAsia="宋体" w:cs="宋体"/>
          <w:color w:val="auto"/>
          <w:sz w:val="21"/>
          <w:szCs w:val="21"/>
          <w:highlight w:val="none"/>
          <w:lang w:val="en-US" w:eastAsia="zh-CN"/>
        </w:rPr>
        <w:t>智慧</w:t>
      </w:r>
      <w:r>
        <w:rPr>
          <w:rFonts w:hint="eastAsia" w:ascii="宋体" w:hAnsi="宋体" w:eastAsia="宋体" w:cs="宋体"/>
          <w:color w:val="auto"/>
          <w:sz w:val="21"/>
          <w:szCs w:val="21"/>
          <w:highlight w:val="none"/>
        </w:rPr>
        <w:t>管理系统</w:t>
      </w:r>
      <w:r>
        <w:rPr>
          <w:rFonts w:hint="eastAsia" w:ascii="宋体" w:hAnsi="宋体" w:eastAsia="宋体" w:cs="宋体"/>
          <w:color w:val="auto"/>
          <w:sz w:val="21"/>
          <w:szCs w:val="21"/>
          <w:highlight w:val="none"/>
          <w:lang w:val="en-US" w:eastAsia="zh-CN"/>
        </w:rPr>
        <w:t>主要解决的是建设单位对项目管理过程中对概算、概算、招标控制价的业务管控，各个建设单位通过原平台无法实现对单位项目的内部管理。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随着宁海县数字化改革的推进，根据宁海县各建设单位对工程管理数字化的要求，依照数字化统筹统建的指导思想，以及上级部门对数字化信创的要求，宁海县需要对宁海县政府投资项目智慧管理系统进行信创迭代升级，实现建设单位对工程项目的内部管理，又能实现业务主管部门对工程造价在线业务办理和协同。</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2.服务范围及</w:t>
      </w:r>
      <w:r>
        <w:rPr>
          <w:rFonts w:hint="eastAsia" w:ascii="宋体" w:hAnsi="宋体" w:eastAsia="宋体" w:cs="宋体"/>
          <w:b/>
          <w:bCs/>
          <w:color w:val="auto"/>
          <w:sz w:val="21"/>
          <w:szCs w:val="21"/>
          <w:highlight w:val="none"/>
          <w:lang w:val="en-US" w:eastAsia="zh-CN"/>
        </w:rPr>
        <w:t>预算</w:t>
      </w:r>
    </w:p>
    <w:p>
      <w:pPr>
        <w:pStyle w:val="19"/>
        <w:pageBreakBefore w:val="0"/>
        <w:widowControl w:val="0"/>
        <w:kinsoku/>
        <w:wordWrap/>
        <w:overflowPunct/>
        <w:topLinePunct w:val="0"/>
        <w:autoSpaceDE/>
        <w:autoSpaceDN/>
        <w:bidi w:val="0"/>
        <w:spacing w:after="0" w:line="360" w:lineRule="auto"/>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项目服务内容包括系统国产化信创升级，系统新功能开发等；项目总投资164.94万元。其中</w:t>
      </w:r>
      <w:r>
        <w:rPr>
          <w:rFonts w:hint="eastAsia" w:ascii="宋体" w:hAnsi="宋体" w:cs="宋体"/>
          <w:color w:val="auto"/>
          <w:kern w:val="2"/>
          <w:sz w:val="21"/>
          <w:szCs w:val="21"/>
          <w:highlight w:val="none"/>
          <w:lang w:val="en-US" w:eastAsia="zh-CN" w:bidi="ar-SA"/>
        </w:rPr>
        <w:t>系统实施</w:t>
      </w:r>
      <w:r>
        <w:rPr>
          <w:rFonts w:hint="eastAsia" w:ascii="宋体" w:hAnsi="宋体" w:eastAsia="宋体" w:cs="宋体"/>
          <w:color w:val="auto"/>
          <w:kern w:val="2"/>
          <w:sz w:val="21"/>
          <w:szCs w:val="21"/>
          <w:highlight w:val="none"/>
          <w:lang w:val="en-US" w:eastAsia="zh-CN" w:bidi="ar-SA"/>
        </w:rPr>
        <w:t>费用144.2万元，项目其他费用20.74万元（其中安全措施费3万元，监理费2.94万不在本次招标范围内）。</w:t>
      </w:r>
    </w:p>
    <w:p>
      <w:pPr>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outlineLvl w:val="1"/>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二、</w:t>
      </w:r>
      <w:r>
        <w:rPr>
          <w:rFonts w:hint="eastAsia" w:ascii="宋体" w:hAnsi="宋体" w:eastAsia="宋体" w:cs="宋体"/>
          <w:b/>
          <w:bCs/>
          <w:color w:val="auto"/>
          <w:kern w:val="0"/>
          <w:sz w:val="21"/>
          <w:szCs w:val="21"/>
          <w:highlight w:val="none"/>
        </w:rPr>
        <w:t>系统要求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1、智慧系统（造价管理）信创升级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通过智慧系统改造依适应政务信创环境下系统正常运行，包括建设单位在线对概算、预算在线申报，发改局造价协同、中介协审等功能；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2、工程项目管理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从项目基本信息录入开始，实现招标管理、合同管理、造价控制管理、工程节点（进度）管理、工程变更管理、工程支付管理、工程竣工管理、工程决算管理、工程</w:t>
      </w:r>
      <w:r>
        <w:rPr>
          <w:rFonts w:hint="eastAsia" w:ascii="宋体" w:hAnsi="宋体" w:eastAsia="宋体" w:cs="宋体"/>
          <w:color w:val="auto"/>
          <w:sz w:val="21"/>
          <w:szCs w:val="21"/>
          <w:highlight w:val="none"/>
          <w:lang w:val="en-US" w:eastAsia="zh-CN"/>
        </w:rPr>
        <w:t>资料规范</w:t>
      </w:r>
      <w:r>
        <w:rPr>
          <w:rFonts w:hint="eastAsia" w:ascii="宋体" w:hAnsi="宋体" w:eastAsia="宋体" w:cs="宋体"/>
          <w:color w:val="auto"/>
          <w:sz w:val="21"/>
          <w:szCs w:val="21"/>
          <w:highlight w:val="none"/>
        </w:rPr>
        <w:t>管理信息化，实现网上会审会签、数据上传申报支付等功能。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3、财政结算、决算管理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根据原智慧管理系统预算、概算在线审核办理模式，开发财政局结算、决算在线办理流程，实现建设单位在线申请申报、财政局审核办理、协审单位协审全过程结、决算在线办理。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4、中介协审管理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中介协审子系统功能进行优化提升，实现对发改局、财政局交办的概算、预算、结算和决算评审项目进行办理，并对办理过程成果、结果进行上传系统提交给发改和财政审核管理人员，并提交自己的办理费用、查看履约考核成绩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5、数据统计、报表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数据统计分析形成管理决策分析平台，能对数据进行搜集、融合、挖掘和分析，将分析后的数据以动态、直观的多维报表、图形形式展现给决策层，为领导决策提供数据依据。项目决策分析平台包括建设单位决策平台及发改、财政决策平台，项目建设单位分析平台主要是整合单位各项数据具体包含项目总投资数、完成总投资、总项目数、年度总投资、年度投资计划、总合同、总合同额、年度投资完成情况、年度财务完成数、项目统计分析等决策需要的数据内容，并可根据对业务不同需求的分析和使用数据资源，自定义业务分析报表与视图，实现数据分析结果的随需查询、随需分析、随需展现和随需发布。根据各单位职能权限，各建设平台单位只能看到自己的数据分析，发改和财政部门则需要对全县所有建设项目按业务类型、单位分类等进行多维度分析，同时作为主管部门还需要对项目进行深度数据趋势挖掘，实现对项目投资、造价等数据异常进行提醒、预警，为全县项目的规范和效能提升提供数据支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移动</w:t>
      </w:r>
      <w:r>
        <w:rPr>
          <w:rFonts w:hint="eastAsia" w:ascii="宋体" w:hAnsi="宋体" w:eastAsia="宋体" w:cs="宋体"/>
          <w:color w:val="auto"/>
          <w:sz w:val="21"/>
          <w:szCs w:val="21"/>
          <w:highlight w:val="none"/>
          <w:lang w:val="en-US" w:eastAsia="zh-CN"/>
        </w:rPr>
        <w:t>浙政钉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充分利用移动互联的优势，把日常的审批任务、工作事项、信息查询功能整合到单位浙政钉平台，满足单位工程人员随时随地办公。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7、原有数据导入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对原智慧系统数据及其它有应用工程项目管理类系统的建设单位的系统数据，通过技术或人工手段导入到新开发的智慧平台，实现各单位对历史数据的查询和应用。</w:t>
      </w:r>
    </w:p>
    <w:p>
      <w:pPr>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outlineLvl w:val="1"/>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lang w:eastAsia="zh-CN"/>
        </w:rPr>
        <w:t>、系统功能要求</w:t>
      </w:r>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SA"/>
        </w:rPr>
        <w:t>（一）</w:t>
      </w:r>
      <w:r>
        <w:rPr>
          <w:rFonts w:hint="eastAsia" w:ascii="宋体" w:hAnsi="宋体" w:eastAsia="宋体" w:cs="宋体"/>
          <w:b/>
          <w:bCs/>
          <w:color w:val="auto"/>
          <w:kern w:val="0"/>
          <w:sz w:val="21"/>
          <w:szCs w:val="21"/>
          <w:highlight w:val="none"/>
          <w:lang w:val="en-US" w:eastAsia="zh-CN"/>
        </w:rPr>
        <w:t>智慧系统信创（造价管理）</w:t>
      </w:r>
    </w:p>
    <w:tbl>
      <w:tblPr>
        <w:tblStyle w:val="49"/>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098"/>
        <w:gridCol w:w="1617"/>
        <w:gridCol w:w="5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系统</w:t>
            </w:r>
          </w:p>
        </w:tc>
        <w:tc>
          <w:tcPr>
            <w:tcW w:w="1098" w:type="dxa"/>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子系统</w:t>
            </w:r>
          </w:p>
        </w:tc>
        <w:tc>
          <w:tcPr>
            <w:tcW w:w="1617" w:type="dxa"/>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模块</w:t>
            </w:r>
          </w:p>
        </w:tc>
        <w:tc>
          <w:tcPr>
            <w:tcW w:w="5477" w:type="dxa"/>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p>
        </w:tc>
        <w:tc>
          <w:tcPr>
            <w:tcW w:w="10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首页</w:t>
            </w: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造价总览</w:t>
            </w:r>
          </w:p>
        </w:tc>
        <w:tc>
          <w:tcPr>
            <w:tcW w:w="54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关键信息首页展示，包括待办事项、科室待办、已办事项及通知公告等。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p>
        </w:tc>
        <w:tc>
          <w:tcPr>
            <w:tcW w:w="109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协审平台</w:t>
            </w:r>
          </w:p>
        </w:tc>
        <w:tc>
          <w:tcPr>
            <w:tcW w:w="1617"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待办事项</w:t>
            </w:r>
          </w:p>
        </w:tc>
        <w:tc>
          <w:tcPr>
            <w:tcW w:w="54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对于建设单位提交的估、概、预、结、决算申报审核办理，内部审核后，提交给中介机构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p>
        </w:tc>
        <w:tc>
          <w:tcPr>
            <w:tcW w:w="10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617"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已办事项</w:t>
            </w:r>
          </w:p>
        </w:tc>
        <w:tc>
          <w:tcPr>
            <w:tcW w:w="54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对已经办理的事项汇总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p>
        </w:tc>
        <w:tc>
          <w:tcPr>
            <w:tcW w:w="10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617"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办结事项</w:t>
            </w:r>
          </w:p>
        </w:tc>
        <w:tc>
          <w:tcPr>
            <w:tcW w:w="54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对概、预、结、决办结事项汇总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p>
        </w:tc>
        <w:tc>
          <w:tcPr>
            <w:tcW w:w="10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617"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退件办理</w:t>
            </w:r>
          </w:p>
        </w:tc>
        <w:tc>
          <w:tcPr>
            <w:tcW w:w="54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对提交的退件事项办理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p>
        </w:tc>
        <w:tc>
          <w:tcPr>
            <w:tcW w:w="10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617"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合同生成</w:t>
            </w:r>
          </w:p>
        </w:tc>
        <w:tc>
          <w:tcPr>
            <w:tcW w:w="54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委托中介业务办理后自动生成双方合同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p>
        </w:tc>
        <w:tc>
          <w:tcPr>
            <w:tcW w:w="10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617"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费用结算</w:t>
            </w:r>
          </w:p>
        </w:tc>
        <w:tc>
          <w:tcPr>
            <w:tcW w:w="54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中介业务办理需要的费用小结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p>
        </w:tc>
        <w:tc>
          <w:tcPr>
            <w:tcW w:w="10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617"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履约管理</w:t>
            </w:r>
          </w:p>
        </w:tc>
        <w:tc>
          <w:tcPr>
            <w:tcW w:w="54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对中介单位业务履约情况进行履约考评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p>
        </w:tc>
        <w:tc>
          <w:tcPr>
            <w:tcW w:w="109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审批管理</w:t>
            </w:r>
          </w:p>
        </w:tc>
        <w:tc>
          <w:tcPr>
            <w:tcW w:w="1617"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估算审核</w:t>
            </w:r>
          </w:p>
        </w:tc>
        <w:tc>
          <w:tcPr>
            <w:tcW w:w="5477" w:type="dxa"/>
            <w:vMerge w:val="restart"/>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对所有估算、概算、预算、决算、结算进行整理汇总，便于查询和应用数据。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对备案的招标进行数据汇总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p>
        </w:tc>
        <w:tc>
          <w:tcPr>
            <w:tcW w:w="10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617"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概算审核</w:t>
            </w:r>
          </w:p>
        </w:tc>
        <w:tc>
          <w:tcPr>
            <w:tcW w:w="547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10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617"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预算审核</w:t>
            </w:r>
          </w:p>
        </w:tc>
        <w:tc>
          <w:tcPr>
            <w:tcW w:w="547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10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617"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招标价备案</w:t>
            </w:r>
          </w:p>
        </w:tc>
        <w:tc>
          <w:tcPr>
            <w:tcW w:w="547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10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617"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结算审核</w:t>
            </w:r>
          </w:p>
        </w:tc>
        <w:tc>
          <w:tcPr>
            <w:tcW w:w="547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10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617"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决算审核</w:t>
            </w:r>
          </w:p>
        </w:tc>
        <w:tc>
          <w:tcPr>
            <w:tcW w:w="547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10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617" w:type="dxa"/>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概算调整</w:t>
            </w:r>
          </w:p>
        </w:tc>
        <w:tc>
          <w:tcPr>
            <w:tcW w:w="5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概算调整查询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109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资料库</w:t>
            </w:r>
          </w:p>
        </w:tc>
        <w:tc>
          <w:tcPr>
            <w:tcW w:w="1617" w:type="dxa"/>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通知公告</w:t>
            </w:r>
          </w:p>
        </w:tc>
        <w:tc>
          <w:tcPr>
            <w:tcW w:w="5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发布县相关通知公告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10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617" w:type="dxa"/>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法律法规</w:t>
            </w:r>
          </w:p>
        </w:tc>
        <w:tc>
          <w:tcPr>
            <w:tcW w:w="5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相关关于造价、项目管理类法律法规、上级发布文件、宁海县发布文件，进行文件分亨学习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10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617" w:type="dxa"/>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上级文件</w:t>
            </w:r>
          </w:p>
        </w:tc>
        <w:tc>
          <w:tcPr>
            <w:tcW w:w="5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10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617" w:type="dxa"/>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中心文件</w:t>
            </w:r>
          </w:p>
        </w:tc>
        <w:tc>
          <w:tcPr>
            <w:tcW w:w="5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指标库</w:t>
            </w:r>
          </w:p>
        </w:tc>
        <w:tc>
          <w:tcPr>
            <w:tcW w:w="1617" w:type="dxa"/>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5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有关造价相关专业指标库资料共享</w:t>
            </w:r>
            <w:r>
              <w:rPr>
                <w:rFonts w:hint="eastAsia" w:ascii="宋体" w:hAnsi="宋体" w:cs="宋体"/>
                <w:b w:val="0"/>
                <w:bCs w:val="0"/>
                <w:color w:val="auto"/>
                <w:kern w:val="2"/>
                <w:sz w:val="21"/>
                <w:szCs w:val="21"/>
                <w:highlight w:val="none"/>
                <w:lang w:val="en-US" w:eastAsia="zh-CN" w:bidi="ar-SA"/>
              </w:rPr>
              <w:t>（包括但不限于典型案例分享等）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1098" w:type="dxa"/>
            <w:vMerge w:val="restart"/>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入围单位管理</w:t>
            </w:r>
          </w:p>
        </w:tc>
        <w:tc>
          <w:tcPr>
            <w:tcW w:w="1617" w:type="dxa"/>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送审</w:t>
            </w:r>
            <w:r>
              <w:rPr>
                <w:rFonts w:hint="eastAsia" w:ascii="宋体" w:hAnsi="宋体" w:eastAsia="宋体" w:cs="宋体"/>
                <w:b w:val="0"/>
                <w:bCs w:val="0"/>
                <w:color w:val="auto"/>
                <w:sz w:val="21"/>
                <w:szCs w:val="21"/>
                <w:highlight w:val="none"/>
                <w:lang w:val="en-US" w:eastAsia="zh-CN"/>
              </w:rPr>
              <w:t>单位管理</w:t>
            </w:r>
          </w:p>
        </w:tc>
        <w:tc>
          <w:tcPr>
            <w:tcW w:w="5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造价管理过程中送审单位管理，包括处理业务、产生合同、费用、履约进行集中管理</w:t>
            </w:r>
            <w:r>
              <w:rPr>
                <w:rFonts w:hint="eastAsia" w:ascii="宋体" w:hAnsi="宋体" w:cs="宋体"/>
                <w:b w:val="0"/>
                <w:bCs w:val="0"/>
                <w:color w:val="auto"/>
                <w:kern w:val="2"/>
                <w:sz w:val="21"/>
                <w:szCs w:val="21"/>
                <w:highlight w:val="none"/>
                <w:lang w:val="en-US" w:eastAsia="zh-CN" w:bidi="ar-SA"/>
              </w:rPr>
              <w:t>，动态考核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1098" w:type="dxa"/>
            <w:vMerge w:val="continue"/>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617" w:type="dxa"/>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协审单位库管理</w:t>
            </w:r>
          </w:p>
        </w:tc>
        <w:tc>
          <w:tcPr>
            <w:tcW w:w="5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造价管理过程中协审单位管理，包括处理业务、产生合同、费用、履约进行集中管理</w:t>
            </w:r>
            <w:r>
              <w:rPr>
                <w:rFonts w:hint="eastAsia" w:ascii="宋体" w:hAnsi="宋体" w:cs="宋体"/>
                <w:b w:val="0"/>
                <w:bCs w:val="0"/>
                <w:color w:val="auto"/>
                <w:kern w:val="2"/>
                <w:sz w:val="21"/>
                <w:szCs w:val="21"/>
                <w:highlight w:val="none"/>
                <w:lang w:val="en-US" w:eastAsia="zh-CN" w:bidi="ar-SA"/>
              </w:rPr>
              <w:t>，动态考核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1098" w:type="dxa"/>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项目督查</w:t>
            </w:r>
          </w:p>
        </w:tc>
        <w:tc>
          <w:tcPr>
            <w:tcW w:w="1617" w:type="dxa"/>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5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业务单位日常对项目督查情况记录</w:t>
            </w:r>
          </w:p>
        </w:tc>
      </w:tr>
    </w:tbl>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SA"/>
        </w:rPr>
        <w:t>（二）</w:t>
      </w:r>
      <w:r>
        <w:rPr>
          <w:rFonts w:hint="eastAsia" w:ascii="宋体" w:hAnsi="宋体" w:eastAsia="宋体" w:cs="宋体"/>
          <w:b/>
          <w:bCs/>
          <w:color w:val="auto"/>
          <w:kern w:val="0"/>
          <w:sz w:val="21"/>
          <w:szCs w:val="21"/>
          <w:highlight w:val="none"/>
          <w:lang w:val="en-US" w:eastAsia="zh-CN"/>
        </w:rPr>
        <w:t>工程</w:t>
      </w:r>
      <w:r>
        <w:rPr>
          <w:rFonts w:hint="eastAsia" w:ascii="宋体" w:hAnsi="宋体" w:eastAsia="宋体" w:cs="宋体"/>
          <w:b/>
          <w:bCs/>
          <w:color w:val="auto"/>
          <w:kern w:val="0"/>
          <w:sz w:val="21"/>
          <w:szCs w:val="21"/>
          <w:highlight w:val="none"/>
        </w:rPr>
        <w:t>项目管理</w:t>
      </w:r>
    </w:p>
    <w:tbl>
      <w:tblPr>
        <w:tblStyle w:val="49"/>
        <w:tblpPr w:leftFromText="180" w:rightFromText="180" w:vertAnchor="text" w:horzAnchor="page" w:tblpXSpec="center" w:tblpY="308"/>
        <w:tblOverlap w:val="never"/>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296"/>
        <w:gridCol w:w="1079"/>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系统</w:t>
            </w:r>
          </w:p>
        </w:tc>
        <w:tc>
          <w:tcPr>
            <w:tcW w:w="1296" w:type="dxa"/>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子系统</w:t>
            </w:r>
          </w:p>
        </w:tc>
        <w:tc>
          <w:tcPr>
            <w:tcW w:w="1079" w:type="dxa"/>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模块</w:t>
            </w:r>
          </w:p>
        </w:tc>
        <w:tc>
          <w:tcPr>
            <w:tcW w:w="5997" w:type="dxa"/>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工程项目管理</w:t>
            </w:r>
          </w:p>
        </w:tc>
        <w:tc>
          <w:tcPr>
            <w:tcW w:w="12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项目库</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基本信息</w:t>
            </w:r>
          </w:p>
        </w:tc>
        <w:tc>
          <w:tcPr>
            <w:tcW w:w="5997" w:type="dxa"/>
            <w:vAlign w:val="center"/>
          </w:tcPr>
          <w:p>
            <w:pPr>
              <w:keepNext w:val="0"/>
              <w:keepLines w:val="0"/>
              <w:pageBreakBefore w:val="0"/>
              <w:widowControl w:val="0"/>
              <w:tabs>
                <w:tab w:val="left" w:pos="41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创建新项目，完善项目基本系统，组建项目团队，项目目标等功能。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预备项目</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列出所有的预备项目，同时可以有单个项目的所有功能。</w:t>
            </w:r>
          </w:p>
          <w:p>
            <w:pPr>
              <w:keepNext w:val="0"/>
              <w:keepLines w:val="0"/>
              <w:pageBreakBefore w:val="0"/>
              <w:widowControl w:val="0"/>
              <w:tabs>
                <w:tab w:val="left" w:pos="399"/>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字段：项目名称、建设类型、建设规模及内容、工程类型、业主单位、起止年、形象进度，可以转成正式项目。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前期项目</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列出正在做前期工作的项目，主要有以下功能需求：</w:t>
            </w:r>
          </w:p>
          <w:p>
            <w:pPr>
              <w:keepNext w:val="0"/>
              <w:keepLines w:val="0"/>
              <w:pageBreakBefore w:val="0"/>
              <w:widowControl w:val="0"/>
              <w:tabs>
                <w:tab w:val="left" w:pos="399"/>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字段：项目名称、建设类型、建设规模及内容、工程类型、业主单位、形象进度.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在建项目</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列出施工阶段项目，主要功能实现形象进度、年度计划等信息。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竣工项目</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列出所有已经竣工的项目，包括已经决算和未决算的项目。</w:t>
            </w:r>
          </w:p>
          <w:p>
            <w:pPr>
              <w:keepNext w:val="0"/>
              <w:keepLines w:val="0"/>
              <w:pageBreakBefore w:val="0"/>
              <w:widowControl w:val="0"/>
              <w:tabs>
                <w:tab w:val="left" w:pos="399"/>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列出竣工日期、总投资金额的汇总、同样可以查询合同、标段、项目月报。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决算项目</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已决算项目有：项目名称、建设规模及内容、概算总投资、核定总投资、概算节余、固定资产、交付时间、备注等信息。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进度管理</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进度设置</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整个项目分为前期、施工、竣工三阶段，项目负责人可以根据项目性质、工程属性进行分类导入节点计划，分配节点办理人员。节点的状态主要分为：计划时间、无需办理、完成、待定。可由管理员来设置节点名称，节点排序分类，节点的名称，同时可以附加办理帮助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节点导入：节点必须有工程负责人来设置，可添加节点开始、完成时间，对每个关键节点计划添加计划开始时间、实际开始时间，以点到线，从节点到节段，同时可以自动生成各阶段的横道图、甘特图，方便项目管理人员直观地了解项目动态。项目协调小组可以修改节点状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点分配功能：项目责任人在导入计划时，可对节点实行分配到人，如标底编制可指定给造价人员、征地拆迁可指定给前期人员等，被指定人员则负责该节点的实际开始和实际完成时间的录入、超时原因说明、相关资料上传及收到有关该节点的提醒与帮助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点办理提醒与帮助：对快到期的节点，提前7天提醒经办人抓紧办理，并给出办理帮助信息。方便新人快速熟悉办事流程。对超时节点在亮红灯的同时，强制要求录入超时原因，必要时上传相应证明材料、情况说明等，这些作为年度计划调整、绩效考核说明时的基础资料。</w:t>
            </w:r>
          </w:p>
          <w:p>
            <w:pPr>
              <w:keepNext w:val="0"/>
              <w:keepLines w:val="0"/>
              <w:pageBreakBefore w:val="0"/>
              <w:widowControl w:val="0"/>
              <w:tabs>
                <w:tab w:val="left" w:pos="41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3、计划锁定与解锁：计划节点一经确定，不能随意修改，对因客观原因的确需修改的节点计划，经批准后，由系统管理员解锁，并要求项目责任人在指定日期内修改，并上传计划修改的情况说明。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点状图</w:t>
            </w:r>
          </w:p>
        </w:tc>
        <w:tc>
          <w:tcPr>
            <w:tcW w:w="5997" w:type="dxa"/>
            <w:vAlign w:val="center"/>
          </w:tcPr>
          <w:p>
            <w:pPr>
              <w:keepNext w:val="0"/>
              <w:keepLines w:val="0"/>
              <w:pageBreakBefore w:val="0"/>
              <w:widowControl w:val="0"/>
              <w:tabs>
                <w:tab w:val="left" w:pos="41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以项目里程碑点状模式展示项目的阶段任务进展状态，是否完成、是否启动、对超时计划采用亮红灯的方式，并开展提醒。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龙流程图</w:t>
            </w:r>
          </w:p>
        </w:tc>
        <w:tc>
          <w:tcPr>
            <w:tcW w:w="5997" w:type="dxa"/>
            <w:vAlign w:val="center"/>
          </w:tcPr>
          <w:p>
            <w:pPr>
              <w:keepNext w:val="0"/>
              <w:keepLines w:val="0"/>
              <w:pageBreakBefore w:val="0"/>
              <w:widowControl w:val="0"/>
              <w:tabs>
                <w:tab w:val="left" w:pos="41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以项目流程图方式，体现进度之间的前后关系和必要关系，同时以不同的颜色体现状态进展。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列表视图</w:t>
            </w:r>
          </w:p>
        </w:tc>
        <w:tc>
          <w:tcPr>
            <w:tcW w:w="5997" w:type="dxa"/>
            <w:vAlign w:val="center"/>
          </w:tcPr>
          <w:p>
            <w:pPr>
              <w:keepNext w:val="0"/>
              <w:keepLines w:val="0"/>
              <w:pageBreakBefore w:val="0"/>
              <w:widowControl w:val="0"/>
              <w:tabs>
                <w:tab w:val="left" w:pos="41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以列表方式展示所有的进度状态，展示具体计划开始时间、计划结束时间、实际开始时间、实际结束时间，当前状态，责任人等信息。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招标采购</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招标管理</w:t>
            </w:r>
          </w:p>
        </w:tc>
        <w:tc>
          <w:tcPr>
            <w:tcW w:w="5997" w:type="dxa"/>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工程建设招投标管理与政府采购要求，对项目中需要进入招标程序的发包进行管理，围绕招标规划、项目预算等经济指标，结合招标代理单位的招标文件，进行招标进度的控制，招标文件的审批把关，最终明确采购中标下浮率、中标单位等信息。</w:t>
            </w:r>
          </w:p>
          <w:p>
            <w:pPr>
              <w:keepNext w:val="0"/>
              <w:keepLines w:val="0"/>
              <w:pageBreakBefore w:val="0"/>
              <w:widowControl w:val="0"/>
              <w:tabs>
                <w:tab w:val="left" w:pos="41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●发包方式：直接、公开招标、邀请招标、竞争性谈判、单一来源采购、协议采购;</w:t>
            </w:r>
          </w:p>
          <w:p>
            <w:pPr>
              <w:keepNext w:val="0"/>
              <w:keepLines w:val="0"/>
              <w:pageBreakBefore w:val="0"/>
              <w:widowControl w:val="0"/>
              <w:tabs>
                <w:tab w:val="left" w:pos="41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●招标文件的会审会签功能，采用无插件模式审批流程。</w:t>
            </w:r>
          </w:p>
          <w:p>
            <w:pPr>
              <w:keepNext w:val="0"/>
              <w:keepLines w:val="0"/>
              <w:pageBreakBefore w:val="0"/>
              <w:widowControl w:val="0"/>
              <w:tabs>
                <w:tab w:val="left" w:pos="41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●实现招标前的进度管理，招标后的结果管理。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合同管理</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合同信息</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需要把与项目相关的合同进入系统，主要详细参数有:甲方、乙丙、合同签订日期、合同履行迄止日期、合同价格、结算价、审批电子合同稿、正式合同PDF文件。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补充合同</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如果需要签订补充合同，在实际操作中，是需要让补充合同附在主合同后面，所以要求补充合同的输入。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工程变更</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以下要求：变更类型、金额增加或减少、上报估价；申请会签表、打印管理会签表、相关会议纪要、一般变更或重大变更、变更原因，自动汇总本项目核增与核减金额、合同变更率等；支持多方发起申请；支持变更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现金或保函的方式体现，支持单个保函的待缴--已缴--待还--已还四种状态。体现缴纳时间、比例、缴纳金额、类型、计划退回时间、实际退回时间、退回金额等信息。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支付审批</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集合工作流实现资金的审批，自动读取系统中合同基本信息、历史支付金额、剩余未支付额、是否有资金计划等信息。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投资管理</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年度计划</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依托行业主管部门年度考核计划，对项目年度计划（年投资、年财务投资、考核年份、考核形象进度）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进度月报</w:t>
            </w:r>
          </w:p>
        </w:tc>
        <w:tc>
          <w:tcPr>
            <w:tcW w:w="5997" w:type="dxa"/>
            <w:vAlign w:val="center"/>
          </w:tcPr>
          <w:p>
            <w:pPr>
              <w:keepNext w:val="0"/>
              <w:keepLines w:val="0"/>
              <w:pageBreakBefore w:val="0"/>
              <w:widowControl w:val="0"/>
              <w:tabs>
                <w:tab w:val="left" w:pos="2115"/>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以月度为频率形成项目投资报告，可以生成项目月报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主要有：进度内容、存在问题、本月完成投资、下月计划、下月计划投资。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资料档案</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过程资料</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主要用来体现工程的过程材料，如工程简介、行政资料、图片、图纸、台账类的文件，资料分类：工程概况、工程鸟瞰图、开工图、应急预案等。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档案归档</w:t>
            </w:r>
          </w:p>
        </w:tc>
        <w:tc>
          <w:tcPr>
            <w:tcW w:w="5997" w:type="dxa"/>
            <w:vAlign w:val="center"/>
          </w:tcPr>
          <w:p>
            <w:pPr>
              <w:keepNext w:val="0"/>
              <w:keepLines w:val="0"/>
              <w:pageBreakBefore w:val="0"/>
              <w:widowControl w:val="0"/>
              <w:tabs>
                <w:tab w:val="left" w:pos="399"/>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依托建设工程资料归档目录，完成各类档案的归类归类。形成A/B/C/D/E类档案类型。</w:t>
            </w:r>
          </w:p>
          <w:p>
            <w:pPr>
              <w:keepNext w:val="0"/>
              <w:keepLines w:val="0"/>
              <w:pageBreakBefore w:val="0"/>
              <w:widowControl w:val="0"/>
              <w:tabs>
                <w:tab w:val="left" w:pos="399"/>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档案可以从已有过程中直接拉取，也可以手动上传。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工作流</w:t>
            </w:r>
          </w:p>
        </w:tc>
        <w:tc>
          <w:tcPr>
            <w:tcW w:w="12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工作流</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流程配置</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数据表设计</w:t>
            </w:r>
          </w:p>
          <w:p>
            <w:pPr>
              <w:keepNext w:val="0"/>
              <w:keepLines w:val="0"/>
              <w:pageBreakBefore w:val="0"/>
              <w:widowControl w:val="0"/>
              <w:kinsoku/>
              <w:wordWrap/>
              <w:overflowPunct/>
              <w:topLinePunct w:val="0"/>
              <w:autoSpaceDE/>
              <w:autoSpaceDN/>
              <w:bidi w:val="0"/>
              <w:adjustRightInd/>
              <w:snapToGrid/>
              <w:spacing w:line="240" w:lineRule="auto"/>
              <w:ind w:left="42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实现实体表的字段设计、类型关系、父子表关联。</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表单设计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前置条件：流程定制模块已经打开。</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后置条件：被选择的流程模型中的内容被展开。</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步骤序列：</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打开流程模型列表或新建流程模型文件。</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选择流程模型文件名称。</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展开流程模型中的设计内容。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流程设计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前置条件：某个流程模型已经被打开，并且被修改。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后置条件：修改过的流程模型存到了数据库中。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步骤序列：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1．保存流程模型到物理文件中。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流程发布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前置条件：拥有设计完成并可供发布的流程模型。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后置条件：流程模型被发布并可通过客户端执行。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步骤序列：</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用户打开流程模型列表。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用户选择发布的包或流程。</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用户选择发布的运行服务器。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用户形成发布版本。</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用户发布流程。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发起审批</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用户根据查看权限范围内可采用的流程，直接根据预设的流程发起审批。</w:t>
            </w:r>
            <w:r>
              <w:rPr>
                <w:rFonts w:hint="eastAsia" w:ascii="宋体" w:hAnsi="宋体" w:eastAsia="宋体" w:cs="宋体"/>
                <w:color w:val="auto"/>
                <w:sz w:val="21"/>
                <w:szCs w:val="21"/>
                <w:highlight w:val="none"/>
                <w:lang w:val="en-US" w:eastAsia="zh-CN"/>
              </w:rPr>
              <w:t>其中包括各单位招标、合同、支付、变更等内部审批流程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待办事项</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本人待审批的事项，支持事项的状态查看、过程监控、退回等功能。待办事务支持批处理。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流程实例</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监控全部的流程执行近况，用于内部管理员和流程控制人员的操作界面。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项目申报</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概算、预算、结算、决算在线申报、招标控制价在线备案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历史数据</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历史审批数据、附件资料查询</w:t>
            </w:r>
          </w:p>
        </w:tc>
      </w:tr>
    </w:tbl>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kern w:val="0"/>
          <w:sz w:val="21"/>
          <w:szCs w:val="21"/>
          <w:highlight w:val="none"/>
          <w:lang w:val="en-US" w:eastAsia="zh-CN" w:bidi="ar-SA"/>
        </w:rPr>
      </w:pPr>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rPr>
        <w:t>财政结算、决算</w:t>
      </w:r>
      <w:r>
        <w:rPr>
          <w:rFonts w:hint="eastAsia" w:ascii="宋体" w:hAnsi="宋体" w:eastAsia="宋体" w:cs="宋体"/>
          <w:b/>
          <w:bCs/>
          <w:color w:val="auto"/>
          <w:kern w:val="0"/>
          <w:sz w:val="21"/>
          <w:szCs w:val="21"/>
          <w:highlight w:val="none"/>
          <w:lang w:val="en-US" w:eastAsia="zh-CN"/>
        </w:rPr>
        <w:t>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同智慧平台管理模式和功能一致，结算、决算建设单位通过工程项目管理系统在线申报致财政局业务科室，财政局业务科室审核并提交到中介单位，中介单位通过造价协审平台进行业务办理，并把最终结果进行反馈。</w:t>
      </w:r>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SA"/>
        </w:rPr>
        <w:t>（四）</w:t>
      </w:r>
      <w:r>
        <w:rPr>
          <w:rFonts w:hint="eastAsia" w:ascii="宋体" w:hAnsi="宋体" w:eastAsia="宋体" w:cs="宋体"/>
          <w:b/>
          <w:bCs/>
          <w:color w:val="auto"/>
          <w:kern w:val="0"/>
          <w:sz w:val="21"/>
          <w:szCs w:val="21"/>
          <w:highlight w:val="none"/>
          <w:lang w:val="en-US" w:eastAsia="zh-CN"/>
        </w:rPr>
        <w:t>中介造价协审</w:t>
      </w:r>
    </w:p>
    <w:tbl>
      <w:tblPr>
        <w:tblStyle w:val="49"/>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729"/>
        <w:gridCol w:w="5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35" w:type="dxa"/>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系统</w:t>
            </w:r>
          </w:p>
        </w:tc>
        <w:tc>
          <w:tcPr>
            <w:tcW w:w="1729" w:type="dxa"/>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模块</w:t>
            </w:r>
          </w:p>
        </w:tc>
        <w:tc>
          <w:tcPr>
            <w:tcW w:w="5974" w:type="dxa"/>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首页</w:t>
            </w:r>
          </w:p>
        </w:tc>
        <w:tc>
          <w:tcPr>
            <w:tcW w:w="172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p>
        </w:tc>
        <w:tc>
          <w:tcPr>
            <w:tcW w:w="59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3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中介造价协审</w:t>
            </w:r>
          </w:p>
        </w:tc>
        <w:tc>
          <w:tcPr>
            <w:tcW w:w="1729"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待办事项</w:t>
            </w:r>
          </w:p>
        </w:tc>
        <w:tc>
          <w:tcPr>
            <w:tcW w:w="59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对业务单位交办的业务进行业务协办，并传回办理结果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729"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已办事项</w:t>
            </w:r>
          </w:p>
        </w:tc>
        <w:tc>
          <w:tcPr>
            <w:tcW w:w="59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已经办理的业务数据汇总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729"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退件查询</w:t>
            </w:r>
          </w:p>
        </w:tc>
        <w:tc>
          <w:tcPr>
            <w:tcW w:w="59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对退回的业务数据查询办理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729"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项目汇总</w:t>
            </w:r>
          </w:p>
        </w:tc>
        <w:tc>
          <w:tcPr>
            <w:tcW w:w="59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对已经过的项目数据进行汇总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729"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资料管理</w:t>
            </w:r>
          </w:p>
        </w:tc>
        <w:tc>
          <w:tcPr>
            <w:tcW w:w="59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业务处理过程附件、资料管理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729"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费用结算</w:t>
            </w:r>
          </w:p>
        </w:tc>
        <w:tc>
          <w:tcPr>
            <w:tcW w:w="59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提交委托业务办理费用结算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729"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履约打分</w:t>
            </w:r>
          </w:p>
        </w:tc>
        <w:tc>
          <w:tcPr>
            <w:tcW w:w="59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履约情况自评打分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729"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送审履约汇总</w:t>
            </w:r>
          </w:p>
        </w:tc>
        <w:tc>
          <w:tcPr>
            <w:tcW w:w="59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送审单位履约结果汇总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729"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协审履约汇总</w:t>
            </w:r>
          </w:p>
        </w:tc>
        <w:tc>
          <w:tcPr>
            <w:tcW w:w="59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协审</w:t>
            </w:r>
            <w:r>
              <w:rPr>
                <w:rFonts w:hint="eastAsia" w:ascii="宋体" w:hAnsi="宋体" w:eastAsia="宋体" w:cs="宋体"/>
                <w:b w:val="0"/>
                <w:bCs w:val="0"/>
                <w:color w:val="auto"/>
                <w:sz w:val="21"/>
                <w:szCs w:val="21"/>
                <w:highlight w:val="none"/>
                <w:lang w:val="en-US" w:eastAsia="zh-CN"/>
              </w:rPr>
              <w:t>单位履约结果汇总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729" w:type="dxa"/>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履约记录</w:t>
            </w:r>
          </w:p>
        </w:tc>
        <w:tc>
          <w:tcPr>
            <w:tcW w:w="59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履约记录查询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729" w:type="dxa"/>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合同管理</w:t>
            </w:r>
          </w:p>
        </w:tc>
        <w:tc>
          <w:tcPr>
            <w:tcW w:w="59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协审双方合同生成、查看、附件上传等管理</w:t>
            </w:r>
          </w:p>
        </w:tc>
      </w:tr>
    </w:tbl>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b/>
          <w:bCs/>
          <w:color w:val="auto"/>
          <w:kern w:val="0"/>
          <w:sz w:val="21"/>
          <w:szCs w:val="21"/>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SA"/>
        </w:rPr>
        <w:t>（五）</w:t>
      </w:r>
      <w:r>
        <w:rPr>
          <w:rFonts w:hint="eastAsia" w:ascii="宋体" w:hAnsi="宋体" w:eastAsia="宋体" w:cs="宋体"/>
          <w:b/>
          <w:bCs/>
          <w:color w:val="auto"/>
          <w:kern w:val="0"/>
          <w:sz w:val="21"/>
          <w:szCs w:val="21"/>
          <w:highlight w:val="none"/>
          <w:lang w:val="en-US" w:eastAsia="zh-CN"/>
        </w:rPr>
        <w:t>数据统计和报表</w:t>
      </w:r>
    </w:p>
    <w:tbl>
      <w:tblPr>
        <w:tblStyle w:val="49"/>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098"/>
        <w:gridCol w:w="1717"/>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系统</w:t>
            </w:r>
          </w:p>
        </w:tc>
        <w:tc>
          <w:tcPr>
            <w:tcW w:w="1098" w:type="dxa"/>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子系统</w:t>
            </w:r>
          </w:p>
        </w:tc>
        <w:tc>
          <w:tcPr>
            <w:tcW w:w="1717" w:type="dxa"/>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模块</w:t>
            </w:r>
          </w:p>
        </w:tc>
        <w:tc>
          <w:tcPr>
            <w:tcW w:w="5403" w:type="dxa"/>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建设单位项目决策和台账</w:t>
            </w:r>
          </w:p>
        </w:tc>
        <w:tc>
          <w:tcPr>
            <w:tcW w:w="109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决策分析</w:t>
            </w:r>
          </w:p>
        </w:tc>
        <w:tc>
          <w:tcPr>
            <w:tcW w:w="17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决策平台</w:t>
            </w:r>
          </w:p>
        </w:tc>
        <w:tc>
          <w:tcPr>
            <w:tcW w:w="54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项目数、计划和实际投资数、计划和实际财务数、合同数和总合同额等系统项目统计数据。同时对项目阶段等进行可视化图形分析、对投资数和合同额进行年度、月度柱形图分析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0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7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全景地图</w:t>
            </w:r>
          </w:p>
        </w:tc>
        <w:tc>
          <w:tcPr>
            <w:tcW w:w="54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展示项目在卫星地图中的位置，可通过地图直接进行项目进行查看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0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7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动态资金分析</w:t>
            </w:r>
          </w:p>
        </w:tc>
        <w:tc>
          <w:tcPr>
            <w:tcW w:w="54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项目的总投资及实现投资情况、概算总额和结余、招标标底和中标价、合同总额、已支和未支、变更、保证金、保函等项目总资金数据汇总比对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0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7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财务支付统计</w:t>
            </w:r>
          </w:p>
        </w:tc>
        <w:tc>
          <w:tcPr>
            <w:tcW w:w="54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项目财务总支付金额列表及按年度、月份总支付金额图表分析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09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台账</w:t>
            </w:r>
          </w:p>
        </w:tc>
        <w:tc>
          <w:tcPr>
            <w:tcW w:w="17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投资月报</w:t>
            </w:r>
          </w:p>
        </w:tc>
        <w:tc>
          <w:tcPr>
            <w:tcW w:w="54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按照投资月报把本单位所有计划内项目生成投资报表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支持可导出，并且自动去除连接、加粗、数字格式等格式。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0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7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节点报表</w:t>
            </w:r>
          </w:p>
        </w:tc>
        <w:tc>
          <w:tcPr>
            <w:tcW w:w="54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根据项目中进度管理模块，读取所有项目进度，主要以前期项目为主，还未开工的项目汇总列表中。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0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7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合同台账</w:t>
            </w:r>
          </w:p>
        </w:tc>
        <w:tc>
          <w:tcPr>
            <w:tcW w:w="54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按照项目中合同管理模块，读取所有项目合同，展开查询分析功能。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0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7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变更台账</w:t>
            </w:r>
          </w:p>
        </w:tc>
        <w:tc>
          <w:tcPr>
            <w:tcW w:w="54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按照项目中变更管理模块，列出所有项目的联系单记录，查看变更状态，审批情况等状态。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0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p>
        </w:tc>
        <w:tc>
          <w:tcPr>
            <w:tcW w:w="17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支付台账</w:t>
            </w:r>
          </w:p>
        </w:tc>
        <w:tc>
          <w:tcPr>
            <w:tcW w:w="54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按照项目中资金支付模块，可以查询出某段时间内的支付情况，可以单个条件，也可以多个条件复合查询，导出支付统计情况，并且以图表模式分析。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业务部门统计报表和分析</w:t>
            </w:r>
          </w:p>
        </w:tc>
        <w:tc>
          <w:tcPr>
            <w:tcW w:w="1098" w:type="dxa"/>
            <w:vMerge w:val="restart"/>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项目汇总</w:t>
            </w:r>
          </w:p>
        </w:tc>
        <w:tc>
          <w:tcPr>
            <w:tcW w:w="1717" w:type="dxa"/>
            <w:shd w:val="clear" w:color="auto" w:fill="auto"/>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总汇总表</w:t>
            </w:r>
          </w:p>
        </w:tc>
        <w:tc>
          <w:tcPr>
            <w:tcW w:w="54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按照项目名称、单位，汇总所有项目送审报表，包括送审造价机构选择方式、审核单位、编制单位、咨询服务费、核增核减数据等。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0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717" w:type="dxa"/>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概算汇总</w:t>
            </w:r>
          </w:p>
        </w:tc>
        <w:tc>
          <w:tcPr>
            <w:tcW w:w="54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所有概算数据汇总表，包括项目名称、送审数据。审核、编制单位等。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0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717" w:type="dxa"/>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概算调整汇总</w:t>
            </w:r>
          </w:p>
        </w:tc>
        <w:tc>
          <w:tcPr>
            <w:tcW w:w="54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所有概算调整数据汇总表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0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717" w:type="dxa"/>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预算调整汇总</w:t>
            </w:r>
          </w:p>
        </w:tc>
        <w:tc>
          <w:tcPr>
            <w:tcW w:w="54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所有预算算数据汇总表，包括项目名称、送审数据、审核和编制单位等。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0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717" w:type="dxa"/>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招标备案汇总</w:t>
            </w:r>
          </w:p>
        </w:tc>
        <w:tc>
          <w:tcPr>
            <w:tcW w:w="54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所有招标数据备案汇总表，包括项目名称、建设单位、总投资、建安费用、招标控制价、编制单位等。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09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综合预警</w:t>
            </w:r>
          </w:p>
        </w:tc>
        <w:tc>
          <w:tcPr>
            <w:tcW w:w="1717" w:type="dxa"/>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前期预警</w:t>
            </w:r>
          </w:p>
        </w:tc>
        <w:tc>
          <w:tcPr>
            <w:tcW w:w="54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项目前期重要节点异常情况预警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0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717" w:type="dxa"/>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施工预警</w:t>
            </w:r>
          </w:p>
        </w:tc>
        <w:tc>
          <w:tcPr>
            <w:tcW w:w="54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施工过程关键节点及数据异常预警，包括超计划开工预警、投资进度滞后预警、重大变更及超概预警、超计划竣工时间预警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0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717" w:type="dxa"/>
            <w:vAlign w:val="center"/>
          </w:tcPr>
          <w:p>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资金预警</w:t>
            </w:r>
          </w:p>
        </w:tc>
        <w:tc>
          <w:tcPr>
            <w:tcW w:w="54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结算、决算申报过程超概算预警</w:t>
            </w:r>
          </w:p>
        </w:tc>
      </w:tr>
    </w:tbl>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kern w:val="0"/>
          <w:sz w:val="21"/>
          <w:szCs w:val="21"/>
          <w:highlight w:val="none"/>
          <w:lang w:val="en-US" w:eastAsia="zh-CN" w:bidi="ar-SA"/>
        </w:rPr>
      </w:pPr>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SA"/>
        </w:rPr>
        <w:t>（六）</w:t>
      </w:r>
      <w:r>
        <w:rPr>
          <w:rFonts w:hint="eastAsia" w:ascii="宋体" w:hAnsi="宋体" w:eastAsia="宋体" w:cs="宋体"/>
          <w:b/>
          <w:bCs/>
          <w:color w:val="auto"/>
          <w:kern w:val="0"/>
          <w:sz w:val="21"/>
          <w:szCs w:val="21"/>
          <w:highlight w:val="none"/>
        </w:rPr>
        <w:t>移动</w:t>
      </w:r>
      <w:r>
        <w:rPr>
          <w:rFonts w:hint="eastAsia" w:ascii="宋体" w:hAnsi="宋体" w:eastAsia="宋体" w:cs="宋体"/>
          <w:b/>
          <w:bCs/>
          <w:color w:val="auto"/>
          <w:kern w:val="0"/>
          <w:sz w:val="21"/>
          <w:szCs w:val="21"/>
          <w:highlight w:val="none"/>
          <w:lang w:val="en-US" w:eastAsia="zh-CN"/>
        </w:rPr>
        <w:t>浙政钉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提供基于智能手机操作系统，实现在单位浙政钉平台，自定义查询工程项目</w:t>
      </w:r>
      <w:r>
        <w:rPr>
          <w:rFonts w:hint="eastAsia" w:ascii="宋体" w:hAnsi="宋体" w:eastAsia="宋体" w:cs="宋体"/>
          <w:color w:val="auto"/>
          <w:sz w:val="21"/>
          <w:szCs w:val="21"/>
          <w:highlight w:val="none"/>
          <w:lang w:val="en-US" w:eastAsia="zh-CN"/>
        </w:rPr>
        <w:t>基本信息、节点进度、招标、合同、投资、变更、资金支付、资料等</w:t>
      </w:r>
      <w:r>
        <w:rPr>
          <w:rFonts w:hint="eastAsia" w:ascii="宋体" w:hAnsi="宋体" w:eastAsia="宋体" w:cs="宋体"/>
          <w:color w:val="auto"/>
          <w:sz w:val="21"/>
          <w:szCs w:val="21"/>
          <w:highlight w:val="none"/>
        </w:rPr>
        <w:t>各个阶段数据功能、实现在线</w:t>
      </w:r>
      <w:r>
        <w:rPr>
          <w:rFonts w:hint="eastAsia" w:ascii="宋体" w:hAnsi="宋体" w:eastAsia="宋体" w:cs="宋体"/>
          <w:color w:val="auto"/>
          <w:sz w:val="21"/>
          <w:szCs w:val="21"/>
          <w:highlight w:val="none"/>
          <w:lang w:val="en-US" w:eastAsia="zh-CN"/>
        </w:rPr>
        <w:t>建设单位招标、合同、支付、变更内部审批及概、预、结、决在线</w:t>
      </w:r>
      <w:r>
        <w:rPr>
          <w:rFonts w:hint="eastAsia" w:ascii="宋体" w:hAnsi="宋体" w:eastAsia="宋体" w:cs="宋体"/>
          <w:color w:val="auto"/>
          <w:sz w:val="21"/>
          <w:szCs w:val="21"/>
          <w:highlight w:val="none"/>
        </w:rPr>
        <w:t>审批功能、待办事项提醒、报表查看等基本功能。</w:t>
      </w:r>
    </w:p>
    <w:p>
      <w:pPr>
        <w:keepNext/>
        <w:keepLines/>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四、</w:t>
      </w:r>
      <w:r>
        <w:rPr>
          <w:rFonts w:hint="eastAsia" w:ascii="宋体" w:hAnsi="宋体" w:eastAsia="宋体" w:cs="宋体"/>
          <w:b/>
          <w:bCs/>
          <w:color w:val="auto"/>
          <w:kern w:val="0"/>
          <w:sz w:val="21"/>
          <w:szCs w:val="21"/>
          <w:highlight w:val="none"/>
          <w:lang w:val="en-US" w:eastAsia="zh-CN"/>
        </w:rPr>
        <w:t>硬件要求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基于信创的要求，提供服务器相关软件，根据宁波信创云服务器要求选择。</w:t>
      </w:r>
    </w:p>
    <w:tbl>
      <w:tblPr>
        <w:tblStyle w:val="299"/>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476"/>
        <w:gridCol w:w="1782"/>
        <w:gridCol w:w="3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pStyle w:val="296"/>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76" w:type="dxa"/>
            <w:vAlign w:val="center"/>
          </w:tcPr>
          <w:p>
            <w:pPr>
              <w:pStyle w:val="296"/>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应用软件</w:t>
            </w:r>
          </w:p>
        </w:tc>
        <w:tc>
          <w:tcPr>
            <w:tcW w:w="1782" w:type="dxa"/>
            <w:vAlign w:val="center"/>
          </w:tcPr>
          <w:p>
            <w:pPr>
              <w:pStyle w:val="296"/>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数量</w:t>
            </w:r>
          </w:p>
        </w:tc>
        <w:tc>
          <w:tcPr>
            <w:tcW w:w="3813" w:type="dxa"/>
            <w:vAlign w:val="center"/>
          </w:tcPr>
          <w:p>
            <w:pPr>
              <w:pStyle w:val="296"/>
              <w:keepNext w:val="0"/>
              <w:keepLines w:val="0"/>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pStyle w:val="296"/>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76" w:type="dxa"/>
            <w:vAlign w:val="center"/>
          </w:tcPr>
          <w:p>
            <w:pPr>
              <w:pStyle w:val="296"/>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操作系统</w:t>
            </w:r>
          </w:p>
        </w:tc>
        <w:tc>
          <w:tcPr>
            <w:tcW w:w="1782" w:type="dxa"/>
            <w:vAlign w:val="center"/>
          </w:tcPr>
          <w:p>
            <w:pPr>
              <w:pStyle w:val="296"/>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套</w:t>
            </w:r>
          </w:p>
        </w:tc>
        <w:tc>
          <w:tcPr>
            <w:tcW w:w="3813" w:type="dxa"/>
            <w:vAlign w:val="center"/>
          </w:tcPr>
          <w:p>
            <w:pPr>
              <w:pStyle w:val="296"/>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麒麟Kylin、统信UOS</w:t>
            </w:r>
            <w:r>
              <w:rPr>
                <w:rFonts w:hint="eastAsia" w:ascii="宋体" w:hAnsi="宋体" w:eastAsia="宋体" w:cs="宋体"/>
                <w:color w:val="auto"/>
                <w:sz w:val="21"/>
                <w:szCs w:val="21"/>
                <w:highlight w:val="none"/>
                <w:lang w:val="en-US" w:eastAsia="zh-CN"/>
              </w:rPr>
              <w:t>等国产操作系统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pStyle w:val="296"/>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76" w:type="dxa"/>
            <w:vAlign w:val="center"/>
          </w:tcPr>
          <w:p>
            <w:pPr>
              <w:pStyle w:val="296"/>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国产数据库</w:t>
            </w:r>
          </w:p>
        </w:tc>
        <w:tc>
          <w:tcPr>
            <w:tcW w:w="1782" w:type="dxa"/>
            <w:vAlign w:val="center"/>
          </w:tcPr>
          <w:p>
            <w:pPr>
              <w:pStyle w:val="296"/>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1套国产数据库</w:t>
            </w:r>
          </w:p>
        </w:tc>
        <w:tc>
          <w:tcPr>
            <w:tcW w:w="3813" w:type="dxa"/>
            <w:vAlign w:val="center"/>
          </w:tcPr>
          <w:p>
            <w:pPr>
              <w:pStyle w:val="296"/>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达梦、人大金仓</w:t>
            </w:r>
            <w:r>
              <w:rPr>
                <w:rFonts w:hint="eastAsia" w:ascii="宋体" w:hAnsi="宋体" w:eastAsia="宋体" w:cs="宋体"/>
                <w:color w:val="auto"/>
                <w:sz w:val="21"/>
                <w:szCs w:val="21"/>
                <w:highlight w:val="none"/>
                <w:lang w:val="en-US" w:eastAsia="zh-CN"/>
              </w:rPr>
              <w:t>等国产数据库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pStyle w:val="296"/>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76" w:type="dxa"/>
            <w:vAlign w:val="center"/>
          </w:tcPr>
          <w:p>
            <w:pPr>
              <w:pStyle w:val="296"/>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中间件</w:t>
            </w:r>
          </w:p>
        </w:tc>
        <w:tc>
          <w:tcPr>
            <w:tcW w:w="1782" w:type="dxa"/>
            <w:vAlign w:val="center"/>
          </w:tcPr>
          <w:p>
            <w:pPr>
              <w:pStyle w:val="296"/>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3813" w:type="dxa"/>
            <w:vAlign w:val="center"/>
          </w:tcPr>
          <w:p>
            <w:pPr>
              <w:pStyle w:val="296"/>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16"/>
                <w:highlight w:val="none"/>
                <w:lang w:val="en-US" w:eastAsia="zh-CN"/>
              </w:rPr>
              <w:t>符合信创及环境配置要求</w:t>
            </w:r>
          </w:p>
        </w:tc>
      </w:tr>
    </w:tbl>
    <w:p>
      <w:pPr>
        <w:keepNext/>
        <w:keepLines/>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技术性能要求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bookmarkStart w:id="19" w:name="_Toc116615849"/>
      <w:bookmarkStart w:id="20" w:name="_Toc86134029"/>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体系结构</w:t>
      </w:r>
      <w:bookmarkEnd w:id="19"/>
      <w:bookmarkEnd w:id="20"/>
      <w:r>
        <w:rPr>
          <w:rFonts w:hint="eastAsia" w:ascii="宋体" w:hAnsi="宋体" w:eastAsia="宋体" w:cs="宋体"/>
          <w:color w:val="auto"/>
          <w:sz w:val="21"/>
          <w:szCs w:val="21"/>
          <w:highlight w:val="none"/>
        </w:rPr>
        <w:t>：采用B/S架构，前后端分离模式，确保业务的独立性，从而保证系统的稳健性和扩展性。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bookmarkStart w:id="21" w:name="_Toc86134031"/>
      <w:bookmarkStart w:id="22" w:name="_Toc116615851"/>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服务器要求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支持中国电子工业标准化技术协会信息技术应用创新工作委员会标准清单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操作系统：采用麒麟Kylin、统信UOS、微软等环境。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数据库</w:t>
      </w:r>
      <w:bookmarkEnd w:id="21"/>
      <w:bookmarkEnd w:id="22"/>
      <w:r>
        <w:rPr>
          <w:rFonts w:hint="eastAsia" w:ascii="宋体" w:hAnsi="宋体" w:eastAsia="宋体" w:cs="宋体"/>
          <w:color w:val="auto"/>
          <w:sz w:val="21"/>
          <w:szCs w:val="21"/>
          <w:highlight w:val="none"/>
        </w:rPr>
        <w:t>：采用达梦、人大金仓、Mysql等主流数据库。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lang w:eastAsia="zh-CN"/>
        </w:rPr>
      </w:pPr>
      <w:bookmarkStart w:id="23" w:name="_Toc116615853"/>
      <w:bookmarkStart w:id="24" w:name="_Toc86134033"/>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客户端要求</w:t>
      </w:r>
      <w:bookmarkEnd w:id="23"/>
      <w:bookmarkEnd w:id="2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支持中国电子工业标准化技术协会信息技术应用创新工作委员会标准清单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浏览器：采用火狐、Edge、360</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IE、Google、搜狗</w:t>
      </w:r>
      <w:r>
        <w:rPr>
          <w:rFonts w:hint="eastAsia" w:ascii="宋体" w:hAnsi="宋体" w:eastAsia="宋体" w:cs="宋体"/>
          <w:color w:val="auto"/>
          <w:sz w:val="21"/>
          <w:szCs w:val="21"/>
          <w:highlight w:val="none"/>
        </w:rPr>
        <w:t>等主流浏览器</w:t>
      </w:r>
      <w:r>
        <w:rPr>
          <w:rFonts w:hint="eastAsia" w:ascii="宋体" w:hAnsi="宋体" w:cs="宋体"/>
          <w:color w:val="auto"/>
          <w:sz w:val="21"/>
          <w:szCs w:val="21"/>
          <w:highlight w:val="none"/>
          <w:lang w:val="en-US" w:eastAsia="zh-CN"/>
        </w:rPr>
        <w:t>以及后续国产化浏览器的迭代更新</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插件工具：采用永中Office、金山WPS Office等。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网络环境：运行在政务外网或单位内网，手机端运行在公网。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其他要求：支持大于300个并发用户；系统应提供每周7*24小时的连续运行，月平均故障时间&lt;1天，月平均故障修复时间&lt;30分钟；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整体平台：所有子系统功能必须在统一平台实现，实现统一数据库、统一权限、统一界面、统一引擎，不允许单点登录类似集成类方式。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安全要求：系统必须有详细的安全体系建设，有能力抵御恶性攻击、暴力破解、安全审计等功能，并提供相关认证。</w:t>
      </w:r>
    </w:p>
    <w:p>
      <w:pPr>
        <w:keepNext/>
        <w:keepLines/>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outlineLvl w:val="1"/>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五</w:t>
      </w:r>
      <w:r>
        <w:rPr>
          <w:rFonts w:hint="eastAsia" w:ascii="宋体" w:hAnsi="宋体" w:eastAsia="宋体" w:cs="宋体"/>
          <w:b/>
          <w:bCs/>
          <w:color w:val="auto"/>
          <w:kern w:val="0"/>
          <w:sz w:val="21"/>
          <w:szCs w:val="21"/>
          <w:highlight w:val="none"/>
        </w:rPr>
        <w:t>、商务要求</w:t>
      </w:r>
    </w:p>
    <w:p>
      <w:pPr>
        <w:keepNext/>
        <w:keepLines/>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outlineLvl w:val="3"/>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1、工期要求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i w:val="0"/>
          <w:caps w:val="0"/>
          <w:color w:val="auto"/>
          <w:spacing w:val="0"/>
          <w:sz w:val="21"/>
          <w:szCs w:val="21"/>
          <w:highlight w:val="none"/>
          <w:lang w:val="en-US" w:eastAsia="zh-CN"/>
        </w:rPr>
        <w:t>合同签订后</w:t>
      </w:r>
      <w:r>
        <w:rPr>
          <w:rFonts w:hint="eastAsia" w:ascii="宋体" w:hAnsi="宋体" w:cs="宋体"/>
          <w:i w:val="0"/>
          <w:caps w:val="0"/>
          <w:color w:val="auto"/>
          <w:spacing w:val="0"/>
          <w:sz w:val="21"/>
          <w:szCs w:val="21"/>
          <w:highlight w:val="none"/>
          <w:lang w:val="en-US" w:eastAsia="zh-CN"/>
        </w:rPr>
        <w:t>90</w:t>
      </w:r>
      <w:r>
        <w:rPr>
          <w:rFonts w:hint="eastAsia" w:ascii="宋体" w:hAnsi="宋体" w:eastAsia="宋体" w:cs="宋体"/>
          <w:i w:val="0"/>
          <w:caps w:val="0"/>
          <w:color w:val="auto"/>
          <w:spacing w:val="0"/>
          <w:sz w:val="21"/>
          <w:szCs w:val="21"/>
          <w:highlight w:val="none"/>
          <w:lang w:val="en-US" w:eastAsia="zh-CN"/>
        </w:rPr>
        <w:t>天内完成详细设计，并经采购人审核确认；</w:t>
      </w:r>
      <w:r>
        <w:rPr>
          <w:rFonts w:hint="eastAsia" w:ascii="宋体" w:hAnsi="宋体" w:cs="宋体"/>
          <w:i w:val="0"/>
          <w:caps w:val="0"/>
          <w:color w:val="auto"/>
          <w:spacing w:val="0"/>
          <w:sz w:val="21"/>
          <w:szCs w:val="21"/>
          <w:highlight w:val="none"/>
          <w:lang w:val="en-US" w:eastAsia="zh-CN"/>
        </w:rPr>
        <w:t>270</w:t>
      </w:r>
      <w:r>
        <w:rPr>
          <w:rFonts w:hint="eastAsia" w:ascii="宋体" w:hAnsi="宋体" w:eastAsia="宋体" w:cs="宋体"/>
          <w:i w:val="0"/>
          <w:caps w:val="0"/>
          <w:color w:val="auto"/>
          <w:spacing w:val="0"/>
          <w:sz w:val="21"/>
          <w:szCs w:val="21"/>
          <w:highlight w:val="none"/>
          <w:lang w:val="en-US" w:eastAsia="zh-CN"/>
        </w:rPr>
        <w:t>天内完成项目的全部系统开发建设并通过采购人初验，初验后进入试运行，试运行期为</w:t>
      </w:r>
      <w:r>
        <w:rPr>
          <w:rFonts w:hint="eastAsia" w:ascii="宋体" w:hAnsi="宋体" w:cs="宋体"/>
          <w:i w:val="0"/>
          <w:caps w:val="0"/>
          <w:color w:val="auto"/>
          <w:spacing w:val="0"/>
          <w:sz w:val="21"/>
          <w:szCs w:val="21"/>
          <w:highlight w:val="none"/>
          <w:lang w:val="en-US" w:eastAsia="zh-CN"/>
        </w:rPr>
        <w:t>180天</w:t>
      </w:r>
      <w:r>
        <w:rPr>
          <w:rFonts w:hint="eastAsia" w:ascii="宋体" w:hAnsi="宋体" w:eastAsia="宋体" w:cs="宋体"/>
          <w:i w:val="0"/>
          <w:caps w:val="0"/>
          <w:color w:val="auto"/>
          <w:spacing w:val="0"/>
          <w:sz w:val="21"/>
          <w:szCs w:val="21"/>
          <w:highlight w:val="none"/>
          <w:lang w:val="en-US" w:eastAsia="zh-CN"/>
        </w:rPr>
        <w:t>，试运行结束后采购人组织最终竣工验收。</w:t>
      </w:r>
      <w:bookmarkStart w:id="53" w:name="_GoBack"/>
      <w:bookmarkEnd w:id="5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jc w:val="both"/>
        <w:textAlignment w:val="auto"/>
        <w:outlineLvl w:val="3"/>
        <w:rPr>
          <w:rFonts w:hint="eastAsia" w:ascii="宋体" w:hAnsi="宋体" w:eastAsia="宋体" w:cs="宋体"/>
          <w:b/>
          <w:bCs/>
          <w:color w:val="auto"/>
          <w:sz w:val="21"/>
          <w:szCs w:val="21"/>
          <w:highlight w:val="none"/>
        </w:rPr>
      </w:pPr>
      <w:r>
        <w:rPr>
          <w:rFonts w:hint="eastAsia" w:ascii="宋体" w:hAnsi="宋体" w:cs="宋体"/>
          <w:b/>
          <w:bCs/>
          <w:color w:val="auto"/>
          <w:kern w:val="2"/>
          <w:sz w:val="21"/>
          <w:szCs w:val="21"/>
          <w:lang w:val="en-US" w:eastAsia="zh-CN" w:bidi="ar-SA"/>
        </w:rPr>
        <w:t>2</w:t>
      </w:r>
      <w:r>
        <w:rPr>
          <w:rFonts w:hint="eastAsia" w:ascii="宋体" w:hAnsi="宋体" w:eastAsia="宋体" w:cs="宋体"/>
          <w:b/>
          <w:bCs/>
          <w:color w:val="auto"/>
          <w:kern w:val="2"/>
          <w:sz w:val="21"/>
          <w:szCs w:val="21"/>
          <w:lang w:val="en-US" w:eastAsia="zh-CN" w:bidi="ar-SA"/>
        </w:rPr>
        <w:t>、</w:t>
      </w:r>
      <w:r>
        <w:rPr>
          <w:rFonts w:hint="eastAsia" w:ascii="宋体" w:hAnsi="宋体" w:cs="宋体"/>
          <w:b/>
          <w:bCs/>
          <w:color w:val="auto"/>
          <w:kern w:val="2"/>
          <w:sz w:val="21"/>
          <w:szCs w:val="21"/>
          <w:lang w:val="en-US" w:eastAsia="zh-CN" w:bidi="ar-SA"/>
        </w:rPr>
        <w:t>运维</w:t>
      </w:r>
      <w:r>
        <w:rPr>
          <w:rFonts w:hint="eastAsia" w:ascii="宋体" w:hAnsi="宋体" w:cs="宋体"/>
          <w:b/>
          <w:bCs/>
          <w:color w:val="auto"/>
          <w:sz w:val="21"/>
          <w:szCs w:val="21"/>
          <w:highlight w:val="none"/>
          <w:lang w:eastAsia="zh-CN"/>
        </w:rPr>
        <w:t>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i w:val="0"/>
          <w:caps w:val="0"/>
          <w:color w:val="auto"/>
          <w:spacing w:val="0"/>
          <w:sz w:val="21"/>
          <w:szCs w:val="21"/>
          <w:highlight w:val="none"/>
          <w:lang w:val="en-US" w:eastAsia="zh-CN"/>
        </w:rPr>
      </w:pPr>
      <w:r>
        <w:rPr>
          <w:rFonts w:hint="eastAsia" w:ascii="宋体" w:hAnsi="宋体" w:cs="宋体"/>
          <w:i w:val="0"/>
          <w:caps w:val="0"/>
          <w:color w:val="auto"/>
          <w:spacing w:val="0"/>
          <w:sz w:val="21"/>
          <w:szCs w:val="21"/>
          <w:highlight w:val="none"/>
          <w:lang w:val="en-US" w:eastAsia="zh-CN"/>
        </w:rPr>
        <w:t>（1）</w:t>
      </w:r>
      <w:r>
        <w:rPr>
          <w:rFonts w:hint="eastAsia" w:ascii="宋体" w:hAnsi="宋体" w:eastAsia="宋体" w:cs="宋体"/>
          <w:i w:val="0"/>
          <w:caps w:val="0"/>
          <w:color w:val="auto"/>
          <w:spacing w:val="0"/>
          <w:sz w:val="21"/>
          <w:szCs w:val="21"/>
          <w:highlight w:val="none"/>
          <w:lang w:val="en-US" w:eastAsia="zh-CN"/>
        </w:rPr>
        <w:t>投标人须提供经调试、试运行、验收合格后2年的运维期，在此期间，投标人应免费处理因质量发生的故障，并进行正常保养。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在系统开始实施和免维期间，供应商应为本项目成立专门的维护服务和技术支持小组，提供现场技术支持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并且提供运维期</w:t>
      </w:r>
      <w:r>
        <w:rPr>
          <w:rFonts w:hint="eastAsia" w:ascii="宋体" w:hAnsi="宋体" w:eastAsia="宋体" w:cs="宋体"/>
          <w:color w:val="auto"/>
          <w:sz w:val="21"/>
          <w:szCs w:val="21"/>
          <w:highlight w:val="none"/>
        </w:rPr>
        <w:t>设备管理制度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w:t>
      </w:r>
      <w:r>
        <w:rPr>
          <w:rFonts w:hint="eastAsia" w:ascii="宋体" w:hAnsi="宋体" w:eastAsia="宋体" w:cs="宋体"/>
          <w:color w:val="auto"/>
          <w:sz w:val="21"/>
          <w:szCs w:val="21"/>
          <w:highlight w:val="none"/>
        </w:rPr>
        <w:t>操作管理制度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以及</w:t>
      </w:r>
      <w:r>
        <w:rPr>
          <w:rFonts w:hint="eastAsia" w:ascii="宋体" w:hAnsi="宋体" w:eastAsia="宋体" w:cs="宋体"/>
          <w:color w:val="auto"/>
          <w:sz w:val="21"/>
          <w:szCs w:val="21"/>
          <w:highlight w:val="none"/>
        </w:rPr>
        <w:t>维护维修制度</w:t>
      </w:r>
      <w:r>
        <w:rPr>
          <w:rFonts w:hint="eastAsia" w:ascii="宋体" w:hAnsi="宋体" w:cs="宋体"/>
          <w:color w:val="auto"/>
          <w:sz w:val="21"/>
          <w:szCs w:val="21"/>
          <w:highlight w:val="none"/>
          <w:lang w:val="en-US" w:eastAsia="zh-CN"/>
        </w:rPr>
        <w:t>报采购人审核确认。</w:t>
      </w:r>
      <w:r>
        <w:rPr>
          <w:rFonts w:hint="eastAsia" w:ascii="宋体" w:hAnsi="宋体" w:eastAsia="宋体" w:cs="宋体"/>
          <w:color w:val="auto"/>
          <w:sz w:val="21"/>
          <w:szCs w:val="21"/>
          <w:highlight w:val="none"/>
        </w:rPr>
        <w:t>维护响应时间应为接到采购人通知后10分钟内响应，2小时内到现场处理，2小时内解决。</w:t>
      </w:r>
    </w:p>
    <w:p>
      <w:pPr>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outlineLvl w:val="3"/>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、付款方式</w:t>
      </w:r>
    </w:p>
    <w:p>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（1）合同签订后7个工作日内支付合同总价33万元；</w:t>
      </w:r>
    </w:p>
    <w:p>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软件开发、测试、部署完成，并通过采购人初验后支付</w:t>
      </w:r>
      <w:r>
        <w:rPr>
          <w:rFonts w:hint="eastAsia" w:ascii="宋体" w:hAnsi="宋体" w:cs="宋体"/>
          <w:color w:val="auto"/>
          <w:sz w:val="21"/>
          <w:szCs w:val="21"/>
          <w:highlight w:val="none"/>
          <w:lang w:val="en-US" w:eastAsia="zh-CN"/>
        </w:rPr>
        <w:t>至合同总价的50%；</w:t>
      </w:r>
    </w:p>
    <w:p>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（3）项目试运行后支付至合同总价的80%；</w:t>
      </w:r>
    </w:p>
    <w:p>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（4）第一年运维期满后支付至合同总价的90%；</w:t>
      </w:r>
    </w:p>
    <w:p>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（5）第二年运维期满后结清余款。</w:t>
      </w:r>
    </w:p>
    <w:p>
      <w:pPr>
        <w:keepNext/>
        <w:keepLines/>
        <w:pageBreakBefore w:val="0"/>
        <w:widowControl w:val="0"/>
        <w:shd w:val="clear" w:color="auto" w:fill="auto"/>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0"/>
          <w:sz w:val="21"/>
          <w:szCs w:val="21"/>
          <w:highlight w:val="none"/>
          <w:lang w:val="en-US" w:eastAsia="zh-CN" w:bidi="ar-SA"/>
        </w:rPr>
        <w:t>备注：</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应在</w:t>
      </w:r>
      <w:r>
        <w:rPr>
          <w:rFonts w:hint="eastAsia" w:ascii="宋体" w:hAnsi="宋体" w:eastAsia="宋体" w:cs="宋体"/>
          <w:color w:val="auto"/>
          <w:szCs w:val="21"/>
          <w:highlight w:val="none"/>
          <w:lang w:val="en-US" w:eastAsia="zh-CN"/>
        </w:rPr>
        <w:t>甲方付款</w:t>
      </w:r>
      <w:r>
        <w:rPr>
          <w:rFonts w:hint="eastAsia" w:ascii="宋体" w:hAnsi="宋体" w:eastAsia="宋体" w:cs="宋体"/>
          <w:color w:val="auto"/>
          <w:szCs w:val="21"/>
          <w:highlight w:val="none"/>
        </w:rPr>
        <w:t>前，依据相应的</w:t>
      </w:r>
      <w:r>
        <w:rPr>
          <w:rFonts w:hint="eastAsia" w:ascii="宋体" w:hAnsi="宋体" w:cs="宋体"/>
          <w:color w:val="auto"/>
          <w:szCs w:val="21"/>
          <w:highlight w:val="none"/>
          <w:lang w:val="en-US" w:eastAsia="zh-CN"/>
        </w:rPr>
        <w:t>请款</w:t>
      </w:r>
      <w:r>
        <w:rPr>
          <w:rFonts w:hint="eastAsia" w:ascii="宋体" w:hAnsi="宋体" w:eastAsia="宋体" w:cs="宋体"/>
          <w:color w:val="auto"/>
          <w:szCs w:val="21"/>
          <w:highlight w:val="none"/>
        </w:rPr>
        <w:t>金额向</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提供足额且符合税法规定的发票。</w:t>
      </w:r>
      <w:r>
        <w:rPr>
          <w:rFonts w:hint="eastAsia" w:ascii="宋体" w:hAnsi="宋体" w:eastAsia="宋体" w:cs="宋体"/>
          <w:color w:val="auto"/>
          <w:szCs w:val="21"/>
          <w:highlight w:val="none"/>
          <w:lang w:val="en-US" w:eastAsia="zh-CN"/>
        </w:rPr>
        <w:t>若乙方未在规定时间内提供符合税法规定的发票的，甲方有权延期付款。</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jc w:val="both"/>
        <w:textAlignment w:val="auto"/>
        <w:outlineLvl w:val="3"/>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培训服务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（1）项目试运行开始时供应商须派专业技术人员对采购人进行系统的操作培训，在试运行结束时完成全员培训，技术培训费用均包含在投标总价中。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（2）培训对象和目标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用户参加产品培训的人员划分为三个层次：决策层、技术层、操作层，对不同层次的用户参加产品培训人员的培训内容分别进行。</w:t>
      </w:r>
      <w:r>
        <w:rPr>
          <w:rFonts w:hint="eastAsia" w:ascii="宋体" w:hAnsi="宋体" w:eastAsia="宋体" w:cs="宋体"/>
          <w:color w:val="auto"/>
          <w:szCs w:val="21"/>
          <w:highlight w:val="none"/>
          <w:lang w:eastAsia="zh-Hans"/>
        </w:rPr>
        <w:t>系统相关软硬件的日常管理及维护由系统管理员负责，专业性较强，因此需要对其进行专门的培训，以备日常工作的需要</w:t>
      </w:r>
      <w:r>
        <w:rPr>
          <w:rFonts w:hint="eastAsia" w:ascii="宋体" w:hAnsi="宋体" w:eastAsia="宋体" w:cs="宋体"/>
          <w:color w:val="auto"/>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lang w:val="en-US" w:eastAsia="zh-CN"/>
        </w:rPr>
        <w:t>培训计划及方式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项目涉及的所有软件产品、开发技术及工具等内容以及用户人员的工作性质不同，中标人须提供不同形式的用户培训，同时选派具有相应的专业实际工作和教学经验的教师和相应的辅导人员进行培训。具体培训计划、组织方式和流程等详细的培训方案由中标人出具并报采购人确认后执行。</w:t>
      </w:r>
    </w:p>
    <w:p>
      <w:pPr>
        <w:snapToGrid w:val="0"/>
        <w:spacing w:line="360" w:lineRule="auto"/>
        <w:ind w:firstLine="420" w:firstLineChars="200"/>
        <w:rPr>
          <w:rFonts w:hint="eastAsia" w:ascii="宋体" w:hAnsi="宋体" w:eastAsia="宋体" w:cs="宋体"/>
          <w:color w:val="auto"/>
          <w:szCs w:val="21"/>
          <w:highlight w:val="none"/>
          <w:lang w:eastAsia="zh-Hans"/>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eastAsia="zh-Hans"/>
        </w:rPr>
        <w:t>培训项目内容纲要：</w:t>
      </w:r>
    </w:p>
    <w:p>
      <w:pPr>
        <w:snapToGrid w:val="0"/>
        <w:spacing w:line="360" w:lineRule="auto"/>
        <w:ind w:firstLine="420" w:firstLineChars="200"/>
        <w:rPr>
          <w:rFonts w:hint="eastAsia" w:ascii="宋体" w:hAnsi="宋体" w:eastAsia="宋体" w:cs="宋体"/>
          <w:color w:val="auto"/>
          <w:szCs w:val="21"/>
          <w:highlight w:val="none"/>
          <w:lang w:eastAsia="zh-Hans"/>
        </w:rPr>
      </w:pPr>
      <w:r>
        <w:rPr>
          <w:rFonts w:hint="eastAsia" w:ascii="宋体" w:hAnsi="宋体" w:eastAsia="宋体" w:cs="宋体"/>
          <w:color w:val="auto"/>
          <w:szCs w:val="21"/>
          <w:highlight w:val="none"/>
          <w:lang w:eastAsia="zh-Hans"/>
        </w:rPr>
        <w:t>系统操作培训：主要面向使用系统的工作人员，提供操作培训；</w:t>
      </w:r>
    </w:p>
    <w:p>
      <w:pPr>
        <w:snapToGrid w:val="0"/>
        <w:spacing w:line="360" w:lineRule="auto"/>
        <w:ind w:firstLine="420" w:firstLineChars="200"/>
        <w:rPr>
          <w:rFonts w:hint="eastAsia" w:ascii="宋体" w:hAnsi="宋体" w:eastAsia="宋体" w:cs="宋体"/>
          <w:color w:val="auto"/>
          <w:szCs w:val="21"/>
          <w:highlight w:val="none"/>
          <w:lang w:eastAsia="zh-Hans"/>
        </w:rPr>
      </w:pPr>
      <w:r>
        <w:rPr>
          <w:rFonts w:hint="eastAsia" w:ascii="宋体" w:hAnsi="宋体" w:eastAsia="宋体" w:cs="宋体"/>
          <w:color w:val="auto"/>
          <w:szCs w:val="21"/>
          <w:highlight w:val="none"/>
          <w:lang w:eastAsia="zh-Hans"/>
        </w:rPr>
        <w:t>系统日常维护系统培训：主要面向技术人员进行培训，使其具备独立进行系统日常维护的能力。</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jc w:val="both"/>
        <w:textAlignment w:val="auto"/>
        <w:outlineLvl w:val="3"/>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5、</w:t>
      </w:r>
      <w:r>
        <w:rPr>
          <w:rFonts w:hint="default" w:ascii="宋体" w:hAnsi="宋体" w:cs="宋体"/>
          <w:b/>
          <w:bCs/>
          <w:color w:val="auto"/>
          <w:sz w:val="21"/>
          <w:szCs w:val="21"/>
          <w:highlight w:val="none"/>
          <w:lang w:val="en-US" w:eastAsia="zh-CN"/>
        </w:rPr>
        <w:t>项目验收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420" w:firstLineChars="200"/>
        <w:jc w:val="both"/>
        <w:textAlignment w:val="auto"/>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正式运行后，由用户提出验收要求，双方共同制定《项目验收计划》，组成项目验收小组，共同进行项目验收。此时公司将向用户提交验收的各类文档，包括对系统开发过程进行总结的《项目总结》，《项目技术报告》，最终完整的《数据库字典》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420" w:firstLineChars="200"/>
        <w:jc w:val="both"/>
        <w:textAlignment w:val="auto"/>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验收工作</w:t>
      </w:r>
      <w:r>
        <w:rPr>
          <w:rFonts w:hint="default"/>
          <w:color w:val="auto"/>
          <w:sz w:val="21"/>
          <w:szCs w:val="21"/>
          <w:highlight w:val="none"/>
          <w:lang w:val="en-US" w:eastAsia="zh-CN"/>
        </w:rPr>
        <w:t>验收分初验和最终验收</w:t>
      </w:r>
      <w:r>
        <w:rPr>
          <w:rFonts w:hint="eastAsia"/>
          <w:color w:val="auto"/>
          <w:sz w:val="21"/>
          <w:szCs w:val="21"/>
          <w:highlight w:val="none"/>
          <w:lang w:val="en-US" w:eastAsia="zh-CN"/>
        </w:rPr>
        <w:t>，</w:t>
      </w:r>
      <w:r>
        <w:rPr>
          <w:rFonts w:hint="default" w:ascii="宋体" w:hAnsi="宋体" w:eastAsia="宋体" w:cs="宋体"/>
          <w:b w:val="0"/>
          <w:bCs w:val="0"/>
          <w:color w:val="auto"/>
          <w:kern w:val="2"/>
          <w:sz w:val="21"/>
          <w:szCs w:val="21"/>
          <w:highlight w:val="none"/>
          <w:lang w:val="en-US" w:eastAsia="zh-CN" w:bidi="ar-SA"/>
        </w:rPr>
        <w:t>将由</w:t>
      </w:r>
      <w:r>
        <w:rPr>
          <w:rFonts w:hint="eastAsia" w:ascii="宋体" w:hAnsi="宋体" w:cs="宋体"/>
          <w:b w:val="0"/>
          <w:bCs w:val="0"/>
          <w:color w:val="auto"/>
          <w:kern w:val="2"/>
          <w:sz w:val="21"/>
          <w:szCs w:val="21"/>
          <w:highlight w:val="none"/>
          <w:lang w:val="en-US" w:eastAsia="zh-CN" w:bidi="ar-SA"/>
        </w:rPr>
        <w:t>采购人</w:t>
      </w:r>
      <w:r>
        <w:rPr>
          <w:rFonts w:hint="default" w:ascii="宋体" w:hAnsi="宋体" w:eastAsia="宋体" w:cs="宋体"/>
          <w:b w:val="0"/>
          <w:bCs w:val="0"/>
          <w:color w:val="auto"/>
          <w:kern w:val="2"/>
          <w:sz w:val="21"/>
          <w:szCs w:val="21"/>
          <w:highlight w:val="none"/>
          <w:lang w:val="en-US" w:eastAsia="zh-CN" w:bidi="ar-SA"/>
        </w:rPr>
        <w:t>组织的专家组对系统进行全面的验收和鉴定，并出具项目验收小组签字的《项目验收报告》。</w:t>
      </w:r>
      <w:r>
        <w:rPr>
          <w:rFonts w:hint="eastAsia" w:ascii="宋体" w:hAnsi="宋体" w:cs="宋体"/>
          <w:b w:val="0"/>
          <w:bCs w:val="0"/>
          <w:color w:val="auto"/>
          <w:kern w:val="2"/>
          <w:sz w:val="21"/>
          <w:szCs w:val="21"/>
          <w:highlight w:val="none"/>
          <w:lang w:val="en-US" w:eastAsia="zh-CN" w:bidi="ar-SA"/>
        </w:rPr>
        <w:t>具体流程如下：</w:t>
      </w:r>
    </w:p>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ind w:left="0" w:leftChars="0" w:firstLine="436" w:firstLineChars="200"/>
        <w:jc w:val="both"/>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（1）初验：系统开发建设完成后，甲方组织初验，初验内容为软件功能是否开发完成（），依据为系统功能是否满足招标文件和系统设计要求（</w:t>
      </w:r>
      <w:r>
        <w:rPr>
          <w:rFonts w:hint="eastAsia" w:ascii="宋体" w:hAnsi="宋体" w:eastAsia="宋体" w:cs="宋体"/>
          <w:color w:val="auto"/>
          <w:kern w:val="0"/>
          <w:sz w:val="21"/>
          <w:szCs w:val="21"/>
          <w:highlight w:val="none"/>
          <w:lang w:val="en-US" w:eastAsia="zh-CN" w:bidi="ar"/>
        </w:rPr>
        <w:t>软件项目提供内测报告，硬件项目提供开箱记录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bidi="ar"/>
        </w:rPr>
        <w:t>。项目初验通过后进入试运行阶段。</w:t>
      </w:r>
    </w:p>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ind w:left="0" w:leftChars="0" w:firstLine="436"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4"/>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试运行。试运行期间（硬件项目至少1 个月，软件项目至少1个月，具体以项目实际需求为准），建设单位和承建单位要针对初验和试运行中发现的问题进行整改和升级，同时对系统进行第三方软件测评和安全测评工作，并进行等保定级测评。 </w:t>
      </w:r>
    </w:p>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ind w:left="0" w:leftChars="0" w:firstLine="436" w:firstLineChars="200"/>
        <w:jc w:val="both"/>
        <w:textAlignment w:val="auto"/>
        <w:rPr>
          <w:rFonts w:hint="default"/>
          <w:color w:val="auto"/>
          <w:sz w:val="21"/>
          <w:szCs w:val="21"/>
          <w:highlight w:val="none"/>
          <w:lang w:val="en-US" w:eastAsia="zh-CN"/>
        </w:rPr>
      </w:pPr>
      <w:r>
        <w:rPr>
          <w:rFonts w:hint="default" w:ascii="宋体" w:hAnsi="宋体" w:eastAsia="宋体" w:cs="Times New Roman"/>
          <w:color w:val="auto"/>
          <w:spacing w:val="4"/>
          <w:kern w:val="2"/>
          <w:sz w:val="21"/>
          <w:szCs w:val="21"/>
          <w:highlight w:val="none"/>
          <w:lang w:val="en-US" w:eastAsia="zh-CN" w:bidi="ar-SA"/>
        </w:rPr>
        <w:t>（3）</w:t>
      </w:r>
      <w:r>
        <w:rPr>
          <w:rFonts w:hint="eastAsia" w:ascii="宋体" w:hAnsi="宋体" w:eastAsia="宋体" w:cs="宋体"/>
          <w:color w:val="auto"/>
          <w:sz w:val="21"/>
          <w:szCs w:val="21"/>
          <w:highlight w:val="none"/>
          <w:lang w:val="en-US" w:eastAsia="zh-CN"/>
        </w:rPr>
        <w:t>验收申请。项目建设单位在项目试运行结束后，提交相关验收资料和验收申请表，向县信息办提出验收申请，经同意后由县信息办确定验收方式。未经验</w:t>
      </w:r>
      <w:r>
        <w:rPr>
          <w:rFonts w:hint="default"/>
          <w:color w:val="auto"/>
          <w:sz w:val="21"/>
          <w:szCs w:val="21"/>
          <w:highlight w:val="none"/>
          <w:lang w:val="en-US" w:eastAsia="zh-CN"/>
        </w:rPr>
        <w:t xml:space="preserve">收或者验收不合格的信息化项目不得正式投入运行，对违规投入运行的项目建设单位，原则不予安排下一年度项目。 </w:t>
      </w:r>
    </w:p>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ind w:left="0" w:leftChars="0" w:firstLine="436" w:firstLineChars="200"/>
        <w:jc w:val="both"/>
        <w:textAlignment w:val="auto"/>
        <w:rPr>
          <w:rFonts w:hint="default"/>
          <w:color w:val="auto"/>
          <w:sz w:val="21"/>
          <w:szCs w:val="21"/>
          <w:highlight w:val="none"/>
          <w:lang w:val="en-US" w:eastAsia="zh-CN"/>
        </w:rPr>
      </w:pPr>
      <w:r>
        <w:rPr>
          <w:rFonts w:hint="default" w:ascii="宋体" w:hAnsi="宋体" w:eastAsia="宋体" w:cs="Times New Roman"/>
          <w:color w:val="auto"/>
          <w:spacing w:val="4"/>
          <w:kern w:val="2"/>
          <w:sz w:val="21"/>
          <w:szCs w:val="21"/>
          <w:highlight w:val="none"/>
          <w:lang w:val="en-US" w:eastAsia="zh-CN" w:bidi="ar-SA"/>
        </w:rPr>
        <w:t>（4）</w:t>
      </w:r>
      <w:r>
        <w:rPr>
          <w:rFonts w:hint="default"/>
          <w:color w:val="auto"/>
          <w:sz w:val="21"/>
          <w:szCs w:val="21"/>
          <w:highlight w:val="none"/>
          <w:lang w:val="en-US" w:eastAsia="zh-CN"/>
        </w:rPr>
        <w:t xml:space="preserve">联合验收。县委机要局、县委网信办、县大数据中心、县国资管理中心等联审部门，会同专家对项目建设单位提交的验收材料进行审查并出具验收审查意见。 </w:t>
      </w:r>
    </w:p>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ind w:left="0" w:leftChars="0" w:firstLine="436" w:firstLineChars="20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（5）验收资料的提交：</w:t>
      </w:r>
    </w:p>
    <w:tbl>
      <w:tblPr>
        <w:tblStyle w:val="50"/>
        <w:tblW w:w="7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3024"/>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序号</w:t>
            </w:r>
          </w:p>
        </w:tc>
        <w:tc>
          <w:tcPr>
            <w:tcW w:w="3024"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验收步骤</w:t>
            </w:r>
          </w:p>
        </w:tc>
        <w:tc>
          <w:tcPr>
            <w:tcW w:w="3024"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需要提交的资料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3024" w:type="dxa"/>
            <w:vMerge w:val="restart"/>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rPr>
              <w:t>初步验收材料</w:t>
            </w:r>
          </w:p>
        </w:tc>
        <w:tc>
          <w:tcPr>
            <w:tcW w:w="3024" w:type="dxa"/>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rPr>
              <w:t>软件</w:t>
            </w:r>
            <w:r>
              <w:rPr>
                <w:rFonts w:hint="eastAsia" w:ascii="宋体" w:hAnsi="宋体" w:eastAsia="宋体" w:cs="宋体"/>
                <w:b w:val="0"/>
                <w:bCs/>
                <w:color w:val="auto"/>
                <w:sz w:val="21"/>
                <w:szCs w:val="21"/>
                <w:highlight w:val="none"/>
                <w:lang w:val="en-US" w:eastAsia="zh-CN"/>
              </w:rPr>
              <w:t>需求规格</w:t>
            </w:r>
            <w:r>
              <w:rPr>
                <w:rFonts w:hint="eastAsia" w:ascii="宋体" w:hAnsi="宋体" w:eastAsia="宋体" w:cs="宋体"/>
                <w:b w:val="0"/>
                <w:bCs/>
                <w:color w:val="auto"/>
                <w:sz w:val="21"/>
                <w:szCs w:val="21"/>
                <w:highlight w:val="none"/>
              </w:rPr>
              <w:t>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3024" w:type="dxa"/>
            <w:vMerge w:val="continue"/>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p>
        </w:tc>
        <w:tc>
          <w:tcPr>
            <w:tcW w:w="3024" w:type="dxa"/>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rPr>
              <w:t>软件概要设计说明书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3024" w:type="dxa"/>
            <w:vMerge w:val="continue"/>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p>
        </w:tc>
        <w:tc>
          <w:tcPr>
            <w:tcW w:w="3024" w:type="dxa"/>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rPr>
              <w:t>软件详细设计说明书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3024" w:type="dxa"/>
            <w:vMerge w:val="continue"/>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p>
        </w:tc>
        <w:tc>
          <w:tcPr>
            <w:tcW w:w="3024" w:type="dxa"/>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rPr>
              <w:t>软件</w:t>
            </w:r>
            <w:r>
              <w:rPr>
                <w:rFonts w:hint="eastAsia" w:ascii="宋体" w:hAnsi="宋体" w:eastAsia="宋体" w:cs="宋体"/>
                <w:b w:val="0"/>
                <w:bCs/>
                <w:color w:val="auto"/>
                <w:sz w:val="21"/>
                <w:szCs w:val="21"/>
                <w:highlight w:val="none"/>
                <w:lang w:val="en-US" w:eastAsia="zh-CN"/>
              </w:rPr>
              <w:t>数据库</w:t>
            </w:r>
            <w:r>
              <w:rPr>
                <w:rFonts w:hint="eastAsia" w:ascii="宋体" w:hAnsi="宋体" w:eastAsia="宋体" w:cs="宋体"/>
                <w:b w:val="0"/>
                <w:bCs/>
                <w:color w:val="auto"/>
                <w:sz w:val="21"/>
                <w:szCs w:val="21"/>
                <w:highlight w:val="none"/>
              </w:rPr>
              <w:t>设计说明书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w:t>
            </w:r>
          </w:p>
        </w:tc>
        <w:tc>
          <w:tcPr>
            <w:tcW w:w="3024" w:type="dxa"/>
            <w:vMerge w:val="continue"/>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p>
        </w:tc>
        <w:tc>
          <w:tcPr>
            <w:tcW w:w="3024" w:type="dxa"/>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lang w:val="en-US" w:eastAsia="zh-CN"/>
              </w:rPr>
              <w:t>系统使用</w:t>
            </w:r>
            <w:r>
              <w:rPr>
                <w:rFonts w:hint="eastAsia" w:ascii="宋体" w:hAnsi="宋体" w:eastAsia="宋体" w:cs="宋体"/>
                <w:b w:val="0"/>
                <w:bCs/>
                <w:color w:val="auto"/>
                <w:sz w:val="21"/>
                <w:szCs w:val="21"/>
                <w:highlight w:val="none"/>
              </w:rPr>
              <w:t>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6</w:t>
            </w:r>
          </w:p>
        </w:tc>
        <w:tc>
          <w:tcPr>
            <w:tcW w:w="3024" w:type="dxa"/>
            <w:vMerge w:val="continue"/>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p>
        </w:tc>
        <w:tc>
          <w:tcPr>
            <w:tcW w:w="3024" w:type="dxa"/>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lang w:val="en-US" w:eastAsia="zh-CN"/>
              </w:rPr>
              <w:t>系统管理</w:t>
            </w:r>
            <w:r>
              <w:rPr>
                <w:rFonts w:hint="eastAsia" w:ascii="宋体" w:hAnsi="宋体" w:eastAsia="宋体" w:cs="宋体"/>
                <w:b w:val="0"/>
                <w:bCs/>
                <w:color w:val="auto"/>
                <w:sz w:val="21"/>
                <w:szCs w:val="21"/>
                <w:highlight w:val="none"/>
              </w:rPr>
              <w:t>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7</w:t>
            </w:r>
          </w:p>
        </w:tc>
        <w:tc>
          <w:tcPr>
            <w:tcW w:w="3024" w:type="dxa"/>
            <w:vMerge w:val="continue"/>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p>
        </w:tc>
        <w:tc>
          <w:tcPr>
            <w:tcW w:w="3024" w:type="dxa"/>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rPr>
              <w:t>软件安装</w:t>
            </w:r>
            <w:r>
              <w:rPr>
                <w:rFonts w:hint="eastAsia" w:ascii="宋体" w:hAnsi="宋体" w:eastAsia="宋体" w:cs="宋体"/>
                <w:b w:val="0"/>
                <w:bCs/>
                <w:color w:val="auto"/>
                <w:sz w:val="21"/>
                <w:szCs w:val="21"/>
                <w:highlight w:val="none"/>
                <w:lang w:val="en-US" w:eastAsia="zh-CN"/>
              </w:rPr>
              <w:t>部署</w:t>
            </w:r>
            <w:r>
              <w:rPr>
                <w:rFonts w:hint="eastAsia" w:ascii="宋体" w:hAnsi="宋体" w:eastAsia="宋体" w:cs="宋体"/>
                <w:b w:val="0"/>
                <w:bCs/>
                <w:color w:val="auto"/>
                <w:sz w:val="21"/>
                <w:szCs w:val="21"/>
                <w:highlight w:val="none"/>
              </w:rPr>
              <w:t>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8</w:t>
            </w:r>
          </w:p>
        </w:tc>
        <w:tc>
          <w:tcPr>
            <w:tcW w:w="3024" w:type="dxa"/>
            <w:vMerge w:val="continue"/>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p>
        </w:tc>
        <w:tc>
          <w:tcPr>
            <w:tcW w:w="3024" w:type="dxa"/>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rPr>
              <w:t>软件测试方案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9</w:t>
            </w:r>
          </w:p>
        </w:tc>
        <w:tc>
          <w:tcPr>
            <w:tcW w:w="3024" w:type="dxa"/>
            <w:vMerge w:val="continue"/>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p>
        </w:tc>
        <w:tc>
          <w:tcPr>
            <w:tcW w:w="3024" w:type="dxa"/>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rPr>
              <w:t>软件测试报告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10</w:t>
            </w:r>
          </w:p>
        </w:tc>
        <w:tc>
          <w:tcPr>
            <w:tcW w:w="3024" w:type="dxa"/>
            <w:vMerge w:val="continue"/>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p>
        </w:tc>
        <w:tc>
          <w:tcPr>
            <w:tcW w:w="3024" w:type="dxa"/>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rPr>
              <w:t>软件培训方案/计划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11</w:t>
            </w:r>
          </w:p>
        </w:tc>
        <w:tc>
          <w:tcPr>
            <w:tcW w:w="3024" w:type="dxa"/>
            <w:vMerge w:val="continue"/>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p>
        </w:tc>
        <w:tc>
          <w:tcPr>
            <w:tcW w:w="3024" w:type="dxa"/>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rPr>
              <w:t>软件培训记录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12</w:t>
            </w:r>
          </w:p>
        </w:tc>
        <w:tc>
          <w:tcPr>
            <w:tcW w:w="3024" w:type="dxa"/>
            <w:vMerge w:val="continue"/>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p>
        </w:tc>
        <w:tc>
          <w:tcPr>
            <w:tcW w:w="3024" w:type="dxa"/>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rPr>
              <w:t>软件功能清单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w:t>
            </w:r>
          </w:p>
        </w:tc>
        <w:tc>
          <w:tcPr>
            <w:tcW w:w="3024" w:type="dxa"/>
            <w:vMerge w:val="continue"/>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p>
        </w:tc>
        <w:tc>
          <w:tcPr>
            <w:tcW w:w="3024" w:type="dxa"/>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rPr>
              <w:t>初步验收报告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14</w:t>
            </w:r>
          </w:p>
        </w:tc>
        <w:tc>
          <w:tcPr>
            <w:tcW w:w="3024" w:type="dxa"/>
            <w:vMerge w:val="restart"/>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r>
              <w:rPr>
                <w:rFonts w:hint="eastAsia" w:ascii="宋体" w:hAnsi="宋体" w:eastAsia="宋体" w:cs="宋体"/>
                <w:b w:val="0"/>
                <w:bCs/>
                <w:color w:val="auto"/>
                <w:kern w:val="0"/>
                <w:sz w:val="21"/>
                <w:szCs w:val="21"/>
                <w:highlight w:val="none"/>
                <w:lang w:bidi="ar"/>
              </w:rPr>
              <w:t>竣工验收材料</w:t>
            </w:r>
          </w:p>
        </w:tc>
        <w:tc>
          <w:tcPr>
            <w:tcW w:w="3024" w:type="dxa"/>
            <w:vAlign w:val="center"/>
          </w:tcPr>
          <w:p>
            <w:pPr>
              <w:widowControl/>
              <w:spacing w:line="240" w:lineRule="auto"/>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kern w:val="0"/>
                <w:sz w:val="21"/>
                <w:szCs w:val="21"/>
                <w:highlight w:val="none"/>
                <w:lang w:bidi="ar"/>
              </w:rPr>
              <w:t>试运行申请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w:t>
            </w:r>
          </w:p>
        </w:tc>
        <w:tc>
          <w:tcPr>
            <w:tcW w:w="3024" w:type="dxa"/>
            <w:vMerge w:val="continue"/>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p>
        </w:tc>
        <w:tc>
          <w:tcPr>
            <w:tcW w:w="3024" w:type="dxa"/>
            <w:vAlign w:val="center"/>
          </w:tcPr>
          <w:p>
            <w:pPr>
              <w:widowControl/>
              <w:spacing w:line="240" w:lineRule="auto"/>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kern w:val="0"/>
                <w:sz w:val="21"/>
                <w:szCs w:val="21"/>
                <w:highlight w:val="none"/>
                <w:lang w:bidi="ar"/>
              </w:rPr>
              <w:t>试运行方案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16</w:t>
            </w:r>
          </w:p>
        </w:tc>
        <w:tc>
          <w:tcPr>
            <w:tcW w:w="3024" w:type="dxa"/>
            <w:vMerge w:val="continue"/>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p>
        </w:tc>
        <w:tc>
          <w:tcPr>
            <w:tcW w:w="3024" w:type="dxa"/>
            <w:vAlign w:val="center"/>
          </w:tcPr>
          <w:p>
            <w:pPr>
              <w:widowControl/>
              <w:spacing w:line="240" w:lineRule="auto"/>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kern w:val="0"/>
                <w:sz w:val="21"/>
                <w:szCs w:val="21"/>
                <w:highlight w:val="none"/>
                <w:lang w:bidi="ar"/>
              </w:rPr>
              <w:t>用户</w:t>
            </w:r>
            <w:r>
              <w:rPr>
                <w:rFonts w:hint="eastAsia" w:ascii="宋体" w:hAnsi="宋体" w:eastAsia="宋体" w:cs="宋体"/>
                <w:b w:val="0"/>
                <w:bCs/>
                <w:color w:val="auto"/>
                <w:kern w:val="0"/>
                <w:sz w:val="21"/>
                <w:szCs w:val="21"/>
                <w:highlight w:val="none"/>
                <w:lang w:val="en-US" w:eastAsia="zh-CN" w:bidi="ar"/>
              </w:rPr>
              <w:t>使用意见</w:t>
            </w:r>
            <w:r>
              <w:rPr>
                <w:rFonts w:hint="eastAsia" w:ascii="宋体" w:hAnsi="宋体" w:eastAsia="宋体" w:cs="宋体"/>
                <w:b w:val="0"/>
                <w:bCs/>
                <w:color w:val="auto"/>
                <w:kern w:val="0"/>
                <w:sz w:val="21"/>
                <w:szCs w:val="21"/>
                <w:highlight w:val="none"/>
                <w:lang w:bidi="ar"/>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17</w:t>
            </w:r>
          </w:p>
        </w:tc>
        <w:tc>
          <w:tcPr>
            <w:tcW w:w="3024" w:type="dxa"/>
            <w:vMerge w:val="continue"/>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p>
        </w:tc>
        <w:tc>
          <w:tcPr>
            <w:tcW w:w="3024" w:type="dxa"/>
            <w:vAlign w:val="center"/>
          </w:tcPr>
          <w:p>
            <w:pPr>
              <w:widowControl/>
              <w:spacing w:line="240" w:lineRule="auto"/>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kern w:val="0"/>
                <w:sz w:val="21"/>
                <w:szCs w:val="21"/>
                <w:highlight w:val="none"/>
                <w:lang w:bidi="ar"/>
              </w:rPr>
              <w:t>竣工验收申请表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18</w:t>
            </w:r>
          </w:p>
        </w:tc>
        <w:tc>
          <w:tcPr>
            <w:tcW w:w="3024" w:type="dxa"/>
            <w:vMerge w:val="continue"/>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p>
        </w:tc>
        <w:tc>
          <w:tcPr>
            <w:tcW w:w="3024" w:type="dxa"/>
            <w:vAlign w:val="center"/>
          </w:tcPr>
          <w:p>
            <w:pPr>
              <w:widowControl/>
              <w:spacing w:line="240" w:lineRule="auto"/>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kern w:val="0"/>
                <w:sz w:val="21"/>
                <w:szCs w:val="21"/>
                <w:highlight w:val="none"/>
                <w:lang w:bidi="ar"/>
              </w:rPr>
              <w:t>售后服务承诺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19</w:t>
            </w:r>
          </w:p>
        </w:tc>
        <w:tc>
          <w:tcPr>
            <w:tcW w:w="3024" w:type="dxa"/>
            <w:vMerge w:val="continue"/>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p>
        </w:tc>
        <w:tc>
          <w:tcPr>
            <w:tcW w:w="3024" w:type="dxa"/>
            <w:vAlign w:val="center"/>
          </w:tcPr>
          <w:p>
            <w:pPr>
              <w:widowControl/>
              <w:spacing w:line="240" w:lineRule="auto"/>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kern w:val="0"/>
                <w:sz w:val="21"/>
                <w:szCs w:val="21"/>
                <w:highlight w:val="none"/>
                <w:lang w:val="en-US" w:eastAsia="zh-CN" w:bidi="ar"/>
              </w:rPr>
              <w:t>竣工验收</w:t>
            </w:r>
            <w:r>
              <w:rPr>
                <w:rFonts w:hint="eastAsia" w:ascii="宋体" w:hAnsi="宋体" w:eastAsia="宋体" w:cs="宋体"/>
                <w:b w:val="0"/>
                <w:bCs/>
                <w:color w:val="auto"/>
                <w:kern w:val="0"/>
                <w:sz w:val="21"/>
                <w:szCs w:val="21"/>
                <w:highlight w:val="none"/>
                <w:lang w:bidi="ar"/>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10"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20</w:t>
            </w:r>
          </w:p>
        </w:tc>
        <w:tc>
          <w:tcPr>
            <w:tcW w:w="3024" w:type="dxa"/>
            <w:vAlign w:val="center"/>
          </w:tcPr>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采购人要求提交的其他资料</w:t>
            </w:r>
          </w:p>
        </w:tc>
        <w:tc>
          <w:tcPr>
            <w:tcW w:w="3024" w:type="dxa"/>
            <w:vAlign w:val="center"/>
          </w:tcPr>
          <w:p>
            <w:pPr>
              <w:widowControl/>
              <w:spacing w:line="240" w:lineRule="auto"/>
              <w:jc w:val="center"/>
              <w:textAlignment w:val="center"/>
              <w:rPr>
                <w:rFonts w:hint="default" w:ascii="宋体" w:hAnsi="宋体" w:eastAsia="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源代码、执行码以及采购人需要的其他资料</w:t>
            </w:r>
          </w:p>
        </w:tc>
      </w:tr>
    </w:tbl>
    <w:p>
      <w:pPr>
        <w:pStyle w:val="66"/>
        <w:keepNext w:val="0"/>
        <w:keepLines w:val="0"/>
        <w:pageBreakBefore w:val="0"/>
        <w:widowControl w:val="0"/>
        <w:numPr>
          <w:ilvl w:val="0"/>
          <w:numId w:val="0"/>
        </w:numPr>
        <w:tabs>
          <w:tab w:val="clear" w:pos="306"/>
        </w:tabs>
        <w:kinsoku/>
        <w:wordWrap/>
        <w:overflowPunct/>
        <w:topLinePunct w:val="0"/>
        <w:autoSpaceDE/>
        <w:autoSpaceDN/>
        <w:bidi w:val="0"/>
        <w:adjustRightInd/>
        <w:snapToGrid/>
        <w:ind w:left="0" w:leftChars="0" w:firstLine="420" w:firstLineChars="200"/>
        <w:textAlignment w:val="auto"/>
        <w:rPr>
          <w:rFonts w:hint="default"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以上验收资料根据项目实际情况以及各部门需求进行提供。</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jc w:val="both"/>
        <w:textAlignment w:val="auto"/>
        <w:outlineLvl w:val="3"/>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违约</w:t>
      </w:r>
    </w:p>
    <w:p>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中标供应商逾期完成系统开发建设的，应按每日2000元向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支付违约金。逾期超过20天不能交付的，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可解除本合同。中标供应商因逾期交付或因其他违约行为导致</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解除合同的，中标供应商应向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支付五万元的违约金。</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jc w:val="both"/>
        <w:textAlignment w:val="auto"/>
        <w:outlineLvl w:val="3"/>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、其他要求</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与本项目相关的零星修改及升级等内容包含在本次服务范围内，由中标供应商免费提供相关服务。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2"/>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根据《安全管理规范》和《安全标准指南》，在项目建设过程中明确安全管理主体、客体的定位；明确基本的安全操作流程；明确系统的安全问题等，采用安全基础、网络信任体系、等级保护、安全测评、保密及安全管理方面的标准，制定本项目的采标指南和关键标准使用说明，并在过程中全力配合采购人完成测评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2"/>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第三方接口规范</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在实现全县项目数据完善的基础上，为应对后期可能和其它系统产生数据交互，以实现数据实时共享，为第三方系统</w:t>
      </w:r>
      <w:r>
        <w:rPr>
          <w:rFonts w:hint="eastAsia" w:ascii="宋体" w:hAnsi="宋体" w:cs="宋体"/>
          <w:color w:val="auto"/>
          <w:sz w:val="21"/>
          <w:szCs w:val="21"/>
          <w:highlight w:val="none"/>
          <w:lang w:val="en-US" w:eastAsia="zh-CN"/>
        </w:rPr>
        <w:t>免费</w:t>
      </w:r>
      <w:r>
        <w:rPr>
          <w:rFonts w:hint="eastAsia" w:ascii="宋体" w:hAnsi="宋体" w:eastAsia="宋体" w:cs="宋体"/>
          <w:color w:val="auto"/>
          <w:sz w:val="21"/>
          <w:szCs w:val="21"/>
          <w:highlight w:val="none"/>
        </w:rPr>
        <w:t>提供开放接口和数据交换接入规范。</w:t>
      </w:r>
      <w:r>
        <w:rPr>
          <w:rFonts w:hint="eastAsia" w:ascii="宋体" w:hAnsi="宋体" w:eastAsia="宋体" w:cs="宋体"/>
          <w:color w:val="auto"/>
          <w:sz w:val="21"/>
          <w:szCs w:val="21"/>
          <w:highlight w:val="none"/>
          <w:lang w:val="en-US" w:eastAsia="zh-CN"/>
        </w:rPr>
        <w:t>尤其是和宁波市发改系统</w:t>
      </w:r>
      <w:r>
        <w:rPr>
          <w:rFonts w:hint="eastAsia" w:ascii="宋体" w:hAnsi="宋体" w:cs="宋体"/>
          <w:color w:val="auto"/>
          <w:sz w:val="21"/>
          <w:szCs w:val="21"/>
          <w:highlight w:val="none"/>
          <w:lang w:val="en-US" w:eastAsia="zh-CN"/>
        </w:rPr>
        <w:t>、宁波市公共资源交易电子服务系统（宁海分网）、浙政钉</w:t>
      </w:r>
      <w:r>
        <w:rPr>
          <w:rFonts w:hint="eastAsia" w:ascii="宋体" w:hAnsi="宋体" w:eastAsia="宋体" w:cs="宋体"/>
          <w:color w:val="auto"/>
          <w:sz w:val="21"/>
          <w:szCs w:val="21"/>
          <w:highlight w:val="none"/>
          <w:lang w:val="en-US" w:eastAsia="zh-CN"/>
        </w:rPr>
        <w:t>进行数据对接</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汇聚平台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开发人员</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通过平台完成各部门及街道系统</w:t>
      </w:r>
      <w:r>
        <w:rPr>
          <w:rFonts w:hint="eastAsia" w:ascii="宋体" w:hAnsi="宋体" w:eastAsia="宋体" w:cs="宋体"/>
          <w:color w:val="auto"/>
          <w:sz w:val="21"/>
          <w:szCs w:val="21"/>
          <w:highlight w:val="none"/>
          <w:lang w:val="en-US" w:eastAsia="zh-CN"/>
        </w:rPr>
        <w:t>设置模块，包括但不限于功能优化、模块自</w:t>
      </w:r>
      <w:r>
        <w:rPr>
          <w:rFonts w:hint="eastAsia" w:ascii="宋体" w:hAnsi="宋体" w:eastAsia="宋体" w:cs="宋体"/>
          <w:color w:val="auto"/>
          <w:sz w:val="21"/>
          <w:szCs w:val="21"/>
          <w:highlight w:val="none"/>
        </w:rPr>
        <w:t>定义设置功能</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数据接入</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，确保事</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rPr>
        <w:t>接入快速、便捷</w:t>
      </w:r>
      <w:r>
        <w:rPr>
          <w:rFonts w:hint="eastAsia" w:ascii="宋体" w:hAnsi="宋体" w:cs="宋体"/>
          <w:color w:val="auto"/>
          <w:sz w:val="21"/>
          <w:szCs w:val="21"/>
          <w:highlight w:val="none"/>
          <w:lang w:val="en-US" w:eastAsia="zh-CN"/>
        </w:rPr>
        <w:t>以满足各</w:t>
      </w:r>
      <w:r>
        <w:rPr>
          <w:rFonts w:hint="eastAsia" w:ascii="宋体" w:hAnsi="宋体" w:eastAsia="宋体" w:cs="宋体"/>
          <w:color w:val="auto"/>
          <w:sz w:val="21"/>
          <w:szCs w:val="21"/>
          <w:highlight w:val="none"/>
        </w:rPr>
        <w:t>各部门及街道</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w:t>
      </w:r>
    </w:p>
    <w:p>
      <w:pPr>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bookmarkStart w:id="25" w:name="_Toc25123"/>
      <w:r>
        <w:rPr>
          <w:rFonts w:hint="eastAsia" w:ascii="宋体" w:hAnsi="宋体" w:cs="宋体"/>
          <w:b/>
          <w:bCs/>
          <w:color w:val="auto"/>
          <w:sz w:val="32"/>
          <w:szCs w:val="32"/>
          <w:highlight w:val="none"/>
        </w:rPr>
        <w:br w:type="page"/>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cs="宋体"/>
          <w:b/>
          <w:bCs/>
          <w:color w:val="auto"/>
          <w:sz w:val="24"/>
          <w:szCs w:val="24"/>
          <w:highlight w:val="none"/>
        </w:rPr>
      </w:pPr>
      <w:r>
        <w:rPr>
          <w:rFonts w:hint="eastAsia" w:ascii="宋体" w:hAnsi="宋体" w:cs="宋体"/>
          <w:b/>
          <w:bCs/>
          <w:color w:val="auto"/>
          <w:sz w:val="32"/>
          <w:szCs w:val="32"/>
          <w:highlight w:val="none"/>
        </w:rPr>
        <w:t>第三章</w:t>
      </w:r>
      <w:r>
        <w:rPr>
          <w:rFonts w:ascii="宋体" w:hAnsi="宋体"/>
          <w:b/>
          <w:bCs/>
          <w:color w:val="auto"/>
          <w:sz w:val="32"/>
          <w:szCs w:val="32"/>
          <w:highlight w:val="none"/>
        </w:rPr>
        <w:t xml:space="preserve">  </w:t>
      </w:r>
      <w:r>
        <w:rPr>
          <w:rFonts w:hint="eastAsia" w:ascii="宋体" w:hAnsi="宋体" w:cs="宋体"/>
          <w:b/>
          <w:bCs/>
          <w:color w:val="auto"/>
          <w:sz w:val="32"/>
          <w:szCs w:val="32"/>
          <w:highlight w:val="none"/>
          <w:lang w:val="en-US" w:eastAsia="zh-CN"/>
        </w:rPr>
        <w:t>供应商</w:t>
      </w:r>
      <w:r>
        <w:rPr>
          <w:rFonts w:hint="eastAsia" w:ascii="宋体" w:hAnsi="宋体" w:cs="宋体"/>
          <w:b/>
          <w:bCs/>
          <w:color w:val="auto"/>
          <w:sz w:val="32"/>
          <w:szCs w:val="32"/>
          <w:highlight w:val="none"/>
        </w:rPr>
        <w:t>须知</w:t>
      </w:r>
      <w:bookmarkEnd w:id="6"/>
      <w:bookmarkEnd w:id="25"/>
      <w:bookmarkStart w:id="26" w:name="_Toc1665"/>
    </w:p>
    <w:p>
      <w:pPr>
        <w:snapToGrid w:val="0"/>
        <w:spacing w:before="120" w:beforeLines="50" w:after="120" w:afterLines="50" w:line="276" w:lineRule="auto"/>
        <w:ind w:left="238"/>
        <w:jc w:val="center"/>
        <w:outlineLvl w:val="1"/>
        <w:rPr>
          <w:rFonts w:ascii="宋体" w:hAnsi="宋体"/>
          <w:b/>
          <w:bCs/>
          <w:color w:val="auto"/>
          <w:sz w:val="24"/>
          <w:szCs w:val="24"/>
          <w:highlight w:val="none"/>
        </w:rPr>
      </w:pPr>
      <w:r>
        <w:rPr>
          <w:rFonts w:hint="eastAsia" w:ascii="宋体" w:hAnsi="宋体" w:cs="宋体"/>
          <w:b/>
          <w:bCs/>
          <w:color w:val="auto"/>
          <w:sz w:val="24"/>
          <w:szCs w:val="24"/>
          <w:highlight w:val="none"/>
        </w:rPr>
        <w:t>前附表</w:t>
      </w:r>
      <w:bookmarkEnd w:id="26"/>
    </w:p>
    <w:tbl>
      <w:tblPr>
        <w:tblStyle w:val="49"/>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4"/>
        <w:gridCol w:w="8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4" w:type="dxa"/>
            <w:tcBorders>
              <w:top w:val="single" w:color="auto" w:sz="4" w:space="0"/>
              <w:bottom w:val="single" w:color="auto" w:sz="4" w:space="0"/>
              <w:right w:val="single" w:color="auto" w:sz="4" w:space="0"/>
            </w:tcBorders>
            <w:vAlign w:val="center"/>
          </w:tcPr>
          <w:p>
            <w:pPr>
              <w:spacing w:line="240" w:lineRule="auto"/>
              <w:jc w:val="center"/>
              <w:rPr>
                <w:rFonts w:ascii="宋体" w:hAnsi="宋体"/>
                <w:b/>
                <w:bCs/>
                <w:color w:val="auto"/>
                <w:highlight w:val="none"/>
              </w:rPr>
            </w:pPr>
            <w:r>
              <w:rPr>
                <w:rFonts w:hint="eastAsia" w:ascii="宋体" w:hAnsi="宋体" w:cs="宋体"/>
                <w:b/>
                <w:bCs/>
                <w:color w:val="auto"/>
                <w:highlight w:val="none"/>
              </w:rPr>
              <w:t>序号</w:t>
            </w:r>
          </w:p>
        </w:tc>
        <w:tc>
          <w:tcPr>
            <w:tcW w:w="8613" w:type="dxa"/>
            <w:tcBorders>
              <w:top w:val="single" w:color="auto" w:sz="4" w:space="0"/>
              <w:left w:val="single" w:color="auto" w:sz="4" w:space="0"/>
              <w:bottom w:val="single" w:color="auto" w:sz="4" w:space="0"/>
            </w:tcBorders>
            <w:vAlign w:val="center"/>
          </w:tcPr>
          <w:p>
            <w:pPr>
              <w:spacing w:line="240" w:lineRule="auto"/>
              <w:jc w:val="center"/>
              <w:rPr>
                <w:rFonts w:ascii="宋体" w:hAnsi="宋体"/>
                <w:b/>
                <w:bCs/>
                <w:color w:val="auto"/>
                <w:highlight w:val="none"/>
              </w:rPr>
            </w:pPr>
            <w:r>
              <w:rPr>
                <w:rFonts w:hint="eastAsia" w:ascii="宋体" w:hAnsi="宋体" w:cs="宋体"/>
                <w:b/>
                <w:bCs/>
                <w:color w:val="auto"/>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ascii="宋体" w:hAnsi="宋体" w:cs="宋体"/>
                <w:color w:val="auto"/>
                <w:highlight w:val="none"/>
              </w:rPr>
              <w:t>1</w:t>
            </w:r>
          </w:p>
        </w:tc>
        <w:tc>
          <w:tcPr>
            <w:tcW w:w="861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联合体投标：不接受；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如招标文件接收联合体投标，联合体各方均应符合《政府采购法》第二十二条第一款规定的关于供应商基本资格条件，联合体中至少应当有一方符合招标文件规定的特定条件。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联合体各方之间应当签订共同投标协议，明确约定联合体各方承担的工作和相应责任，并将共同投标协议连同投标文件一并提交。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联合体各方不得再以自己名义单独在同一项目中投标，也不得组成新的联合体参加同一项目投标。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4" w:type="dxa"/>
            <w:tcBorders>
              <w:top w:val="single" w:color="auto" w:sz="4" w:space="0"/>
              <w:bottom w:val="single" w:color="auto" w:sz="4" w:space="0"/>
              <w:right w:val="single" w:color="auto" w:sz="4" w:space="0"/>
            </w:tcBorders>
            <w:vAlign w:val="center"/>
          </w:tcPr>
          <w:p>
            <w:pPr>
              <w:spacing w:line="240" w:lineRule="auto"/>
              <w:jc w:val="center"/>
              <w:rPr>
                <w:rFonts w:ascii="宋体" w:hAnsi="宋体"/>
                <w:color w:val="auto"/>
                <w:highlight w:val="none"/>
              </w:rPr>
            </w:pPr>
            <w:r>
              <w:rPr>
                <w:rFonts w:ascii="宋体" w:hAnsi="宋体" w:cs="宋体"/>
                <w:color w:val="auto"/>
                <w:highlight w:val="none"/>
              </w:rPr>
              <w:t>2</w:t>
            </w:r>
          </w:p>
        </w:tc>
        <w:tc>
          <w:tcPr>
            <w:tcW w:w="861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专门面向中小微企业采购：是。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w:t>
            </w:r>
            <w:r>
              <w:rPr>
                <w:rFonts w:ascii="宋体" w:hAnsi="宋体" w:cs="宋体"/>
                <w:color w:val="auto"/>
                <w:highlight w:val="none"/>
              </w:rPr>
              <w:t>3</w:t>
            </w:r>
          </w:p>
        </w:tc>
        <w:tc>
          <w:tcPr>
            <w:tcW w:w="861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投标报价及费用：</w:t>
            </w:r>
          </w:p>
          <w:p>
            <w:pPr>
              <w:pStyle w:val="4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lang w:val="en-US" w:eastAsia="zh-CN"/>
              </w:rPr>
              <w:t>本项目设置最高限价，最高限价为</w:t>
            </w:r>
            <w:r>
              <w:rPr>
                <w:rFonts w:hint="eastAsia" w:ascii="宋体" w:hAnsi="宋体" w:cs="宋体"/>
                <w:b/>
                <w:bCs/>
                <w:color w:val="auto"/>
                <w:sz w:val="21"/>
                <w:szCs w:val="21"/>
                <w:highlight w:val="none"/>
                <w:u w:val="none"/>
                <w:lang w:val="en-US" w:eastAsia="zh-CN"/>
              </w:rPr>
              <w:t>人民币</w:t>
            </w:r>
            <w:r>
              <w:rPr>
                <w:rFonts w:hint="eastAsia" w:ascii="宋体" w:hAnsi="宋体" w:cs="宋体"/>
                <w:color w:val="auto"/>
                <w:sz w:val="21"/>
                <w:szCs w:val="21"/>
                <w:highlight w:val="none"/>
                <w:u w:val="single"/>
                <w:lang w:val="en-US" w:eastAsia="zh-CN"/>
              </w:rPr>
              <w:t>1590000</w:t>
            </w:r>
            <w:r>
              <w:rPr>
                <w:rFonts w:hint="eastAsia" w:ascii="宋体" w:hAnsi="宋体" w:eastAsia="宋体" w:cs="宋体"/>
                <w:b/>
                <w:bCs/>
                <w:color w:val="auto"/>
                <w:sz w:val="21"/>
                <w:szCs w:val="21"/>
                <w:highlight w:val="none"/>
              </w:rPr>
              <w:t>元</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超过最高限价的</w:t>
            </w:r>
            <w:r>
              <w:rPr>
                <w:rFonts w:hint="eastAsia" w:ascii="宋体" w:hAnsi="宋体" w:cs="宋体"/>
                <w:b/>
                <w:bCs/>
                <w:color w:val="auto"/>
                <w:sz w:val="21"/>
                <w:szCs w:val="21"/>
                <w:highlight w:val="none"/>
                <w:lang w:val="en-US" w:eastAsia="zh-CN"/>
              </w:rPr>
              <w:t>投标报价</w:t>
            </w:r>
            <w:r>
              <w:rPr>
                <w:rFonts w:hint="eastAsia" w:ascii="宋体" w:hAnsi="宋体" w:eastAsia="宋体" w:cs="宋体"/>
                <w:b/>
                <w:bCs/>
                <w:color w:val="auto"/>
                <w:sz w:val="21"/>
                <w:szCs w:val="21"/>
                <w:highlight w:val="none"/>
                <w:lang w:val="en-US" w:eastAsia="zh-CN"/>
              </w:rPr>
              <w:t>作无效标处理。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本项目投标应以人民币报价；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报价：本次投标报价应包括软件平台制作、人员费用、设备采购、包装运输、装卸、税金、保险、仓储、安装、检测（包括项目实施过程中的检测等）、软件及设备安装、调试、系统的调试与兼容、验收取证、技术培训、售后服务、提交相应技术资料、返工、税费、合理利润、中标服务费等一切为完成本项目的所有费用，采购人不再另行支付其他任何形式的费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）不论投标结果如何，</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sz w:val="21"/>
                <w:szCs w:val="21"/>
                <w:highlight w:val="none"/>
              </w:rPr>
              <w:t>均应自行承担所有与投标有关的全部费用</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highlight w:val="none"/>
                <w:lang w:eastAsia="zh-CN"/>
              </w:rPr>
            </w:pPr>
            <w:r>
              <w:rPr>
                <w:rFonts w:hint="eastAsia" w:ascii="宋体" w:hAnsi="宋体" w:cs="宋体"/>
                <w:color w:val="auto"/>
                <w:highlight w:val="none"/>
                <w:lang w:val="en-US" w:eastAsia="zh-CN"/>
              </w:rPr>
              <w:t>4</w:t>
            </w:r>
          </w:p>
        </w:tc>
        <w:tc>
          <w:tcPr>
            <w:tcW w:w="861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2"/>
                <w:szCs w:val="22"/>
                <w:highlight w:val="none"/>
              </w:rPr>
              <w:t>履约保证金：</w:t>
            </w:r>
            <w:r>
              <w:rPr>
                <w:rFonts w:hint="eastAsia" w:ascii="宋体" w:hAnsi="宋体" w:cs="宋体"/>
                <w:color w:val="auto"/>
                <w:sz w:val="22"/>
                <w:szCs w:val="22"/>
                <w:highlight w:val="none"/>
                <w:lang w:val="en-US" w:eastAsia="zh-CN"/>
              </w:rPr>
              <w:t>不作要求。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highlight w:val="none"/>
                <w:lang w:eastAsia="zh-CN"/>
              </w:rPr>
            </w:pPr>
            <w:r>
              <w:rPr>
                <w:rFonts w:hint="eastAsia" w:ascii="宋体" w:hAnsi="宋体" w:cs="宋体"/>
                <w:color w:val="auto"/>
                <w:highlight w:val="none"/>
                <w:lang w:val="en-US" w:eastAsia="zh-CN"/>
              </w:rPr>
              <w:t>5</w:t>
            </w:r>
          </w:p>
        </w:tc>
        <w:tc>
          <w:tcPr>
            <w:tcW w:w="8613" w:type="dxa"/>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投标文件组成：</w:t>
            </w:r>
          </w:p>
          <w:p>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上传到政府采购云平台的电子投标文件（含资格文件、商务技术文件、报价文件）1份。</w:t>
            </w:r>
          </w:p>
          <w:p>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以U盘存储的电子备份投标文件（含资格文件、商务技术文件、报价文件）1份。</w:t>
            </w:r>
          </w:p>
          <w:p>
            <w:pPr>
              <w:pStyle w:val="48"/>
              <w:keepNext w:val="0"/>
              <w:keepLines w:val="0"/>
              <w:pageBreakBefore w:val="0"/>
              <w:widowControl w:val="0"/>
              <w:kinsoku/>
              <w:wordWrap/>
              <w:overflowPunct/>
              <w:topLinePunct w:val="0"/>
              <w:bidi w:val="0"/>
              <w:adjustRightInd/>
              <w:snapToGrid/>
              <w:spacing w:after="0"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U盘存储的电子备份投标文件单独装袋按要求密封做好标记，不符合规定的为无效投标</w:t>
            </w:r>
          </w:p>
          <w:p>
            <w:pPr>
              <w:pStyle w:val="48"/>
              <w:keepNext w:val="0"/>
              <w:keepLines w:val="0"/>
              <w:pageBreakBefore w:val="0"/>
              <w:widowControl w:val="0"/>
              <w:kinsoku/>
              <w:wordWrap/>
              <w:overflowPunct/>
              <w:topLinePunct w:val="0"/>
              <w:bidi w:val="0"/>
              <w:adjustRightInd/>
              <w:snapToGrid/>
              <w:spacing w:after="0"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注：中标单位中标后在领取中标通知书时提供纸质投标文件一正四副。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4" w:type="dxa"/>
            <w:tcBorders>
              <w:top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olor w:val="auto"/>
                <w:highlight w:val="none"/>
                <w:lang w:eastAsia="zh-CN"/>
              </w:rPr>
            </w:pPr>
            <w:r>
              <w:rPr>
                <w:rFonts w:hint="eastAsia" w:ascii="宋体" w:hAnsi="宋体" w:cs="宋体"/>
                <w:color w:val="auto"/>
                <w:highlight w:val="none"/>
                <w:lang w:val="en-US" w:eastAsia="zh-CN"/>
              </w:rPr>
              <w:t>6</w:t>
            </w:r>
          </w:p>
        </w:tc>
        <w:tc>
          <w:tcPr>
            <w:tcW w:w="861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投标截止时间及地点：详见《公开招标采购公告》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4" w:type="dxa"/>
            <w:tcBorders>
              <w:top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olor w:val="auto"/>
                <w:highlight w:val="none"/>
                <w:lang w:eastAsia="zh-CN"/>
              </w:rPr>
            </w:pPr>
            <w:r>
              <w:rPr>
                <w:rFonts w:hint="eastAsia" w:ascii="宋体" w:hAnsi="宋体" w:cs="宋体"/>
                <w:color w:val="auto"/>
                <w:highlight w:val="none"/>
                <w:lang w:val="en-US" w:eastAsia="zh-CN"/>
              </w:rPr>
              <w:t>7</w:t>
            </w:r>
          </w:p>
        </w:tc>
        <w:tc>
          <w:tcPr>
            <w:tcW w:w="861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4" w:type="dxa"/>
            <w:tcBorders>
              <w:top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olor w:val="auto"/>
                <w:highlight w:val="none"/>
                <w:lang w:eastAsia="zh-CN"/>
              </w:rPr>
            </w:pPr>
            <w:r>
              <w:rPr>
                <w:rFonts w:hint="eastAsia" w:ascii="宋体" w:hAnsi="宋体" w:cs="宋体"/>
                <w:color w:val="auto"/>
                <w:highlight w:val="none"/>
                <w:lang w:val="en-US" w:eastAsia="zh-CN"/>
              </w:rPr>
              <w:t>8</w:t>
            </w:r>
          </w:p>
        </w:tc>
        <w:tc>
          <w:tcPr>
            <w:tcW w:w="861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4" w:type="dxa"/>
            <w:tcBorders>
              <w:top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olor w:val="auto"/>
                <w:highlight w:val="none"/>
                <w:lang w:val="en-US" w:eastAsia="zh-CN"/>
              </w:rPr>
            </w:pPr>
            <w:r>
              <w:rPr>
                <w:rFonts w:hint="eastAsia" w:ascii="宋体" w:hAnsi="宋体" w:cs="宋体"/>
                <w:color w:val="auto"/>
                <w:highlight w:val="none"/>
                <w:lang w:val="en-US" w:eastAsia="zh-CN"/>
              </w:rPr>
              <w:t>9</w:t>
            </w:r>
          </w:p>
        </w:tc>
        <w:tc>
          <w:tcPr>
            <w:tcW w:w="861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本次招标有关信息公告在：浙江政府采购网（www.zjzfcg.gov.cn）、宁波政府采购(www.nbzfcg.cn)、宁波市公共资源交易电子服务系统v2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0（https://jyxt.zwb.ningbo.gov.cn:4011/website/home）</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4" w:type="dxa"/>
            <w:tcBorders>
              <w:top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olor w:val="auto"/>
                <w:highlight w:val="none"/>
                <w:lang w:val="en-US" w:eastAsia="zh-CN"/>
              </w:rPr>
            </w:pPr>
            <w:r>
              <w:rPr>
                <w:rFonts w:hint="eastAsia" w:ascii="宋体" w:hAnsi="宋体" w:cs="宋体"/>
                <w:color w:val="auto"/>
                <w:highlight w:val="none"/>
                <w:lang w:val="en-US" w:eastAsia="zh-CN"/>
              </w:rPr>
              <w:t>10</w:t>
            </w:r>
          </w:p>
        </w:tc>
        <w:tc>
          <w:tcPr>
            <w:tcW w:w="861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4" w:type="dxa"/>
            <w:tcBorders>
              <w:top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1</w:t>
            </w:r>
          </w:p>
        </w:tc>
        <w:tc>
          <w:tcPr>
            <w:tcW w:w="861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采购资金来源：财政</w:t>
            </w:r>
            <w:r>
              <w:rPr>
                <w:rFonts w:hint="eastAsia" w:ascii="宋体" w:hAnsi="宋体" w:eastAsia="宋体" w:cs="宋体"/>
                <w:color w:val="auto"/>
                <w:sz w:val="21"/>
                <w:szCs w:val="21"/>
                <w:highlight w:val="none"/>
                <w:lang w:val="en-US" w:eastAsia="zh-CN"/>
              </w:rPr>
              <w:t>资</w:t>
            </w:r>
            <w:r>
              <w:rPr>
                <w:rFonts w:hint="eastAsia" w:ascii="宋体" w:hAnsi="宋体" w:eastAsia="宋体" w:cs="宋体"/>
                <w:color w:val="auto"/>
                <w:sz w:val="21"/>
                <w:szCs w:val="21"/>
                <w:highlight w:val="none"/>
              </w:rPr>
              <w:t>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4" w:type="dxa"/>
            <w:tcBorders>
              <w:top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p>
        </w:tc>
        <w:tc>
          <w:tcPr>
            <w:tcW w:w="861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付款方式：详见第二章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采购需求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4" w:type="dxa"/>
            <w:tcBorders>
              <w:top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8613" w:type="dxa"/>
            <w:tcBorders>
              <w:top w:val="single" w:color="auto" w:sz="4" w:space="0"/>
              <w:left w:val="single" w:color="auto" w:sz="4" w:space="0"/>
              <w:bottom w:val="single" w:color="auto" w:sz="4" w:space="0"/>
            </w:tcBorders>
            <w:vAlign w:val="center"/>
          </w:tcPr>
          <w:p>
            <w:pPr>
              <w:pStyle w:val="17"/>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本项目中标服</w:t>
            </w:r>
            <w:r>
              <w:rPr>
                <w:rFonts w:hint="eastAsia" w:ascii="宋体" w:hAnsi="宋体" w:eastAsia="宋体" w:cs="宋体"/>
                <w:color w:val="auto"/>
                <w:sz w:val="21"/>
                <w:szCs w:val="21"/>
                <w:highlight w:val="none"/>
                <w:lang w:val="en-US" w:eastAsia="zh-CN"/>
              </w:rPr>
              <w:t>务费由中标人支付，</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“宁波市网上中介超市”中选价格16000元</w:t>
            </w:r>
            <w:r>
              <w:rPr>
                <w:rFonts w:hint="eastAsia" w:ascii="宋体" w:hAnsi="宋体" w:eastAsia="宋体" w:cs="宋体"/>
                <w:color w:val="auto"/>
                <w:sz w:val="21"/>
                <w:szCs w:val="21"/>
                <w:highlight w:val="none"/>
              </w:rPr>
              <w:t>由中标</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在招标代理机构发出中标通知书前向招标代理机构</w:t>
            </w:r>
            <w:r>
              <w:rPr>
                <w:rFonts w:hint="eastAsia" w:ascii="宋体" w:hAnsi="宋体" w:eastAsia="宋体" w:cs="宋体"/>
                <w:color w:val="auto"/>
                <w:sz w:val="21"/>
                <w:szCs w:val="21"/>
                <w:highlight w:val="none"/>
                <w:lang w:val="en-US" w:eastAsia="zh-CN"/>
              </w:rPr>
              <w:t>一次性</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服务费</w:t>
            </w:r>
            <w:r>
              <w:rPr>
                <w:rFonts w:hint="eastAsia" w:ascii="宋体" w:hAnsi="宋体" w:eastAsia="宋体" w:cs="宋体"/>
                <w:color w:val="auto"/>
                <w:sz w:val="21"/>
                <w:szCs w:val="21"/>
                <w:highlight w:val="none"/>
                <w:lang w:eastAsia="zh-CN"/>
              </w:rPr>
              <w:t>。</w:t>
            </w:r>
          </w:p>
          <w:p>
            <w:pPr>
              <w:pStyle w:val="17"/>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关于本次采购的中标服务费请汇入以下账户：</w:t>
            </w:r>
          </w:p>
          <w:p>
            <w:pPr>
              <w:pStyle w:val="17"/>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开户银行：宁波银行南苑支行</w:t>
            </w:r>
          </w:p>
          <w:p>
            <w:pPr>
              <w:pStyle w:val="17"/>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    号：24040122000059033</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户    名：宁波市盛达工程管理咨询有限公司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4" w:type="dxa"/>
            <w:tcBorders>
              <w:top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olor w:val="auto"/>
                <w:highlight w:val="none"/>
                <w:lang w:val="en-US" w:eastAsia="zh-CN"/>
              </w:rPr>
            </w:pPr>
            <w:r>
              <w:rPr>
                <w:rFonts w:hint="eastAsia" w:ascii="宋体" w:hAnsi="宋体" w:cs="宋体"/>
                <w:color w:val="auto"/>
                <w:highlight w:val="none"/>
              </w:rPr>
              <w:t>★</w:t>
            </w:r>
            <w:r>
              <w:rPr>
                <w:rFonts w:hint="eastAsia" w:ascii="宋体" w:hAnsi="宋体" w:cs="宋体"/>
                <w:color w:val="auto"/>
                <w:highlight w:val="none"/>
                <w:lang w:val="en-US" w:eastAsia="zh-CN"/>
              </w:rPr>
              <w:t>14</w:t>
            </w:r>
          </w:p>
        </w:tc>
        <w:tc>
          <w:tcPr>
            <w:tcW w:w="861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投标文件有效期：自投标截止</w:t>
            </w:r>
            <w:r>
              <w:rPr>
                <w:rFonts w:hint="eastAsia" w:ascii="宋体" w:hAnsi="宋体" w:eastAsia="宋体" w:cs="宋体"/>
                <w:color w:val="auto"/>
                <w:sz w:val="21"/>
                <w:szCs w:val="21"/>
                <w:highlight w:val="none"/>
                <w:lang w:eastAsia="zh-CN"/>
              </w:rPr>
              <w:t>之</w:t>
            </w:r>
            <w:r>
              <w:rPr>
                <w:rFonts w:hint="eastAsia" w:ascii="宋体" w:hAnsi="宋体" w:eastAsia="宋体" w:cs="宋体"/>
                <w:color w:val="auto"/>
                <w:sz w:val="21"/>
                <w:szCs w:val="21"/>
                <w:highlight w:val="none"/>
              </w:rPr>
              <w:t>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4" w:type="dxa"/>
            <w:tcBorders>
              <w:top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olor w:val="auto"/>
                <w:highlight w:val="none"/>
                <w:lang w:val="en-US" w:eastAsia="zh-CN"/>
              </w:rPr>
            </w:pPr>
            <w:r>
              <w:rPr>
                <w:rFonts w:hint="eastAsia" w:ascii="宋体" w:hAnsi="宋体" w:cs="宋体"/>
                <w:color w:val="auto"/>
                <w:highlight w:val="none"/>
                <w:lang w:val="en-US" w:eastAsia="zh-CN"/>
              </w:rPr>
              <w:t>15</w:t>
            </w:r>
          </w:p>
        </w:tc>
        <w:tc>
          <w:tcPr>
            <w:tcW w:w="861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解释：本采购文件的解释权属于招标采购单位。</w:t>
            </w:r>
          </w:p>
        </w:tc>
      </w:tr>
    </w:tbl>
    <w:p>
      <w:pPr>
        <w:spacing w:line="360" w:lineRule="auto"/>
        <w:rPr>
          <w:rFonts w:hint="eastAsia" w:ascii="宋体" w:hAnsi="宋体" w:cs="宋体"/>
          <w:b/>
          <w:bCs/>
          <w:color w:val="auto"/>
          <w:highlight w:val="none"/>
        </w:rPr>
      </w:pPr>
      <w:bookmarkStart w:id="27" w:name="_Toc14242"/>
      <w:bookmarkStart w:id="28" w:name="_Toc23978"/>
    </w:p>
    <w:p>
      <w:pPr>
        <w:spacing w:line="360" w:lineRule="auto"/>
        <w:rPr>
          <w:rFonts w:hint="eastAsia" w:ascii="宋体" w:hAnsi="宋体" w:cs="宋体"/>
          <w:b/>
          <w:bCs/>
          <w:color w:val="auto"/>
          <w:highlight w:val="none"/>
        </w:rPr>
      </w:pPr>
    </w:p>
    <w:p>
      <w:pPr>
        <w:spacing w:line="360" w:lineRule="auto"/>
        <w:rPr>
          <w:rFonts w:hint="eastAsia" w:ascii="宋体" w:hAnsi="宋体" w:cs="宋体"/>
          <w:b/>
          <w:bCs/>
          <w:color w:val="auto"/>
          <w:highlight w:val="none"/>
        </w:rPr>
      </w:pPr>
    </w:p>
    <w:p>
      <w:pPr>
        <w:spacing w:line="360" w:lineRule="auto"/>
        <w:rPr>
          <w:rFonts w:hint="eastAsia" w:ascii="宋体" w:hAnsi="宋体" w:cs="宋体"/>
          <w:b/>
          <w:bCs/>
          <w:color w:val="auto"/>
          <w:highlight w:val="none"/>
        </w:rPr>
      </w:pPr>
    </w:p>
    <w:p>
      <w:pPr>
        <w:rPr>
          <w:rFonts w:hint="eastAsia" w:ascii="宋体" w:hAnsi="宋体" w:cs="宋体"/>
          <w:b/>
          <w:bCs/>
          <w:color w:val="auto"/>
          <w:highlight w:val="none"/>
        </w:rPr>
      </w:pPr>
      <w:r>
        <w:rPr>
          <w:rFonts w:hint="eastAsia" w:ascii="宋体" w:hAnsi="宋体" w:cs="宋体"/>
          <w:b/>
          <w:bCs/>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1"/>
        <w:rPr>
          <w:rFonts w:hint="eastAsia" w:ascii="宋体" w:hAnsi="宋体" w:eastAsia="宋体" w:cs="宋体"/>
          <w:color w:val="auto"/>
          <w:highlight w:val="none"/>
        </w:rPr>
      </w:pPr>
      <w:r>
        <w:rPr>
          <w:rFonts w:hint="eastAsia" w:ascii="宋体" w:hAnsi="宋体" w:eastAsia="宋体" w:cs="宋体"/>
          <w:b/>
          <w:bCs/>
          <w:color w:val="auto"/>
          <w:highlight w:val="none"/>
        </w:rPr>
        <w:t>一、总则</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（一） 适用范围</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本采购文件适用于本项目的招标、投标、评标、定标、验收、合同履约、付款等行为（法律、法规另有规定的，从其规定）。</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（二）定义</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1.“招标采购单位”系指组织本次招标的代理机构和采购单位（“采购人”）。</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2.“供应商”系指向招标方提交投标文件的单位或个人。</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3.“产品”系指供方按采购文件规定，须向采购人提供的一切设备、保险、税金、备品备件、工具、手册及其它有关技术资料和材料。</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4.“服务”系指采购文件规定供应商须承担的指导安装、技术协助、校准、培训、技术指导以及其他类似的义务。</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5.“项目”系指供应商按采购文件规定向采购人提供的产品和服务。</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6.“书面形式”包括信函、传真、电报等。</w:t>
      </w:r>
    </w:p>
    <w:p>
      <w:pPr>
        <w:keepNext w:val="0"/>
        <w:keepLines w:val="0"/>
        <w:pageBreakBefore w:val="0"/>
        <w:widowControl w:val="0"/>
        <w:kinsoku/>
        <w:wordWrap/>
        <w:overflowPunct/>
        <w:topLinePunct w:val="0"/>
        <w:autoSpaceDE/>
        <w:autoSpaceDN/>
        <w:bidi w:val="0"/>
        <w:spacing w:line="360" w:lineRule="auto"/>
        <w:ind w:left="0" w:firstLine="422" w:firstLineChars="200"/>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7.</w:t>
      </w:r>
      <w:r>
        <w:rPr>
          <w:rFonts w:hint="eastAsia" w:ascii="宋体" w:hAnsi="宋体" w:eastAsia="宋体" w:cs="宋体"/>
          <w:color w:val="auto"/>
          <w:highlight w:val="none"/>
        </w:rPr>
        <w:t>“★”</w:t>
      </w:r>
      <w:r>
        <w:rPr>
          <w:rFonts w:hint="eastAsia" w:ascii="宋体" w:hAnsi="宋体" w:eastAsia="宋体" w:cs="宋体"/>
          <w:b/>
          <w:bCs/>
          <w:color w:val="auto"/>
          <w:highlight w:val="none"/>
        </w:rPr>
        <w:t>系指实质性要求条款。</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（三）招标方式</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本次招标采用公开招标方式进行。</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（四）投标委托</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供应商代表须携带有效身份证件。如供应商代表不是法定代表人，须有法定代表人出具的授权委托书（正本用原件，副本用复印件，格式见第六章）。</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（五）投标费用</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不论投标结果如何，供应商均应自行承担所有与投标有关的全部费用（采购文件有相反规定除外）。</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（六）联合体投标</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本项目不接受联合体投标。</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（七）</w:t>
      </w:r>
      <w:r>
        <w:rPr>
          <w:rFonts w:hint="eastAsia" w:ascii="宋体" w:hAnsi="宋体" w:eastAsia="宋体" w:cs="宋体"/>
          <w:color w:val="auto"/>
          <w:kern w:val="0"/>
          <w:highlight w:val="none"/>
        </w:rPr>
        <w:t>转包与分包</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本项目不允许转包、</w:t>
      </w:r>
      <w:r>
        <w:rPr>
          <w:rFonts w:hint="eastAsia" w:ascii="宋体" w:hAnsi="宋体" w:eastAsia="宋体" w:cs="宋体"/>
          <w:color w:val="auto"/>
          <w:kern w:val="0"/>
          <w:highlight w:val="none"/>
        </w:rPr>
        <w:t>未经采购单位允许，不得分包。</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（八）特别说明：</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 供应商投标所使用的资格、信誉、荣誉、业绩与企业认证必须为本法人所拥有。供应商投标所使用的采购项目实施人员必须为本法人员工（或必须为本法人或控股公司正式员工）。</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 供应商应仔细阅读采购文件的所有内容，按照采购文件的要求提交投标文件，并对所提供的全部资料的真实性承担法律责任。</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 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5、提供相同品牌产品且通过资格审查、符合性审查的不同供应商参加同一合同项下投标的，按一家供应商计算。</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若采用综合评分法进行评审的，评审后得分最高的同品牌供应商获得中标人推荐资格；评审得分相同的，由评标委员会按照采购文件规定的方式确定一个供应商获得中标人的推荐资格，采购文件未规定的采取随机抽取的方式确定，其他同品牌供应商不作为中标候选人。</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若采用最低评标价法进行评审的，以报价最低的供应商参加评审，报价相同的，由评标委员会按照采购文件规定的方式确定一个供应商获得中标人的推荐资格，采购文件未规定的采取随机抽取的方式确定，其他投标无效。</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非单一产品采购项目，供应商使用相同制造产品（相同制造产品是指采购文件中指定的“核心产品”）作为其项目的一部分，按一家供应商认定。</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（九）关于分公司投标</w:t>
      </w:r>
    </w:p>
    <w:p>
      <w:pPr>
        <w:keepNext w:val="0"/>
        <w:keepLines w:val="0"/>
        <w:pageBreakBefore w:val="0"/>
        <w:widowControl w:val="0"/>
        <w:kinsoku/>
        <w:wordWrap/>
        <w:overflowPunct/>
        <w:topLinePunct w:val="0"/>
        <w:autoSpaceDE/>
        <w:autoSpaceDN/>
        <w:bidi w:val="0"/>
        <w:adjustRightInd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（十）关于知识产权</w:t>
      </w:r>
    </w:p>
    <w:p>
      <w:pPr>
        <w:keepNext w:val="0"/>
        <w:keepLines w:val="0"/>
        <w:pageBreakBefore w:val="0"/>
        <w:widowControl w:val="0"/>
        <w:kinsoku/>
        <w:wordWrap/>
        <w:overflowPunct/>
        <w:topLinePunct w:val="0"/>
        <w:autoSpaceDE/>
        <w:autoSpaceDN/>
        <w:bidi w:val="0"/>
        <w:adjustRightInd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keepNext w:val="0"/>
        <w:keepLines w:val="0"/>
        <w:pageBreakBefore w:val="0"/>
        <w:widowControl w:val="0"/>
        <w:kinsoku/>
        <w:wordWrap/>
        <w:overflowPunct/>
        <w:topLinePunct w:val="0"/>
        <w:autoSpaceDE/>
        <w:autoSpaceDN/>
        <w:bidi w:val="0"/>
        <w:adjustRightInd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2、投标报价应包含所有应向所有权人支付的专利权、商标权或其它知识产权的一切相关费用。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3、系统软件、通用软件必须是具有在中国境内的合法使用权或版权的正版软件，涉及到第三方提出侵权或知识产权的起诉及支付版税等费用由供应商承担所有责任及费用。</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（十一）质疑和投诉</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 供应商对采购人或采购代理机构的质疑答复不满意或者采购人或采购代理机构未在规定时间内作出答复的，可以在答复期满后十五个工作日内向同级采购监管部门投诉。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二、采购文件</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（一）采购文件的构成。本采购文件由以下部份组成：</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1.公开招标采购公告</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2.采购需求</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3.供应商须知</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4.评标办法及评分标准</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5.拟签订的政府采购合同</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6.投标文件格式</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7.本项目采购文件的澄清、答复、修改、补充的内容</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（二）供应商的风险</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供应商没有按照采购文件要求提供全部资料，或者供应商没有对采购文件在各方面作出实质性响应是供应商的风险，并可能导致其投标</w:t>
      </w:r>
      <w:r>
        <w:rPr>
          <w:rFonts w:hint="eastAsia" w:ascii="宋体" w:hAnsi="宋体" w:eastAsia="宋体" w:cs="宋体"/>
          <w:color w:val="auto"/>
          <w:highlight w:val="none"/>
          <w:lang w:val="en-US" w:eastAsia="zh-CN"/>
        </w:rPr>
        <w:t>无效</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（三）采购文件的澄清与修改</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应认真阅读本采购文件，发现其中有误或有不合理要求的，供应商必须在投标截止日期10日以前以书面形式要求招标采购单位澄清。采购人或者采购代理机构对采购文件进行必要的澄清或者修改的，澄清或者修改在原公告发布媒体上发布澄清公告。澄清或者修改的内容可能影响投标文件编制的，将在采购公告规定的投标截止时间至少15日前，以书面形式通知所有获取采购文件的潜在供应商；不足15日的，顺延提交投标文件的截止时间。</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2.采购代理机构必须以书面形式答复供应商要求澄清的问题，并将不包含问题来源的答复书面通知所有购买采购文件的供应商；除书面答复以外的其他澄清方式及澄清内容均无效。</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3.采购文件澄清、答复、修改、补充的内容为采购文件的组成部分。当采购文件与采购文件的答复、澄清、修改、补充通知就同一内容的表述不一致时，以最后发出的书面文件为准。</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4.采购文件的澄清、答复、修改或补充都应该通过本代理机构以法定形式发布，采购人非通过本机构，不得擅自澄清、答复、修改或补充采购文件。</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5.延长投标截止时间和开标时间，至少应当在采购文件要求提交投标文件的截止时间三日前书面通知所有采购文件收受人。</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w:t>
      </w:r>
      <w:r>
        <w:rPr>
          <w:rFonts w:hint="eastAsia" w:ascii="宋体" w:hAnsi="宋体" w:eastAsia="宋体" w:cs="宋体"/>
          <w:b/>
          <w:bCs/>
          <w:color w:val="auto"/>
          <w:highlight w:val="none"/>
        </w:rPr>
        <w:t>投标文件的形式和效力</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1、投标文件为电子投标文件以及</w:t>
      </w:r>
      <w:r>
        <w:rPr>
          <w:rFonts w:hint="eastAsia" w:ascii="宋体" w:hAnsi="宋体" w:eastAsia="宋体" w:cs="宋体"/>
          <w:color w:val="auto"/>
          <w:highlight w:val="none"/>
          <w:lang w:val="en-US" w:eastAsia="zh-CN"/>
        </w:rPr>
        <w:t>电子</w:t>
      </w:r>
      <w:r>
        <w:rPr>
          <w:rFonts w:hint="eastAsia" w:ascii="宋体" w:hAnsi="宋体" w:eastAsia="宋体" w:cs="宋体"/>
          <w:color w:val="auto"/>
          <w:highlight w:val="none"/>
        </w:rPr>
        <w:t>备份投标文件，</w:t>
      </w:r>
      <w:r>
        <w:rPr>
          <w:rFonts w:hint="eastAsia" w:ascii="宋体" w:hAnsi="宋体" w:eastAsia="宋体" w:cs="宋体"/>
          <w:color w:val="auto"/>
          <w:highlight w:val="none"/>
          <w:lang w:val="en-US" w:eastAsia="zh-CN"/>
        </w:rPr>
        <w:t>电子</w:t>
      </w:r>
      <w:r>
        <w:rPr>
          <w:rFonts w:hint="eastAsia" w:ascii="宋体" w:hAnsi="宋体" w:eastAsia="宋体" w:cs="宋体"/>
          <w:color w:val="auto"/>
          <w:highlight w:val="none"/>
        </w:rPr>
        <w:t>备份投标文件为以U盘或光盘存储的电子备份投标文件。</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2、电子投标文件，按“项目采购-电子招投标操作指南”及本招标文件要求制作，并加密。</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3、以U盘或光盘存储的电子备份投标文件，按“项目采购-电子招投标操作指南”制作的电子备份文件。</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、投标文件填写字迹必须清楚、工整，对不同文字文本投标文件的解释发生异议的，以中文文本为准。</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、投标文件的效力</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投标文件的启用，按先后顺位分别为电子投标文件、以U盘或光盘存储的电子备份投标文件。在下一顺位的投标文件启用时，前一顺位的投标文件自动失效。</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jc w:val="both"/>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电子投标文件未能按时解密，供应商提供了电子备份投标文件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以电子备份投标文件作为依据，否则视为投标文件撤回。电子投标文件已按时解密的，电子备份投标文件自动失效。</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四</w:t>
      </w:r>
      <w:r>
        <w:rPr>
          <w:rFonts w:hint="eastAsia" w:ascii="宋体" w:hAnsi="宋体" w:eastAsia="宋体" w:cs="宋体"/>
          <w:b/>
          <w:bCs/>
          <w:color w:val="auto"/>
          <w:highlight w:val="none"/>
        </w:rPr>
        <w:t>、投标文件的编制</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（一）投标文件的组成</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投标文件由资格审查文件、商务技术文件和报价文件三部份组成。</w:t>
      </w:r>
    </w:p>
    <w:p>
      <w:pPr>
        <w:keepNext w:val="0"/>
        <w:keepLines w:val="0"/>
        <w:pageBreakBefore w:val="0"/>
        <w:widowControl w:val="0"/>
        <w:numPr>
          <w:ilvl w:val="0"/>
          <w:numId w:val="6"/>
        </w:numPr>
        <w:kinsoku/>
        <w:wordWrap/>
        <w:overflowPunct/>
        <w:topLinePunct w:val="0"/>
        <w:autoSpaceDE/>
        <w:autoSpaceDN/>
        <w:bidi w:val="0"/>
        <w:spacing w:line="360" w:lineRule="auto"/>
        <w:ind w:left="0" w:firstLine="422" w:firstLineChars="200"/>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资格审查文件</w:t>
      </w:r>
    </w:p>
    <w:p>
      <w:pPr>
        <w:keepNext w:val="0"/>
        <w:keepLines w:val="0"/>
        <w:pageBreakBefore w:val="0"/>
        <w:widowControl w:val="0"/>
        <w:numPr>
          <w:ilvl w:val="0"/>
          <w:numId w:val="7"/>
        </w:numPr>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资格条件自查表（格式附后）；</w:t>
      </w:r>
    </w:p>
    <w:p>
      <w:pPr>
        <w:keepNext w:val="0"/>
        <w:keepLines w:val="0"/>
        <w:pageBreakBefore w:val="0"/>
        <w:widowControl w:val="0"/>
        <w:numPr>
          <w:ilvl w:val="0"/>
          <w:numId w:val="7"/>
        </w:numPr>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投标声明书（格式附后）；</w:t>
      </w:r>
    </w:p>
    <w:p>
      <w:pPr>
        <w:keepNext w:val="0"/>
        <w:keepLines w:val="0"/>
        <w:pageBreakBefore w:val="0"/>
        <w:widowControl w:val="0"/>
        <w:numPr>
          <w:ilvl w:val="0"/>
          <w:numId w:val="7"/>
        </w:numPr>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合格</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的承诺函（格式附后）：</w:t>
      </w:r>
    </w:p>
    <w:p>
      <w:pPr>
        <w:keepNext w:val="0"/>
        <w:keepLines w:val="0"/>
        <w:pageBreakBefore w:val="0"/>
        <w:widowControl w:val="0"/>
        <w:numPr>
          <w:ilvl w:val="0"/>
          <w:numId w:val="7"/>
        </w:numPr>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中小企业声明函（格式见附件）</w:t>
      </w:r>
    </w:p>
    <w:p>
      <w:pPr>
        <w:keepNext w:val="0"/>
        <w:keepLines w:val="0"/>
        <w:pageBreakBefore w:val="0"/>
        <w:widowControl w:val="0"/>
        <w:numPr>
          <w:ilvl w:val="0"/>
          <w:numId w:val="7"/>
        </w:numPr>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残疾人福利单位声明函（如有，格式见附件）</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、采购文件要求的其他资格条件证明材料（如有）；</w:t>
      </w:r>
    </w:p>
    <w:p>
      <w:pPr>
        <w:keepNext w:val="0"/>
        <w:keepLines w:val="0"/>
        <w:pageBreakBefore w:val="0"/>
        <w:widowControl w:val="0"/>
        <w:numPr>
          <w:ilvl w:val="0"/>
          <w:numId w:val="6"/>
        </w:numPr>
        <w:kinsoku/>
        <w:wordWrap/>
        <w:overflowPunct/>
        <w:topLinePunct w:val="0"/>
        <w:autoSpaceDE/>
        <w:autoSpaceDN/>
        <w:bidi w:val="0"/>
        <w:spacing w:line="360" w:lineRule="auto"/>
        <w:ind w:left="0" w:firstLine="422" w:firstLineChars="200"/>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商务技术文件：</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color w:val="auto"/>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highlight w:val="none"/>
        </w:rPr>
        <w:t>符合性自查表（格式附后）；</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color w:val="auto"/>
          <w:highlight w:val="none"/>
        </w:rPr>
      </w:pPr>
      <w:r>
        <w:rPr>
          <w:rFonts w:hint="default" w:ascii="宋体" w:hAnsi="宋体" w:eastAsia="宋体" w:cs="宋体"/>
          <w:color w:val="auto"/>
          <w:kern w:val="2"/>
          <w:sz w:val="21"/>
          <w:szCs w:val="21"/>
          <w:highlight w:val="none"/>
          <w:lang w:val="en-US" w:eastAsia="zh-CN" w:bidi="ar-SA"/>
        </w:rPr>
        <w:t>2、</w:t>
      </w:r>
      <w:r>
        <w:rPr>
          <w:rFonts w:hint="eastAsia" w:ascii="宋体" w:hAnsi="宋体" w:eastAsia="宋体" w:cs="宋体"/>
          <w:color w:val="auto"/>
          <w:highlight w:val="none"/>
        </w:rPr>
        <w:t>评分索引表（格式附后）；</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color w:val="auto"/>
          <w:highlight w:val="none"/>
        </w:rPr>
      </w:pPr>
      <w:r>
        <w:rPr>
          <w:rFonts w:hint="default" w:ascii="宋体" w:hAnsi="宋体" w:eastAsia="宋体" w:cs="宋体"/>
          <w:color w:val="auto"/>
          <w:kern w:val="2"/>
          <w:sz w:val="21"/>
          <w:szCs w:val="21"/>
          <w:highlight w:val="none"/>
          <w:lang w:val="en-US" w:eastAsia="zh-CN" w:bidi="ar-SA"/>
        </w:rPr>
        <w:t>3、</w:t>
      </w:r>
      <w:r>
        <w:rPr>
          <w:rFonts w:hint="eastAsia" w:ascii="宋体" w:hAnsi="宋体" w:eastAsia="宋体" w:cs="宋体"/>
          <w:color w:val="auto"/>
          <w:highlight w:val="none"/>
        </w:rPr>
        <w:t>投标函（格式附后）；</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color w:val="auto"/>
          <w:highlight w:val="none"/>
        </w:rPr>
      </w:pPr>
      <w:r>
        <w:rPr>
          <w:rFonts w:hint="default" w:ascii="宋体" w:hAnsi="宋体" w:eastAsia="宋体" w:cs="宋体"/>
          <w:color w:val="auto"/>
          <w:kern w:val="2"/>
          <w:sz w:val="21"/>
          <w:szCs w:val="21"/>
          <w:highlight w:val="none"/>
          <w:lang w:val="en-US" w:eastAsia="zh-CN" w:bidi="ar-SA"/>
        </w:rPr>
        <w:t>4、</w:t>
      </w:r>
      <w:r>
        <w:rPr>
          <w:rFonts w:hint="eastAsia" w:ascii="宋体" w:hAnsi="宋体" w:eastAsia="宋体" w:cs="宋体"/>
          <w:color w:val="auto"/>
          <w:highlight w:val="none"/>
        </w:rPr>
        <w:t>技术要求响应表(格式附后) ；</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color w:val="auto"/>
          <w:highlight w:val="none"/>
        </w:rPr>
      </w:pPr>
      <w:r>
        <w:rPr>
          <w:rFonts w:hint="default" w:ascii="宋体" w:hAnsi="宋体" w:eastAsia="宋体" w:cs="宋体"/>
          <w:color w:val="auto"/>
          <w:kern w:val="2"/>
          <w:sz w:val="21"/>
          <w:szCs w:val="21"/>
          <w:highlight w:val="none"/>
          <w:lang w:val="en-US" w:eastAsia="zh-CN" w:bidi="ar-SA"/>
        </w:rPr>
        <w:t>5、</w:t>
      </w:r>
      <w:r>
        <w:rPr>
          <w:rFonts w:hint="eastAsia" w:ascii="宋体" w:hAnsi="宋体" w:eastAsia="宋体" w:cs="宋体"/>
          <w:color w:val="auto"/>
          <w:highlight w:val="none"/>
        </w:rPr>
        <w:t>法定代表人身份证明或法定代表人授权委托书(格式附后)；</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color w:val="auto"/>
          <w:highlight w:val="none"/>
        </w:rPr>
      </w:pPr>
      <w:r>
        <w:rPr>
          <w:rFonts w:hint="default" w:ascii="宋体" w:hAnsi="宋体" w:eastAsia="宋体" w:cs="宋体"/>
          <w:color w:val="auto"/>
          <w:kern w:val="2"/>
          <w:sz w:val="21"/>
          <w:szCs w:val="21"/>
          <w:highlight w:val="none"/>
          <w:lang w:val="en-US" w:eastAsia="zh-CN" w:bidi="ar-SA"/>
        </w:rPr>
        <w:t>6、</w:t>
      </w:r>
      <w:r>
        <w:rPr>
          <w:rFonts w:hint="eastAsia" w:ascii="宋体" w:hAnsi="宋体" w:eastAsia="宋体" w:cs="宋体"/>
          <w:color w:val="auto"/>
          <w:highlight w:val="none"/>
        </w:rPr>
        <w:t>供应商资格声明（格式附后）；</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color w:val="auto"/>
          <w:highlight w:val="none"/>
        </w:rPr>
      </w:pPr>
      <w:r>
        <w:rPr>
          <w:rFonts w:hint="default" w:ascii="宋体" w:hAnsi="宋体" w:eastAsia="宋体" w:cs="宋体"/>
          <w:color w:val="auto"/>
          <w:kern w:val="2"/>
          <w:sz w:val="21"/>
          <w:szCs w:val="21"/>
          <w:highlight w:val="none"/>
          <w:lang w:val="en-US" w:eastAsia="zh-CN" w:bidi="ar-SA"/>
        </w:rPr>
        <w:t>7、</w:t>
      </w:r>
      <w:r>
        <w:rPr>
          <w:rFonts w:hint="eastAsia" w:ascii="宋体" w:hAnsi="宋体" w:eastAsia="宋体" w:cs="宋体"/>
          <w:color w:val="auto"/>
          <w:highlight w:val="none"/>
        </w:rPr>
        <w:t>拟投入人员配备表（格式附后）；</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color w:val="auto"/>
          <w:highlight w:val="none"/>
        </w:rPr>
      </w:pPr>
      <w:r>
        <w:rPr>
          <w:rFonts w:hint="default" w:ascii="宋体" w:hAnsi="宋体" w:eastAsia="宋体" w:cs="宋体"/>
          <w:color w:val="auto"/>
          <w:kern w:val="2"/>
          <w:sz w:val="21"/>
          <w:szCs w:val="21"/>
          <w:highlight w:val="none"/>
          <w:lang w:val="en-US" w:eastAsia="zh-CN" w:bidi="ar-SA"/>
        </w:rPr>
        <w:t>8、</w:t>
      </w:r>
      <w:r>
        <w:rPr>
          <w:rFonts w:hint="eastAsia" w:ascii="宋体" w:hAnsi="宋体" w:eastAsia="宋体" w:cs="宋体"/>
          <w:color w:val="auto"/>
          <w:highlight w:val="none"/>
        </w:rPr>
        <w:t>商务响应（偏离）表（格式附后）；</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color w:val="auto"/>
          <w:highlight w:val="none"/>
        </w:rPr>
      </w:pPr>
      <w:r>
        <w:rPr>
          <w:rFonts w:hint="default" w:ascii="宋体" w:hAnsi="宋体" w:eastAsia="宋体" w:cs="宋体"/>
          <w:color w:val="auto"/>
          <w:kern w:val="2"/>
          <w:sz w:val="21"/>
          <w:szCs w:val="21"/>
          <w:highlight w:val="none"/>
          <w:lang w:val="en-US" w:eastAsia="zh-CN" w:bidi="ar-SA"/>
        </w:rPr>
        <w:t>9、</w:t>
      </w:r>
      <w:r>
        <w:rPr>
          <w:rFonts w:hint="eastAsia" w:ascii="宋体" w:hAnsi="宋体" w:eastAsia="宋体" w:cs="宋体"/>
          <w:color w:val="auto"/>
          <w:highlight w:val="none"/>
        </w:rPr>
        <w:t>针对本项目第四章评分标准中的条款拟定完整投标方案（格式自拟）；</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color w:val="auto"/>
          <w:highlight w:val="none"/>
        </w:rPr>
      </w:pPr>
      <w:r>
        <w:rPr>
          <w:rFonts w:hint="default" w:ascii="宋体" w:hAnsi="宋体" w:eastAsia="宋体" w:cs="宋体"/>
          <w:color w:val="auto"/>
          <w:kern w:val="2"/>
          <w:sz w:val="21"/>
          <w:szCs w:val="21"/>
          <w:highlight w:val="none"/>
          <w:lang w:val="en-US" w:eastAsia="zh-CN" w:bidi="ar-SA"/>
        </w:rPr>
        <w:t>10、</w:t>
      </w:r>
      <w:r>
        <w:rPr>
          <w:rFonts w:hint="eastAsia" w:ascii="宋体" w:hAnsi="宋体" w:eastAsia="宋体" w:cs="宋体"/>
          <w:color w:val="auto"/>
          <w:highlight w:val="none"/>
        </w:rPr>
        <w:t>供应商认为需要提供的其它材料（格式自拟）；</w:t>
      </w:r>
    </w:p>
    <w:p>
      <w:pPr>
        <w:keepNext w:val="0"/>
        <w:keepLines w:val="0"/>
        <w:pageBreakBefore w:val="0"/>
        <w:widowControl w:val="0"/>
        <w:numPr>
          <w:ilvl w:val="0"/>
          <w:numId w:val="6"/>
        </w:numPr>
        <w:kinsoku/>
        <w:wordWrap/>
        <w:overflowPunct/>
        <w:topLinePunct w:val="0"/>
        <w:autoSpaceDE/>
        <w:autoSpaceDN/>
        <w:bidi w:val="0"/>
        <w:spacing w:line="360" w:lineRule="auto"/>
        <w:ind w:left="0" w:firstLine="422" w:firstLineChars="200"/>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报价文件：</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开标一览表（格式附后）；</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投标分项报价表（</w:t>
      </w:r>
      <w:r>
        <w:rPr>
          <w:rFonts w:hint="eastAsia" w:ascii="宋体" w:hAnsi="宋体" w:eastAsia="宋体" w:cs="宋体"/>
          <w:color w:val="auto"/>
          <w:highlight w:val="none"/>
          <w:lang w:val="en-US" w:eastAsia="zh-CN"/>
        </w:rPr>
        <w:t>格式自拟</w:t>
      </w:r>
      <w:r>
        <w:rPr>
          <w:rFonts w:hint="eastAsia" w:ascii="宋体" w:hAnsi="宋体" w:eastAsia="宋体" w:cs="宋体"/>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供应商针对报价需要说明的其他文件和说明（格式自拟）</w:t>
      </w:r>
    </w:p>
    <w:p>
      <w:pPr>
        <w:keepNext w:val="0"/>
        <w:keepLines w:val="0"/>
        <w:pageBreakBefore w:val="0"/>
        <w:widowControl w:val="0"/>
        <w:kinsoku/>
        <w:wordWrap/>
        <w:overflowPunct/>
        <w:topLinePunct w:val="0"/>
        <w:autoSpaceDE/>
        <w:autoSpaceDN/>
        <w:bidi w:val="0"/>
        <w:snapToGrid w:val="0"/>
        <w:spacing w:line="360" w:lineRule="auto"/>
        <w:ind w:left="0" w:firstLine="422" w:firstLineChars="200"/>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★注：法定代表人授权委托书必须由法定代表人签名并加盖单位公章；投标声明书、投标函、开标一览表必须由法定代表人或授权代表签名并加盖单位公章。</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（二）投标文件的语言及计量</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★2.投标计量单位，采购文件已有明确规定的，使用采购文件规定的计量单位；采购文件没有规定的，应采用中华人民共和国法定计量单位（货币单位：人民币元），否则视同未响应。</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（三）投标报价</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1.投标报价应按采购文件中相关附表格式填写。</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★2.投标报价是履行合同的最终价格，具体详见第三章《供应商须知》。</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★3.投标文件只允许有一个报价，有选择的或有条件的报价将不予接受。</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（四）投标文件的有效期</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★1.自投标截止日起90 天投标文件应保持有效。有效期不足的投标文件将被拒绝。</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2.在特殊情况下，采购人可与供应商协商延长投标书的有效期，这种要求和答复均以书面形式进行。 </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.中标供应商的投标文件自开标之日起至合同履行完毕止均应保持有效。</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）投标文件的签署和份数</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供应商应按本采购文件规定的格式和顺序编制、装订投标文件</w:t>
      </w:r>
      <w:r>
        <w:rPr>
          <w:rFonts w:hint="eastAsia" w:ascii="宋体" w:hAnsi="宋体" w:eastAsia="宋体" w:cs="宋体"/>
          <w:color w:val="auto"/>
          <w:szCs w:val="21"/>
          <w:highlight w:val="none"/>
        </w:rPr>
        <w:t>，投标文件要求有目录并标注页码</w:t>
      </w:r>
      <w:r>
        <w:rPr>
          <w:rFonts w:hint="eastAsia" w:ascii="宋体" w:hAnsi="宋体" w:eastAsia="宋体" w:cs="宋体"/>
          <w:color w:val="auto"/>
          <w:highlight w:val="none"/>
        </w:rPr>
        <w:t>，投标文件内容不完整、编排混乱导致投标文件被误读、漏读或者查找不到相关内容的，是供应商的责任。</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投标文件的份数：</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本项目实行网上投标，供应商应准备以下投标文件：</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（1）上传到政府采购云平台的电子投标文件（含资格文件、商务技术文件、报价文件）1份。</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（2）以U盘存储的电子备份投标文件（含资格文件、商务技术文件、报价文件）1份。</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3、电子投标文件：</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3.1供应商应根据</w:t>
      </w:r>
      <w:r>
        <w:rPr>
          <w:rFonts w:hint="eastAsia" w:ascii="宋体" w:hAnsi="宋体" w:eastAsia="宋体" w:cs="宋体"/>
          <w:color w:val="auto"/>
          <w:kern w:val="0"/>
          <w:szCs w:val="21"/>
          <w:highlight w:val="none"/>
        </w:rPr>
        <w:t>政府采购云平台的要求</w:t>
      </w:r>
      <w:r>
        <w:rPr>
          <w:rFonts w:hint="eastAsia" w:ascii="宋体" w:hAnsi="宋体" w:eastAsia="宋体" w:cs="宋体"/>
          <w:color w:val="auto"/>
          <w:highlight w:val="none"/>
          <w:lang w:val="en-US" w:eastAsia="zh-CN"/>
        </w:rPr>
        <w:t>及本采购文件规定的格式和顺序编制电子投标文件并进行关联定位。</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）投标文件的包装、递交、修改和撤回</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以U盘存储的电子备份投标文件</w:t>
      </w:r>
      <w:r>
        <w:rPr>
          <w:rFonts w:hint="eastAsia" w:ascii="宋体" w:hAnsi="宋体" w:eastAsia="宋体" w:cs="宋体"/>
          <w:color w:val="auto"/>
          <w:szCs w:val="21"/>
          <w:highlight w:val="none"/>
        </w:rPr>
        <w:t>用封袋密封后递交。</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color w:val="auto"/>
          <w:szCs w:val="21"/>
          <w:highlight w:val="none"/>
        </w:rPr>
        <w:t>投标文件的包装封面上应注明供应商名称、供应商地址、投标文件名称(</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szCs w:val="21"/>
          <w:highlight w:val="none"/>
          <w:lang w:eastAsia="zh-CN"/>
        </w:rPr>
        <w:t>资格文件</w:t>
      </w:r>
      <w:r>
        <w:rPr>
          <w:rFonts w:hint="eastAsia" w:ascii="宋体" w:hAnsi="宋体" w:eastAsia="宋体" w:cs="宋体"/>
          <w:color w:val="auto"/>
          <w:szCs w:val="21"/>
          <w:highlight w:val="none"/>
        </w:rPr>
        <w:t>/商务技术文件/报价文件)、投标项目名称、项目编号，并加盖供应商公章。</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未按规定密封或标记的投标文件将被拒绝，由此造成投标文件被误投或提前拆封的风险由供应商承担。</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供应商在投标截止时间之前，可以对已提交的</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进行修改或撤回，并书面通知招标采购单位；投标截止时间后，供应商不得撤回、修改投标文件。修改后重新递交的</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应当按本采购文件的要求签署、盖章和密封。</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1"/>
        <w:rPr>
          <w:rFonts w:hint="eastAsia" w:ascii="宋体" w:hAnsi="宋体" w:eastAsia="宋体" w:cs="宋体"/>
          <w:b/>
          <w:bCs/>
          <w:snapToGrid w:val="0"/>
          <w:color w:val="auto"/>
          <w:highlight w:val="none"/>
        </w:rPr>
      </w:pPr>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rPr>
        <w:t>、开标</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2、电子投标开标及评审程序：分两阶段开标。</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bCs/>
          <w:color w:val="auto"/>
          <w:szCs w:val="21"/>
          <w:highlight w:val="none"/>
          <w:lang w:eastAsia="zh-CN" w:bidi="ar"/>
        </w:rPr>
      </w:pP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电子招投标开标</w:t>
      </w:r>
      <w:r>
        <w:rPr>
          <w:rFonts w:hint="eastAsia" w:ascii="宋体" w:hAnsi="宋体" w:eastAsia="宋体" w:cs="宋体"/>
          <w:bCs/>
          <w:color w:val="auto"/>
          <w:szCs w:val="21"/>
          <w:highlight w:val="none"/>
          <w:lang w:val="en-US" w:eastAsia="zh-CN" w:bidi="ar"/>
        </w:rPr>
        <w:t>程序</w:t>
      </w:r>
      <w:r>
        <w:rPr>
          <w:rFonts w:hint="eastAsia" w:ascii="宋体" w:hAnsi="宋体" w:eastAsia="宋体" w:cs="宋体"/>
          <w:bCs/>
          <w:color w:val="auto"/>
          <w:szCs w:val="21"/>
          <w:highlight w:val="none"/>
          <w:lang w:eastAsia="zh-CN" w:bidi="ar"/>
        </w:rPr>
        <w:t>：</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第一阶段</w:t>
      </w:r>
      <w:r>
        <w:rPr>
          <w:rFonts w:hint="eastAsia" w:ascii="宋体" w:hAnsi="宋体" w:eastAsia="宋体" w:cs="宋体"/>
          <w:color w:val="auto"/>
          <w:szCs w:val="21"/>
          <w:highlight w:val="none"/>
          <w:lang w:eastAsia="zh-CN"/>
        </w:rPr>
        <w:t>：</w:t>
      </w:r>
    </w:p>
    <w:p>
      <w:pPr>
        <w:keepNext w:val="0"/>
        <w:keepLines w:val="0"/>
        <w:pageBreakBefore w:val="0"/>
        <w:widowControl w:val="0"/>
        <w:numPr>
          <w:ilvl w:val="0"/>
          <w:numId w:val="8"/>
        </w:numPr>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投标截止时间后，供应商登录政府采购云平台，用“项目采购-开标评标”功能对电子投标文件进行在线解密，在线解密电子投标文件时间为开标时间</w:t>
      </w:r>
      <w:r>
        <w:rPr>
          <w:rFonts w:hint="eastAsia" w:ascii="宋体" w:hAnsi="宋体" w:eastAsia="宋体" w:cs="宋体"/>
          <w:color w:val="auto"/>
          <w:szCs w:val="21"/>
          <w:highlight w:val="none"/>
          <w:lang w:val="en-US" w:eastAsia="zh-CN"/>
        </w:rPr>
        <w:t>后30分钟</w:t>
      </w:r>
      <w:r>
        <w:rPr>
          <w:rFonts w:hint="eastAsia" w:ascii="宋体" w:hAnsi="宋体" w:eastAsia="宋体" w:cs="宋体"/>
          <w:color w:val="auto"/>
          <w:szCs w:val="21"/>
          <w:highlight w:val="none"/>
        </w:rPr>
        <w:t>内。</w:t>
      </w:r>
    </w:p>
    <w:p>
      <w:pPr>
        <w:keepNext w:val="0"/>
        <w:keepLines w:val="0"/>
        <w:pageBreakBefore w:val="0"/>
        <w:widowControl w:val="0"/>
        <w:numPr>
          <w:ilvl w:val="0"/>
          <w:numId w:val="8"/>
        </w:numPr>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在政府采购云平台开启</w:t>
      </w:r>
      <w:r>
        <w:rPr>
          <w:rFonts w:hint="eastAsia" w:ascii="宋体" w:hAnsi="宋体" w:eastAsia="宋体" w:cs="宋体"/>
          <w:color w:val="auto"/>
          <w:szCs w:val="21"/>
          <w:highlight w:val="none"/>
          <w:lang w:val="en-US" w:eastAsia="zh-CN"/>
        </w:rPr>
        <w:t>已解密</w:t>
      </w:r>
      <w:r>
        <w:rPr>
          <w:rFonts w:hint="eastAsia" w:ascii="宋体" w:hAnsi="宋体" w:eastAsia="宋体" w:cs="宋体"/>
          <w:color w:val="auto"/>
          <w:szCs w:val="21"/>
          <w:highlight w:val="none"/>
        </w:rPr>
        <w:t>供应商的“资格文件、商务技术文件”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并做开标记录；</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第二阶段</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宣告第一阶段评审无效供应商名单及理由；</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（2）公布经第一阶段评审符合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文件要求的供应商的商务技术得分情况；</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开启除第一阶段无效标外的供应商的“报价文件”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并做开标记录；</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（4）在</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公布</w:t>
      </w:r>
      <w:r>
        <w:rPr>
          <w:rFonts w:hint="eastAsia" w:ascii="宋体" w:hAnsi="宋体" w:eastAsia="宋体" w:cs="宋体"/>
          <w:color w:val="auto"/>
          <w:szCs w:val="21"/>
          <w:highlight w:val="none"/>
          <w:lang w:val="en-US" w:eastAsia="zh-CN"/>
        </w:rPr>
        <w:t>评审结果</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开标会议结束。</w:t>
      </w:r>
    </w:p>
    <w:p>
      <w:pPr>
        <w:keepNext w:val="0"/>
        <w:keepLines w:val="0"/>
        <w:pageBreakBefore w:val="0"/>
        <w:widowControl w:val="0"/>
        <w:numPr>
          <w:ilvl w:val="0"/>
          <w:numId w:val="9"/>
        </w:numPr>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线下开标程序</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第一阶段</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开标会由采购代理机构主持，主持人宣布开标会议开始；</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bookmarkStart w:id="29" w:name="_Toc396115155"/>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主持人介绍参加开标会的人员名单；</w:t>
      </w:r>
      <w:bookmarkEnd w:id="29"/>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bookmarkStart w:id="30" w:name="_Toc396115156"/>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主持人宣布评标期间的有关事项，告知应当回避的情形,提请有关人员回避；</w:t>
      </w:r>
      <w:bookmarkEnd w:id="30"/>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bookmarkStart w:id="31" w:name="_Toc396115157"/>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由</w:t>
      </w:r>
      <w:r>
        <w:rPr>
          <w:rFonts w:hint="eastAsia" w:ascii="宋体" w:hAnsi="宋体" w:eastAsia="宋体" w:cs="宋体"/>
          <w:color w:val="auto"/>
          <w:szCs w:val="21"/>
          <w:highlight w:val="none"/>
        </w:rPr>
        <w:t>供应商或其当场推荐的代表检查资格文件、商务技术文件密封的完整性；</w:t>
      </w:r>
      <w:bookmarkEnd w:id="31"/>
      <w:bookmarkStart w:id="32" w:name="_Toc396115158"/>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按各供应商提交投标文件时间的先后顺序打开投标文件的资格文件、商务技术文件外包装，清点投标文件正本、副本数量</w:t>
      </w:r>
      <w:bookmarkEnd w:id="32"/>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并做开标记录；</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lang w:eastAsia="zh-CN"/>
        </w:rPr>
      </w:pPr>
      <w:bookmarkStart w:id="33" w:name="_Toc396115159"/>
      <w:r>
        <w:rPr>
          <w:rFonts w:hint="eastAsia" w:ascii="宋体" w:hAnsi="宋体" w:eastAsia="宋体" w:cs="宋体"/>
          <w:color w:val="auto"/>
          <w:szCs w:val="21"/>
          <w:highlight w:val="none"/>
        </w:rPr>
        <w:t>第二阶段</w:t>
      </w:r>
      <w:r>
        <w:rPr>
          <w:rFonts w:hint="eastAsia" w:ascii="宋体" w:hAnsi="宋体" w:eastAsia="宋体" w:cs="宋体"/>
          <w:color w:val="auto"/>
          <w:szCs w:val="21"/>
          <w:highlight w:val="none"/>
          <w:lang w:eastAsia="zh-CN"/>
        </w:rPr>
        <w:t>：</w:t>
      </w:r>
    </w:p>
    <w:bookmarkEnd w:id="33"/>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由主持人公布</w:t>
      </w:r>
      <w:r>
        <w:rPr>
          <w:rFonts w:hint="eastAsia" w:ascii="宋体" w:hAnsi="宋体" w:eastAsia="宋体" w:cs="宋体"/>
          <w:color w:val="auto"/>
          <w:szCs w:val="21"/>
          <w:highlight w:val="none"/>
        </w:rPr>
        <w:t>第一阶段评审无效供应商名单及理由；</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（2）公布经第一阶段评审符合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文件要求的供应商的商务技术得分情况；</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bookmarkStart w:id="34" w:name="_Toc396115160"/>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由</w:t>
      </w:r>
      <w:r>
        <w:rPr>
          <w:rFonts w:hint="eastAsia" w:ascii="宋体" w:hAnsi="宋体" w:eastAsia="宋体" w:cs="宋体"/>
          <w:color w:val="auto"/>
          <w:szCs w:val="21"/>
          <w:highlight w:val="none"/>
        </w:rPr>
        <w:t>供应商或其当场推荐的代表检查报价文件密封的完整性；</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再开启报价文件，由主持人宣读《开标一览表》中的供应商名称及在其投标文件中承诺的投标报价、交货期（服务期限）等投标内容，以及采购代理机构认为有必要宣读的其他内容；</w:t>
      </w:r>
      <w:bookmarkEnd w:id="34"/>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bookmarkStart w:id="35" w:name="_Toc396115161"/>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采购代理机构做开标记录, 同时由记录人、监督人当场签字确认；</w:t>
      </w:r>
      <w:bookmarkEnd w:id="35"/>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主持人公布公布</w:t>
      </w:r>
      <w:r>
        <w:rPr>
          <w:rFonts w:hint="eastAsia" w:ascii="宋体" w:hAnsi="宋体" w:eastAsia="宋体" w:cs="宋体"/>
          <w:color w:val="auto"/>
          <w:szCs w:val="21"/>
          <w:highlight w:val="none"/>
          <w:lang w:val="en-US" w:eastAsia="zh-CN"/>
        </w:rPr>
        <w:t>评审结果</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bookmarkStart w:id="36" w:name="_Toc396115163"/>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开标会议结束。</w:t>
      </w:r>
      <w:bookmarkEnd w:id="36"/>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3、特别说明：</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如对电子化开标及评审程序有调整的，按调整后的程序操作。</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本项目原则上采用政采云</w:t>
      </w:r>
      <w:r>
        <w:rPr>
          <w:rFonts w:hint="eastAsia" w:ascii="宋体" w:hAnsi="宋体" w:eastAsia="宋体" w:cs="宋体"/>
          <w:bCs/>
          <w:color w:val="auto"/>
          <w:szCs w:val="21"/>
          <w:highlight w:val="none"/>
          <w:lang w:bidi="ar"/>
        </w:rPr>
        <w:t>电子招投标开标</w:t>
      </w:r>
      <w:r>
        <w:rPr>
          <w:rFonts w:hint="eastAsia" w:ascii="宋体" w:hAnsi="宋体" w:eastAsia="宋体" w:cs="宋体"/>
          <w:bCs/>
          <w:color w:val="auto"/>
          <w:szCs w:val="21"/>
          <w:highlight w:val="none"/>
          <w:lang w:val="en-US" w:eastAsia="zh-CN" w:bidi="ar"/>
        </w:rPr>
        <w:t>程序</w:t>
      </w:r>
      <w:r>
        <w:rPr>
          <w:rFonts w:hint="eastAsia" w:ascii="宋体" w:hAnsi="宋体" w:eastAsia="宋体" w:cs="宋体"/>
          <w:color w:val="auto"/>
          <w:szCs w:val="21"/>
          <w:highlight w:val="none"/>
        </w:rPr>
        <w:t>，但有下情形之一的，按以下情况处理：</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（1）若</w:t>
      </w:r>
      <w:r>
        <w:rPr>
          <w:rFonts w:hint="eastAsia" w:ascii="宋体" w:hAnsi="宋体" w:eastAsia="宋体" w:cs="宋体"/>
          <w:color w:val="auto"/>
          <w:szCs w:val="21"/>
          <w:highlight w:val="none"/>
          <w:lang w:eastAsia="zh-CN"/>
        </w:rPr>
        <w:t>有</w:t>
      </w:r>
      <w:r>
        <w:rPr>
          <w:rFonts w:hint="eastAsia" w:ascii="宋体" w:hAnsi="宋体" w:eastAsia="宋体" w:cs="宋体"/>
          <w:color w:val="auto"/>
          <w:szCs w:val="21"/>
          <w:highlight w:val="none"/>
        </w:rPr>
        <w:t>供应商在规定时间内无法解密或解密失败，代理机构将开启</w:t>
      </w:r>
      <w:r>
        <w:rPr>
          <w:rFonts w:hint="eastAsia" w:ascii="宋体" w:hAnsi="宋体" w:eastAsia="宋体" w:cs="宋体"/>
          <w:color w:val="auto"/>
          <w:szCs w:val="21"/>
          <w:highlight w:val="none"/>
          <w:lang w:eastAsia="zh-CN"/>
        </w:rPr>
        <w:t>该</w:t>
      </w:r>
      <w:r>
        <w:rPr>
          <w:rFonts w:hint="eastAsia" w:ascii="宋体" w:hAnsi="宋体" w:eastAsia="宋体" w:cs="宋体"/>
          <w:color w:val="auto"/>
          <w:szCs w:val="21"/>
          <w:highlight w:val="none"/>
        </w:rPr>
        <w:t>供应商递交的</w:t>
      </w:r>
      <w:r>
        <w:rPr>
          <w:rFonts w:hint="eastAsia" w:ascii="宋体" w:hAnsi="宋体" w:eastAsia="宋体" w:cs="宋体"/>
          <w:color w:val="auto"/>
          <w:kern w:val="0"/>
          <w:szCs w:val="21"/>
          <w:highlight w:val="none"/>
        </w:rPr>
        <w:t>以U盘存储的电子备份投标文件</w:t>
      </w:r>
      <w:r>
        <w:rPr>
          <w:rFonts w:hint="eastAsia" w:ascii="宋体" w:hAnsi="宋体" w:eastAsia="宋体" w:cs="宋体"/>
          <w:color w:val="auto"/>
          <w:szCs w:val="21"/>
          <w:highlight w:val="none"/>
        </w:rPr>
        <w:t>，上传至政采云平台项目采购模块，以完成开标，电子投标文件自动失效。</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）采购过程中出现以下情形，导致电子交易平台无法正常运行，或者无法保证电子交易的公平、公正和安全时，采购人（或代理机构）可中止电子交易活动：</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 xml:space="preserve">电子交易平台发生故障而无法登录访问的； </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w:t>
      </w:r>
      <w:r>
        <w:rPr>
          <w:rFonts w:hint="eastAsia" w:ascii="宋体" w:hAnsi="宋体" w:eastAsia="宋体" w:cs="宋体"/>
          <w:color w:val="auto"/>
          <w:szCs w:val="21"/>
          <w:highlight w:val="none"/>
        </w:rPr>
        <w:t>电子交易平台应用或数据库出现错误，不能进行正常操作的；</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3.3</w:t>
      </w:r>
      <w:r>
        <w:rPr>
          <w:rFonts w:hint="eastAsia" w:ascii="宋体" w:hAnsi="宋体" w:eastAsia="宋体" w:cs="宋体"/>
          <w:color w:val="auto"/>
          <w:szCs w:val="21"/>
          <w:highlight w:val="none"/>
        </w:rPr>
        <w:t>电子交易平台发现严重安全漏洞，有潜在泄密危险的；</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3.4</w:t>
      </w:r>
      <w:r>
        <w:rPr>
          <w:rFonts w:hint="eastAsia" w:ascii="宋体" w:hAnsi="宋体" w:eastAsia="宋体" w:cs="宋体"/>
          <w:color w:val="auto"/>
          <w:szCs w:val="21"/>
          <w:highlight w:val="none"/>
        </w:rPr>
        <w:t xml:space="preserve">病毒发作导致不能进行正常操作的； </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其他无法保证电子交易的公平、公正和安全的情况。</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出现前款规定情形，不影响采购公平、公正性的，采购人（或代理机构）可以待上述情形消除后继续组织电子交易活动。</w:t>
      </w:r>
    </w:p>
    <w:p>
      <w:pPr>
        <w:keepNext w:val="0"/>
        <w:keepLines w:val="0"/>
        <w:pageBreakBefore w:val="0"/>
        <w:widowControl w:val="0"/>
        <w:kinsoku/>
        <w:wordWrap/>
        <w:overflowPunct/>
        <w:topLinePunct w:val="0"/>
        <w:autoSpaceDE/>
        <w:autoSpaceDN/>
        <w:bidi w:val="0"/>
        <w:adjustRightInd/>
        <w:spacing w:line="360" w:lineRule="auto"/>
        <w:ind w:left="0" w:firstLine="0" w:firstLineChars="0"/>
        <w:jc w:val="both"/>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六</w:t>
      </w:r>
      <w:r>
        <w:rPr>
          <w:rFonts w:hint="eastAsia" w:ascii="宋体" w:hAnsi="宋体" w:eastAsia="宋体" w:cs="宋体"/>
          <w:b/>
          <w:bCs/>
          <w:color w:val="auto"/>
          <w:highlight w:val="none"/>
        </w:rPr>
        <w:t>、评标</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（一）组建评标委员会</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本项目评标委员会依法组建。</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（二）评标的方式</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本项目采用不公开方式评标，评标的依据为采购文件和投标文件。</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（三）评标程序</w:t>
      </w:r>
    </w:p>
    <w:p>
      <w:pPr>
        <w:keepNext w:val="0"/>
        <w:keepLines w:val="0"/>
        <w:pageBreakBefore w:val="0"/>
        <w:widowControl w:val="0"/>
        <w:kinsoku/>
        <w:wordWrap/>
        <w:overflowPunct/>
        <w:topLinePunct w:val="0"/>
        <w:autoSpaceDE/>
        <w:autoSpaceDN/>
        <w:bidi w:val="0"/>
        <w:adjustRightInd/>
        <w:spacing w:line="360" w:lineRule="auto"/>
        <w:ind w:left="0" w:firstLine="0" w:firstLineChars="0"/>
        <w:jc w:val="both"/>
        <w:textAlignment w:val="auto"/>
        <w:outlineLvl w:val="1"/>
        <w:rPr>
          <w:rFonts w:hint="eastAsia" w:ascii="宋体" w:hAnsi="宋体" w:eastAsia="宋体" w:cs="宋体"/>
          <w:b/>
          <w:bCs/>
          <w:color w:val="auto"/>
          <w:highlight w:val="none"/>
        </w:rPr>
      </w:pPr>
      <w:r>
        <w:rPr>
          <w:rFonts w:hint="eastAsia" w:ascii="宋体" w:hAnsi="宋体" w:eastAsia="宋体" w:cs="宋体"/>
          <w:color w:val="auto"/>
          <w:highlight w:val="none"/>
        </w:rPr>
        <w:t>1.</w:t>
      </w:r>
      <w:r>
        <w:rPr>
          <w:rFonts w:hint="eastAsia" w:ascii="宋体" w:hAnsi="宋体" w:eastAsia="宋体" w:cs="宋体"/>
          <w:b/>
          <w:bCs/>
          <w:color w:val="auto"/>
          <w:highlight w:val="none"/>
        </w:rPr>
        <w:t>资格条件审查</w:t>
      </w:r>
    </w:p>
    <w:p>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由采购人或代理机构对供应商的资格进行审查。</w:t>
      </w:r>
    </w:p>
    <w:tbl>
      <w:tblPr>
        <w:tblStyle w:val="49"/>
        <w:tblW w:w="910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vAlign w:val="center"/>
          </w:tcPr>
          <w:p>
            <w:pPr>
              <w:spacing w:line="240" w:lineRule="auto"/>
              <w:jc w:val="center"/>
              <w:rPr>
                <w:rFonts w:ascii="宋体" w:hAnsi="宋体"/>
                <w:color w:val="auto"/>
                <w:highlight w:val="none"/>
              </w:rPr>
            </w:pPr>
            <w:r>
              <w:rPr>
                <w:rFonts w:hint="eastAsia" w:ascii="宋体" w:hAnsi="宋体" w:cs="宋体"/>
                <w:color w:val="auto"/>
                <w:highlight w:val="none"/>
              </w:rPr>
              <w:t>审查类别</w:t>
            </w:r>
          </w:p>
        </w:tc>
        <w:tc>
          <w:tcPr>
            <w:tcW w:w="7584" w:type="dxa"/>
            <w:vAlign w:val="center"/>
          </w:tcPr>
          <w:p>
            <w:pPr>
              <w:spacing w:line="240" w:lineRule="auto"/>
              <w:ind w:firstLine="420" w:firstLineChars="200"/>
              <w:jc w:val="center"/>
              <w:rPr>
                <w:rFonts w:ascii="宋体" w:hAnsi="宋体"/>
                <w:color w:val="auto"/>
                <w:highlight w:val="none"/>
              </w:rPr>
            </w:pPr>
            <w:r>
              <w:rPr>
                <w:rFonts w:hint="eastAsia" w:ascii="宋体" w:hAnsi="宋体" w:cs="宋体"/>
                <w:color w:val="auto"/>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vMerge w:val="restart"/>
            <w:vAlign w:val="center"/>
          </w:tcPr>
          <w:p>
            <w:pPr>
              <w:spacing w:line="240" w:lineRule="auto"/>
              <w:rPr>
                <w:rFonts w:ascii="宋体" w:hAnsi="宋体"/>
                <w:color w:val="auto"/>
                <w:highlight w:val="none"/>
              </w:rPr>
            </w:pPr>
            <w:r>
              <w:rPr>
                <w:rFonts w:hint="eastAsia" w:ascii="宋体" w:hAnsi="宋体" w:cs="宋体"/>
                <w:color w:val="auto"/>
                <w:highlight w:val="none"/>
              </w:rPr>
              <w:t>资格条件审查</w:t>
            </w:r>
          </w:p>
        </w:tc>
        <w:tc>
          <w:tcPr>
            <w:tcW w:w="7584" w:type="dxa"/>
            <w:vAlign w:val="center"/>
          </w:tcPr>
          <w:p>
            <w:pPr>
              <w:spacing w:line="240" w:lineRule="auto"/>
              <w:jc w:val="both"/>
              <w:rPr>
                <w:rFonts w:ascii="宋体" w:hAnsi="宋体"/>
                <w:color w:val="auto"/>
                <w:highlight w:val="none"/>
              </w:rPr>
            </w:pPr>
            <w:r>
              <w:rPr>
                <w:rFonts w:hint="eastAsia" w:ascii="宋体" w:hAnsi="宋体" w:cs="宋体"/>
                <w:color w:val="auto"/>
                <w:highlight w:val="none"/>
              </w:rPr>
              <w:t>（一）符合《中华人民共和国政府采购法》第二十二条规定的供应商资格条件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vMerge w:val="continue"/>
            <w:vAlign w:val="top"/>
          </w:tcPr>
          <w:p>
            <w:pPr>
              <w:spacing w:line="240" w:lineRule="auto"/>
              <w:ind w:firstLine="420" w:firstLineChars="200"/>
              <w:rPr>
                <w:rFonts w:ascii="宋体" w:hAnsi="宋体"/>
                <w:color w:val="auto"/>
                <w:highlight w:val="none"/>
              </w:rPr>
            </w:pPr>
          </w:p>
        </w:tc>
        <w:tc>
          <w:tcPr>
            <w:tcW w:w="7584" w:type="dxa"/>
            <w:vAlign w:val="center"/>
          </w:tcPr>
          <w:p>
            <w:pPr>
              <w:snapToGrid w:val="0"/>
              <w:spacing w:line="240" w:lineRule="auto"/>
              <w:jc w:val="both"/>
              <w:rPr>
                <w:rFonts w:ascii="宋体" w:hAnsi="宋体"/>
                <w:color w:val="auto"/>
                <w:highlight w:val="none"/>
              </w:rPr>
            </w:pPr>
            <w:r>
              <w:rPr>
                <w:rFonts w:hint="eastAsia" w:ascii="宋体" w:hAnsi="宋体" w:cs="宋体"/>
                <w:color w:val="auto"/>
                <w:highlight w:val="none"/>
              </w:rPr>
              <w:t>（二）本项目不接受联合体投标。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vMerge w:val="continue"/>
            <w:vAlign w:val="top"/>
          </w:tcPr>
          <w:p>
            <w:pPr>
              <w:spacing w:line="240" w:lineRule="auto"/>
              <w:ind w:firstLine="420" w:firstLineChars="200"/>
              <w:rPr>
                <w:rFonts w:ascii="宋体" w:hAnsi="宋体"/>
                <w:color w:val="auto"/>
                <w:highlight w:val="none"/>
              </w:rPr>
            </w:pPr>
          </w:p>
        </w:tc>
        <w:tc>
          <w:tcPr>
            <w:tcW w:w="7584" w:type="dxa"/>
            <w:vAlign w:val="center"/>
          </w:tcPr>
          <w:p>
            <w:pPr>
              <w:spacing w:line="240" w:lineRule="auto"/>
              <w:jc w:val="both"/>
              <w:rPr>
                <w:rFonts w:ascii="宋体" w:hAnsi="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三</w:t>
            </w:r>
            <w:r>
              <w:rPr>
                <w:rFonts w:hint="eastAsia" w:ascii="宋体" w:hAnsi="宋体" w:cs="宋体"/>
                <w:color w:val="auto"/>
                <w:highlight w:val="none"/>
              </w:rPr>
              <w:t>）供应商未被列入“信用中国”网站</w:t>
            </w:r>
            <w:r>
              <w:rPr>
                <w:rFonts w:ascii="宋体" w:hAnsi="宋体" w:cs="宋体"/>
                <w:color w:val="auto"/>
                <w:highlight w:val="none"/>
              </w:rPr>
              <w:t>(www.creditchina.gov.cn)</w:t>
            </w:r>
            <w:r>
              <w:rPr>
                <w:rFonts w:hint="eastAsia" w:ascii="宋体" w:hAnsi="宋体" w:cs="宋体"/>
                <w:color w:val="auto"/>
                <w:highlight w:val="none"/>
              </w:rPr>
              <w:t>“记录失信被执行人或重大税收违法案件当事人名单或政府采购严重违法失信行为”记录名单；不处于中国政府采购网</w:t>
            </w:r>
            <w:r>
              <w:rPr>
                <w:rFonts w:ascii="宋体" w:hAnsi="宋体" w:cs="宋体"/>
                <w:color w:val="auto"/>
                <w:highlight w:val="none"/>
              </w:rPr>
              <w:t>(www.ccgp.gov.cn)</w:t>
            </w:r>
            <w:r>
              <w:rPr>
                <w:rFonts w:hint="eastAsia" w:ascii="宋体" w:hAnsi="宋体" w:cs="宋体"/>
                <w:color w:val="auto"/>
                <w:highlight w:val="none"/>
              </w:rPr>
              <w:t>“政府采购严重违法失信行为信息记录”中的禁止参加政府采购活动期间。（以代理机构于投标截止日当天在“信用中国”网站（</w:t>
            </w:r>
            <w:r>
              <w:rPr>
                <w:rFonts w:ascii="宋体" w:hAnsi="宋体" w:cs="宋体"/>
                <w:color w:val="auto"/>
                <w:highlight w:val="none"/>
              </w:rPr>
              <w:t>www.creditchina.gov.cn</w:t>
            </w:r>
            <w:r>
              <w:rPr>
                <w:rFonts w:hint="eastAsia" w:ascii="宋体" w:hAnsi="宋体" w:cs="宋体"/>
                <w:color w:val="auto"/>
                <w:highlight w:val="none"/>
              </w:rPr>
              <w:t>）及中国政府采购网查询结果为准，如相关失信记录已失效，供应商需提供相关证明资料）。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vMerge w:val="continue"/>
            <w:vAlign w:val="top"/>
          </w:tcPr>
          <w:p>
            <w:pPr>
              <w:spacing w:line="240" w:lineRule="auto"/>
              <w:ind w:firstLine="420" w:firstLineChars="200"/>
              <w:rPr>
                <w:rFonts w:ascii="宋体" w:hAnsi="宋体"/>
                <w:color w:val="auto"/>
                <w:highlight w:val="none"/>
              </w:rPr>
            </w:pPr>
          </w:p>
        </w:tc>
        <w:tc>
          <w:tcPr>
            <w:tcW w:w="7584" w:type="dxa"/>
            <w:vAlign w:val="center"/>
          </w:tcPr>
          <w:p>
            <w:pPr>
              <w:spacing w:line="240" w:lineRule="auto"/>
              <w:jc w:val="both"/>
              <w:rPr>
                <w:rFonts w:ascii="宋体" w:hAnsi="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四</w:t>
            </w:r>
            <w:r>
              <w:rPr>
                <w:rFonts w:hint="eastAsia" w:ascii="宋体" w:hAnsi="宋体" w:cs="宋体"/>
                <w:color w:val="auto"/>
                <w:highlight w:val="none"/>
              </w:rPr>
              <w:t>）</w:t>
            </w:r>
            <w:r>
              <w:rPr>
                <w:rFonts w:hint="eastAsia" w:ascii="宋体" w:hAnsi="宋体" w:eastAsia="宋体" w:cs="宋体"/>
                <w:i w:val="0"/>
                <w:caps w:val="0"/>
                <w:color w:val="auto"/>
                <w:spacing w:val="0"/>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vMerge w:val="continue"/>
            <w:vAlign w:val="top"/>
          </w:tcPr>
          <w:p>
            <w:pPr>
              <w:spacing w:line="240" w:lineRule="auto"/>
              <w:ind w:firstLine="420" w:firstLineChars="200"/>
              <w:rPr>
                <w:rFonts w:ascii="宋体" w:hAnsi="宋体"/>
                <w:color w:val="auto"/>
                <w:highlight w:val="none"/>
              </w:rPr>
            </w:pPr>
          </w:p>
        </w:tc>
        <w:tc>
          <w:tcPr>
            <w:tcW w:w="7584" w:type="dxa"/>
            <w:vAlign w:val="center"/>
          </w:tcPr>
          <w:p>
            <w:pPr>
              <w:spacing w:line="240" w:lineRule="auto"/>
              <w:jc w:val="both"/>
              <w:rPr>
                <w:rFonts w:ascii="宋体" w:hAnsi="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五</w:t>
            </w:r>
            <w:r>
              <w:rPr>
                <w:rFonts w:hint="eastAsia" w:ascii="宋体" w:hAnsi="宋体" w:cs="宋体"/>
                <w:color w:val="auto"/>
                <w:highlight w:val="none"/>
              </w:rPr>
              <w:t>）采购文件要求的其他资格条件（如有）；</w:t>
            </w: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2.符合性审查</w:t>
      </w:r>
    </w:p>
    <w:p>
      <w:pPr>
        <w:spacing w:line="360" w:lineRule="auto"/>
        <w:ind w:firstLine="420" w:firstLineChars="200"/>
        <w:rPr>
          <w:rFonts w:ascii="宋体" w:hAnsi="宋体"/>
          <w:color w:val="auto"/>
          <w:highlight w:val="none"/>
        </w:rPr>
      </w:pPr>
      <w:r>
        <w:rPr>
          <w:rFonts w:hint="eastAsia" w:ascii="宋体" w:hAnsi="宋体" w:cs="宋体"/>
          <w:color w:val="auto"/>
          <w:kern w:val="0"/>
          <w:highlight w:val="none"/>
        </w:rPr>
        <w:t>评标委员会应当对符合资格的供应商的投标文件进行符合性审查，以确定其是否满足采购文件的实质性要求。</w:t>
      </w:r>
    </w:p>
    <w:tbl>
      <w:tblPr>
        <w:tblStyle w:val="49"/>
        <w:tblW w:w="910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2" w:type="dxa"/>
            <w:vAlign w:val="center"/>
          </w:tcPr>
          <w:p>
            <w:pPr>
              <w:spacing w:line="240" w:lineRule="auto"/>
              <w:jc w:val="center"/>
              <w:rPr>
                <w:rFonts w:ascii="宋体" w:hAnsi="宋体"/>
                <w:color w:val="auto"/>
                <w:highlight w:val="none"/>
              </w:rPr>
            </w:pPr>
            <w:r>
              <w:rPr>
                <w:rFonts w:hint="eastAsia" w:ascii="宋体" w:hAnsi="宋体" w:cs="宋体"/>
                <w:color w:val="auto"/>
                <w:highlight w:val="none"/>
              </w:rPr>
              <w:t>审查类别</w:t>
            </w:r>
          </w:p>
        </w:tc>
        <w:tc>
          <w:tcPr>
            <w:tcW w:w="7573" w:type="dxa"/>
            <w:vAlign w:val="center"/>
          </w:tcPr>
          <w:p>
            <w:pPr>
              <w:spacing w:line="240" w:lineRule="auto"/>
              <w:jc w:val="center"/>
              <w:rPr>
                <w:rFonts w:ascii="宋体" w:hAnsi="宋体"/>
                <w:color w:val="auto"/>
                <w:highlight w:val="none"/>
              </w:rPr>
            </w:pPr>
            <w:r>
              <w:rPr>
                <w:rFonts w:hint="eastAsia" w:ascii="宋体" w:hAnsi="宋体" w:cs="宋体"/>
                <w:color w:val="auto"/>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2" w:type="dxa"/>
            <w:vMerge w:val="restart"/>
            <w:vAlign w:val="center"/>
          </w:tcPr>
          <w:p>
            <w:pPr>
              <w:spacing w:line="240" w:lineRule="auto"/>
              <w:jc w:val="center"/>
              <w:rPr>
                <w:rFonts w:ascii="宋体" w:hAnsi="宋体"/>
                <w:color w:val="auto"/>
                <w:highlight w:val="none"/>
              </w:rPr>
            </w:pPr>
            <w:r>
              <w:rPr>
                <w:rFonts w:hint="eastAsia" w:ascii="宋体" w:hAnsi="宋体" w:cs="宋体"/>
                <w:color w:val="auto"/>
                <w:highlight w:val="none"/>
              </w:rPr>
              <w:t>符合性审查</w:t>
            </w:r>
          </w:p>
        </w:tc>
        <w:tc>
          <w:tcPr>
            <w:tcW w:w="7573" w:type="dxa"/>
            <w:vAlign w:val="center"/>
          </w:tcPr>
          <w:p>
            <w:pPr>
              <w:spacing w:line="240" w:lineRule="auto"/>
              <w:jc w:val="both"/>
              <w:rPr>
                <w:rFonts w:ascii="宋体" w:hAnsi="宋体"/>
                <w:color w:val="auto"/>
                <w:highlight w:val="none"/>
              </w:rPr>
            </w:pPr>
            <w:r>
              <w:rPr>
                <w:rFonts w:hint="eastAsia" w:ascii="宋体" w:hAnsi="宋体" w:cs="宋体"/>
                <w:color w:val="auto"/>
                <w:highlight w:val="none"/>
              </w:rPr>
              <w:t>投标函已提交并符合采购文件要求的；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2" w:type="dxa"/>
            <w:vMerge w:val="continue"/>
            <w:vAlign w:val="top"/>
          </w:tcPr>
          <w:p>
            <w:pPr>
              <w:spacing w:line="240" w:lineRule="auto"/>
              <w:rPr>
                <w:rFonts w:ascii="宋体" w:hAnsi="宋体"/>
                <w:color w:val="auto"/>
                <w:highlight w:val="none"/>
              </w:rPr>
            </w:pPr>
          </w:p>
        </w:tc>
        <w:tc>
          <w:tcPr>
            <w:tcW w:w="7573" w:type="dxa"/>
            <w:vAlign w:val="center"/>
          </w:tcPr>
          <w:p>
            <w:pPr>
              <w:spacing w:line="240" w:lineRule="auto"/>
              <w:jc w:val="both"/>
              <w:rPr>
                <w:rFonts w:ascii="宋体" w:hAnsi="宋体"/>
                <w:color w:val="auto"/>
                <w:highlight w:val="none"/>
              </w:rPr>
            </w:pPr>
            <w:r>
              <w:rPr>
                <w:rFonts w:hint="eastAsia" w:ascii="宋体" w:hAnsi="宋体" w:cs="宋体"/>
                <w:color w:val="auto"/>
                <w:highlight w:val="none"/>
              </w:rPr>
              <w:t>按照采购文件规定要求签署、盖章且投标文件有法定代表人</w:t>
            </w:r>
            <w:r>
              <w:rPr>
                <w:rFonts w:hint="eastAsia" w:ascii="宋体" w:hAnsi="宋体" w:cs="宋体"/>
                <w:color w:val="auto"/>
                <w:highlight w:val="none"/>
                <w:lang w:eastAsia="zh-TW"/>
              </w:rPr>
              <w:t>签署本人姓名（或印盖本人姓名章）</w:t>
            </w:r>
            <w:r>
              <w:rPr>
                <w:rFonts w:hint="eastAsia" w:ascii="宋体" w:hAnsi="宋体" w:cs="宋体"/>
                <w:color w:val="auto"/>
                <w:highlight w:val="none"/>
              </w:rPr>
              <w:t>，或</w:t>
            </w:r>
            <w:r>
              <w:rPr>
                <w:rFonts w:hint="eastAsia" w:ascii="宋体" w:hAnsi="宋体" w:cs="宋体"/>
                <w:color w:val="auto"/>
                <w:highlight w:val="none"/>
                <w:lang w:eastAsia="zh-TW"/>
              </w:rPr>
              <w:t>签署</w:t>
            </w:r>
            <w:r>
              <w:rPr>
                <w:rFonts w:hint="eastAsia" w:ascii="宋体" w:hAnsi="宋体" w:cs="宋体"/>
                <w:color w:val="auto"/>
                <w:highlight w:val="none"/>
              </w:rPr>
              <w:t>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2" w:type="dxa"/>
            <w:vMerge w:val="continue"/>
            <w:vAlign w:val="top"/>
          </w:tcPr>
          <w:p>
            <w:pPr>
              <w:spacing w:line="240" w:lineRule="auto"/>
              <w:rPr>
                <w:rFonts w:ascii="宋体" w:hAnsi="宋体"/>
                <w:color w:val="auto"/>
                <w:highlight w:val="none"/>
              </w:rPr>
            </w:pPr>
          </w:p>
        </w:tc>
        <w:tc>
          <w:tcPr>
            <w:tcW w:w="7573" w:type="dxa"/>
            <w:vAlign w:val="center"/>
          </w:tcPr>
          <w:p>
            <w:pPr>
              <w:spacing w:line="240" w:lineRule="auto"/>
              <w:jc w:val="both"/>
              <w:rPr>
                <w:rFonts w:ascii="宋体" w:hAnsi="宋体"/>
                <w:color w:val="auto"/>
                <w:highlight w:val="none"/>
              </w:rPr>
            </w:pPr>
            <w:r>
              <w:rPr>
                <w:rFonts w:hint="eastAsia" w:ascii="宋体" w:hAnsi="宋体" w:cs="宋体"/>
                <w:color w:val="auto"/>
                <w:highlight w:val="none"/>
              </w:rPr>
              <w:t>投标文件完全满足采购文件的实质性条款（即标注★号条款）无负偏离的；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2" w:type="dxa"/>
            <w:vMerge w:val="continue"/>
            <w:vAlign w:val="top"/>
          </w:tcPr>
          <w:p>
            <w:pPr>
              <w:spacing w:line="240" w:lineRule="auto"/>
              <w:rPr>
                <w:rFonts w:ascii="宋体" w:hAnsi="宋体"/>
                <w:color w:val="auto"/>
                <w:highlight w:val="none"/>
              </w:rPr>
            </w:pPr>
          </w:p>
        </w:tc>
        <w:tc>
          <w:tcPr>
            <w:tcW w:w="7573" w:type="dxa"/>
            <w:vAlign w:val="center"/>
          </w:tcPr>
          <w:p>
            <w:pPr>
              <w:spacing w:line="240" w:lineRule="auto"/>
              <w:jc w:val="both"/>
              <w:rPr>
                <w:rFonts w:ascii="宋体" w:hAnsi="宋体"/>
                <w:color w:val="auto"/>
                <w:highlight w:val="none"/>
              </w:rPr>
            </w:pPr>
            <w:r>
              <w:rPr>
                <w:rFonts w:hint="eastAsia" w:ascii="宋体" w:hAnsi="宋体" w:cs="宋体"/>
                <w:color w:val="auto"/>
                <w:highlight w:val="none"/>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2" w:type="dxa"/>
            <w:vMerge w:val="continue"/>
            <w:vAlign w:val="top"/>
          </w:tcPr>
          <w:p>
            <w:pPr>
              <w:spacing w:line="240" w:lineRule="auto"/>
              <w:rPr>
                <w:rFonts w:ascii="宋体" w:hAnsi="宋体"/>
                <w:color w:val="auto"/>
                <w:highlight w:val="none"/>
              </w:rPr>
            </w:pPr>
          </w:p>
        </w:tc>
        <w:tc>
          <w:tcPr>
            <w:tcW w:w="7573" w:type="dxa"/>
            <w:vAlign w:val="center"/>
          </w:tcPr>
          <w:p>
            <w:pPr>
              <w:spacing w:line="240" w:lineRule="auto"/>
              <w:jc w:val="both"/>
              <w:rPr>
                <w:rFonts w:ascii="宋体" w:hAnsi="宋体"/>
                <w:color w:val="auto"/>
                <w:highlight w:val="none"/>
              </w:rPr>
            </w:pPr>
            <w:r>
              <w:rPr>
                <w:rFonts w:hint="eastAsia" w:ascii="宋体" w:hAnsi="宋体" w:cs="宋体"/>
                <w:color w:val="auto"/>
                <w:highlight w:val="none"/>
              </w:rPr>
              <w:t>按有关法律、法规、规章不属于投标无效的。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2" w:type="dxa"/>
            <w:vMerge w:val="continue"/>
            <w:vAlign w:val="top"/>
          </w:tcPr>
          <w:p>
            <w:pPr>
              <w:spacing w:line="240" w:lineRule="auto"/>
              <w:rPr>
                <w:rFonts w:ascii="宋体" w:hAnsi="宋体"/>
                <w:color w:val="auto"/>
                <w:highlight w:val="none"/>
              </w:rPr>
            </w:pPr>
          </w:p>
        </w:tc>
        <w:tc>
          <w:tcPr>
            <w:tcW w:w="7573" w:type="dxa"/>
            <w:vAlign w:val="center"/>
          </w:tcPr>
          <w:p>
            <w:pPr>
              <w:spacing w:line="240" w:lineRule="auto"/>
              <w:jc w:val="both"/>
              <w:rPr>
                <w:rFonts w:ascii="宋体" w:hAnsi="宋体"/>
                <w:color w:val="auto"/>
                <w:highlight w:val="none"/>
              </w:rPr>
            </w:pPr>
            <w:r>
              <w:rPr>
                <w:rFonts w:hint="eastAsia" w:ascii="宋体" w:hAnsi="宋体" w:cs="宋体"/>
                <w:color w:val="auto"/>
                <w:highlight w:val="none"/>
              </w:rPr>
              <w:t>按照采购文件要求提供其他证明材料（如有）。</w:t>
            </w: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3.详细评审</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评标委员会对资格审查、符合性审查合格的投标文件，依照本办法对投标文件作进一步评审、比较。评标委员会成员经过阅标、审标和询标，对各供应商进行打分。</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评委打分参照本部分附表《评分标准表》。由各评标委员会成员根据供应商的投标文件及相关澄清文件，进行独立打分。评委打分采用记名方式，取算术平均分（小数点后保留两位小数）。对明显畸高、畸低的评分（其总评分偏离平均分</w:t>
      </w:r>
      <w:r>
        <w:rPr>
          <w:rFonts w:ascii="宋体" w:hAnsi="宋体"/>
          <w:color w:val="auto"/>
          <w:highlight w:val="none"/>
        </w:rPr>
        <w:t>30%</w:t>
      </w:r>
      <w:r>
        <w:rPr>
          <w:rFonts w:hint="eastAsia" w:ascii="宋体" w:hAnsi="宋体" w:cs="宋体"/>
          <w:color w:val="auto"/>
          <w:highlight w:val="none"/>
        </w:rPr>
        <w:t>以上的），评标委员会主任委员提醒相关评审人员进行复核或书面说明理由。</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1"/>
        <w:rPr>
          <w:rFonts w:hint="eastAsia" w:ascii="宋体" w:hAnsi="宋体" w:eastAsia="宋体" w:cs="宋体"/>
          <w:b/>
          <w:bCs/>
          <w:color w:val="auto"/>
          <w:highlight w:val="none"/>
        </w:rPr>
      </w:pPr>
      <w:bookmarkStart w:id="37" w:name="_Toc13921"/>
      <w:bookmarkStart w:id="38" w:name="_Toc512554440"/>
      <w:r>
        <w:rPr>
          <w:rFonts w:hint="eastAsia" w:ascii="宋体" w:hAnsi="宋体" w:eastAsia="宋体" w:cs="宋体"/>
          <w:b/>
          <w:bCs/>
          <w:color w:val="auto"/>
          <w:highlight w:val="none"/>
        </w:rPr>
        <w:t>4.投标无效的情形</w:t>
      </w:r>
      <w:bookmarkEnd w:id="37"/>
      <w:bookmarkEnd w:id="38"/>
    </w:p>
    <w:p>
      <w:pPr>
        <w:spacing w:line="360" w:lineRule="auto"/>
        <w:ind w:firstLine="420" w:firstLineChars="200"/>
        <w:rPr>
          <w:rFonts w:ascii="宋体" w:hAnsi="宋体"/>
          <w:color w:val="auto"/>
          <w:highlight w:val="none"/>
        </w:rPr>
      </w:pPr>
      <w:r>
        <w:rPr>
          <w:rFonts w:hint="eastAsia" w:ascii="宋体" w:hAnsi="宋体" w:cs="宋体"/>
          <w:color w:val="auto"/>
          <w:highlight w:val="none"/>
        </w:rPr>
        <w:t>实质上没有响应采购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pPr>
        <w:pStyle w:val="20"/>
        <w:numPr>
          <w:ilvl w:val="0"/>
          <w:numId w:val="10"/>
        </w:numPr>
        <w:snapToGrid w:val="0"/>
        <w:spacing w:line="360" w:lineRule="auto"/>
        <w:ind w:left="845"/>
        <w:rPr>
          <w:rFonts w:hAnsi="宋体"/>
          <w:b/>
          <w:bCs/>
          <w:color w:val="auto"/>
          <w:sz w:val="21"/>
          <w:szCs w:val="21"/>
          <w:highlight w:val="none"/>
        </w:rPr>
      </w:pPr>
      <w:r>
        <w:rPr>
          <w:rFonts w:hint="eastAsia" w:hAnsi="宋体"/>
          <w:b/>
          <w:bCs/>
          <w:color w:val="auto"/>
          <w:sz w:val="21"/>
          <w:szCs w:val="21"/>
          <w:highlight w:val="none"/>
        </w:rPr>
        <w:t>在资格审查中，如发现下列情形之一的，投标文件将被视为无效：</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w:t>
      </w:r>
      <w:r>
        <w:rPr>
          <w:rFonts w:ascii="宋体" w:hAnsi="宋体"/>
          <w:color w:val="auto"/>
          <w:highlight w:val="none"/>
        </w:rPr>
        <w:t>1</w:t>
      </w:r>
      <w:r>
        <w:rPr>
          <w:rFonts w:hint="eastAsia" w:ascii="宋体" w:hAnsi="宋体" w:cs="宋体"/>
          <w:color w:val="auto"/>
          <w:highlight w:val="none"/>
        </w:rPr>
        <w:t>）资格证明文件不全的，或者不符合采购文件标明的资格要求的；</w:t>
      </w:r>
    </w:p>
    <w:p>
      <w:pPr>
        <w:pStyle w:val="20"/>
        <w:numPr>
          <w:ilvl w:val="0"/>
          <w:numId w:val="10"/>
        </w:numPr>
        <w:snapToGrid w:val="0"/>
        <w:spacing w:line="360" w:lineRule="auto"/>
        <w:ind w:left="845"/>
        <w:rPr>
          <w:rFonts w:hAnsi="宋体"/>
          <w:b/>
          <w:bCs/>
          <w:color w:val="auto"/>
          <w:sz w:val="21"/>
          <w:szCs w:val="21"/>
          <w:highlight w:val="none"/>
        </w:rPr>
      </w:pPr>
      <w:r>
        <w:rPr>
          <w:rFonts w:hint="eastAsia" w:hAnsi="宋体"/>
          <w:b/>
          <w:bCs/>
          <w:color w:val="auto"/>
          <w:sz w:val="21"/>
          <w:szCs w:val="21"/>
          <w:highlight w:val="none"/>
        </w:rPr>
        <w:t>在符合性审查和商务评审时，如发现下列情形之一的，投标文件将被视为无效：</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w:t>
      </w:r>
      <w:r>
        <w:rPr>
          <w:rFonts w:ascii="宋体" w:hAnsi="宋体"/>
          <w:color w:val="auto"/>
          <w:highlight w:val="none"/>
        </w:rPr>
        <w:t>1</w:t>
      </w:r>
      <w:r>
        <w:rPr>
          <w:rFonts w:hint="eastAsia" w:ascii="宋体" w:hAnsi="宋体" w:cs="宋体"/>
          <w:color w:val="auto"/>
          <w:highlight w:val="none"/>
        </w:rPr>
        <w:t>）投标文件无法定代表人签字</w:t>
      </w:r>
      <w:r>
        <w:rPr>
          <w:rFonts w:ascii="宋体" w:hAnsi="宋体"/>
          <w:color w:val="auto"/>
          <w:highlight w:val="none"/>
        </w:rPr>
        <w:t>,</w:t>
      </w:r>
      <w:r>
        <w:rPr>
          <w:rFonts w:hint="eastAsia" w:ascii="宋体" w:hAnsi="宋体" w:cs="宋体"/>
          <w:color w:val="auto"/>
          <w:highlight w:val="none"/>
        </w:rPr>
        <w:t>或未提供法定代表人授权委托书、投标声明书或者填写项目不齐全的；</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w:t>
      </w:r>
      <w:r>
        <w:rPr>
          <w:rFonts w:ascii="宋体" w:hAnsi="宋体"/>
          <w:color w:val="auto"/>
          <w:highlight w:val="none"/>
        </w:rPr>
        <w:t>2</w:t>
      </w:r>
      <w:r>
        <w:rPr>
          <w:rFonts w:hint="eastAsia" w:ascii="宋体" w:hAnsi="宋体" w:cs="宋体"/>
          <w:color w:val="auto"/>
          <w:highlight w:val="none"/>
        </w:rPr>
        <w:t>）投标代表人未能出具身份证明或与法定代表人授权委托人身份不符的；</w:t>
      </w:r>
      <w:r>
        <w:rPr>
          <w:rFonts w:ascii="宋体" w:hAnsi="宋体"/>
          <w:color w:val="auto"/>
          <w:highlight w:val="none"/>
        </w:rPr>
        <w:t xml:space="preserve"> </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w:t>
      </w:r>
      <w:r>
        <w:rPr>
          <w:rFonts w:ascii="宋体" w:hAnsi="宋体"/>
          <w:color w:val="auto"/>
          <w:highlight w:val="none"/>
        </w:rPr>
        <w:t>3</w:t>
      </w:r>
      <w:r>
        <w:rPr>
          <w:rFonts w:hint="eastAsia" w:ascii="宋体" w:hAnsi="宋体" w:cs="宋体"/>
          <w:color w:val="auto"/>
          <w:highlight w:val="none"/>
        </w:rPr>
        <w:t>）投标文件格式不规范、项目不齐全或者内容虚假的；</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w:t>
      </w:r>
      <w:r>
        <w:rPr>
          <w:rFonts w:ascii="宋体" w:hAnsi="宋体"/>
          <w:color w:val="auto"/>
          <w:highlight w:val="none"/>
        </w:rPr>
        <w:t>4</w:t>
      </w:r>
      <w:r>
        <w:rPr>
          <w:rFonts w:hint="eastAsia" w:ascii="宋体" w:hAnsi="宋体" w:cs="宋体"/>
          <w:color w:val="auto"/>
          <w:highlight w:val="none"/>
        </w:rPr>
        <w:t>）投标文件的实质性内容未使用中文表述、意思表述不明确、前后矛盾或者使用计量单位不符合采购文件要求的（经评标委员会认定并允许其当场更正的笔误除外）；</w:t>
      </w:r>
    </w:p>
    <w:p>
      <w:pPr>
        <w:pStyle w:val="20"/>
        <w:snapToGrid w:val="0"/>
        <w:spacing w:line="360" w:lineRule="auto"/>
        <w:ind w:firstLine="411" w:firstLineChars="196"/>
        <w:rPr>
          <w:rFonts w:hAnsi="宋体"/>
          <w:color w:val="auto"/>
          <w:spacing w:val="0"/>
          <w:sz w:val="21"/>
          <w:szCs w:val="21"/>
          <w:highlight w:val="none"/>
        </w:rPr>
      </w:pPr>
      <w:r>
        <w:rPr>
          <w:rFonts w:hint="eastAsia" w:hAnsi="宋体"/>
          <w:color w:val="auto"/>
          <w:spacing w:val="0"/>
          <w:sz w:val="21"/>
          <w:szCs w:val="21"/>
          <w:highlight w:val="none"/>
        </w:rPr>
        <w:t>（</w:t>
      </w:r>
      <w:r>
        <w:rPr>
          <w:rFonts w:hAnsi="宋体"/>
          <w:color w:val="auto"/>
          <w:spacing w:val="0"/>
          <w:sz w:val="21"/>
          <w:szCs w:val="21"/>
          <w:highlight w:val="none"/>
        </w:rPr>
        <w:t>5</w:t>
      </w:r>
      <w:r>
        <w:rPr>
          <w:rFonts w:hint="eastAsia" w:hAnsi="宋体"/>
          <w:color w:val="auto"/>
          <w:spacing w:val="0"/>
          <w:sz w:val="21"/>
          <w:szCs w:val="21"/>
          <w:highlight w:val="none"/>
        </w:rPr>
        <w:t>）投标有效期等商务条款不能满足采购文件要求的；</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w:t>
      </w:r>
      <w:r>
        <w:rPr>
          <w:rFonts w:ascii="宋体" w:hAnsi="宋体"/>
          <w:color w:val="auto"/>
          <w:highlight w:val="none"/>
        </w:rPr>
        <w:t>6</w:t>
      </w:r>
      <w:r>
        <w:rPr>
          <w:rFonts w:hint="eastAsia" w:ascii="宋体" w:hAnsi="宋体" w:cs="宋体"/>
          <w:color w:val="auto"/>
          <w:highlight w:val="none"/>
        </w:rPr>
        <w:t>）未实质性响应采购文件要求或者投标文件有招标方不能接受的附加条件的；</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w:t>
      </w:r>
      <w:r>
        <w:rPr>
          <w:rFonts w:hint="eastAsia" w:ascii="宋体" w:hAnsi="宋体"/>
          <w:color w:val="auto"/>
          <w:highlight w:val="none"/>
          <w:lang w:val="en-US" w:eastAsia="zh-CN"/>
        </w:rPr>
        <w:t>7</w:t>
      </w:r>
      <w:r>
        <w:rPr>
          <w:rFonts w:hint="eastAsia" w:ascii="宋体" w:hAnsi="宋体" w:cs="宋体"/>
          <w:color w:val="auto"/>
          <w:highlight w:val="none"/>
        </w:rPr>
        <w:t>）未按规定签章的；</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w:t>
      </w:r>
      <w:r>
        <w:rPr>
          <w:rFonts w:hint="eastAsia" w:ascii="宋体" w:hAnsi="宋体"/>
          <w:color w:val="auto"/>
          <w:highlight w:val="none"/>
          <w:lang w:val="en-US" w:eastAsia="zh-CN"/>
        </w:rPr>
        <w:t>8</w:t>
      </w:r>
      <w:r>
        <w:rPr>
          <w:rFonts w:hint="eastAsia" w:ascii="宋体" w:hAnsi="宋体" w:cs="宋体"/>
          <w:color w:val="auto"/>
          <w:highlight w:val="none"/>
        </w:rPr>
        <w:t>）投标文件的关键内容字迹模糊、无法辨认的</w:t>
      </w:r>
      <w:r>
        <w:rPr>
          <w:rFonts w:ascii="宋体" w:hAnsi="宋体"/>
          <w:color w:val="auto"/>
          <w:highlight w:val="none"/>
        </w:rPr>
        <w:t>,</w:t>
      </w:r>
      <w:r>
        <w:rPr>
          <w:rFonts w:hint="eastAsia" w:ascii="宋体" w:hAnsi="宋体" w:cs="宋体"/>
          <w:color w:val="auto"/>
          <w:highlight w:val="none"/>
        </w:rPr>
        <w:t>或者投标文件中经修正的内容字迹模糊难以辩认或者修改处未按规定签名盖章的；</w:t>
      </w:r>
      <w:r>
        <w:rPr>
          <w:rFonts w:ascii="宋体" w:hAnsi="宋体"/>
          <w:color w:val="auto"/>
          <w:highlight w:val="none"/>
        </w:rPr>
        <w:t xml:space="preserve"> </w:t>
      </w:r>
    </w:p>
    <w:p>
      <w:pPr>
        <w:pStyle w:val="20"/>
        <w:numPr>
          <w:ilvl w:val="0"/>
          <w:numId w:val="10"/>
        </w:numPr>
        <w:snapToGrid w:val="0"/>
        <w:spacing w:line="360" w:lineRule="auto"/>
        <w:ind w:left="845"/>
        <w:rPr>
          <w:rFonts w:hAnsi="宋体"/>
          <w:b/>
          <w:bCs/>
          <w:color w:val="auto"/>
          <w:sz w:val="21"/>
          <w:szCs w:val="21"/>
          <w:highlight w:val="none"/>
        </w:rPr>
      </w:pPr>
      <w:r>
        <w:rPr>
          <w:rFonts w:hint="eastAsia" w:hAnsi="宋体"/>
          <w:b/>
          <w:bCs/>
          <w:color w:val="auto"/>
          <w:sz w:val="21"/>
          <w:szCs w:val="21"/>
          <w:highlight w:val="none"/>
        </w:rPr>
        <w:t>在技术评审时，如发现下列情形之一的，投标文件将被视为无效：</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w:t>
      </w:r>
      <w:r>
        <w:rPr>
          <w:rFonts w:ascii="宋体" w:hAnsi="宋体"/>
          <w:color w:val="auto"/>
          <w:highlight w:val="none"/>
        </w:rPr>
        <w:t>1</w:t>
      </w:r>
      <w:r>
        <w:rPr>
          <w:rFonts w:hint="eastAsia" w:ascii="宋体" w:hAnsi="宋体" w:cs="宋体"/>
          <w:color w:val="auto"/>
          <w:highlight w:val="none"/>
        </w:rPr>
        <w:t>）未提供或未如实提供投标货物或服务的技术参数，或者投标文件标明的响应或偏离与事实不符或虚假投标的；</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w:t>
      </w:r>
      <w:r>
        <w:rPr>
          <w:rFonts w:ascii="宋体" w:hAnsi="宋体"/>
          <w:color w:val="auto"/>
          <w:highlight w:val="none"/>
        </w:rPr>
        <w:t>2</w:t>
      </w:r>
      <w:r>
        <w:rPr>
          <w:rFonts w:hint="eastAsia" w:ascii="宋体" w:hAnsi="宋体" w:cs="宋体"/>
          <w:color w:val="auto"/>
          <w:highlight w:val="none"/>
        </w:rPr>
        <w:t>）明显不符合采购文件要求的规格型号、质量标准，或者与采购文件中标“★”的技术指标、主要功能项目发生实质性偏离的；</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w:t>
      </w:r>
      <w:r>
        <w:rPr>
          <w:rFonts w:ascii="宋体" w:hAnsi="宋体"/>
          <w:color w:val="auto"/>
          <w:highlight w:val="none"/>
        </w:rPr>
        <w:t>3</w:t>
      </w:r>
      <w:r>
        <w:rPr>
          <w:rFonts w:hint="eastAsia" w:ascii="宋体" w:hAnsi="宋体" w:cs="宋体"/>
          <w:color w:val="auto"/>
          <w:highlight w:val="none"/>
        </w:rPr>
        <w:t>）投标技术方案不明确，存在一个或一个以上备选（替代）投标方案的；</w:t>
      </w:r>
    </w:p>
    <w:p>
      <w:pPr>
        <w:pStyle w:val="20"/>
        <w:numPr>
          <w:ilvl w:val="0"/>
          <w:numId w:val="10"/>
        </w:numPr>
        <w:snapToGrid w:val="0"/>
        <w:spacing w:line="360" w:lineRule="auto"/>
        <w:ind w:left="845"/>
        <w:rPr>
          <w:rFonts w:hAnsi="宋体"/>
          <w:b/>
          <w:bCs/>
          <w:color w:val="auto"/>
          <w:sz w:val="21"/>
          <w:szCs w:val="21"/>
          <w:highlight w:val="none"/>
        </w:rPr>
      </w:pPr>
      <w:r>
        <w:rPr>
          <w:rFonts w:hint="eastAsia" w:hAnsi="宋体"/>
          <w:b/>
          <w:bCs/>
          <w:color w:val="auto"/>
          <w:sz w:val="21"/>
          <w:szCs w:val="21"/>
          <w:highlight w:val="none"/>
        </w:rPr>
        <w:t>在报价评审时，如发现下列情形之一的，投标文件将被视为无效：</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w:t>
      </w:r>
      <w:r>
        <w:rPr>
          <w:rFonts w:ascii="宋体" w:hAnsi="宋体"/>
          <w:color w:val="auto"/>
          <w:highlight w:val="none"/>
        </w:rPr>
        <w:t>1</w:t>
      </w:r>
      <w:r>
        <w:rPr>
          <w:rFonts w:hint="eastAsia" w:ascii="宋体" w:hAnsi="宋体" w:cs="宋体"/>
          <w:color w:val="auto"/>
          <w:highlight w:val="none"/>
        </w:rPr>
        <w:t>）未采用人民币报价或者未按照采购文件标明的币种报价的；</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w:t>
      </w:r>
      <w:r>
        <w:rPr>
          <w:rFonts w:ascii="宋体" w:hAnsi="宋体"/>
          <w:color w:val="auto"/>
          <w:highlight w:val="none"/>
        </w:rPr>
        <w:t>2</w:t>
      </w:r>
      <w:r>
        <w:rPr>
          <w:rFonts w:hint="eastAsia" w:ascii="宋体" w:hAnsi="宋体" w:cs="宋体"/>
          <w:color w:val="auto"/>
          <w:highlight w:val="none"/>
        </w:rPr>
        <w:t>）报价超出最高限价，或者超出采购预算金额</w:t>
      </w:r>
      <w:r>
        <w:rPr>
          <w:rFonts w:ascii="宋体" w:hAnsi="宋体"/>
          <w:color w:val="auto"/>
          <w:highlight w:val="none"/>
        </w:rPr>
        <w:t>(</w:t>
      </w:r>
      <w:r>
        <w:rPr>
          <w:rFonts w:hint="eastAsia" w:ascii="宋体" w:hAnsi="宋体" w:cs="宋体"/>
          <w:color w:val="auto"/>
          <w:highlight w:val="none"/>
        </w:rPr>
        <w:t>自主创新产品除外</w:t>
      </w:r>
      <w:r>
        <w:rPr>
          <w:rFonts w:ascii="宋体" w:hAnsi="宋体"/>
          <w:color w:val="auto"/>
          <w:highlight w:val="none"/>
        </w:rPr>
        <w:t>)</w:t>
      </w:r>
      <w:r>
        <w:rPr>
          <w:rFonts w:hint="eastAsia" w:ascii="宋体" w:hAnsi="宋体" w:cs="宋体"/>
          <w:color w:val="auto"/>
          <w:highlight w:val="none"/>
        </w:rPr>
        <w:t>，采购人不能支付的；</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w:t>
      </w:r>
      <w:r>
        <w:rPr>
          <w:rFonts w:ascii="宋体" w:hAnsi="宋体"/>
          <w:color w:val="auto"/>
          <w:highlight w:val="none"/>
        </w:rPr>
        <w:t>3</w:t>
      </w:r>
      <w:r>
        <w:rPr>
          <w:rFonts w:hint="eastAsia" w:ascii="宋体" w:hAnsi="宋体" w:cs="宋体"/>
          <w:color w:val="auto"/>
          <w:highlight w:val="none"/>
        </w:rPr>
        <w:t>）投标报价具有选择性；</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w:t>
      </w:r>
      <w:r>
        <w:rPr>
          <w:rFonts w:ascii="宋体" w:hAnsi="宋体"/>
          <w:color w:val="auto"/>
          <w:highlight w:val="none"/>
        </w:rPr>
        <w:t>4</w:t>
      </w:r>
      <w:r>
        <w:rPr>
          <w:rFonts w:hint="eastAsia" w:ascii="宋体" w:hAnsi="宋体" w:cs="宋体"/>
          <w:color w:val="auto"/>
          <w:highlight w:val="none"/>
        </w:rPr>
        <w:t>）投标报价中出现重大缺项、漏项；</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w:t>
      </w:r>
      <w:r>
        <w:rPr>
          <w:rFonts w:ascii="宋体" w:hAnsi="宋体"/>
          <w:color w:val="auto"/>
          <w:highlight w:val="none"/>
        </w:rPr>
        <w:t>5</w:t>
      </w:r>
      <w:r>
        <w:rPr>
          <w:rFonts w:hint="eastAsia" w:ascii="宋体" w:hAnsi="宋体" w:cs="宋体"/>
          <w:color w:val="auto"/>
          <w:highlight w:val="none"/>
        </w:rPr>
        <w:t>）评标委员会认为供应商的报价明显低于其他通过符合性审查供应商的报价，有可能影响产品质量或者不能诚信履约的，且不能在评标现场合理时间内提供相关证明材料说明其报价的合理性的。</w:t>
      </w:r>
    </w:p>
    <w:p>
      <w:pPr>
        <w:pStyle w:val="20"/>
        <w:numPr>
          <w:ilvl w:val="0"/>
          <w:numId w:val="10"/>
        </w:numPr>
        <w:snapToGrid w:val="0"/>
        <w:spacing w:line="360" w:lineRule="auto"/>
        <w:ind w:left="845"/>
        <w:rPr>
          <w:rFonts w:hAnsi="宋体"/>
          <w:b/>
          <w:bCs/>
          <w:color w:val="auto"/>
          <w:sz w:val="21"/>
          <w:szCs w:val="21"/>
          <w:highlight w:val="none"/>
        </w:rPr>
      </w:pPr>
      <w:r>
        <w:rPr>
          <w:rFonts w:hint="eastAsia" w:hAnsi="宋体"/>
          <w:b/>
          <w:bCs/>
          <w:color w:val="auto"/>
          <w:sz w:val="21"/>
          <w:szCs w:val="21"/>
          <w:highlight w:val="none"/>
        </w:rPr>
        <w:t>法律、法规和采购文件规定的其他无效情形。</w:t>
      </w:r>
    </w:p>
    <w:p>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5.中标原则</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评标委员会根据供应商的投标文件的总得分高低排定顺序，推荐综合得分最高的为中标候选人；若综合得分相同，则报价低者为中标候选人；若报价也相同则由抽签决定中标候选人。评标委员会推荐综合得分排名第一的供应商为本项目的第一中标候选人。</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若中标供应商因投标过程中所提供的资料有失实或弄虚作假的或放弃中标或因不可抗力提出不能履行合同或未按规定提交履约保证金的，则采购人可确定排名次之的中标候选人为中标供应商或重新组织招标。</w:t>
      </w:r>
    </w:p>
    <w:p>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6.中标结果</w:t>
      </w:r>
    </w:p>
    <w:p>
      <w:pPr>
        <w:snapToGrid w:val="0"/>
        <w:spacing w:line="360" w:lineRule="auto"/>
        <w:ind w:firstLine="420" w:firstLineChars="200"/>
        <w:rPr>
          <w:rFonts w:ascii="宋体" w:hAnsi="宋体"/>
          <w:color w:val="auto"/>
          <w:highlight w:val="none"/>
        </w:rPr>
      </w:pPr>
      <w:r>
        <w:rPr>
          <w:rFonts w:hint="eastAsia" w:ascii="宋体" w:hAnsi="宋体" w:cs="宋体"/>
          <w:color w:val="auto"/>
          <w:highlight w:val="none"/>
        </w:rPr>
        <w:t>采购机构将中标结果在政府采购指定媒体上公示，根据公示和决标结果，向中标人发出中标通知书。</w:t>
      </w:r>
    </w:p>
    <w:p>
      <w:pPr>
        <w:snapToGrid w:val="0"/>
        <w:spacing w:line="360" w:lineRule="auto"/>
        <w:ind w:firstLine="422" w:firstLineChars="200"/>
        <w:rPr>
          <w:rFonts w:ascii="宋体" w:hAnsi="宋体"/>
          <w:b/>
          <w:bCs/>
          <w:color w:val="auto"/>
          <w:highlight w:val="none"/>
        </w:rPr>
      </w:pPr>
      <w:r>
        <w:rPr>
          <w:rFonts w:hint="eastAsia" w:ascii="宋体" w:hAnsi="宋体" w:cs="宋体"/>
          <w:b/>
          <w:bCs/>
          <w:color w:val="auto"/>
          <w:highlight w:val="none"/>
        </w:rPr>
        <w:t>（四）澄清问题的形式</w:t>
      </w:r>
    </w:p>
    <w:p>
      <w:pPr>
        <w:spacing w:line="360" w:lineRule="auto"/>
        <w:ind w:firstLine="420" w:firstLineChars="200"/>
        <w:rPr>
          <w:rFonts w:ascii="宋体" w:hAnsi="宋体"/>
          <w:b/>
          <w:bCs/>
          <w:color w:val="auto"/>
          <w:highlight w:val="none"/>
        </w:rPr>
      </w:pPr>
      <w:r>
        <w:rPr>
          <w:rFonts w:hint="eastAsia" w:ascii="宋体" w:hAnsi="宋体" w:cs="宋体"/>
          <w:color w:val="auto"/>
          <w:highlight w:val="none"/>
        </w:rPr>
        <w:t>对于投标文件中含义不明确、同类问题表述不一致或者有明显文字和计算错误的内容，</w:t>
      </w:r>
      <w:r>
        <w:rPr>
          <w:rFonts w:hint="eastAsia" w:ascii="宋体" w:hAnsi="宋体" w:cs="宋体"/>
          <w:b/>
          <w:bCs/>
          <w:color w:val="auto"/>
          <w:highlight w:val="none"/>
        </w:rPr>
        <w:t>评标委员会应当以书面形式要求供应商作出必要的澄清、说明或者补正。</w:t>
      </w:r>
      <w:r>
        <w:rPr>
          <w:rFonts w:hint="eastAsia" w:ascii="宋体" w:hAnsi="宋体" w:cs="宋体"/>
          <w:color w:val="auto"/>
          <w:highlight w:val="none"/>
        </w:rPr>
        <w:t>供应商的澄清、说明或者补正应当采用书面形式，并加盖公章，或者由法定代表人或其授权的代表签字。</w:t>
      </w:r>
      <w:r>
        <w:rPr>
          <w:rFonts w:hint="eastAsia" w:ascii="宋体" w:hAnsi="宋体" w:cs="宋体"/>
          <w:b/>
          <w:bCs/>
          <w:color w:val="auto"/>
          <w:highlight w:val="none"/>
        </w:rPr>
        <w:t>供应商的澄清、说明或者补正不得超出投标文件的范围或者改变投标文件的实质性内容。</w:t>
      </w:r>
    </w:p>
    <w:p>
      <w:pPr>
        <w:spacing w:line="360" w:lineRule="auto"/>
        <w:ind w:firstLine="422" w:firstLineChars="200"/>
        <w:rPr>
          <w:rFonts w:ascii="宋体" w:hAnsi="宋体"/>
          <w:b/>
          <w:bCs/>
          <w:color w:val="auto"/>
          <w:highlight w:val="none"/>
        </w:rPr>
      </w:pPr>
      <w:r>
        <w:rPr>
          <w:rFonts w:hint="eastAsia" w:ascii="宋体" w:hAnsi="宋体" w:cs="宋体"/>
          <w:b/>
          <w:bCs/>
          <w:color w:val="auto"/>
          <w:highlight w:val="none"/>
        </w:rPr>
        <w:t>（五）错误修正</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投标文件报价出现前后不一致的，除采购文件另有规定外，按照下列规定修正：</w:t>
      </w:r>
    </w:p>
    <w:p>
      <w:pPr>
        <w:spacing w:line="360" w:lineRule="auto"/>
        <w:ind w:firstLine="420" w:firstLineChars="200"/>
        <w:rPr>
          <w:rFonts w:ascii="宋体" w:hAnsi="宋体"/>
          <w:color w:val="auto"/>
          <w:highlight w:val="none"/>
        </w:rPr>
      </w:pPr>
      <w:r>
        <w:rPr>
          <w:rFonts w:ascii="宋体" w:hAnsi="宋体" w:cs="宋体"/>
          <w:color w:val="auto"/>
          <w:highlight w:val="none"/>
        </w:rPr>
        <w:t>1.</w:t>
      </w:r>
      <w:r>
        <w:rPr>
          <w:rFonts w:hint="eastAsia" w:ascii="宋体" w:hAnsi="宋体" w:cs="宋体"/>
          <w:color w:val="auto"/>
          <w:highlight w:val="none"/>
        </w:rPr>
        <w:t>投标文件中开标一览表（报价表）内容与投标文件中相应内容不一致的，以开标一览表（报价表）为准；</w:t>
      </w:r>
    </w:p>
    <w:p>
      <w:pPr>
        <w:spacing w:line="360" w:lineRule="auto"/>
        <w:ind w:firstLine="420" w:firstLineChars="200"/>
        <w:rPr>
          <w:rFonts w:ascii="宋体" w:hAnsi="宋体"/>
          <w:color w:val="auto"/>
          <w:highlight w:val="none"/>
        </w:rPr>
      </w:pPr>
      <w:r>
        <w:rPr>
          <w:rFonts w:ascii="宋体" w:hAnsi="宋体" w:cs="宋体"/>
          <w:color w:val="auto"/>
          <w:highlight w:val="none"/>
        </w:rPr>
        <w:t>2.</w:t>
      </w:r>
      <w:r>
        <w:rPr>
          <w:rFonts w:hint="eastAsia" w:ascii="宋体" w:hAnsi="宋体" w:cs="宋体"/>
          <w:color w:val="auto"/>
          <w:highlight w:val="none"/>
        </w:rPr>
        <w:t>大写金额和小写金额不一致的，以大写金额为准；</w:t>
      </w:r>
    </w:p>
    <w:p>
      <w:pPr>
        <w:spacing w:line="360" w:lineRule="auto"/>
        <w:ind w:firstLine="420" w:firstLineChars="200"/>
        <w:rPr>
          <w:rFonts w:ascii="宋体" w:hAnsi="宋体"/>
          <w:color w:val="auto"/>
          <w:highlight w:val="none"/>
        </w:rPr>
      </w:pPr>
      <w:r>
        <w:rPr>
          <w:rFonts w:ascii="宋体" w:hAnsi="宋体" w:cs="宋体"/>
          <w:color w:val="auto"/>
          <w:highlight w:val="none"/>
        </w:rPr>
        <w:t>3.</w:t>
      </w:r>
      <w:r>
        <w:rPr>
          <w:rFonts w:hint="eastAsia" w:ascii="宋体" w:hAnsi="宋体" w:cs="宋体"/>
          <w:color w:val="auto"/>
          <w:highlight w:val="none"/>
        </w:rPr>
        <w:t>单价金额小数点或者百分比有明显错位的，以开标一览表的总价为准，并修改单价；</w:t>
      </w:r>
    </w:p>
    <w:p>
      <w:pPr>
        <w:spacing w:line="360" w:lineRule="auto"/>
        <w:ind w:firstLine="420" w:firstLineChars="200"/>
        <w:rPr>
          <w:rFonts w:ascii="宋体" w:hAnsi="宋体"/>
          <w:color w:val="auto"/>
          <w:highlight w:val="none"/>
        </w:rPr>
      </w:pPr>
      <w:r>
        <w:rPr>
          <w:rFonts w:ascii="宋体" w:hAnsi="宋体" w:cs="宋体"/>
          <w:color w:val="auto"/>
          <w:highlight w:val="none"/>
        </w:rPr>
        <w:t>4.</w:t>
      </w:r>
      <w:r>
        <w:rPr>
          <w:rFonts w:hint="eastAsia" w:ascii="宋体" w:hAnsi="宋体" w:cs="宋体"/>
          <w:color w:val="auto"/>
          <w:highlight w:val="none"/>
        </w:rPr>
        <w:t>总价金额与按单价汇总金额不一致的，以单价金额计算结果为准。</w:t>
      </w:r>
    </w:p>
    <w:p>
      <w:pPr>
        <w:spacing w:line="360" w:lineRule="auto"/>
        <w:ind w:firstLine="422" w:firstLineChars="200"/>
        <w:rPr>
          <w:rFonts w:ascii="宋体" w:hAnsi="宋体"/>
          <w:b/>
          <w:bCs/>
          <w:color w:val="auto"/>
          <w:highlight w:val="none"/>
        </w:rPr>
      </w:pPr>
      <w:r>
        <w:rPr>
          <w:rFonts w:hint="eastAsia" w:ascii="宋体" w:hAnsi="宋体" w:cs="宋体"/>
          <w:b/>
          <w:bCs/>
          <w:color w:val="auto"/>
          <w:highlight w:val="none"/>
        </w:rPr>
        <w:t>同时出现两种以上不一致的，按照前款规定的顺序修正。修正后的报价经供应商确认后产生约束力，供应商不确认的，其投标无效。</w:t>
      </w:r>
    </w:p>
    <w:p>
      <w:pPr>
        <w:snapToGrid w:val="0"/>
        <w:spacing w:line="360" w:lineRule="auto"/>
        <w:ind w:firstLine="422" w:firstLineChars="200"/>
        <w:rPr>
          <w:rFonts w:ascii="宋体" w:hAnsi="宋体"/>
          <w:b/>
          <w:bCs/>
          <w:color w:val="auto"/>
          <w:highlight w:val="none"/>
        </w:rPr>
      </w:pPr>
      <w:r>
        <w:rPr>
          <w:rFonts w:hint="eastAsia" w:ascii="宋体" w:hAnsi="宋体" w:cs="宋体"/>
          <w:b/>
          <w:bCs/>
          <w:color w:val="auto"/>
          <w:highlight w:val="none"/>
        </w:rPr>
        <w:t>（六）评标原则和评标办法</w:t>
      </w:r>
    </w:p>
    <w:p>
      <w:pPr>
        <w:spacing w:line="360" w:lineRule="auto"/>
        <w:ind w:firstLine="420" w:firstLineChars="200"/>
        <w:rPr>
          <w:rFonts w:ascii="宋体" w:hAnsi="宋体"/>
          <w:color w:val="auto"/>
          <w:highlight w:val="none"/>
        </w:rPr>
      </w:pPr>
      <w:r>
        <w:rPr>
          <w:rFonts w:ascii="宋体" w:hAnsi="宋体" w:cs="宋体"/>
          <w:color w:val="auto"/>
          <w:highlight w:val="none"/>
        </w:rPr>
        <w:t>1.</w:t>
      </w:r>
      <w:r>
        <w:rPr>
          <w:rFonts w:hint="eastAsia" w:ascii="宋体" w:hAnsi="宋体" w:cs="宋体"/>
          <w:color w:val="auto"/>
          <w:highlight w:val="none"/>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pPr>
        <w:spacing w:line="360" w:lineRule="auto"/>
        <w:ind w:firstLine="420" w:firstLineChars="200"/>
        <w:rPr>
          <w:rFonts w:ascii="宋体" w:hAnsi="宋体"/>
          <w:color w:val="auto"/>
          <w:highlight w:val="none"/>
        </w:rPr>
      </w:pPr>
      <w:r>
        <w:rPr>
          <w:rFonts w:ascii="宋体" w:hAnsi="宋体" w:cs="宋体"/>
          <w:color w:val="auto"/>
          <w:highlight w:val="none"/>
        </w:rPr>
        <w:t>2.</w:t>
      </w:r>
      <w:r>
        <w:rPr>
          <w:rFonts w:hint="eastAsia" w:ascii="宋体" w:hAnsi="宋体" w:cs="宋体"/>
          <w:color w:val="auto"/>
          <w:highlight w:val="none"/>
        </w:rPr>
        <w:t>评标办法。本项目评标办法是</w:t>
      </w:r>
      <w:r>
        <w:rPr>
          <w:rFonts w:ascii="宋体" w:hAnsi="宋体" w:cs="宋体"/>
          <w:color w:val="auto"/>
          <w:highlight w:val="none"/>
        </w:rPr>
        <w:t xml:space="preserve"> </w:t>
      </w:r>
      <w:r>
        <w:rPr>
          <w:rFonts w:hint="eastAsia" w:ascii="宋体" w:hAnsi="宋体" w:cs="宋体"/>
          <w:color w:val="auto"/>
          <w:highlight w:val="none"/>
        </w:rPr>
        <w:t>综合评分法</w:t>
      </w:r>
      <w:r>
        <w:rPr>
          <w:rFonts w:ascii="宋体" w:hAnsi="宋体" w:cs="宋体"/>
          <w:color w:val="auto"/>
          <w:highlight w:val="none"/>
        </w:rPr>
        <w:t xml:space="preserve"> </w:t>
      </w:r>
      <w:r>
        <w:rPr>
          <w:rFonts w:hint="eastAsia" w:ascii="宋体" w:hAnsi="宋体" w:cs="宋体"/>
          <w:color w:val="auto"/>
          <w:highlight w:val="none"/>
        </w:rPr>
        <w:t>，具体评标内容及评分标准等详见《第四章：评标办法及评分标准》。</w:t>
      </w:r>
    </w:p>
    <w:p>
      <w:pPr>
        <w:snapToGrid w:val="0"/>
        <w:spacing w:line="360" w:lineRule="auto"/>
        <w:ind w:firstLine="422" w:firstLineChars="200"/>
        <w:rPr>
          <w:rFonts w:ascii="宋体" w:hAnsi="宋体"/>
          <w:b/>
          <w:bCs/>
          <w:color w:val="auto"/>
          <w:highlight w:val="none"/>
        </w:rPr>
      </w:pPr>
      <w:r>
        <w:rPr>
          <w:rFonts w:hint="eastAsia" w:ascii="宋体" w:hAnsi="宋体" w:cs="宋体"/>
          <w:b/>
          <w:bCs/>
          <w:color w:val="auto"/>
          <w:highlight w:val="none"/>
        </w:rPr>
        <w:t>（七）评审专家有下列情形之一的，受到邀请应主动提出回避，采购当事人也可以要求该评审专家回避：</w:t>
      </w:r>
    </w:p>
    <w:p>
      <w:pPr>
        <w:spacing w:line="360" w:lineRule="auto"/>
        <w:ind w:firstLine="420" w:firstLineChars="200"/>
        <w:rPr>
          <w:rFonts w:ascii="宋体" w:hAnsi="宋体"/>
          <w:color w:val="auto"/>
          <w:highlight w:val="none"/>
        </w:rPr>
      </w:pPr>
      <w:r>
        <w:rPr>
          <w:rFonts w:ascii="宋体" w:hAnsi="宋体" w:cs="宋体"/>
          <w:color w:val="auto"/>
          <w:highlight w:val="none"/>
        </w:rPr>
        <w:t>1</w:t>
      </w:r>
      <w:r>
        <w:rPr>
          <w:rFonts w:hint="eastAsia" w:ascii="宋体" w:hAnsi="宋体" w:cs="宋体"/>
          <w:color w:val="auto"/>
          <w:highlight w:val="none"/>
        </w:rPr>
        <w:t>、本人、配偶或直系亲属</w:t>
      </w:r>
      <w:r>
        <w:rPr>
          <w:rFonts w:ascii="宋体" w:hAnsi="宋体" w:cs="宋体"/>
          <w:color w:val="auto"/>
          <w:highlight w:val="none"/>
        </w:rPr>
        <w:t>3</w:t>
      </w:r>
      <w:r>
        <w:rPr>
          <w:rFonts w:hint="eastAsia" w:ascii="宋体" w:hAnsi="宋体" w:cs="宋体"/>
          <w:color w:val="auto"/>
          <w:highlight w:val="none"/>
        </w:rPr>
        <w:t>年内曾在参加该采购项目的供应商中任职（包括一般工作）或担任顾问，或与参加该采购项目的供应商发生过法律纠纷；</w:t>
      </w:r>
    </w:p>
    <w:p>
      <w:pPr>
        <w:spacing w:line="360" w:lineRule="auto"/>
        <w:ind w:firstLine="420" w:firstLineChars="200"/>
        <w:rPr>
          <w:rFonts w:ascii="宋体" w:hAnsi="宋体"/>
          <w:color w:val="auto"/>
          <w:highlight w:val="none"/>
        </w:rPr>
      </w:pPr>
      <w:r>
        <w:rPr>
          <w:rFonts w:ascii="宋体" w:hAnsi="宋体" w:cs="宋体"/>
          <w:color w:val="auto"/>
          <w:highlight w:val="none"/>
        </w:rPr>
        <w:t>2</w:t>
      </w:r>
      <w:r>
        <w:rPr>
          <w:rFonts w:hint="eastAsia" w:ascii="宋体" w:hAnsi="宋体" w:cs="宋体"/>
          <w:color w:val="auto"/>
          <w:highlight w:val="none"/>
        </w:rPr>
        <w:t>、任职单位与采购人或参加该采购项目供应商存在行政隶属关系；</w:t>
      </w:r>
    </w:p>
    <w:p>
      <w:pPr>
        <w:spacing w:line="360" w:lineRule="auto"/>
        <w:ind w:firstLine="420" w:firstLineChars="200"/>
        <w:rPr>
          <w:rFonts w:ascii="宋体" w:hAnsi="宋体"/>
          <w:color w:val="auto"/>
          <w:highlight w:val="none"/>
        </w:rPr>
      </w:pPr>
      <w:r>
        <w:rPr>
          <w:rFonts w:ascii="宋体" w:hAnsi="宋体" w:cs="宋体"/>
          <w:color w:val="auto"/>
          <w:highlight w:val="none"/>
        </w:rPr>
        <w:t>3</w:t>
      </w:r>
      <w:r>
        <w:rPr>
          <w:rFonts w:hint="eastAsia" w:ascii="宋体" w:hAnsi="宋体" w:cs="宋体"/>
          <w:color w:val="auto"/>
          <w:highlight w:val="none"/>
        </w:rPr>
        <w:t>、曾经参加过该采购项目的进口产品或采购文件、采购需求、采购方式的论证和咨询服务工作；</w:t>
      </w:r>
    </w:p>
    <w:p>
      <w:pPr>
        <w:spacing w:line="360" w:lineRule="auto"/>
        <w:ind w:firstLine="420" w:firstLineChars="200"/>
        <w:rPr>
          <w:rFonts w:ascii="宋体" w:hAnsi="宋体"/>
          <w:color w:val="auto"/>
          <w:highlight w:val="none"/>
        </w:rPr>
      </w:pPr>
      <w:r>
        <w:rPr>
          <w:rFonts w:ascii="宋体" w:hAnsi="宋体" w:cs="宋体"/>
          <w:color w:val="auto"/>
          <w:highlight w:val="none"/>
        </w:rPr>
        <w:t>4</w:t>
      </w:r>
      <w:r>
        <w:rPr>
          <w:rFonts w:hint="eastAsia" w:ascii="宋体" w:hAnsi="宋体" w:cs="宋体"/>
          <w:color w:val="auto"/>
          <w:highlight w:val="none"/>
        </w:rPr>
        <w:t>、是参加该采购项目供应商的上级主管部门、控股或参股单位的工作人员，或与该供应商存在其他经济利益关系；</w:t>
      </w:r>
    </w:p>
    <w:p>
      <w:pPr>
        <w:spacing w:line="360" w:lineRule="auto"/>
        <w:ind w:firstLine="420" w:firstLineChars="200"/>
        <w:rPr>
          <w:rFonts w:ascii="宋体" w:hAnsi="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、法律、法规、规章规定应当回避以及其他可能影响公正评审的。</w:t>
      </w:r>
    </w:p>
    <w:p>
      <w:pPr>
        <w:spacing w:line="360" w:lineRule="auto"/>
        <w:ind w:firstLine="422" w:firstLineChars="200"/>
        <w:rPr>
          <w:rFonts w:ascii="宋体" w:hAnsi="宋体"/>
          <w:b/>
          <w:bCs/>
          <w:color w:val="auto"/>
          <w:highlight w:val="none"/>
        </w:rPr>
      </w:pPr>
      <w:r>
        <w:rPr>
          <w:rFonts w:hint="eastAsia" w:ascii="宋体" w:hAnsi="宋体" w:cs="宋体"/>
          <w:b/>
          <w:bCs/>
          <w:color w:val="auto"/>
          <w:highlight w:val="none"/>
        </w:rPr>
        <w:t>（八）评标委员会判断投标文件的有效性、合格性和响应情况，仅依据供应商所递交一切文件的真实表述，不受与本项目无直接关联的外部信息、传言而影响自身的专业判断。</w:t>
      </w:r>
    </w:p>
    <w:p>
      <w:pPr>
        <w:spacing w:line="360" w:lineRule="auto"/>
        <w:ind w:firstLine="422" w:firstLineChars="200"/>
        <w:rPr>
          <w:rFonts w:ascii="宋体" w:hAnsi="宋体"/>
          <w:b/>
          <w:bCs/>
          <w:color w:val="auto"/>
          <w:highlight w:val="none"/>
        </w:rPr>
      </w:pPr>
      <w:r>
        <w:rPr>
          <w:rFonts w:hint="eastAsia" w:ascii="宋体" w:hAnsi="宋体" w:cs="宋体"/>
          <w:b/>
          <w:bCs/>
          <w:color w:val="auto"/>
          <w:highlight w:val="none"/>
        </w:rPr>
        <w:t>（九）评委依法独立评审，并对评审意见承担个人责任。评委对需要共同认定的事项存在争议的，按照少数服从多数的原则做出结论。持不同意见的评委应当在评审报告上签署不同意见并说明理由，否则视为同意。</w:t>
      </w:r>
    </w:p>
    <w:p>
      <w:pPr>
        <w:spacing w:line="360" w:lineRule="auto"/>
        <w:ind w:firstLine="422" w:firstLineChars="200"/>
        <w:rPr>
          <w:rFonts w:ascii="宋体" w:hAnsi="宋体"/>
          <w:b/>
          <w:bCs/>
          <w:color w:val="auto"/>
          <w:highlight w:val="none"/>
        </w:rPr>
      </w:pPr>
      <w:r>
        <w:rPr>
          <w:rFonts w:hint="eastAsia" w:ascii="宋体" w:hAnsi="宋体" w:cs="宋体"/>
          <w:b/>
          <w:bCs/>
          <w:color w:val="auto"/>
          <w:highlight w:val="none"/>
        </w:rPr>
        <w:t>（十）评标过程的监控</w:t>
      </w:r>
    </w:p>
    <w:p>
      <w:pPr>
        <w:spacing w:line="360" w:lineRule="auto"/>
        <w:ind w:firstLine="420" w:firstLineChars="200"/>
        <w:rPr>
          <w:rFonts w:ascii="宋体" w:hAnsi="宋体"/>
          <w:color w:val="auto"/>
          <w:highlight w:val="none"/>
        </w:rPr>
      </w:pPr>
      <w:r>
        <w:rPr>
          <w:rFonts w:ascii="宋体" w:hAnsi="宋体" w:cs="宋体"/>
          <w:color w:val="auto"/>
          <w:highlight w:val="none"/>
        </w:rPr>
        <w:t>1.</w:t>
      </w:r>
      <w:r>
        <w:rPr>
          <w:rFonts w:hint="eastAsia" w:ascii="宋体" w:hAnsi="宋体" w:cs="宋体"/>
          <w:color w:val="auto"/>
          <w:highlight w:val="none"/>
        </w:rPr>
        <w:t>本项目评标过程实行全程录音、录像监控，供应商在评标过程中所进行的试图影响评标结果的不公正活动，可能导致其投标</w:t>
      </w:r>
      <w:r>
        <w:rPr>
          <w:rFonts w:hint="eastAsia" w:ascii="宋体" w:hAnsi="宋体" w:cs="宋体"/>
          <w:color w:val="auto"/>
          <w:highlight w:val="none"/>
          <w:lang w:val="en-US" w:eastAsia="zh-CN"/>
        </w:rPr>
        <w:t>无效</w:t>
      </w:r>
      <w:r>
        <w:rPr>
          <w:rFonts w:hint="eastAsia" w:ascii="宋体" w:hAnsi="宋体" w:cs="宋体"/>
          <w:color w:val="auto"/>
          <w:highlight w:val="none"/>
        </w:rPr>
        <w:t>。</w:t>
      </w:r>
    </w:p>
    <w:p>
      <w:pPr>
        <w:spacing w:line="360" w:lineRule="auto"/>
        <w:ind w:firstLine="420" w:firstLineChars="200"/>
        <w:rPr>
          <w:rFonts w:ascii="宋体" w:hAnsi="宋体"/>
          <w:color w:val="auto"/>
          <w:highlight w:val="none"/>
        </w:rPr>
      </w:pPr>
      <w:r>
        <w:rPr>
          <w:rFonts w:ascii="宋体" w:hAnsi="宋体" w:cs="宋体"/>
          <w:color w:val="auto"/>
          <w:highlight w:val="none"/>
        </w:rPr>
        <w:t>2.</w:t>
      </w:r>
      <w:r>
        <w:rPr>
          <w:rFonts w:hint="eastAsia" w:ascii="宋体" w:hAnsi="宋体" w:cs="宋体"/>
          <w:color w:val="auto"/>
          <w:highlight w:val="none"/>
        </w:rPr>
        <w:t>开标后到中标通知书发出之前，所有涉及评标委员会名单以及对投标文件的澄清、评价、比较等情况，评标委员会成员、采购人和采购代理机构的有关人员均不得向供应商或其他无关人员透露。</w:t>
      </w:r>
    </w:p>
    <w:p>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outlineLvl w:val="1"/>
        <w:rPr>
          <w:rFonts w:hint="eastAsia" w:ascii="宋体" w:hAnsi="宋体" w:eastAsia="宋体" w:cs="宋体"/>
          <w:b/>
          <w:bCs/>
          <w:color w:val="auto"/>
          <w:highlight w:val="none"/>
        </w:rPr>
      </w:pPr>
      <w:bookmarkStart w:id="39" w:name="_Toc317685590"/>
      <w:bookmarkStart w:id="40" w:name="_Toc16897"/>
      <w:r>
        <w:rPr>
          <w:rFonts w:hint="eastAsia" w:ascii="宋体" w:hAnsi="宋体" w:eastAsia="宋体" w:cs="宋体"/>
          <w:b/>
          <w:bCs/>
          <w:color w:val="auto"/>
          <w:highlight w:val="none"/>
          <w:lang w:val="en-US" w:eastAsia="zh-CN"/>
        </w:rPr>
        <w:t>七</w:t>
      </w:r>
      <w:r>
        <w:rPr>
          <w:rFonts w:hint="eastAsia" w:ascii="宋体" w:hAnsi="宋体" w:eastAsia="宋体" w:cs="宋体"/>
          <w:b/>
          <w:bCs/>
          <w:color w:val="auto"/>
          <w:highlight w:val="none"/>
        </w:rPr>
        <w:t>、采购方式变更</w:t>
      </w:r>
      <w:bookmarkEnd w:id="39"/>
      <w:bookmarkEnd w:id="40"/>
    </w:p>
    <w:p>
      <w:pPr>
        <w:spacing w:line="360" w:lineRule="auto"/>
        <w:ind w:firstLine="420" w:firstLineChars="200"/>
        <w:rPr>
          <w:rFonts w:ascii="宋体" w:hAnsi="宋体"/>
          <w:color w:val="auto"/>
          <w:highlight w:val="none"/>
        </w:rPr>
      </w:pPr>
      <w:r>
        <w:rPr>
          <w:rFonts w:ascii="宋体" w:hAnsi="宋体" w:cs="宋体"/>
          <w:color w:val="auto"/>
          <w:highlight w:val="none"/>
        </w:rPr>
        <w:t>1</w:t>
      </w:r>
      <w:r>
        <w:rPr>
          <w:rFonts w:hint="eastAsia" w:ascii="宋体" w:hAnsi="宋体" w:cs="宋体"/>
          <w:color w:val="auto"/>
          <w:highlight w:val="none"/>
        </w:rPr>
        <w:t>．政府采购的国内公开招标，采购响应截至时间至或评审期间，出现参与采购响应或者对采购文件作出实质性响应的供应商不足</w:t>
      </w:r>
      <w:r>
        <w:rPr>
          <w:rFonts w:ascii="宋体" w:hAnsi="宋体" w:cs="宋体"/>
          <w:color w:val="auto"/>
          <w:highlight w:val="none"/>
        </w:rPr>
        <w:t>3</w:t>
      </w:r>
      <w:r>
        <w:rPr>
          <w:rFonts w:hint="eastAsia" w:ascii="宋体" w:hAnsi="宋体" w:cs="宋体"/>
          <w:color w:val="auto"/>
          <w:highlight w:val="none"/>
        </w:rPr>
        <w:t>家的情况，</w:t>
      </w:r>
      <w:r>
        <w:rPr>
          <w:rFonts w:hint="eastAsia" w:ascii="宋体" w:hAnsi="宋体" w:cs="宋体"/>
          <w:color w:val="auto"/>
          <w:highlight w:val="none"/>
          <w:lang w:val="en-US" w:eastAsia="zh-CN"/>
        </w:rPr>
        <w:t>不得进行继续招投标</w:t>
      </w:r>
      <w:r>
        <w:rPr>
          <w:rFonts w:hint="eastAsia" w:ascii="宋体" w:hAnsi="宋体" w:cs="宋体"/>
          <w:color w:val="auto"/>
          <w:highlight w:val="none"/>
        </w:rPr>
        <w:t>。</w:t>
      </w:r>
    </w:p>
    <w:p>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outlineLvl w:val="1"/>
        <w:rPr>
          <w:rFonts w:hint="eastAsia" w:ascii="宋体" w:hAnsi="宋体" w:eastAsia="宋体" w:cs="宋体"/>
          <w:b/>
          <w:bCs/>
          <w:color w:val="auto"/>
          <w:highlight w:val="none"/>
        </w:rPr>
      </w:pPr>
      <w:bookmarkStart w:id="41" w:name="_Toc9029"/>
      <w:r>
        <w:rPr>
          <w:rFonts w:hint="eastAsia" w:ascii="宋体" w:hAnsi="宋体" w:eastAsia="宋体" w:cs="宋体"/>
          <w:b/>
          <w:bCs/>
          <w:color w:val="auto"/>
          <w:highlight w:val="none"/>
          <w:lang w:val="en-US" w:eastAsia="zh-CN"/>
        </w:rPr>
        <w:t>八</w:t>
      </w:r>
      <w:r>
        <w:rPr>
          <w:rFonts w:hint="eastAsia" w:ascii="宋体" w:hAnsi="宋体" w:eastAsia="宋体" w:cs="宋体"/>
          <w:b/>
          <w:bCs/>
          <w:color w:val="auto"/>
          <w:highlight w:val="none"/>
        </w:rPr>
        <w:t>、定标</w:t>
      </w:r>
      <w:bookmarkEnd w:id="41"/>
    </w:p>
    <w:p>
      <w:pPr>
        <w:spacing w:line="360" w:lineRule="auto"/>
        <w:ind w:firstLine="422" w:firstLineChars="200"/>
        <w:rPr>
          <w:rFonts w:ascii="宋体" w:hAnsi="宋体"/>
          <w:b/>
          <w:bCs/>
          <w:color w:val="auto"/>
          <w:highlight w:val="none"/>
        </w:rPr>
      </w:pPr>
      <w:r>
        <w:rPr>
          <w:rFonts w:hint="eastAsia" w:ascii="宋体" w:hAnsi="宋体" w:cs="宋体"/>
          <w:b/>
          <w:bCs/>
          <w:color w:val="auto"/>
          <w:highlight w:val="none"/>
        </w:rPr>
        <w:t>（一）确定中标供应商。本项目由采购人（或采购人事先授权评标委员会）确定中标供应商。</w:t>
      </w:r>
    </w:p>
    <w:p>
      <w:pPr>
        <w:spacing w:line="360" w:lineRule="auto"/>
        <w:ind w:firstLine="420" w:firstLineChars="200"/>
        <w:rPr>
          <w:rFonts w:ascii="宋体" w:hAnsi="宋体"/>
          <w:color w:val="auto"/>
          <w:highlight w:val="none"/>
        </w:rPr>
      </w:pPr>
      <w:r>
        <w:rPr>
          <w:rFonts w:ascii="宋体" w:hAnsi="宋体" w:cs="宋体"/>
          <w:color w:val="auto"/>
          <w:highlight w:val="none"/>
        </w:rPr>
        <w:t>1.</w:t>
      </w:r>
      <w:r>
        <w:rPr>
          <w:rFonts w:hint="eastAsia" w:ascii="宋体" w:hAnsi="宋体" w:cs="宋体"/>
          <w:color w:val="auto"/>
          <w:highlight w:val="none"/>
        </w:rPr>
        <w:t>采购代理机构应当在评标结束后</w:t>
      </w:r>
      <w:r>
        <w:rPr>
          <w:rFonts w:ascii="宋体" w:hAnsi="宋体" w:cs="宋体"/>
          <w:color w:val="auto"/>
          <w:highlight w:val="none"/>
        </w:rPr>
        <w:t>2</w:t>
      </w:r>
      <w:r>
        <w:rPr>
          <w:rFonts w:hint="eastAsia" w:ascii="宋体" w:hAnsi="宋体" w:cs="宋体"/>
          <w:color w:val="auto"/>
          <w:highlight w:val="none"/>
        </w:rPr>
        <w:t>个工作日内将评标报告送采购人。</w:t>
      </w:r>
    </w:p>
    <w:p>
      <w:pPr>
        <w:spacing w:line="360" w:lineRule="auto"/>
        <w:ind w:firstLine="420" w:firstLineChars="200"/>
        <w:rPr>
          <w:rFonts w:ascii="宋体" w:hAnsi="宋体"/>
          <w:color w:val="auto"/>
          <w:highlight w:val="none"/>
        </w:rPr>
      </w:pPr>
      <w:r>
        <w:rPr>
          <w:rFonts w:ascii="宋体" w:hAnsi="宋体" w:cs="宋体"/>
          <w:color w:val="auto"/>
          <w:highlight w:val="none"/>
        </w:rPr>
        <w:t>2.</w:t>
      </w:r>
      <w:r>
        <w:rPr>
          <w:rFonts w:hint="eastAsia" w:ascii="宋体" w:hAnsi="宋体" w:cs="宋体"/>
          <w:color w:val="auto"/>
          <w:highlight w:val="none"/>
        </w:rPr>
        <w:t>采购人应当自收到评标报告之日起</w:t>
      </w:r>
      <w:r>
        <w:rPr>
          <w:rFonts w:ascii="宋体" w:hAnsi="宋体" w:cs="宋体"/>
          <w:color w:val="auto"/>
          <w:highlight w:val="none"/>
        </w:rPr>
        <w:t>5</w:t>
      </w:r>
      <w:r>
        <w:rPr>
          <w:rFonts w:hint="eastAsia" w:ascii="宋体" w:hAnsi="宋体" w:cs="宋体"/>
          <w:color w:val="auto"/>
          <w:highlight w:val="none"/>
        </w:rPr>
        <w:t>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spacing w:line="360" w:lineRule="auto"/>
        <w:ind w:firstLine="420" w:firstLineChars="200"/>
        <w:rPr>
          <w:rFonts w:ascii="宋体" w:hAnsi="宋体"/>
          <w:color w:val="auto"/>
          <w:highlight w:val="none"/>
        </w:rPr>
      </w:pPr>
      <w:r>
        <w:rPr>
          <w:rFonts w:ascii="宋体" w:hAnsi="宋体" w:cs="宋体"/>
          <w:color w:val="auto"/>
          <w:highlight w:val="none"/>
        </w:rPr>
        <w:t>3.</w:t>
      </w:r>
      <w:r>
        <w:rPr>
          <w:rFonts w:hint="eastAsia" w:ascii="宋体" w:hAnsi="宋体" w:cs="宋体"/>
          <w:color w:val="auto"/>
          <w:highlight w:val="none"/>
        </w:rPr>
        <w:t>采购人在收到评标报告</w:t>
      </w:r>
      <w:r>
        <w:rPr>
          <w:rFonts w:ascii="宋体" w:hAnsi="宋体" w:cs="宋体"/>
          <w:color w:val="auto"/>
          <w:highlight w:val="none"/>
        </w:rPr>
        <w:t>5</w:t>
      </w:r>
      <w:r>
        <w:rPr>
          <w:rFonts w:hint="eastAsia" w:ascii="宋体" w:hAnsi="宋体" w:cs="宋体"/>
          <w:color w:val="auto"/>
          <w:highlight w:val="none"/>
        </w:rPr>
        <w:t>个工作日内未按评标报告推荐的中标候选人顺序确定中标人，又不能说明合法理由的，视同按评标报告推荐的顺序确定排名第一的中标候选人为中标人。</w:t>
      </w:r>
    </w:p>
    <w:p>
      <w:pPr>
        <w:spacing w:line="360" w:lineRule="auto"/>
        <w:ind w:firstLine="420" w:firstLineChars="200"/>
        <w:rPr>
          <w:rFonts w:ascii="宋体" w:hAnsi="宋体"/>
          <w:color w:val="auto"/>
          <w:highlight w:val="none"/>
        </w:rPr>
      </w:pPr>
      <w:r>
        <w:rPr>
          <w:rFonts w:ascii="宋体" w:hAnsi="宋体" w:cs="宋体"/>
          <w:color w:val="auto"/>
          <w:highlight w:val="none"/>
        </w:rPr>
        <w:t>4.</w:t>
      </w:r>
      <w:r>
        <w:rPr>
          <w:rFonts w:hint="eastAsia" w:ascii="宋体" w:hAnsi="宋体" w:cs="宋体"/>
          <w:color w:val="auto"/>
          <w:highlight w:val="none"/>
        </w:rPr>
        <w:t>采购人依法确定中标人后</w:t>
      </w:r>
      <w:r>
        <w:rPr>
          <w:rFonts w:ascii="宋体" w:hAnsi="宋体" w:cs="宋体"/>
          <w:color w:val="auto"/>
          <w:highlight w:val="none"/>
        </w:rPr>
        <w:t>2</w:t>
      </w:r>
      <w:r>
        <w:rPr>
          <w:rFonts w:hint="eastAsia" w:ascii="宋体" w:hAnsi="宋体" w:cs="宋体"/>
          <w:color w:val="auto"/>
          <w:highlight w:val="none"/>
        </w:rPr>
        <w:t>个工作日内，采购代理机构以书面形式发出《中标通知书》</w:t>
      </w:r>
      <w:r>
        <w:rPr>
          <w:rFonts w:ascii="宋体" w:hAnsi="宋体" w:cs="宋体"/>
          <w:color w:val="auto"/>
          <w:highlight w:val="none"/>
        </w:rPr>
        <w:t>,</w:t>
      </w:r>
      <w:r>
        <w:rPr>
          <w:rFonts w:hint="eastAsia" w:ascii="宋体" w:hAnsi="宋体" w:cs="宋体"/>
          <w:color w:val="auto"/>
          <w:highlight w:val="none"/>
        </w:rPr>
        <w:t>并同时在相关网站上发布中标公告。不在中标名单之列者即为落标人，采购代理机构不再以其它方式另行通知。</w:t>
      </w:r>
    </w:p>
    <w:p>
      <w:pPr>
        <w:spacing w:line="360" w:lineRule="auto"/>
        <w:ind w:firstLine="420" w:firstLineChars="200"/>
        <w:rPr>
          <w:rFonts w:ascii="宋体" w:hAnsi="宋体"/>
          <w:color w:val="auto"/>
          <w:highlight w:val="none"/>
        </w:rPr>
      </w:pPr>
      <w:r>
        <w:rPr>
          <w:rFonts w:ascii="宋体" w:hAnsi="宋体" w:cs="宋体"/>
          <w:color w:val="auto"/>
          <w:highlight w:val="none"/>
        </w:rPr>
        <w:t>5.</w:t>
      </w:r>
      <w:r>
        <w:rPr>
          <w:rFonts w:hint="eastAsia" w:ascii="宋体" w:hAnsi="宋体" w:cs="宋体"/>
          <w:color w:val="auto"/>
          <w:highlight w:val="none"/>
        </w:rPr>
        <w:t>各参加政府采购活动的供应商认为该中标结果和采购过程等使自己的权益受到损害的，可以自本公告期限届满之日起</w:t>
      </w:r>
      <w:r>
        <w:rPr>
          <w:rFonts w:ascii="宋体" w:hAnsi="宋体" w:cs="宋体"/>
          <w:color w:val="auto"/>
          <w:highlight w:val="none"/>
        </w:rPr>
        <w:t>7</w:t>
      </w:r>
      <w:r>
        <w:rPr>
          <w:rFonts w:hint="eastAsia" w:ascii="宋体" w:hAnsi="宋体" w:cs="宋体"/>
          <w:color w:val="auto"/>
          <w:highlight w:val="none"/>
        </w:rPr>
        <w:t>个工作日内，以书面形式向采购人提出质疑。质疑供应商对采购人、采购代理机构的答复不满意或者采购人、采购代理机构未在规定的时间内作出答复的，可以再答复期满后十五个工作日内向同级政府采购监督管理部门投诉。</w:t>
      </w:r>
    </w:p>
    <w:p>
      <w:pPr>
        <w:spacing w:line="360" w:lineRule="auto"/>
        <w:ind w:firstLine="420" w:firstLineChars="200"/>
        <w:rPr>
          <w:rFonts w:ascii="宋体" w:hAnsi="宋体"/>
          <w:color w:val="auto"/>
          <w:highlight w:val="none"/>
        </w:rPr>
      </w:pPr>
      <w:r>
        <w:rPr>
          <w:rFonts w:ascii="宋体" w:hAnsi="宋体" w:cs="宋体"/>
          <w:color w:val="auto"/>
          <w:highlight w:val="none"/>
        </w:rPr>
        <w:t>6.</w:t>
      </w:r>
      <w:r>
        <w:rPr>
          <w:rFonts w:hint="eastAsia" w:ascii="宋体" w:hAnsi="宋体" w:cs="宋体"/>
          <w:color w:val="auto"/>
          <w:highlight w:val="none"/>
        </w:rPr>
        <w:t>若中标供应商放弃中标，或因不可抗力提出不能履行合同，或不按采购文件规定提交履约保证金，或其它原因被依法撤销中标资格，则采购人重新组织招标。</w:t>
      </w:r>
    </w:p>
    <w:p>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outlineLvl w:val="1"/>
        <w:rPr>
          <w:rFonts w:hint="eastAsia" w:ascii="宋体" w:hAnsi="宋体" w:eastAsia="宋体" w:cs="宋体"/>
          <w:b/>
          <w:bCs/>
          <w:color w:val="auto"/>
          <w:highlight w:val="none"/>
        </w:rPr>
      </w:pPr>
      <w:bookmarkStart w:id="42" w:name="_Toc17747"/>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、合同授予</w:t>
      </w:r>
      <w:bookmarkEnd w:id="42"/>
    </w:p>
    <w:p>
      <w:pPr>
        <w:spacing w:line="360" w:lineRule="auto"/>
        <w:ind w:firstLine="420" w:firstLineChars="200"/>
        <w:rPr>
          <w:rFonts w:ascii="宋体" w:hAnsi="宋体"/>
          <w:color w:val="auto"/>
          <w:highlight w:val="none"/>
        </w:rPr>
      </w:pPr>
      <w:r>
        <w:rPr>
          <w:rFonts w:hint="eastAsia" w:ascii="宋体" w:hAnsi="宋体" w:cs="宋体"/>
          <w:color w:val="auto"/>
          <w:highlight w:val="none"/>
        </w:rPr>
        <w:t>（一）签订合同</w:t>
      </w:r>
    </w:p>
    <w:p>
      <w:pPr>
        <w:spacing w:line="360" w:lineRule="auto"/>
        <w:ind w:firstLine="420" w:firstLineChars="200"/>
        <w:rPr>
          <w:rFonts w:ascii="宋体" w:hAnsi="宋体"/>
          <w:color w:val="auto"/>
          <w:highlight w:val="none"/>
        </w:rPr>
      </w:pPr>
      <w:r>
        <w:rPr>
          <w:rFonts w:ascii="宋体" w:hAnsi="宋体" w:cs="宋体"/>
          <w:color w:val="auto"/>
          <w:highlight w:val="none"/>
        </w:rPr>
        <w:t>1.</w:t>
      </w:r>
      <w:r>
        <w:rPr>
          <w:rFonts w:hint="eastAsia" w:ascii="宋体" w:hAnsi="宋体" w:cs="宋体"/>
          <w:color w:val="auto"/>
          <w:highlight w:val="none"/>
        </w:rPr>
        <w:t>采购人与中标供应商应当在《中标通知书》发出之日起</w:t>
      </w:r>
      <w:r>
        <w:rPr>
          <w:rFonts w:ascii="宋体" w:hAnsi="宋体" w:cs="宋体"/>
          <w:color w:val="auto"/>
          <w:highlight w:val="none"/>
        </w:rPr>
        <w:t>30</w:t>
      </w:r>
      <w:r>
        <w:rPr>
          <w:rFonts w:hint="eastAsia" w:ascii="宋体" w:hAnsi="宋体" w:cs="宋体"/>
          <w:color w:val="auto"/>
          <w:highlight w:val="none"/>
        </w:rPr>
        <w:t>日内签订政府采购合同。同时，采购代理机构对合同内容进行审查，如发现与采购结果和投标承诺内容不一致的，应予以纠正。</w:t>
      </w:r>
    </w:p>
    <w:p>
      <w:pPr>
        <w:spacing w:line="360" w:lineRule="auto"/>
        <w:ind w:firstLine="420" w:firstLineChars="200"/>
        <w:rPr>
          <w:rFonts w:ascii="宋体" w:hAnsi="宋体"/>
          <w:color w:val="auto"/>
          <w:highlight w:val="none"/>
        </w:rPr>
      </w:pPr>
      <w:r>
        <w:rPr>
          <w:rFonts w:ascii="宋体" w:hAnsi="宋体" w:cs="宋体"/>
          <w:color w:val="auto"/>
          <w:highlight w:val="none"/>
        </w:rPr>
        <w:t>2.</w:t>
      </w:r>
      <w:r>
        <w:rPr>
          <w:rFonts w:hint="eastAsia" w:ascii="宋体" w:hAnsi="宋体" w:cs="宋体"/>
          <w:color w:val="auto"/>
          <w:highlight w:val="none"/>
        </w:rPr>
        <w:t>中标供应商拖延、拒签合同的</w:t>
      </w:r>
      <w:r>
        <w:rPr>
          <w:rFonts w:ascii="宋体" w:hAnsi="宋体" w:cs="宋体"/>
          <w:color w:val="auto"/>
          <w:highlight w:val="none"/>
        </w:rPr>
        <w:t>,</w:t>
      </w:r>
      <w:r>
        <w:rPr>
          <w:rFonts w:hint="eastAsia" w:ascii="宋体" w:hAnsi="宋体" w:cs="宋体"/>
          <w:color w:val="auto"/>
          <w:highlight w:val="none"/>
        </w:rPr>
        <w:t>将被取消中标资格。</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（二）履约保证金</w:t>
      </w:r>
    </w:p>
    <w:p>
      <w:pPr>
        <w:spacing w:line="360" w:lineRule="auto"/>
        <w:ind w:firstLine="420" w:firstLineChars="200"/>
        <w:rPr>
          <w:rFonts w:ascii="宋体" w:hAnsi="宋体"/>
          <w:color w:val="auto"/>
          <w:highlight w:val="none"/>
        </w:rPr>
      </w:pPr>
      <w:r>
        <w:rPr>
          <w:rFonts w:ascii="宋体" w:hAnsi="宋体" w:cs="宋体"/>
          <w:color w:val="auto"/>
          <w:highlight w:val="none"/>
        </w:rPr>
        <w:t>1.</w:t>
      </w:r>
      <w:r>
        <w:rPr>
          <w:rFonts w:hint="eastAsia" w:ascii="宋体" w:hAnsi="宋体" w:cs="宋体"/>
          <w:color w:val="auto"/>
          <w:highlight w:val="none"/>
        </w:rPr>
        <w:t>签订合同</w:t>
      </w:r>
      <w:r>
        <w:rPr>
          <w:rFonts w:hint="eastAsia" w:ascii="宋体" w:hAnsi="宋体" w:cs="宋体"/>
          <w:color w:val="auto"/>
          <w:highlight w:val="none"/>
          <w:lang w:eastAsia="zh-CN"/>
        </w:rPr>
        <w:t>后</w:t>
      </w:r>
      <w:r>
        <w:rPr>
          <w:rFonts w:hint="eastAsia" w:ascii="宋体" w:hAnsi="宋体" w:cs="宋体"/>
          <w:color w:val="auto"/>
          <w:highlight w:val="none"/>
        </w:rPr>
        <w:t>，中标供应商应按采购文件确定的履约保证金金额，向采购人交纳履约保证金。</w:t>
      </w:r>
    </w:p>
    <w:p>
      <w:pPr>
        <w:spacing w:line="360" w:lineRule="auto"/>
        <w:ind w:firstLine="420" w:firstLineChars="200"/>
        <w:rPr>
          <w:rFonts w:ascii="宋体" w:hAnsi="宋体"/>
          <w:color w:val="auto"/>
          <w:highlight w:val="none"/>
        </w:rPr>
      </w:pPr>
      <w:r>
        <w:rPr>
          <w:rFonts w:ascii="宋体" w:hAnsi="宋体" w:cs="宋体"/>
          <w:color w:val="auto"/>
          <w:highlight w:val="none"/>
        </w:rPr>
        <w:t>2.</w:t>
      </w:r>
      <w:r>
        <w:rPr>
          <w:rFonts w:hint="eastAsia" w:ascii="宋体" w:hAnsi="宋体" w:cs="宋体"/>
          <w:color w:val="auto"/>
          <w:highlight w:val="none"/>
        </w:rPr>
        <w:t>签订合同后，如中标供应商不按双方合同约定履约，则没收其全部履约保证金，履约保证金不足以赔偿损失的，按实际损失赔偿。</w:t>
      </w: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firstLine="0" w:firstLineChars="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十</w:t>
      </w:r>
      <w:r>
        <w:rPr>
          <w:rFonts w:hint="eastAsia" w:ascii="宋体" w:hAnsi="宋体" w:eastAsia="宋体" w:cs="宋体"/>
          <w:b/>
          <w:bCs/>
          <w:color w:val="auto"/>
          <w:highlight w:val="none"/>
        </w:rPr>
        <w:t>、履约验收</w:t>
      </w:r>
    </w:p>
    <w:p>
      <w:pPr>
        <w:pStyle w:val="25"/>
        <w:snapToGrid w:val="0"/>
        <w:spacing w:beforeLines="0" w:afterLines="0" w:line="360" w:lineRule="auto"/>
        <w:ind w:firstLine="420"/>
        <w:rPr>
          <w:rFonts w:hAnsi="宋体"/>
          <w:color w:val="auto"/>
          <w:highlight w:val="none"/>
        </w:rPr>
      </w:pPr>
      <w:r>
        <w:rPr>
          <w:rFonts w:hint="eastAsia" w:hAnsi="宋体"/>
          <w:color w:val="auto"/>
          <w:highlight w:val="none"/>
        </w:rPr>
        <w:t>采购人负责对中标供应商的履约行为进行验收。</w:t>
      </w:r>
    </w:p>
    <w:p>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、特别说明</w:t>
      </w:r>
    </w:p>
    <w:p>
      <w:pPr>
        <w:snapToGrid w:val="0"/>
        <w:spacing w:beforeAutospacing="0" w:afterAutospacing="0" w:line="360" w:lineRule="auto"/>
        <w:ind w:firstLine="420"/>
        <w:jc w:val="left"/>
        <w:rPr>
          <w:rFonts w:ascii="宋体" w:hAnsi="宋体" w:cs="宋体"/>
          <w:color w:val="auto"/>
          <w:szCs w:val="21"/>
          <w:highlight w:val="none"/>
          <w:lang w:val="zh-CN"/>
        </w:rPr>
      </w:pPr>
      <w:bookmarkStart w:id="43" w:name="_Toc5083"/>
      <w:r>
        <w:rPr>
          <w:rFonts w:hint="eastAsia" w:ascii="宋体" w:hAnsi="宋体" w:cs="宋体"/>
          <w:color w:val="auto"/>
          <w:szCs w:val="21"/>
          <w:highlight w:val="none"/>
          <w:lang w:val="zh-CN"/>
        </w:rPr>
        <w:t>1、本项目</w:t>
      </w:r>
      <w:r>
        <w:rPr>
          <w:rFonts w:hint="eastAsia" w:ascii="宋体" w:hAnsi="宋体" w:cs="宋体"/>
          <w:color w:val="auto"/>
          <w:szCs w:val="21"/>
          <w:highlight w:val="none"/>
          <w:u w:val="single"/>
          <w:lang w:val="zh-CN"/>
        </w:rPr>
        <w:t xml:space="preserve"> 是</w:t>
      </w:r>
      <w:r>
        <w:rPr>
          <w:rFonts w:hint="eastAsia" w:ascii="宋体" w:hAnsi="宋体" w:cs="宋体"/>
          <w:color w:val="auto"/>
          <w:szCs w:val="21"/>
          <w:highlight w:val="none"/>
          <w:lang w:val="zh-CN"/>
        </w:rPr>
        <w:t>专门面向中小企业采购。</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b/>
          <w:bCs/>
          <w:color w:val="auto"/>
          <w:szCs w:val="21"/>
          <w:highlight w:val="none"/>
        </w:rPr>
        <w:t>★所有参与本项目的供应商均需提供《中小企业声明函》，否则予以无效标处理。</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2、本项目对应的中小企业划分标准所属行业：</w:t>
      </w:r>
      <w:r>
        <w:rPr>
          <w:rFonts w:hint="eastAsia" w:hAnsi="宋体" w:cs="宋体"/>
          <w:b/>
          <w:bCs/>
          <w:color w:val="auto"/>
          <w:szCs w:val="21"/>
          <w:highlight w:val="none"/>
          <w:u w:val="single"/>
        </w:rPr>
        <w:t>软件和信息技术服务业</w:t>
      </w:r>
      <w:r>
        <w:rPr>
          <w:rFonts w:hint="eastAsia" w:ascii="宋体" w:hAnsi="宋体" w:cs="宋体"/>
          <w:color w:val="auto"/>
          <w:szCs w:val="21"/>
          <w:highlight w:val="none"/>
          <w:lang w:val="zh-CN"/>
        </w:rPr>
        <w:t xml:space="preserve">。 </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3、小微企业是指中华人民共和国境内依法设立，依据国务院批准的中小企业划分标准确定的小型企业和微型企业，但与大企业的负责人为同一人，或者与大企业存在直接控股、管理关系的除外。</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符合中小企业划分标准的个体工商户，在政府采购活动中视同中小企业。</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国务院批准的中小企业划分标准：具体见工信部联企业[2011]300号。</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b/>
          <w:bCs/>
          <w:color w:val="auto"/>
          <w:szCs w:val="21"/>
          <w:highlight w:val="none"/>
        </w:rPr>
        <w:t>（不适用）</w:t>
      </w:r>
      <w:r>
        <w:rPr>
          <w:rFonts w:hint="eastAsia" w:ascii="宋体" w:hAnsi="宋体" w:cs="宋体"/>
          <w:color w:val="auto"/>
          <w:szCs w:val="21"/>
          <w:highlight w:val="none"/>
          <w:lang w:val="zh-CN"/>
        </w:rPr>
        <w:t>4、在政府采购活动中，供应商提供的货物、工程或者服务符合下列情形的，可享受小型、微型企业（以下简称小微企业）的价格扣除：</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（1）在货物采购项目中，货物由小微企业制造，即货物由小微企业生产且使用该小微企业商号或者注册商标；</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（2）在工程采购项目中，工程由小微企业承建，即工程施工单位为小微企业；</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（3）在服务采购项目中，服务由小微企业承接，即提供服务的人员为小微企业依照《中华人民共和国劳动合同法》订立劳动合同的从业人员。</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以联合体形式参加政府采购活动，联合体各方均为小微企业的，联合体视同小微企业。</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5、在货物采购项目中，供应商提供的货物既有中小企业制造货物，也有大型企业制造货物的，不享受的小微企业价格扣除。</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b/>
          <w:bCs/>
          <w:color w:val="auto"/>
          <w:szCs w:val="21"/>
          <w:highlight w:val="none"/>
        </w:rPr>
        <w:t>（适用）</w:t>
      </w:r>
      <w:r>
        <w:rPr>
          <w:rFonts w:hint="eastAsia" w:ascii="宋体" w:hAnsi="宋体" w:cs="宋体"/>
          <w:color w:val="auto"/>
          <w:szCs w:val="21"/>
          <w:highlight w:val="none"/>
          <w:lang w:val="zh-CN"/>
        </w:rPr>
        <w:t>6、本项目对符合《政府采购促进中小企业发展管理办法》（财库﹝2020﹞46号）规定的小微企业报价给予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w:t>
      </w:r>
      <w:r>
        <w:rPr>
          <w:rFonts w:hint="eastAsia" w:ascii="宋体" w:hAnsi="宋体" w:cs="宋体"/>
          <w:color w:val="auto"/>
          <w:szCs w:val="21"/>
          <w:highlight w:val="none"/>
          <w:lang w:val="zh-CN"/>
        </w:rPr>
        <w:t>%（工程项目为</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%）的扣除，用扣除后的价格参加评审。</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val="zh-CN"/>
        </w:rPr>
        <w:t>%（工程项目为</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%）的扣除，用扣除后的价格参加评审。组成联合体或者接受分包的小微企业与联合体内其他企业、分包企业之间存在直接控股、管理关系的，不享受价格扣除优惠政策。</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7、小微企业应按照招标文件格式要求提供《中小企业声明函》。</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9、根据《关于促进残疾人就业政府采购政策的通知》（财库[2017]141号）规定，在政府采购活动中，残疾人福利性单位视同小型、微型企业。残疾人福利性单位参加政府采购活动时，提供《残疾人福利性单位声明函》。</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10、按规定享受扶持政策获得政府采购合同的，小微企业不得将合同分包给大中型企业，中型企业不得将合同分包给大型企业。</w:t>
      </w:r>
    </w:p>
    <w:p>
      <w:pPr>
        <w:snapToGrid w:val="0"/>
        <w:spacing w:beforeAutospacing="0" w:afterAutospacing="0" w:line="360" w:lineRule="auto"/>
        <w:ind w:firstLine="42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11、供应商按照《政府采购促进中小企业发展管理办法》（财库﹝2020﹞46号）规定提供声明函内容不实的，属于提供虚假材料谋取中标、成交，依照《中华人民共和国政府采购法》等国家有关规定追究相应责任。</w:t>
      </w:r>
    </w:p>
    <w:p>
      <w:pPr>
        <w:snapToGrid w:val="0"/>
        <w:spacing w:beforeAutospacing="0" w:afterAutospacing="0" w:line="360" w:lineRule="auto"/>
        <w:ind w:firstLine="420"/>
        <w:jc w:val="left"/>
        <w:rPr>
          <w:rFonts w:hint="eastAsia" w:ascii="宋体" w:hAnsi="宋体" w:cs="宋体"/>
          <w:color w:val="auto"/>
          <w:szCs w:val="21"/>
          <w:highlight w:val="none"/>
          <w:lang w:val="zh-CN"/>
        </w:rPr>
      </w:pPr>
    </w:p>
    <w:p>
      <w:pPr>
        <w:snapToGrid w:val="0"/>
        <w:spacing w:beforeAutospacing="0" w:afterAutospacing="0" w:line="360" w:lineRule="auto"/>
        <w:ind w:firstLine="420"/>
        <w:jc w:val="left"/>
        <w:rPr>
          <w:rFonts w:hint="eastAsia" w:ascii="宋体" w:hAnsi="宋体" w:cs="宋体"/>
          <w:color w:val="auto"/>
          <w:szCs w:val="21"/>
          <w:highlight w:val="none"/>
          <w:lang w:val="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0"/>
        <w:jc w:val="center"/>
        <w:textAlignment w:val="auto"/>
        <w:outlineLvl w:val="0"/>
        <w:rPr>
          <w:rFonts w:ascii="宋体" w:hAnsi="宋体"/>
          <w:color w:val="auto"/>
          <w:highlight w:val="none"/>
        </w:rPr>
      </w:pPr>
      <w:bookmarkStart w:id="44" w:name="_Toc15474"/>
      <w:r>
        <w:rPr>
          <w:rFonts w:hint="eastAsia" w:ascii="宋体" w:hAnsi="宋体" w:eastAsia="宋体" w:cs="宋体"/>
          <w:b/>
          <w:bCs/>
          <w:color w:val="auto"/>
          <w:sz w:val="32"/>
          <w:szCs w:val="32"/>
          <w:highlight w:val="none"/>
        </w:rPr>
        <w:t>第四章  评标办法及评分标准</w:t>
      </w:r>
      <w:bookmarkEnd w:id="43"/>
      <w:bookmarkEnd w:id="44"/>
    </w:p>
    <w:p>
      <w:pPr>
        <w:keepNext/>
        <w:keepLines/>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18"/>
          <w:highlight w:val="none"/>
        </w:rPr>
      </w:pPr>
      <w:bookmarkStart w:id="45" w:name="_Toc19640"/>
      <w:r>
        <w:rPr>
          <w:rFonts w:hint="eastAsia" w:ascii="宋体" w:hAnsi="宋体" w:eastAsia="宋体" w:cs="宋体"/>
          <w:color w:val="auto"/>
          <w:sz w:val="21"/>
          <w:szCs w:val="18"/>
          <w:highlight w:val="none"/>
        </w:rPr>
        <w:t>本办法严格遵照《中华人民共和国政府采购法》、《中华人民共和国政府采购法实施条例》，结合项目所在地政府有关政府采购规定和项目的实际情况制定。</w:t>
      </w:r>
    </w:p>
    <w:p>
      <w:pPr>
        <w:keepNext/>
        <w:keepLines/>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1"/>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一、总则</w:t>
      </w: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本次评标采用综合评分法，分技术商务部分和报价部分，满分为100分，其中技术商务为80分，报价部分为20分。</w:t>
      </w: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投标人的评标得分为技术商务部分和报价部分合计，按得分由高到低顺序排列，得分相同的，按投标报价由低到高顺序排列；投标报价也相同的，按技术商务得分由高到低顺序排列。排名第一的投标人为中标候选人。评分过程中采用四舍五入法并保留小数2位。</w:t>
      </w:r>
      <w:bookmarkStart w:id="46" w:name="评分颁发"/>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outlineLvl w:val="1"/>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SA"/>
        </w:rPr>
        <w:t>二、</w:t>
      </w:r>
      <w:r>
        <w:rPr>
          <w:rFonts w:hint="eastAsia" w:ascii="宋体" w:hAnsi="宋体" w:eastAsia="宋体" w:cs="宋体"/>
          <w:b/>
          <w:bCs/>
          <w:color w:val="auto"/>
          <w:kern w:val="0"/>
          <w:sz w:val="21"/>
          <w:szCs w:val="21"/>
          <w:highlight w:val="none"/>
        </w:rPr>
        <w:t>评标办法</w:t>
      </w:r>
      <w:bookmarkEnd w:id="46"/>
    </w:p>
    <w:tbl>
      <w:tblPr>
        <w:tblStyle w:val="49"/>
        <w:tblW w:w="10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698"/>
        <w:gridCol w:w="1308"/>
        <w:gridCol w:w="813"/>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0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评审因素</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最高</w:t>
            </w:r>
            <w:r>
              <w:rPr>
                <w:rFonts w:hint="eastAsia" w:ascii="宋体" w:hAnsi="宋体" w:eastAsia="宋体" w:cs="宋体"/>
                <w:b/>
                <w:color w:val="auto"/>
                <w:kern w:val="0"/>
                <w:szCs w:val="21"/>
                <w:highlight w:val="none"/>
              </w:rPr>
              <w:t>分值</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006"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项目分析</w:t>
            </w:r>
          </w:p>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bCs/>
                <w:color w:val="auto"/>
                <w:szCs w:val="21"/>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bCs/>
                <w:color w:val="auto"/>
                <w:szCs w:val="21"/>
                <w:highlight w:val="none"/>
              </w:rPr>
              <w:t>提供的</w:t>
            </w:r>
            <w:r>
              <w:rPr>
                <w:rFonts w:hint="eastAsia" w:ascii="宋体" w:hAnsi="宋体" w:eastAsia="宋体" w:cs="宋体"/>
                <w:color w:val="auto"/>
                <w:kern w:val="0"/>
                <w:szCs w:val="21"/>
                <w:highlight w:val="none"/>
              </w:rPr>
              <w:t>需求理解</w:t>
            </w:r>
            <w:r>
              <w:rPr>
                <w:rFonts w:hint="eastAsia" w:ascii="宋体" w:hAnsi="宋体" w:eastAsia="宋体" w:cs="宋体"/>
                <w:color w:val="auto"/>
                <w:kern w:val="0"/>
                <w:szCs w:val="21"/>
                <w:highlight w:val="none"/>
                <w:lang w:val="en-US" w:eastAsia="zh-CN"/>
              </w:rPr>
              <w:t>方案进行评审：是否</w:t>
            </w:r>
            <w:r>
              <w:rPr>
                <w:rFonts w:hint="eastAsia" w:ascii="宋体" w:hAnsi="宋体" w:eastAsia="宋体" w:cs="宋体"/>
                <w:color w:val="auto"/>
                <w:kern w:val="0"/>
                <w:szCs w:val="21"/>
                <w:highlight w:val="none"/>
              </w:rPr>
              <w:t>满足用户需求程度，需求分析的针对性</w:t>
            </w:r>
            <w:r>
              <w:rPr>
                <w:rFonts w:hint="eastAsia" w:ascii="宋体" w:hAnsi="宋体" w:eastAsia="宋体" w:cs="宋体"/>
                <w:color w:val="auto"/>
                <w:kern w:val="0"/>
                <w:szCs w:val="21"/>
                <w:highlight w:val="none"/>
                <w:lang w:val="en-US" w:eastAsia="zh-CN"/>
              </w:rPr>
              <w:t>是否具有可行性，最高得3分。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eastAsia" w:ascii="宋体" w:hAnsi="宋体" w:eastAsia="宋体" w:cs="宋体"/>
                <w:color w:val="auto"/>
                <w:kern w:val="0"/>
                <w:szCs w:val="21"/>
                <w:highlight w:val="none"/>
              </w:rPr>
            </w:pPr>
          </w:p>
        </w:tc>
        <w:tc>
          <w:tcPr>
            <w:tcW w:w="2006"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bCs/>
                <w:color w:val="auto"/>
                <w:szCs w:val="21"/>
                <w:highlight w:val="none"/>
              </w:rPr>
              <w:t>提供的</w:t>
            </w:r>
            <w:r>
              <w:rPr>
                <w:rFonts w:hint="eastAsia" w:ascii="宋体" w:hAnsi="宋体" w:eastAsia="宋体" w:cs="宋体"/>
                <w:color w:val="auto"/>
                <w:kern w:val="0"/>
                <w:szCs w:val="21"/>
                <w:highlight w:val="none"/>
              </w:rPr>
              <w:t>重难点分析</w:t>
            </w:r>
            <w:r>
              <w:rPr>
                <w:rFonts w:hint="eastAsia" w:ascii="宋体" w:hAnsi="宋体" w:eastAsia="宋体" w:cs="宋体"/>
                <w:color w:val="auto"/>
                <w:kern w:val="0"/>
                <w:szCs w:val="21"/>
                <w:highlight w:val="none"/>
                <w:lang w:val="en-US" w:eastAsia="zh-CN"/>
              </w:rPr>
              <w:t>方案进行评审：</w:t>
            </w:r>
            <w:r>
              <w:rPr>
                <w:rFonts w:hint="eastAsia" w:ascii="宋体" w:hAnsi="宋体" w:eastAsia="宋体" w:cs="宋体"/>
                <w:color w:val="auto"/>
                <w:kern w:val="0"/>
                <w:szCs w:val="21"/>
                <w:highlight w:val="none"/>
              </w:rPr>
              <w:t>风险分析及控制方法</w:t>
            </w:r>
            <w:r>
              <w:rPr>
                <w:rFonts w:hint="eastAsia" w:ascii="宋体" w:hAnsi="宋体" w:eastAsia="宋体" w:cs="宋体"/>
                <w:color w:val="auto"/>
                <w:kern w:val="0"/>
                <w:szCs w:val="21"/>
                <w:highlight w:val="none"/>
                <w:lang w:eastAsia="zh-CN"/>
              </w:rPr>
              <w:t>的</w:t>
            </w:r>
            <w:r>
              <w:rPr>
                <w:rFonts w:hint="eastAsia" w:ascii="宋体" w:hAnsi="宋体" w:eastAsia="宋体" w:cs="宋体"/>
                <w:color w:val="auto"/>
                <w:kern w:val="0"/>
                <w:szCs w:val="21"/>
                <w:highlight w:val="none"/>
              </w:rPr>
              <w:t>分析</w:t>
            </w:r>
            <w:r>
              <w:rPr>
                <w:rFonts w:hint="eastAsia" w:ascii="宋体" w:hAnsi="宋体" w:eastAsia="宋体" w:cs="宋体"/>
                <w:color w:val="auto"/>
                <w:kern w:val="0"/>
                <w:szCs w:val="21"/>
                <w:highlight w:val="none"/>
                <w:lang w:val="en-US" w:eastAsia="zh-CN"/>
              </w:rPr>
              <w:t>是否具有可操作性、可行性，最高得3分。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eastAsia" w:ascii="宋体" w:hAnsi="宋体" w:eastAsia="宋体" w:cs="宋体"/>
                <w:color w:val="auto"/>
                <w:kern w:val="0"/>
                <w:szCs w:val="21"/>
                <w:highlight w:val="none"/>
              </w:rPr>
            </w:pPr>
          </w:p>
        </w:tc>
        <w:tc>
          <w:tcPr>
            <w:tcW w:w="2006"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bCs/>
                <w:color w:val="auto"/>
                <w:szCs w:val="21"/>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bCs/>
                <w:color w:val="auto"/>
                <w:szCs w:val="21"/>
                <w:highlight w:val="none"/>
              </w:rPr>
              <w:t>提供的</w:t>
            </w:r>
            <w:r>
              <w:rPr>
                <w:rFonts w:hint="eastAsia" w:ascii="宋体" w:hAnsi="宋体" w:eastAsia="宋体" w:cs="宋体"/>
                <w:bCs/>
                <w:color w:val="auto"/>
                <w:szCs w:val="21"/>
                <w:highlight w:val="none"/>
                <w:lang w:val="en-US" w:eastAsia="zh-CN"/>
              </w:rPr>
              <w:t>针对本项目的</w:t>
            </w:r>
            <w:r>
              <w:rPr>
                <w:rFonts w:hint="eastAsia" w:ascii="宋体" w:hAnsi="宋体" w:eastAsia="宋体" w:cs="宋体"/>
                <w:color w:val="auto"/>
                <w:kern w:val="0"/>
                <w:szCs w:val="21"/>
                <w:highlight w:val="none"/>
              </w:rPr>
              <w:t>合理化建议</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包括但不限于</w:t>
            </w:r>
            <w:r>
              <w:rPr>
                <w:rFonts w:hint="eastAsia" w:ascii="宋体" w:hAnsi="宋体" w:eastAsia="宋体" w:cs="宋体"/>
                <w:color w:val="auto"/>
                <w:kern w:val="0"/>
                <w:szCs w:val="21"/>
                <w:highlight w:val="none"/>
              </w:rPr>
              <w:t>项目管理建议，项目架构建议，项目数据库建议</w:t>
            </w:r>
            <w:r>
              <w:rPr>
                <w:rFonts w:hint="eastAsia" w:ascii="宋体" w:hAnsi="宋体" w:eastAsia="宋体" w:cs="宋体"/>
                <w:color w:val="auto"/>
                <w:kern w:val="0"/>
                <w:szCs w:val="21"/>
                <w:highlight w:val="none"/>
                <w:lang w:val="en-US" w:eastAsia="zh-CN"/>
              </w:rPr>
              <w:t>等内容的合理性、可行性进行评审，最高得3分。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0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概要设计</w:t>
            </w:r>
          </w:p>
        </w:tc>
        <w:tc>
          <w:tcPr>
            <w:tcW w:w="81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p>
        </w:tc>
        <w:tc>
          <w:tcPr>
            <w:tcW w:w="67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bCs/>
                <w:color w:val="auto"/>
                <w:szCs w:val="21"/>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bCs/>
                <w:color w:val="auto"/>
                <w:szCs w:val="21"/>
                <w:highlight w:val="none"/>
              </w:rPr>
              <w:t>提供的</w:t>
            </w:r>
            <w:r>
              <w:rPr>
                <w:rFonts w:hint="eastAsia" w:ascii="宋体" w:hAnsi="宋体" w:eastAsia="宋体" w:cs="宋体"/>
                <w:bCs/>
                <w:color w:val="auto"/>
                <w:szCs w:val="21"/>
                <w:highlight w:val="none"/>
                <w:lang w:val="en-US" w:eastAsia="zh-CN"/>
              </w:rPr>
              <w:t>针对本项目的</w:t>
            </w:r>
            <w:r>
              <w:rPr>
                <w:rFonts w:hint="eastAsia" w:ascii="宋体" w:hAnsi="宋体" w:eastAsia="宋体" w:cs="宋体"/>
                <w:color w:val="auto"/>
                <w:kern w:val="0"/>
                <w:szCs w:val="21"/>
                <w:highlight w:val="none"/>
              </w:rPr>
              <w:t>目标清晰度及覆盖项目总体需求程度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是否</w:t>
            </w:r>
            <w:r>
              <w:rPr>
                <w:rFonts w:hint="eastAsia" w:ascii="宋体" w:hAnsi="宋体" w:eastAsia="宋体" w:cs="宋体"/>
                <w:color w:val="auto"/>
                <w:kern w:val="0"/>
                <w:szCs w:val="21"/>
                <w:highlight w:val="none"/>
              </w:rPr>
              <w:t>有总体结构图和模块功能图，同时包括网络环境、开发环境、运行平台等</w:t>
            </w:r>
            <w:r>
              <w:rPr>
                <w:rFonts w:hint="eastAsia" w:ascii="宋体" w:hAnsi="宋体" w:eastAsia="宋体" w:cs="宋体"/>
                <w:color w:val="auto"/>
                <w:kern w:val="0"/>
                <w:szCs w:val="21"/>
                <w:highlight w:val="none"/>
                <w:lang w:val="en-US" w:eastAsia="zh-CN"/>
              </w:rPr>
              <w:t>进行综合评议，最高得5分。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w:t>
            </w:r>
          </w:p>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细</w:t>
            </w:r>
          </w:p>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w:t>
            </w:r>
          </w:p>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w:t>
            </w:r>
          </w:p>
        </w:tc>
        <w:tc>
          <w:tcPr>
            <w:tcW w:w="1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功能设计</w:t>
            </w:r>
          </w:p>
        </w:tc>
        <w:tc>
          <w:tcPr>
            <w:tcW w:w="81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6</w:t>
            </w:r>
          </w:p>
        </w:tc>
        <w:tc>
          <w:tcPr>
            <w:tcW w:w="67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bCs/>
                <w:color w:val="auto"/>
                <w:szCs w:val="21"/>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bCs/>
                <w:color w:val="auto"/>
                <w:szCs w:val="21"/>
                <w:highlight w:val="none"/>
              </w:rPr>
              <w:t>提供的</w:t>
            </w:r>
            <w:r>
              <w:rPr>
                <w:rFonts w:hint="eastAsia" w:ascii="宋体" w:hAnsi="宋体" w:eastAsia="宋体" w:cs="宋体"/>
                <w:bCs/>
                <w:color w:val="auto"/>
                <w:szCs w:val="21"/>
                <w:highlight w:val="none"/>
                <w:lang w:val="en-US" w:eastAsia="zh-CN"/>
              </w:rPr>
              <w:t>针对本项目</w:t>
            </w:r>
            <w:r>
              <w:rPr>
                <w:rFonts w:hint="eastAsia" w:ascii="宋体" w:hAnsi="宋体" w:eastAsia="宋体" w:cs="宋体"/>
                <w:color w:val="auto"/>
                <w:kern w:val="0"/>
                <w:szCs w:val="21"/>
                <w:highlight w:val="none"/>
              </w:rPr>
              <w:t>所需功能，</w:t>
            </w:r>
            <w:r>
              <w:rPr>
                <w:rFonts w:hint="eastAsia" w:ascii="宋体" w:hAnsi="宋体" w:eastAsia="宋体" w:cs="宋体"/>
                <w:color w:val="auto"/>
                <w:kern w:val="0"/>
                <w:szCs w:val="21"/>
                <w:highlight w:val="none"/>
                <w:lang w:val="en-US" w:eastAsia="zh-CN"/>
              </w:rPr>
              <w:t>包括但不限于</w:t>
            </w:r>
            <w:r>
              <w:rPr>
                <w:rFonts w:hint="eastAsia" w:ascii="宋体" w:hAnsi="宋体" w:eastAsia="宋体" w:cs="宋体"/>
                <w:color w:val="auto"/>
                <w:kern w:val="0"/>
                <w:szCs w:val="21"/>
                <w:highlight w:val="none"/>
              </w:rPr>
              <w:t>有详细的功能（子系统）设计方案，有详细的点对点应答等</w:t>
            </w:r>
            <w:r>
              <w:rPr>
                <w:rFonts w:hint="eastAsia" w:ascii="宋体" w:hAnsi="宋体" w:eastAsia="宋体" w:cs="宋体"/>
                <w:color w:val="auto"/>
                <w:kern w:val="0"/>
                <w:szCs w:val="21"/>
                <w:highlight w:val="none"/>
                <w:lang w:val="en-US" w:eastAsia="zh-CN"/>
              </w:rPr>
              <w:t>进行综合评议，最高得6分。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eastAsia" w:ascii="宋体" w:hAnsi="宋体" w:eastAsia="宋体" w:cs="宋体"/>
                <w:color w:val="auto"/>
                <w:kern w:val="0"/>
                <w:szCs w:val="21"/>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eastAsia" w:ascii="宋体" w:hAnsi="宋体" w:eastAsia="宋体" w:cs="宋体"/>
                <w:color w:val="auto"/>
                <w:kern w:val="0"/>
                <w:szCs w:val="21"/>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数据库设计</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lang w:eastAsia="zh-CN"/>
              </w:rPr>
            </w:pPr>
            <w:r>
              <w:rPr>
                <w:rFonts w:hint="eastAsia" w:ascii="宋体" w:hAnsi="宋体" w:eastAsia="宋体" w:cs="宋体"/>
                <w:bCs/>
                <w:color w:val="auto"/>
                <w:szCs w:val="21"/>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bCs/>
                <w:color w:val="auto"/>
                <w:szCs w:val="21"/>
                <w:highlight w:val="none"/>
              </w:rPr>
              <w:t>提供的</w:t>
            </w:r>
            <w:r>
              <w:rPr>
                <w:rFonts w:hint="eastAsia" w:ascii="宋体" w:hAnsi="宋体" w:eastAsia="宋体" w:cs="宋体"/>
                <w:bCs/>
                <w:color w:val="auto"/>
                <w:szCs w:val="21"/>
                <w:highlight w:val="none"/>
                <w:lang w:val="en-US" w:eastAsia="zh-CN"/>
              </w:rPr>
              <w:t>针对本项目</w:t>
            </w:r>
            <w:r>
              <w:rPr>
                <w:rFonts w:hint="eastAsia" w:ascii="宋体" w:hAnsi="宋体" w:eastAsia="宋体" w:cs="宋体"/>
                <w:color w:val="auto"/>
                <w:kern w:val="0"/>
                <w:szCs w:val="21"/>
                <w:highlight w:val="none"/>
              </w:rPr>
              <w:t>对业务数据（单据、报表等）分析透彻全面，能针对所有功能，有详细的数据表结构、数据字典的设计等</w:t>
            </w:r>
            <w:r>
              <w:rPr>
                <w:rFonts w:hint="eastAsia" w:ascii="宋体" w:hAnsi="宋体" w:eastAsia="宋体" w:cs="宋体"/>
                <w:color w:val="auto"/>
                <w:kern w:val="0"/>
                <w:szCs w:val="21"/>
                <w:highlight w:val="none"/>
                <w:lang w:val="en-US" w:eastAsia="zh-CN"/>
              </w:rPr>
              <w:t>进行综合评议，最高得6分</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eastAsia" w:ascii="宋体" w:hAnsi="宋体" w:eastAsia="宋体" w:cs="宋体"/>
                <w:color w:val="auto"/>
                <w:kern w:val="0"/>
                <w:szCs w:val="21"/>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eastAsia" w:ascii="宋体" w:hAnsi="宋体" w:eastAsia="宋体" w:cs="宋体"/>
                <w:color w:val="auto"/>
                <w:kern w:val="0"/>
                <w:szCs w:val="21"/>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安全设计</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6</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bCs/>
                <w:color w:val="auto"/>
                <w:szCs w:val="21"/>
                <w:highlight w:val="none"/>
              </w:rPr>
              <w:t>提供的</w:t>
            </w:r>
            <w:r>
              <w:rPr>
                <w:rFonts w:hint="eastAsia" w:ascii="宋体" w:hAnsi="宋体" w:eastAsia="宋体" w:cs="宋体"/>
                <w:bCs/>
                <w:color w:val="auto"/>
                <w:szCs w:val="21"/>
                <w:highlight w:val="none"/>
                <w:lang w:val="en-US" w:eastAsia="zh-CN"/>
              </w:rPr>
              <w:t>针对本项目</w:t>
            </w:r>
            <w:r>
              <w:rPr>
                <w:rFonts w:hint="eastAsia" w:ascii="宋体" w:hAnsi="宋体" w:eastAsia="宋体" w:cs="宋体"/>
                <w:color w:val="auto"/>
                <w:kern w:val="0"/>
                <w:szCs w:val="21"/>
                <w:highlight w:val="none"/>
              </w:rPr>
              <w:t>系统有详细的安全体系建设，有能力抵御恶性攻击、暴力破解、安全审计等功能等</w:t>
            </w:r>
            <w:r>
              <w:rPr>
                <w:rFonts w:hint="eastAsia" w:ascii="宋体" w:hAnsi="宋体" w:eastAsia="宋体" w:cs="宋体"/>
                <w:color w:val="auto"/>
                <w:kern w:val="0"/>
                <w:szCs w:val="21"/>
                <w:highlight w:val="none"/>
                <w:lang w:val="en-US" w:eastAsia="zh-CN"/>
              </w:rPr>
              <w:t>进行综合评议，最高得6分</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eastAsia" w:ascii="宋体" w:hAnsi="宋体" w:eastAsia="宋体" w:cs="宋体"/>
                <w:color w:val="auto"/>
                <w:kern w:val="0"/>
                <w:szCs w:val="21"/>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eastAsia" w:ascii="宋体" w:hAnsi="宋体" w:eastAsia="宋体" w:cs="宋体"/>
                <w:color w:val="auto"/>
                <w:kern w:val="0"/>
                <w:szCs w:val="21"/>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指标库设计</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5</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bCs/>
                <w:color w:val="auto"/>
                <w:szCs w:val="21"/>
                <w:highlight w:val="none"/>
              </w:rPr>
              <w:t>提供的</w:t>
            </w:r>
            <w:r>
              <w:rPr>
                <w:rFonts w:hint="eastAsia" w:ascii="宋体" w:hAnsi="宋体" w:eastAsia="宋体" w:cs="宋体"/>
                <w:bCs/>
                <w:color w:val="auto"/>
                <w:szCs w:val="21"/>
                <w:highlight w:val="none"/>
                <w:lang w:val="en-US" w:eastAsia="zh-CN"/>
              </w:rPr>
              <w:t>针对本项目</w:t>
            </w:r>
            <w:r>
              <w:rPr>
                <w:rFonts w:hint="eastAsia" w:ascii="宋体" w:hAnsi="宋体" w:eastAsia="宋体" w:cs="宋体"/>
                <w:color w:val="auto"/>
                <w:kern w:val="0"/>
                <w:szCs w:val="21"/>
                <w:highlight w:val="none"/>
              </w:rPr>
              <w:t>质量与安全检查指标库</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以及</w:t>
            </w:r>
            <w:r>
              <w:rPr>
                <w:rFonts w:hint="eastAsia" w:ascii="宋体" w:hAnsi="宋体" w:eastAsia="宋体" w:cs="宋体"/>
                <w:color w:val="auto"/>
                <w:kern w:val="0"/>
                <w:szCs w:val="21"/>
                <w:highlight w:val="none"/>
              </w:rPr>
              <w:t>指标的全面性及针对性，全面</w:t>
            </w:r>
            <w:r>
              <w:rPr>
                <w:rFonts w:hint="eastAsia" w:ascii="宋体" w:hAnsi="宋体" w:eastAsia="宋体" w:cs="宋体"/>
                <w:color w:val="auto"/>
                <w:kern w:val="0"/>
                <w:szCs w:val="21"/>
                <w:highlight w:val="none"/>
                <w:lang w:val="en-US" w:eastAsia="zh-CN"/>
              </w:rPr>
              <w:t>程</w:t>
            </w:r>
            <w:r>
              <w:rPr>
                <w:rFonts w:hint="eastAsia" w:ascii="宋体" w:hAnsi="宋体" w:eastAsia="宋体" w:cs="宋体"/>
                <w:color w:val="auto"/>
                <w:kern w:val="0"/>
                <w:szCs w:val="21"/>
                <w:highlight w:val="none"/>
              </w:rPr>
              <w:t>度等</w:t>
            </w:r>
            <w:r>
              <w:rPr>
                <w:rFonts w:hint="eastAsia" w:ascii="宋体" w:hAnsi="宋体" w:eastAsia="宋体" w:cs="宋体"/>
                <w:color w:val="auto"/>
                <w:kern w:val="0"/>
                <w:szCs w:val="21"/>
                <w:highlight w:val="none"/>
                <w:lang w:val="en-US" w:eastAsia="zh-CN"/>
              </w:rPr>
              <w:t>进行综合评议，最高得5分</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eastAsia" w:ascii="宋体" w:hAnsi="宋体" w:eastAsia="宋体" w:cs="宋体"/>
                <w:color w:val="auto"/>
                <w:kern w:val="0"/>
                <w:szCs w:val="21"/>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eastAsia" w:ascii="宋体" w:hAnsi="宋体" w:eastAsia="宋体" w:cs="宋体"/>
                <w:color w:val="auto"/>
                <w:kern w:val="0"/>
                <w:szCs w:val="21"/>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其他设计</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bCs/>
                <w:color w:val="auto"/>
                <w:szCs w:val="21"/>
                <w:highlight w:val="none"/>
              </w:rPr>
              <w:t>提供的</w:t>
            </w:r>
            <w:r>
              <w:rPr>
                <w:rFonts w:hint="eastAsia" w:ascii="宋体" w:hAnsi="宋体" w:eastAsia="宋体" w:cs="宋体"/>
                <w:bCs/>
                <w:color w:val="auto"/>
                <w:szCs w:val="21"/>
                <w:highlight w:val="none"/>
                <w:lang w:val="en-US" w:eastAsia="zh-CN"/>
              </w:rPr>
              <w:t>针对本项目</w:t>
            </w:r>
            <w:r>
              <w:rPr>
                <w:rFonts w:hint="eastAsia" w:ascii="宋体" w:hAnsi="宋体" w:eastAsia="宋体" w:cs="宋体"/>
                <w:color w:val="auto"/>
                <w:kern w:val="0"/>
                <w:szCs w:val="21"/>
                <w:highlight w:val="none"/>
              </w:rPr>
              <w:t>界面设计、接口实现设计，角色授权设计</w:t>
            </w:r>
            <w:r>
              <w:rPr>
                <w:rFonts w:hint="eastAsia" w:ascii="宋体" w:hAnsi="宋体" w:eastAsia="宋体" w:cs="宋体"/>
                <w:color w:val="auto"/>
                <w:kern w:val="0"/>
                <w:szCs w:val="21"/>
                <w:highlight w:val="none"/>
                <w:lang w:val="en-US" w:eastAsia="zh-CN"/>
              </w:rPr>
              <w:t>方案的</w:t>
            </w:r>
            <w:r>
              <w:rPr>
                <w:rFonts w:hint="eastAsia" w:ascii="宋体" w:hAnsi="宋体" w:eastAsia="宋体" w:cs="宋体"/>
                <w:color w:val="auto"/>
                <w:kern w:val="0"/>
                <w:szCs w:val="21"/>
                <w:highlight w:val="none"/>
              </w:rPr>
              <w:t>的合理性</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可操作性进行综合评议，最高得3分</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006"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项目演示</w:t>
            </w:r>
          </w:p>
        </w:tc>
        <w:tc>
          <w:tcPr>
            <w:tcW w:w="81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w:t>
            </w:r>
            <w:r>
              <w:rPr>
                <w:rFonts w:hint="eastAsia" w:ascii="宋体" w:hAnsi="宋体" w:eastAsia="宋体" w:cs="宋体"/>
                <w:color w:val="auto"/>
                <w:kern w:val="0"/>
                <w:szCs w:val="21"/>
                <w:highlight w:val="none"/>
                <w:lang w:val="en-US" w:eastAsia="zh-CN"/>
              </w:rPr>
              <w:t>项目从概算、预算</w:t>
            </w:r>
            <w:r>
              <w:rPr>
                <w:rFonts w:hint="eastAsia" w:ascii="宋体" w:hAnsi="宋体" w:eastAsia="宋体" w:cs="宋体"/>
                <w:color w:val="auto"/>
                <w:kern w:val="0"/>
                <w:szCs w:val="21"/>
                <w:highlight w:val="none"/>
              </w:rPr>
              <w:t>等</w:t>
            </w:r>
            <w:r>
              <w:rPr>
                <w:rFonts w:hint="eastAsia" w:ascii="宋体" w:hAnsi="宋体" w:eastAsia="宋体" w:cs="宋体"/>
                <w:color w:val="auto"/>
                <w:kern w:val="0"/>
                <w:szCs w:val="21"/>
                <w:highlight w:val="none"/>
                <w:lang w:val="en-US" w:eastAsia="zh-CN"/>
              </w:rPr>
              <w:t>业务申报，到业务部门审核，再到中介单位协审整个业务流程办理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p>
        </w:tc>
        <w:tc>
          <w:tcPr>
            <w:tcW w:w="2006"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p>
        </w:tc>
        <w:tc>
          <w:tcPr>
            <w:tcW w:w="81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w:t>
            </w:r>
            <w:r>
              <w:rPr>
                <w:rFonts w:hint="eastAsia" w:ascii="宋体" w:hAnsi="宋体" w:eastAsia="宋体" w:cs="宋体"/>
                <w:color w:val="auto"/>
                <w:kern w:val="0"/>
                <w:szCs w:val="21"/>
                <w:highlight w:val="none"/>
                <w:lang w:val="en-US" w:eastAsia="zh-CN"/>
              </w:rPr>
              <w:t>项目管理</w:t>
            </w:r>
            <w:r>
              <w:rPr>
                <w:rFonts w:hint="eastAsia" w:ascii="宋体" w:hAnsi="宋体" w:eastAsia="宋体" w:cs="宋体"/>
                <w:color w:val="auto"/>
                <w:kern w:val="0"/>
                <w:szCs w:val="21"/>
                <w:highlight w:val="none"/>
              </w:rPr>
              <w:t>招标会签、合同会签、支付会签、变更会签等关键环节的</w:t>
            </w:r>
            <w:r>
              <w:rPr>
                <w:rFonts w:hint="eastAsia" w:ascii="宋体" w:hAnsi="宋体" w:eastAsia="宋体" w:cs="宋体"/>
                <w:color w:val="auto"/>
                <w:kern w:val="0"/>
                <w:szCs w:val="21"/>
                <w:highlight w:val="none"/>
                <w:lang w:val="en-US" w:eastAsia="zh-CN"/>
              </w:rPr>
              <w:t>内部</w:t>
            </w:r>
            <w:r>
              <w:rPr>
                <w:rFonts w:hint="eastAsia" w:ascii="宋体" w:hAnsi="宋体" w:eastAsia="宋体" w:cs="宋体"/>
                <w:color w:val="auto"/>
                <w:kern w:val="0"/>
                <w:szCs w:val="21"/>
                <w:highlight w:val="none"/>
              </w:rPr>
              <w:t>会审会签</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p>
        </w:tc>
        <w:tc>
          <w:tcPr>
            <w:tcW w:w="2006"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p>
        </w:tc>
        <w:tc>
          <w:tcPr>
            <w:tcW w:w="81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工程进度控制，提供体现前期办理进度节点的办理指南，具有项目动态的流程图</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最高2分。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p>
        </w:tc>
        <w:tc>
          <w:tcPr>
            <w:tcW w:w="2006"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p>
        </w:tc>
        <w:tc>
          <w:tcPr>
            <w:tcW w:w="81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辅助决策平台，对工程项目资金动态、财务支付、投资月报、年度投资等情况进行数据分析</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最高2分。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p>
        </w:tc>
        <w:tc>
          <w:tcPr>
            <w:tcW w:w="2006"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p>
        </w:tc>
        <w:tc>
          <w:tcPr>
            <w:tcW w:w="81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sz w:val="21"/>
                <w:szCs w:val="21"/>
                <w:highlight w:val="none"/>
              </w:rPr>
              <w:t>注：本项目不组织现场讲解，供应商需自行录制演示视频（格式要求：MPEG4，时长不超过</w:t>
            </w: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分钟），将视频拷入</w:t>
            </w:r>
            <w:r>
              <w:rPr>
                <w:rFonts w:hint="eastAsia" w:ascii="宋体" w:hAnsi="宋体" w:eastAsia="宋体" w:cs="宋体"/>
                <w:b/>
                <w:bCs/>
                <w:color w:val="auto"/>
                <w:sz w:val="21"/>
                <w:szCs w:val="21"/>
                <w:highlight w:val="none"/>
                <w:lang w:val="en-US" w:eastAsia="zh-CN"/>
              </w:rPr>
              <w:t>U</w:t>
            </w:r>
            <w:r>
              <w:rPr>
                <w:rFonts w:hint="eastAsia" w:ascii="宋体" w:hAnsi="宋体" w:eastAsia="宋体" w:cs="宋体"/>
                <w:b/>
                <w:bCs/>
                <w:color w:val="auto"/>
                <w:sz w:val="21"/>
                <w:szCs w:val="21"/>
                <w:highlight w:val="none"/>
              </w:rPr>
              <w:t>盘并单独进行密封并在投标截止时间前递交给招标代理机构，递交形式为邮寄（自行承担邮寄过程风险）或开标现场递交（</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任选其一），未进行演示的，本项不得分。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0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leftChars="-45" w:right="-94" w:rightChars="-45" w:hanging="94" w:hangingChars="45"/>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系统测试及安装调试方案</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5</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bCs/>
                <w:color w:val="auto"/>
                <w:szCs w:val="21"/>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bCs/>
                <w:color w:val="auto"/>
                <w:szCs w:val="21"/>
                <w:highlight w:val="none"/>
              </w:rPr>
              <w:t>提供的</w:t>
            </w:r>
            <w:r>
              <w:rPr>
                <w:rFonts w:hint="eastAsia" w:ascii="宋体" w:hAnsi="宋体" w:eastAsia="宋体" w:cs="宋体"/>
                <w:bCs/>
                <w:color w:val="auto"/>
                <w:szCs w:val="21"/>
                <w:highlight w:val="none"/>
                <w:lang w:val="en-US" w:eastAsia="zh-CN"/>
              </w:rPr>
              <w:t>方案具</w:t>
            </w:r>
            <w:r>
              <w:rPr>
                <w:rFonts w:hint="eastAsia" w:ascii="宋体" w:hAnsi="宋体" w:eastAsia="宋体" w:cs="宋体"/>
                <w:color w:val="auto"/>
                <w:kern w:val="0"/>
                <w:szCs w:val="21"/>
                <w:highlight w:val="none"/>
              </w:rPr>
              <w:t>有测试措施和部门，</w:t>
            </w:r>
            <w:r>
              <w:rPr>
                <w:rFonts w:hint="eastAsia" w:ascii="宋体" w:hAnsi="宋体" w:eastAsia="宋体" w:cs="宋体"/>
                <w:color w:val="auto"/>
                <w:kern w:val="0"/>
                <w:szCs w:val="21"/>
                <w:highlight w:val="none"/>
                <w:lang w:val="en-US" w:eastAsia="zh-CN"/>
              </w:rPr>
              <w:t>并</w:t>
            </w:r>
            <w:r>
              <w:rPr>
                <w:rFonts w:hint="eastAsia" w:ascii="宋体" w:hAnsi="宋体" w:eastAsia="宋体" w:cs="宋体"/>
                <w:color w:val="auto"/>
                <w:kern w:val="0"/>
                <w:szCs w:val="21"/>
                <w:highlight w:val="none"/>
              </w:rPr>
              <w:t>提供详细测试方案、测试工具说明；提供安装调试方案和详细的进度安排，并有相应的保证措施</w:t>
            </w:r>
            <w:r>
              <w:rPr>
                <w:rFonts w:hint="eastAsia" w:ascii="宋体" w:hAnsi="宋体" w:eastAsia="宋体" w:cs="宋体"/>
                <w:color w:val="auto"/>
                <w:kern w:val="0"/>
                <w:szCs w:val="21"/>
                <w:highlight w:val="none"/>
                <w:lang w:val="en-US" w:eastAsia="zh-CN"/>
              </w:rPr>
              <w:t>等内容进行综合评议，最高得5分。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0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leftChars="-45" w:right="-94" w:rightChars="-45" w:hanging="94" w:hangingChars="45"/>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质量保证、培训验收和售后服务承诺</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bCs/>
                <w:color w:val="auto"/>
                <w:szCs w:val="21"/>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bCs/>
                <w:color w:val="auto"/>
                <w:szCs w:val="21"/>
                <w:highlight w:val="none"/>
              </w:rPr>
              <w:t>提供的</w:t>
            </w:r>
            <w:r>
              <w:rPr>
                <w:rFonts w:hint="eastAsia" w:ascii="宋体" w:hAnsi="宋体" w:eastAsia="宋体" w:cs="宋体"/>
                <w:color w:val="auto"/>
                <w:kern w:val="0"/>
                <w:szCs w:val="21"/>
                <w:highlight w:val="none"/>
              </w:rPr>
              <w:t>质量保证措施</w:t>
            </w:r>
            <w:r>
              <w:rPr>
                <w:rFonts w:hint="eastAsia" w:ascii="宋体" w:hAnsi="宋体" w:eastAsia="宋体" w:cs="宋体"/>
                <w:bCs/>
                <w:color w:val="auto"/>
                <w:szCs w:val="21"/>
                <w:highlight w:val="none"/>
                <w:lang w:val="en-US" w:eastAsia="zh-CN"/>
              </w:rPr>
              <w:t>方案</w:t>
            </w:r>
            <w:r>
              <w:rPr>
                <w:rFonts w:hint="eastAsia" w:ascii="宋体" w:hAnsi="宋体" w:eastAsia="宋体" w:cs="宋体"/>
                <w:color w:val="auto"/>
                <w:kern w:val="0"/>
                <w:szCs w:val="21"/>
                <w:highlight w:val="none"/>
              </w:rPr>
              <w:t>切实、可行，</w:t>
            </w:r>
            <w:r>
              <w:rPr>
                <w:rFonts w:hint="eastAsia" w:ascii="宋体" w:hAnsi="宋体" w:eastAsia="宋体" w:cs="宋体"/>
                <w:color w:val="auto"/>
                <w:kern w:val="0"/>
                <w:szCs w:val="21"/>
                <w:highlight w:val="none"/>
                <w:lang w:val="en-US" w:eastAsia="zh-CN"/>
              </w:rPr>
              <w:t>并</w:t>
            </w:r>
            <w:r>
              <w:rPr>
                <w:rFonts w:hint="eastAsia" w:ascii="宋体" w:hAnsi="宋体" w:eastAsia="宋体" w:cs="宋体"/>
                <w:color w:val="auto"/>
                <w:kern w:val="0"/>
                <w:szCs w:val="21"/>
                <w:highlight w:val="none"/>
              </w:rPr>
              <w:t>提供</w:t>
            </w:r>
            <w:r>
              <w:rPr>
                <w:rFonts w:hint="eastAsia" w:ascii="宋体" w:hAnsi="宋体" w:eastAsia="宋体" w:cs="宋体"/>
                <w:color w:val="auto"/>
                <w:kern w:val="0"/>
                <w:szCs w:val="21"/>
                <w:highlight w:val="none"/>
                <w:lang w:eastAsia="zh-CN"/>
              </w:rPr>
              <w:t>了</w:t>
            </w:r>
            <w:r>
              <w:rPr>
                <w:rFonts w:hint="eastAsia" w:ascii="宋体" w:hAnsi="宋体" w:eastAsia="宋体" w:cs="宋体"/>
                <w:color w:val="auto"/>
                <w:kern w:val="0"/>
                <w:szCs w:val="21"/>
                <w:highlight w:val="none"/>
              </w:rPr>
              <w:t>培训方案、培训师资配备力量及培训承诺；提供项目验收方案和验收指标；按照招标文件规定对售后服务进行承诺</w:t>
            </w:r>
            <w:r>
              <w:rPr>
                <w:rFonts w:hint="eastAsia" w:ascii="宋体" w:hAnsi="宋体" w:eastAsia="宋体" w:cs="宋体"/>
                <w:color w:val="auto"/>
                <w:kern w:val="0"/>
                <w:szCs w:val="21"/>
                <w:highlight w:val="none"/>
                <w:lang w:eastAsia="zh-CN"/>
              </w:rPr>
              <w:t>的，</w:t>
            </w:r>
            <w:r>
              <w:rPr>
                <w:rFonts w:hint="eastAsia" w:ascii="宋体" w:hAnsi="宋体" w:eastAsia="宋体" w:cs="宋体"/>
                <w:color w:val="auto"/>
                <w:kern w:val="0"/>
                <w:szCs w:val="21"/>
                <w:highlight w:val="none"/>
                <w:lang w:val="en-US" w:eastAsia="zh-CN"/>
              </w:rPr>
              <w:t>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20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leftChars="-45" w:right="-94" w:rightChars="-45" w:hanging="94" w:hangingChars="45"/>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运维期服务方案</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评标委员会根据供应商针对本项目运维期</w:t>
            </w:r>
            <w:r>
              <w:rPr>
                <w:rFonts w:hint="eastAsia" w:ascii="宋体" w:hAnsi="宋体" w:eastAsia="宋体" w:cs="宋体"/>
                <w:color w:val="auto"/>
                <w:highlight w:val="none"/>
                <w:lang w:val="en-US" w:eastAsia="zh-CN"/>
              </w:rPr>
              <w:t>服务保障方案进行综合评议，包括但不限于设备的维护、</w:t>
            </w:r>
            <w:r>
              <w:rPr>
                <w:rFonts w:hint="eastAsia" w:ascii="宋体" w:hAnsi="宋体" w:eastAsia="宋体" w:cs="宋体"/>
                <w:color w:val="auto"/>
                <w:kern w:val="2"/>
                <w:sz w:val="21"/>
                <w:szCs w:val="21"/>
                <w:highlight w:val="none"/>
                <w:lang w:val="en-US" w:eastAsia="zh-CN"/>
              </w:rPr>
              <w:t>系统/软件更新维护、</w:t>
            </w:r>
            <w:r>
              <w:rPr>
                <w:rFonts w:hint="eastAsia" w:ascii="宋体" w:hAnsi="宋体" w:eastAsia="宋体" w:cs="宋体"/>
                <w:color w:val="auto"/>
                <w:highlight w:val="none"/>
                <w:lang w:val="en-US" w:eastAsia="zh-CN"/>
              </w:rPr>
              <w:t>服务响应时间、解决问题的能力（含应急服务能力）、技术指导方式、网络安全攻防演练方案等，最高得5分。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2006"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leftChars="-45" w:right="-94" w:rightChars="-45" w:hanging="94" w:hangingChars="45"/>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实施团队</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Cs w:val="21"/>
                <w:highlight w:val="none"/>
                <w:lang w:val="en-US" w:eastAsia="zh-CN"/>
              </w:rPr>
              <w:t>项目技术负责人</w:t>
            </w:r>
          </w:p>
          <w:p>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拟派本项目的</w:t>
            </w:r>
            <w:r>
              <w:rPr>
                <w:rFonts w:hint="eastAsia" w:ascii="宋体" w:hAnsi="宋体" w:eastAsia="宋体" w:cs="宋体"/>
                <w:color w:val="auto"/>
                <w:kern w:val="0"/>
                <w:szCs w:val="21"/>
                <w:highlight w:val="none"/>
              </w:rPr>
              <w:t>技术负责人具有</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全国计算机技术与软件专业技术资格高级证书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软件设计师证书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每提供1个得分，最高2分。</w:t>
            </w:r>
          </w:p>
          <w:p>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备注：</w:t>
            </w:r>
            <w:r>
              <w:rPr>
                <w:rFonts w:hint="eastAsia" w:ascii="宋体" w:hAnsi="宋体" w:eastAsia="宋体" w:cs="宋体"/>
                <w:color w:val="auto"/>
                <w:kern w:val="2"/>
                <w:sz w:val="21"/>
                <w:szCs w:val="21"/>
                <w:highlight w:val="none"/>
                <w:lang w:val="en-US" w:eastAsia="zh-CN" w:bidi="ar-SA"/>
              </w:rPr>
              <w:t>提供相关主管部门颁发的有效证书扫描件以及社保部门出具的供应商为相关人员缴纳的连续近六个月的参保证明并加盖单位公章</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p>
        </w:tc>
        <w:tc>
          <w:tcPr>
            <w:tcW w:w="2006"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leftChars="-45" w:right="-94" w:rightChars="-45" w:hanging="94" w:hangingChars="45"/>
              <w:jc w:val="center"/>
              <w:textAlignment w:val="auto"/>
              <w:rPr>
                <w:rFonts w:hint="eastAsia" w:ascii="宋体" w:hAnsi="宋体" w:eastAsia="宋体" w:cs="宋体"/>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2.咨询顾问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拟派本项目的</w:t>
            </w:r>
            <w:r>
              <w:rPr>
                <w:rFonts w:hint="eastAsia" w:ascii="宋体" w:hAnsi="宋体" w:eastAsia="宋体" w:cs="宋体"/>
                <w:color w:val="auto"/>
                <w:kern w:val="0"/>
                <w:szCs w:val="21"/>
                <w:highlight w:val="none"/>
              </w:rPr>
              <w:t>咨询顾问具有</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住房城乡建设领域BIM应用专业证书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高级信息系统项目管理师</w:t>
            </w:r>
            <w:r>
              <w:rPr>
                <w:rFonts w:hint="eastAsia" w:ascii="宋体" w:hAnsi="宋体" w:eastAsia="宋体" w:cs="宋体"/>
                <w:color w:val="auto"/>
                <w:kern w:val="0"/>
                <w:szCs w:val="21"/>
                <w:highlight w:val="none"/>
                <w:lang w:eastAsia="zh-CN"/>
              </w:rPr>
              <w:t>的，，</w:t>
            </w:r>
            <w:r>
              <w:rPr>
                <w:rFonts w:hint="eastAsia" w:ascii="宋体" w:hAnsi="宋体" w:eastAsia="宋体" w:cs="宋体"/>
                <w:color w:val="auto"/>
                <w:kern w:val="0"/>
                <w:szCs w:val="21"/>
                <w:highlight w:val="none"/>
                <w:lang w:val="en-US" w:eastAsia="zh-CN"/>
              </w:rPr>
              <w:t>每提供1个得分，最高2分。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备注：</w:t>
            </w:r>
            <w:r>
              <w:rPr>
                <w:rFonts w:hint="eastAsia" w:ascii="宋体" w:hAnsi="宋体" w:eastAsia="宋体" w:cs="宋体"/>
                <w:color w:val="auto"/>
                <w:kern w:val="2"/>
                <w:sz w:val="21"/>
                <w:szCs w:val="21"/>
                <w:highlight w:val="none"/>
                <w:lang w:val="en-US" w:eastAsia="zh-CN" w:bidi="ar-SA"/>
              </w:rPr>
              <w:t>提供相关主管部门颁发的有效证书扫描件以及社保部门出具的供应商为相关人员缴纳的连续近六个月的参保证明并加盖单位公章</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p>
        </w:tc>
        <w:tc>
          <w:tcPr>
            <w:tcW w:w="2006"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leftChars="-45" w:right="-94" w:rightChars="-45" w:hanging="94" w:hangingChars="45"/>
              <w:jc w:val="center"/>
              <w:textAlignment w:val="auto"/>
              <w:rPr>
                <w:rFonts w:hint="eastAsia" w:ascii="宋体" w:hAnsi="宋体" w:eastAsia="宋体" w:cs="宋体"/>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Cs w:val="21"/>
                <w:highlight w:val="none"/>
                <w:lang w:val="en-US" w:eastAsia="zh-CN"/>
              </w:rPr>
              <w:t>其他团队人员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拟派本项目的实施团队（除技术负责人和咨询顾问外）中</w:t>
            </w:r>
            <w:r>
              <w:rPr>
                <w:rFonts w:hint="eastAsia" w:ascii="宋体" w:hAnsi="宋体" w:eastAsia="宋体" w:cs="宋体"/>
                <w:color w:val="auto"/>
                <w:kern w:val="0"/>
                <w:szCs w:val="21"/>
                <w:highlight w:val="none"/>
              </w:rPr>
              <w:t>具有</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全国计算机技术与软件专业技术资格高级以上证书</w:t>
            </w:r>
            <w:r>
              <w:rPr>
                <w:rFonts w:hint="eastAsia" w:ascii="宋体" w:hAnsi="宋体" w:eastAsia="宋体" w:cs="宋体"/>
                <w:color w:val="auto"/>
                <w:kern w:val="0"/>
                <w:szCs w:val="21"/>
                <w:highlight w:val="none"/>
                <w:lang w:val="en-US" w:eastAsia="zh-CN"/>
              </w:rPr>
              <w:t>有</w:t>
            </w:r>
            <w:r>
              <w:rPr>
                <w:rFonts w:hint="eastAsia" w:ascii="宋体" w:hAnsi="宋体" w:eastAsia="宋体" w:cs="宋体"/>
                <w:color w:val="auto"/>
                <w:kern w:val="0"/>
                <w:szCs w:val="21"/>
                <w:highlight w:val="none"/>
              </w:rPr>
              <w:t>3人</w:t>
            </w:r>
            <w:r>
              <w:rPr>
                <w:rFonts w:hint="eastAsia" w:ascii="宋体" w:hAnsi="宋体" w:eastAsia="宋体" w:cs="宋体"/>
                <w:color w:val="auto"/>
                <w:kern w:val="0"/>
                <w:szCs w:val="21"/>
                <w:highlight w:val="none"/>
                <w:lang w:val="en-US" w:eastAsia="zh-CN"/>
              </w:rPr>
              <w:t>及</w:t>
            </w:r>
            <w:r>
              <w:rPr>
                <w:rFonts w:hint="eastAsia" w:ascii="宋体" w:hAnsi="宋体" w:eastAsia="宋体" w:cs="宋体"/>
                <w:color w:val="auto"/>
                <w:kern w:val="0"/>
                <w:szCs w:val="21"/>
                <w:highlight w:val="none"/>
              </w:rPr>
              <w:t>以上得1分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其余情况不得分。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备注：</w:t>
            </w:r>
            <w:r>
              <w:rPr>
                <w:rFonts w:hint="eastAsia" w:ascii="宋体" w:hAnsi="宋体" w:eastAsia="宋体" w:cs="宋体"/>
                <w:color w:val="auto"/>
                <w:kern w:val="2"/>
                <w:sz w:val="21"/>
                <w:szCs w:val="21"/>
                <w:highlight w:val="none"/>
                <w:lang w:val="en-US" w:eastAsia="zh-CN" w:bidi="ar-SA"/>
              </w:rPr>
              <w:t>提供相关主管部门颁发的有效证书扫描件以及社保部门出具的供应商为相关人员缴纳的连续近六个月的参保证明并加盖单位公章</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20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项目业绩</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w:t>
            </w:r>
            <w:r>
              <w:rPr>
                <w:rFonts w:hint="eastAsia" w:ascii="宋体" w:hAnsi="宋体" w:eastAsia="宋体" w:cs="宋体"/>
                <w:color w:val="auto"/>
                <w:kern w:val="0"/>
                <w:szCs w:val="21"/>
                <w:highlight w:val="none"/>
                <w:lang w:val="en-US" w:eastAsia="zh-CN"/>
              </w:rPr>
              <w:t>21</w:t>
            </w:r>
            <w:r>
              <w:rPr>
                <w:rFonts w:hint="eastAsia" w:ascii="宋体" w:hAnsi="宋体" w:eastAsia="宋体" w:cs="宋体"/>
                <w:color w:val="auto"/>
                <w:kern w:val="0"/>
                <w:szCs w:val="21"/>
                <w:highlight w:val="none"/>
              </w:rPr>
              <w:t>年1月1日以来</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时间以合同签订时间为准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，具有政府投资项目</w:t>
            </w:r>
            <w:r>
              <w:rPr>
                <w:rFonts w:hint="eastAsia" w:ascii="宋体" w:hAnsi="宋体" w:eastAsia="宋体" w:cs="宋体"/>
                <w:color w:val="auto"/>
                <w:kern w:val="0"/>
                <w:szCs w:val="21"/>
                <w:highlight w:val="none"/>
                <w:lang w:eastAsia="zh-CN"/>
              </w:rPr>
              <w:t>的</w:t>
            </w:r>
            <w:r>
              <w:rPr>
                <w:rFonts w:hint="eastAsia" w:ascii="宋体" w:hAnsi="宋体" w:eastAsia="宋体" w:cs="宋体"/>
                <w:color w:val="auto"/>
                <w:kern w:val="0"/>
                <w:szCs w:val="21"/>
                <w:highlight w:val="none"/>
              </w:rPr>
              <w:t>建设单位工程项目管理系统</w:t>
            </w:r>
            <w:r>
              <w:rPr>
                <w:rFonts w:hint="eastAsia" w:ascii="宋体" w:hAnsi="宋体" w:eastAsia="宋体" w:cs="宋体"/>
                <w:color w:val="auto"/>
                <w:kern w:val="0"/>
                <w:szCs w:val="21"/>
                <w:highlight w:val="none"/>
                <w:lang w:val="en-US" w:eastAsia="zh-CN"/>
              </w:rPr>
              <w:t>或监管系统</w:t>
            </w:r>
            <w:r>
              <w:rPr>
                <w:rFonts w:hint="eastAsia" w:ascii="宋体" w:hAnsi="宋体" w:eastAsia="宋体" w:cs="宋体"/>
                <w:color w:val="auto"/>
                <w:kern w:val="0"/>
                <w:szCs w:val="21"/>
                <w:highlight w:val="none"/>
              </w:rPr>
              <w:t>成功案例,每个得</w:t>
            </w:r>
            <w:r>
              <w:rPr>
                <w:rFonts w:hint="eastAsia" w:ascii="宋体" w:hAnsi="宋体" w:eastAsia="宋体" w:cs="宋体"/>
                <w:color w:val="auto"/>
                <w:kern w:val="0"/>
                <w:szCs w:val="21"/>
                <w:highlight w:val="none"/>
                <w:lang w:val="en-US" w:eastAsia="zh-CN"/>
              </w:rPr>
              <w:t>0.5</w:t>
            </w:r>
            <w:r>
              <w:rPr>
                <w:rFonts w:hint="eastAsia" w:ascii="宋体" w:hAnsi="宋体" w:eastAsia="宋体" w:cs="宋体"/>
                <w:color w:val="auto"/>
                <w:kern w:val="0"/>
                <w:szCs w:val="21"/>
                <w:highlight w:val="none"/>
              </w:rPr>
              <w:t>分，最高</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备注：提供业绩合同和中标通知书扫描件并加盖单位公章。未提供或者提供内容不齐全的，本项目得0分。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200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公司技术实力</w:t>
            </w:r>
          </w:p>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供应商具有</w:t>
            </w:r>
            <w:r>
              <w:rPr>
                <w:rFonts w:hint="eastAsia" w:ascii="宋体" w:hAnsi="宋体" w:eastAsia="宋体" w:cs="宋体"/>
                <w:color w:val="auto"/>
                <w:kern w:val="0"/>
                <w:szCs w:val="21"/>
                <w:highlight w:val="none"/>
              </w:rPr>
              <w:t>获得ISO质量管理体系认证、ISO信息安全管理体系认证、ISO信息技术服务管理体系标准认证、高新技术企业证书、软件企业认定证书、企业信用等级证书AAA评价</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每个得</w:t>
            </w:r>
            <w:r>
              <w:rPr>
                <w:rFonts w:hint="eastAsia" w:ascii="宋体" w:hAnsi="宋体" w:eastAsia="宋体" w:cs="宋体"/>
                <w:color w:val="auto"/>
                <w:kern w:val="0"/>
                <w:szCs w:val="21"/>
                <w:highlight w:val="none"/>
                <w:lang w:val="en-US" w:eastAsia="zh-CN"/>
              </w:rPr>
              <w:t>0.5</w:t>
            </w:r>
            <w:r>
              <w:rPr>
                <w:rFonts w:hint="eastAsia" w:ascii="宋体" w:hAnsi="宋体" w:eastAsia="宋体" w:cs="宋体"/>
                <w:color w:val="auto"/>
                <w:kern w:val="0"/>
                <w:szCs w:val="21"/>
                <w:highlight w:val="none"/>
              </w:rPr>
              <w:t>分，最高</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备注：提供有效的证书扫描件并加盖单位公章。未提供或者提供内容不符合的，本项目得0分。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eastAsia" w:ascii="宋体" w:hAnsi="宋体" w:eastAsia="宋体" w:cs="宋体"/>
                <w:color w:val="auto"/>
                <w:kern w:val="0"/>
                <w:szCs w:val="21"/>
                <w:highlight w:val="none"/>
              </w:rPr>
            </w:pPr>
          </w:p>
        </w:tc>
        <w:tc>
          <w:tcPr>
            <w:tcW w:w="200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eastAsia" w:ascii="宋体" w:hAnsi="宋体" w:eastAsia="宋体" w:cs="宋体"/>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5</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供应商具有中华人民共和国国家版权局颁发的软件著作权登记证书，证书内容包含：“工程项目管理系统、项目监管系统、智能数据交换系统、安全管理系统、系统智能开发、系统门户开发”的，每1提供1个，得1分，最高5分。</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备注</w:t>
            </w:r>
            <w:r>
              <w:rPr>
                <w:rFonts w:hint="eastAsia" w:ascii="宋体" w:hAnsi="宋体" w:eastAsia="宋体" w:cs="宋体"/>
                <w:color w:val="auto"/>
                <w:highlight w:val="none"/>
              </w:rPr>
              <w:t>：投标文件中提供</w:t>
            </w:r>
            <w:r>
              <w:rPr>
                <w:rFonts w:hint="eastAsia" w:ascii="宋体" w:hAnsi="宋体" w:eastAsia="宋体" w:cs="宋体"/>
                <w:color w:val="auto"/>
                <w:highlight w:val="none"/>
                <w:lang w:val="en-US" w:eastAsia="zh-CN"/>
              </w:rPr>
              <w:t>有效的</w:t>
            </w:r>
            <w:r>
              <w:rPr>
                <w:rFonts w:hint="eastAsia" w:ascii="宋体" w:hAnsi="宋体" w:eastAsia="宋体" w:cs="宋体"/>
                <w:color w:val="auto"/>
                <w:highlight w:val="none"/>
              </w:rPr>
              <w:t>中华人民共和国国家版权局颁发</w:t>
            </w:r>
            <w:r>
              <w:rPr>
                <w:rFonts w:hint="eastAsia" w:ascii="宋体" w:hAnsi="宋体" w:eastAsia="宋体" w:cs="宋体"/>
                <w:color w:val="auto"/>
                <w:kern w:val="0"/>
                <w:szCs w:val="21"/>
                <w:highlight w:val="none"/>
                <w:lang w:val="en-US" w:eastAsia="zh-CN"/>
              </w:rPr>
              <w:t>的软件著作权登记证书</w:t>
            </w:r>
            <w:r>
              <w:rPr>
                <w:rFonts w:hint="eastAsia" w:ascii="宋体" w:hAnsi="宋体" w:eastAsia="宋体" w:cs="宋体"/>
                <w:color w:val="auto"/>
                <w:highlight w:val="none"/>
                <w:lang w:val="en-US" w:eastAsia="zh-CN"/>
              </w:rPr>
              <w:t>扫描</w:t>
            </w:r>
            <w:r>
              <w:rPr>
                <w:rFonts w:hint="eastAsia" w:ascii="宋体" w:hAnsi="宋体" w:eastAsia="宋体" w:cs="宋体"/>
                <w:color w:val="auto"/>
                <w:highlight w:val="none"/>
              </w:rPr>
              <w:t>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20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20</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以经</w:t>
            </w:r>
            <w:r>
              <w:rPr>
                <w:rFonts w:hint="eastAsia" w:ascii="宋体" w:hAnsi="宋体" w:eastAsia="宋体" w:cs="宋体"/>
                <w:bCs/>
                <w:color w:val="auto"/>
                <w:szCs w:val="21"/>
                <w:highlight w:val="none"/>
                <w:lang w:eastAsia="zh-CN"/>
              </w:rPr>
              <w:t>评标委员会</w:t>
            </w:r>
            <w:r>
              <w:rPr>
                <w:rFonts w:hint="eastAsia" w:ascii="宋体" w:hAnsi="宋体" w:eastAsia="宋体" w:cs="宋体"/>
                <w:bCs/>
                <w:color w:val="auto"/>
                <w:szCs w:val="21"/>
                <w:highlight w:val="none"/>
              </w:rPr>
              <w:t>会一致认定实质性满足招标文件要求且投标价格最低的投标报价为评标基准价，其价格得分计20分。</w:t>
            </w:r>
          </w:p>
          <w:p>
            <w:pPr>
              <w:keepNext w:val="0"/>
              <w:keepLines w:val="0"/>
              <w:pageBreakBefore w:val="0"/>
              <w:widowControl w:val="0"/>
              <w:kinsoku/>
              <w:wordWrap/>
              <w:overflowPunct/>
              <w:topLinePunct w:val="0"/>
              <w:autoSpaceDE/>
              <w:autoSpaceDN/>
              <w:bidi w:val="0"/>
              <w:spacing w:line="360" w:lineRule="exact"/>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其他</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的价格得分统一按公式计算：</w:t>
            </w:r>
          </w:p>
          <w:p>
            <w:pPr>
              <w:keepNext w:val="0"/>
              <w:keepLines w:val="0"/>
              <w:pageBreakBefore w:val="0"/>
              <w:widowControl w:val="0"/>
              <w:kinsoku/>
              <w:wordWrap/>
              <w:overflowPunct/>
              <w:topLinePunct w:val="0"/>
              <w:autoSpaceDE/>
              <w:autoSpaceDN/>
              <w:bidi w:val="0"/>
              <w:spacing w:line="360" w:lineRule="exact"/>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报价得分＝评标基准价÷投标报价×20</w:t>
            </w:r>
          </w:p>
          <w:p>
            <w:pPr>
              <w:keepNext w:val="0"/>
              <w:keepLines w:val="0"/>
              <w:pageBreakBefore w:val="0"/>
              <w:widowControl w:val="0"/>
              <w:kinsoku/>
              <w:wordWrap/>
              <w:overflowPunct/>
              <w:topLinePunct w:val="0"/>
              <w:autoSpaceDE/>
              <w:autoSpaceDN/>
              <w:bidi w:val="0"/>
              <w:spacing w:line="360" w:lineRule="exact"/>
              <w:jc w:val="both"/>
              <w:textAlignment w:val="auto"/>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投标报价超过本次采购所设的上限价作无效标处理。</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评分涉及的证书、合同、中标通知书等均必须为投标人所拥有，否则对应项不得分。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小数点后保留二位数。各评标委员会成员自行按以上参考分值评分。重大事件由评标委员会集体讨论，须有三分之二或以上的评标委员会签字认可。</w:t>
      </w:r>
    </w:p>
    <w:bookmarkEnd w:id="45"/>
    <w:p>
      <w:pPr>
        <w:rPr>
          <w:rStyle w:val="65"/>
          <w:rFonts w:hint="eastAsia"/>
          <w:b/>
          <w:bCs/>
          <w:color w:val="auto"/>
          <w:highlight w:val="none"/>
        </w:rPr>
      </w:pPr>
      <w:r>
        <w:rPr>
          <w:rStyle w:val="65"/>
          <w:rFonts w:hint="eastAsia"/>
          <w:b/>
          <w:bCs/>
          <w:color w:val="auto"/>
          <w:highlight w:val="none"/>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color w:val="auto"/>
          <w:sz w:val="30"/>
          <w:highlight w:val="none"/>
        </w:rPr>
      </w:pPr>
      <w:bookmarkStart w:id="47" w:name="_Toc14437"/>
      <w:r>
        <w:rPr>
          <w:rStyle w:val="65"/>
          <w:rFonts w:hint="eastAsia"/>
          <w:b/>
          <w:bCs/>
          <w:color w:val="auto"/>
          <w:highlight w:val="none"/>
        </w:rPr>
        <w:t>第五章  合同主要条款</w:t>
      </w:r>
      <w:bookmarkEnd w:id="47"/>
    </w:p>
    <w:p>
      <w:pPr>
        <w:adjustRightInd w:val="0"/>
        <w:snapToGrid w:val="0"/>
        <w:spacing w:line="440" w:lineRule="exact"/>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浙江省政府采购合同指引（仅供参考）</w:t>
      </w:r>
    </w:p>
    <w:p>
      <w:pPr>
        <w:spacing w:line="480" w:lineRule="exact"/>
        <w:rPr>
          <w:rFonts w:hint="eastAsia" w:ascii="宋体" w:hAnsi="宋体" w:cs="宋体"/>
          <w:color w:val="auto"/>
          <w:szCs w:val="21"/>
          <w:highlight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u w:val="single"/>
          <w:lang w:val="en-US" w:eastAsia="zh-CN"/>
        </w:rPr>
        <w:t xml:space="preserve">                     </w:t>
      </w:r>
    </w:p>
    <w:p>
      <w:pPr>
        <w:pStyle w:val="177"/>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乙方(供应商)：</w:t>
      </w:r>
      <w:r>
        <w:rPr>
          <w:rFonts w:hint="eastAsia" w:ascii="宋体" w:hAnsi="宋体" w:eastAsia="宋体" w:cs="宋体"/>
          <w:color w:val="auto"/>
          <w:sz w:val="21"/>
          <w:szCs w:val="21"/>
          <w:highlight w:val="none"/>
          <w:u w:val="single"/>
          <w:lang w:eastAsia="zh-CN"/>
        </w:rPr>
        <w:t xml:space="preserve">                     </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甲、乙双方根据关于</w:t>
      </w:r>
      <w:r>
        <w:rPr>
          <w:rFonts w:hint="eastAsia" w:ascii="宋体" w:hAnsi="宋体" w:eastAsia="宋体" w:cs="宋体"/>
          <w:color w:val="auto"/>
          <w:sz w:val="21"/>
          <w:szCs w:val="21"/>
          <w:highlight w:val="none"/>
          <w:u w:val="single"/>
          <w:lang w:val="en-US" w:eastAsia="zh-CN"/>
        </w:rPr>
        <w:t xml:space="preserve">        （项目名称）      </w:t>
      </w:r>
      <w:r>
        <w:rPr>
          <w:rFonts w:hint="eastAsia" w:ascii="宋体" w:hAnsi="宋体" w:eastAsia="宋体" w:cs="宋体"/>
          <w:color w:val="auto"/>
          <w:sz w:val="21"/>
          <w:szCs w:val="21"/>
          <w:highlight w:val="none"/>
          <w:lang w:val="zh-CN"/>
        </w:rPr>
        <w:t>公开采购的结果，按照《中华人民共和国民法典》的有关规定，在自愿、平等、公平、诚信的基础上，经双方协商一致，签订本合同。</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下述文件作为附件，是合同的一部分，并与本合同一起阅读和解释：</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a.本项目采购文件；</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b.投标文件及澄清文件；</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c.中标通知书；</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上述文件与合同若有不一致之处，优先次序第一应为合同、第二应为附件(附件的优先次序为 c,b,a)。</w:t>
      </w:r>
    </w:p>
    <w:p>
      <w:pPr>
        <w:keepNext/>
        <w:keepLines/>
        <w:pageBreakBefore w:val="0"/>
        <w:widowControl w:val="0"/>
        <w:shd w:val="clear" w:color="auto" w:fill="auto"/>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一、项目名称、合同履行期限（服务期限）、服务内容</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1.1项目名称：</w:t>
      </w:r>
      <w:r>
        <w:rPr>
          <w:rFonts w:hint="eastAsia" w:ascii="宋体" w:hAnsi="宋体" w:eastAsia="宋体" w:cs="宋体"/>
          <w:color w:val="auto"/>
          <w:sz w:val="21"/>
          <w:szCs w:val="21"/>
          <w:highlight w:val="none"/>
          <w:u w:val="single"/>
          <w:lang w:val="en-US" w:eastAsia="zh-CN"/>
        </w:rPr>
        <w:t xml:space="preserve">                      </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1.2合同履行期限（服务期限）：</w:t>
      </w:r>
      <w:r>
        <w:rPr>
          <w:rFonts w:hint="eastAsia" w:ascii="宋体" w:hAnsi="宋体" w:eastAsia="宋体" w:cs="宋体"/>
          <w:color w:val="auto"/>
          <w:sz w:val="21"/>
          <w:szCs w:val="21"/>
          <w:highlight w:val="none"/>
          <w:u w:val="single"/>
          <w:lang w:val="en-US" w:eastAsia="zh-CN"/>
        </w:rPr>
        <w:t xml:space="preserve">              </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1.3服务内容：</w:t>
      </w:r>
      <w:r>
        <w:rPr>
          <w:rFonts w:hint="eastAsia" w:ascii="宋体" w:hAnsi="宋体" w:eastAsia="宋体" w:cs="宋体"/>
          <w:color w:val="auto"/>
          <w:sz w:val="21"/>
          <w:szCs w:val="21"/>
          <w:highlight w:val="none"/>
          <w:u w:val="single"/>
          <w:lang w:val="en-US" w:eastAsia="zh-CN"/>
        </w:rPr>
        <w:t xml:space="preserve">                         </w:t>
      </w:r>
    </w:p>
    <w:p>
      <w:pPr>
        <w:keepNext/>
        <w:keepLines/>
        <w:pageBreakBefore w:val="0"/>
        <w:widowControl w:val="0"/>
        <w:shd w:val="clear" w:color="auto" w:fill="auto"/>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二、合同金额</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金额为（大写）：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r>
        <w:rPr>
          <w:rFonts w:hint="eastAsia" w:ascii="宋体" w:hAnsi="宋体" w:eastAsia="宋体" w:cs="宋体"/>
          <w:color w:val="auto"/>
          <w:sz w:val="21"/>
          <w:szCs w:val="21"/>
          <w:highlight w:val="none"/>
          <w:lang w:val="en-US" w:eastAsia="zh-CN"/>
        </w:rPr>
        <w:t>。</w:t>
      </w:r>
    </w:p>
    <w:p>
      <w:pPr>
        <w:keepNext/>
        <w:keepLines/>
        <w:pageBreakBefore w:val="0"/>
        <w:widowControl w:val="0"/>
        <w:shd w:val="clear" w:color="auto" w:fill="auto"/>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三、履约保证金</w:t>
      </w:r>
      <w:r>
        <w:rPr>
          <w:rFonts w:hint="eastAsia" w:ascii="宋体" w:hAnsi="宋体" w:cs="宋体"/>
          <w:b/>
          <w:bCs/>
          <w:color w:val="auto"/>
          <w:kern w:val="2"/>
          <w:sz w:val="21"/>
          <w:szCs w:val="21"/>
          <w:highlight w:val="none"/>
          <w:lang w:val="en-US" w:eastAsia="zh-CN" w:bidi="ar-SA"/>
        </w:rPr>
        <w:t>（本项目不适用）</w:t>
      </w:r>
    </w:p>
    <w:p>
      <w:pPr>
        <w:keepNext/>
        <w:keepLines/>
        <w:pageBreakBefore w:val="0"/>
        <w:widowControl w:val="0"/>
        <w:shd w:val="clear" w:color="auto" w:fill="auto"/>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四、转包或分包</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4.1本合同范围的服务，应由乙方直接提供，不得转让他人；</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除非得到甲方的书面同意，乙方不得部分分包给他人。甲方有绝对权力阻止分包。</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4.3如有转让和未经甲方同意的分包行为，甲方有权给予终止合同。</w:t>
      </w:r>
    </w:p>
    <w:p>
      <w:pPr>
        <w:keepNext/>
        <w:keepLines/>
        <w:pageBreakBefore w:val="0"/>
        <w:widowControl w:val="0"/>
        <w:shd w:val="clear" w:color="auto" w:fill="auto"/>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五、合同付款方法</w:t>
      </w:r>
    </w:p>
    <w:p>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（1）合同签订后7个工作日内支付合同总价33万元；</w:t>
      </w:r>
    </w:p>
    <w:p>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软件开发、测试、部署完成，并通过采购人初验后支付</w:t>
      </w:r>
      <w:r>
        <w:rPr>
          <w:rFonts w:hint="eastAsia" w:ascii="宋体" w:hAnsi="宋体" w:cs="宋体"/>
          <w:color w:val="auto"/>
          <w:sz w:val="21"/>
          <w:szCs w:val="21"/>
          <w:highlight w:val="none"/>
          <w:lang w:val="en-US" w:eastAsia="zh-CN"/>
        </w:rPr>
        <w:t>至合同总价的50%；</w:t>
      </w:r>
    </w:p>
    <w:p>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（3）项目试运行后支付至合同总价的80%；</w:t>
      </w:r>
    </w:p>
    <w:p>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（4）第一年运维期满后支付至合同总价的90%；</w:t>
      </w:r>
    </w:p>
    <w:p>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（5）第二年运维期满后结清余款。</w:t>
      </w: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0"/>
          <w:sz w:val="21"/>
          <w:szCs w:val="21"/>
          <w:highlight w:val="none"/>
          <w:lang w:val="en-US" w:eastAsia="zh-CN" w:bidi="ar-SA"/>
        </w:rPr>
        <w:t>备注：</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应在</w:t>
      </w:r>
      <w:r>
        <w:rPr>
          <w:rFonts w:hint="eastAsia" w:ascii="宋体" w:hAnsi="宋体" w:eastAsia="宋体" w:cs="宋体"/>
          <w:color w:val="auto"/>
          <w:szCs w:val="21"/>
          <w:highlight w:val="none"/>
          <w:lang w:val="en-US" w:eastAsia="zh-CN"/>
        </w:rPr>
        <w:t>甲方付款</w:t>
      </w:r>
      <w:r>
        <w:rPr>
          <w:rFonts w:hint="eastAsia" w:ascii="宋体" w:hAnsi="宋体" w:eastAsia="宋体" w:cs="宋体"/>
          <w:color w:val="auto"/>
          <w:szCs w:val="21"/>
          <w:highlight w:val="none"/>
        </w:rPr>
        <w:t>前，依据相应的</w:t>
      </w:r>
      <w:r>
        <w:rPr>
          <w:rFonts w:hint="eastAsia" w:ascii="宋体" w:hAnsi="宋体" w:cs="宋体"/>
          <w:color w:val="auto"/>
          <w:szCs w:val="21"/>
          <w:highlight w:val="none"/>
          <w:lang w:val="en-US" w:eastAsia="zh-CN"/>
        </w:rPr>
        <w:t>请款</w:t>
      </w:r>
      <w:r>
        <w:rPr>
          <w:rFonts w:hint="eastAsia" w:ascii="宋体" w:hAnsi="宋体" w:eastAsia="宋体" w:cs="宋体"/>
          <w:color w:val="auto"/>
          <w:szCs w:val="21"/>
          <w:highlight w:val="none"/>
        </w:rPr>
        <w:t>金额向</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提供足额且符合税法规定的发票。</w:t>
      </w:r>
      <w:r>
        <w:rPr>
          <w:rFonts w:hint="eastAsia" w:ascii="宋体" w:hAnsi="宋体" w:eastAsia="宋体" w:cs="宋体"/>
          <w:color w:val="auto"/>
          <w:szCs w:val="21"/>
          <w:highlight w:val="none"/>
          <w:lang w:val="en-US" w:eastAsia="zh-CN"/>
        </w:rPr>
        <w:t>若乙方未在规定时间内提供符合税法规定的发票的，甲方有权延期付款。</w:t>
      </w:r>
    </w:p>
    <w:p>
      <w:pPr>
        <w:keepNext/>
        <w:keepLines/>
        <w:pageBreakBefore w:val="0"/>
        <w:widowControl w:val="0"/>
        <w:shd w:val="clear" w:color="auto" w:fill="auto"/>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六、系统运维期</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系统运维期</w:t>
      </w:r>
      <w:r>
        <w:rPr>
          <w:rFonts w:hint="eastAsia" w:ascii="宋体" w:hAnsi="宋体" w:eastAsia="宋体" w:cs="宋体"/>
          <w:color w:val="auto"/>
          <w:sz w:val="21"/>
          <w:szCs w:val="21"/>
          <w:highlight w:val="none"/>
        </w:rPr>
        <w:t>自项目终验合格之日起</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运维期满后乙方需提供与本项目相关的所有资料（包括但不限于登录账号、密码等），以便甲方于运维期满后继续开展后续运维工作。</w:t>
      </w:r>
    </w:p>
    <w:p>
      <w:pPr>
        <w:keepNext/>
        <w:keepLines/>
        <w:pageBreakBefore w:val="0"/>
        <w:widowControl w:val="0"/>
        <w:shd w:val="clear" w:color="auto" w:fill="auto"/>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七、税率</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7.1本合同执行中相关的一切税费均由乙方负担。</w:t>
      </w:r>
    </w:p>
    <w:p>
      <w:pPr>
        <w:keepNext/>
        <w:keepLines/>
        <w:pageBreakBefore w:val="0"/>
        <w:widowControl w:val="0"/>
        <w:shd w:val="clear" w:color="auto" w:fill="auto"/>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八、完成质量要求</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服务期间乙方不得随意更换项目负责人，如有特殊情况需要更换，须经甲方同意确认。</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8.2服务期间，乙方须配备足够的人员和设备。</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8.3合同执行过程中，乙方如有弄虚作假行为，甲方有权单方面解除合同，由此引起的所以损失由乙方承担。</w:t>
      </w:r>
    </w:p>
    <w:p>
      <w:pPr>
        <w:keepNext/>
        <w:keepLines/>
        <w:pageBreakBefore w:val="0"/>
        <w:widowControl w:val="0"/>
        <w:shd w:val="clear" w:color="auto" w:fill="auto"/>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九、知识产权</w:t>
      </w:r>
    </w:p>
    <w:p>
      <w:pPr>
        <w:keepNext/>
        <w:keepLines/>
        <w:pageBreakBefore w:val="0"/>
        <w:widowControl w:val="0"/>
        <w:shd w:val="clear" w:color="auto" w:fill="auto"/>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乙方应保证所提供的</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或其任何一部分均不会侵犯任何第三方的知识产权。应用于本项目的所有</w:t>
      </w:r>
      <w:r>
        <w:rPr>
          <w:rFonts w:hint="eastAsia" w:ascii="宋体" w:hAnsi="宋体" w:eastAsia="宋体" w:cs="宋体"/>
          <w:color w:val="auto"/>
          <w:sz w:val="21"/>
          <w:szCs w:val="21"/>
          <w:highlight w:val="none"/>
          <w:lang w:eastAsia="zh-CN"/>
        </w:rPr>
        <w:t>平台数据</w:t>
      </w:r>
      <w:r>
        <w:rPr>
          <w:rFonts w:hint="eastAsia" w:ascii="宋体" w:hAnsi="宋体" w:eastAsia="宋体" w:cs="宋体"/>
          <w:color w:val="auto"/>
          <w:sz w:val="21"/>
          <w:szCs w:val="21"/>
          <w:highlight w:val="none"/>
        </w:rPr>
        <w:t>，以及由此产生的知识产权归</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lang w:eastAsia="zh-CN"/>
        </w:rPr>
        <w:t>。项目结束后，相关软件产权归属于乙方。</w:t>
      </w:r>
      <w:r>
        <w:rPr>
          <w:rFonts w:hint="eastAsia" w:ascii="宋体" w:hAnsi="宋体" w:eastAsia="宋体" w:cs="宋体"/>
          <w:color w:val="auto"/>
          <w:sz w:val="21"/>
          <w:szCs w:val="21"/>
          <w:highlight w:val="none"/>
        </w:rPr>
        <w:t>本项目的所有设计方案仅限用于本项目，不得另做他用。</w:t>
      </w:r>
    </w:p>
    <w:p>
      <w:pPr>
        <w:keepNext/>
        <w:keepLines/>
        <w:pageBreakBefore w:val="0"/>
        <w:widowControl w:val="0"/>
        <w:shd w:val="clear" w:color="auto" w:fill="auto"/>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十、</w:t>
      </w:r>
      <w:r>
        <w:rPr>
          <w:rFonts w:hint="eastAsia" w:ascii="宋体" w:hAnsi="宋体" w:eastAsia="宋体" w:cs="宋体"/>
          <w:b/>
          <w:bCs/>
          <w:color w:val="auto"/>
          <w:kern w:val="2"/>
          <w:sz w:val="21"/>
          <w:szCs w:val="21"/>
          <w:highlight w:val="none"/>
          <w:lang w:val="en-US" w:eastAsia="zh-CN" w:bidi="ar-SA"/>
        </w:rPr>
        <w:t>保密条款</w:t>
      </w:r>
    </w:p>
    <w:p>
      <w:pPr>
        <w:keepNext/>
        <w:keepLines/>
        <w:pageBreakBefore w:val="0"/>
        <w:widowControl w:val="0"/>
        <w:shd w:val="clear" w:color="auto" w:fill="auto"/>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乙方对在工作过程中接触到的甲方的任何资料、文件、数据(无论是书面的还是电子的),以及对为甲方服务形成的任何交付物（包括数据安全）,负有为甲方保密的责任。未经甲方书面同意，乙方不得以任何方式向任何第三方提供或透露。</w:t>
      </w:r>
    </w:p>
    <w:p>
      <w:pPr>
        <w:keepNext/>
        <w:keepLines/>
        <w:pageBreakBefore w:val="0"/>
        <w:widowControl w:val="0"/>
        <w:shd w:val="clear" w:color="auto" w:fill="auto"/>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2.甲方向乙方提供的任何资料、文件和信息，在乙方服务结束后，乙方均应及时归还甲方，电子文档的应从自己的电脑等存储设备上子永久删除。</w:t>
      </w:r>
    </w:p>
    <w:p>
      <w:pPr>
        <w:keepNext/>
        <w:keepLines/>
        <w:pageBreakBefore w:val="0"/>
        <w:widowControl w:val="0"/>
        <w:shd w:val="clear" w:color="auto" w:fill="auto"/>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3.若乙方违反了上述保密义务，导致甲方遭受损失，乙方将依法承担违约责任，并赔偿因违约所导致甲方的一切直接或间接损失，包括但不限于合同损失、经济损失、名誉损失等。</w:t>
      </w:r>
    </w:p>
    <w:p>
      <w:pPr>
        <w:keepNext/>
        <w:keepLines/>
        <w:pageBreakBefore w:val="0"/>
        <w:widowControl w:val="0"/>
        <w:shd w:val="clear" w:color="auto" w:fill="auto"/>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十</w:t>
      </w:r>
      <w:r>
        <w:rPr>
          <w:rFonts w:hint="eastAsia" w:ascii="宋体" w:hAnsi="宋体" w:cs="宋体"/>
          <w:b/>
          <w:bCs/>
          <w:color w:val="auto"/>
          <w:kern w:val="2"/>
          <w:sz w:val="21"/>
          <w:szCs w:val="21"/>
          <w:highlight w:val="none"/>
          <w:lang w:val="en-US" w:eastAsia="zh-CN" w:bidi="ar-SA"/>
        </w:rPr>
        <w:t>以</w:t>
      </w:r>
      <w:r>
        <w:rPr>
          <w:rFonts w:hint="eastAsia" w:ascii="宋体" w:hAnsi="宋体" w:eastAsia="宋体" w:cs="宋体"/>
          <w:b/>
          <w:bCs/>
          <w:color w:val="auto"/>
          <w:kern w:val="2"/>
          <w:sz w:val="21"/>
          <w:szCs w:val="21"/>
          <w:highlight w:val="none"/>
          <w:lang w:val="en-US" w:eastAsia="zh-CN" w:bidi="ar-SA"/>
        </w:rPr>
        <w:t>、违约责任</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甲方无正当理由拒收接受服务的，甲方向乙方偿付合同款项5%作为违约金。</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keepNext/>
        <w:keepLines/>
        <w:pageBreakBefore w:val="0"/>
        <w:widowControl w:val="0"/>
        <w:shd w:val="clear" w:color="auto" w:fill="auto"/>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十</w:t>
      </w:r>
      <w:r>
        <w:rPr>
          <w:rFonts w:hint="eastAsia" w:ascii="宋体" w:hAnsi="宋体" w:cs="宋体"/>
          <w:b/>
          <w:bCs/>
          <w:color w:val="auto"/>
          <w:kern w:val="2"/>
          <w:sz w:val="21"/>
          <w:szCs w:val="21"/>
          <w:highlight w:val="none"/>
          <w:lang w:val="en-US" w:eastAsia="zh-CN" w:bidi="ar-SA"/>
        </w:rPr>
        <w:t>二</w:t>
      </w:r>
      <w:r>
        <w:rPr>
          <w:rFonts w:hint="eastAsia" w:ascii="宋体" w:hAnsi="宋体" w:eastAsia="宋体" w:cs="宋体"/>
          <w:b/>
          <w:bCs/>
          <w:color w:val="auto"/>
          <w:kern w:val="2"/>
          <w:sz w:val="21"/>
          <w:szCs w:val="21"/>
          <w:highlight w:val="none"/>
          <w:lang w:val="en-US" w:eastAsia="zh-CN" w:bidi="ar-SA"/>
        </w:rPr>
        <w:t>、不可抗力事件处理</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在合同有效期内，任何一方因不可抗力事件导致不能履行合同，则合同履行期可延长，其延长期与不可抗力影响期相同。</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不可抗力事件发生后，应立即通知对方，并寄送有关权威机构出具的证明。</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不可抗力事件延续120天以上，双方应通过友好协商，确定是否继续履行合同。</w:t>
      </w:r>
    </w:p>
    <w:p>
      <w:pPr>
        <w:keepNext/>
        <w:keepLines/>
        <w:pageBreakBefore w:val="0"/>
        <w:widowControl w:val="0"/>
        <w:shd w:val="clear" w:color="auto" w:fill="auto"/>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十</w:t>
      </w:r>
      <w:r>
        <w:rPr>
          <w:rFonts w:hint="eastAsia" w:ascii="宋体" w:hAnsi="宋体" w:cs="宋体"/>
          <w:b/>
          <w:bCs/>
          <w:color w:val="auto"/>
          <w:kern w:val="2"/>
          <w:sz w:val="21"/>
          <w:szCs w:val="21"/>
          <w:highlight w:val="none"/>
          <w:lang w:val="en-US" w:eastAsia="zh-CN" w:bidi="ar-SA"/>
        </w:rPr>
        <w:t>三</w:t>
      </w:r>
      <w:r>
        <w:rPr>
          <w:rFonts w:hint="eastAsia" w:ascii="宋体" w:hAnsi="宋体" w:eastAsia="宋体" w:cs="宋体"/>
          <w:b/>
          <w:bCs/>
          <w:color w:val="auto"/>
          <w:kern w:val="2"/>
          <w:sz w:val="21"/>
          <w:szCs w:val="21"/>
          <w:highlight w:val="none"/>
          <w:lang w:val="en-US" w:eastAsia="zh-CN" w:bidi="ar-SA"/>
        </w:rPr>
        <w:t>、诉讼</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双方在执行合同中所发生的一切争议，应通过协商解决。如协商不成，可向合同签订地法院起诉。</w:t>
      </w:r>
    </w:p>
    <w:p>
      <w:pPr>
        <w:keepNext/>
        <w:keepLines/>
        <w:pageBreakBefore w:val="0"/>
        <w:widowControl w:val="0"/>
        <w:shd w:val="clear" w:color="auto" w:fill="auto"/>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十</w:t>
      </w:r>
      <w:r>
        <w:rPr>
          <w:rFonts w:hint="eastAsia" w:ascii="宋体" w:hAnsi="宋体" w:cs="宋体"/>
          <w:b/>
          <w:bCs/>
          <w:color w:val="auto"/>
          <w:kern w:val="2"/>
          <w:sz w:val="21"/>
          <w:szCs w:val="21"/>
          <w:highlight w:val="none"/>
          <w:lang w:val="en-US" w:eastAsia="zh-CN" w:bidi="ar-SA"/>
        </w:rPr>
        <w:t>四</w:t>
      </w:r>
      <w:r>
        <w:rPr>
          <w:rFonts w:hint="eastAsia" w:ascii="宋体" w:hAnsi="宋体" w:eastAsia="宋体" w:cs="宋体"/>
          <w:b/>
          <w:bCs/>
          <w:color w:val="auto"/>
          <w:kern w:val="2"/>
          <w:sz w:val="21"/>
          <w:szCs w:val="21"/>
          <w:highlight w:val="none"/>
          <w:lang w:val="en-US" w:eastAsia="zh-CN" w:bidi="ar-SA"/>
        </w:rPr>
        <w:t>、合同生效及其它</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合同经双方法定代表人或授权委托代理人签字并加盖单位公章后生效。</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合同执行中涉及采购资金和采购内容修改或补充的，须经财政部门审批，并签书面补充协议报政府采购监督管理部门备案，方可作为主合同不可分割的一部分。</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本合同未尽事宜，遵照《民法典》有关条文、补充协议、投标承诺、响应文件、采购文件及补充执行。</w:t>
      </w:r>
    </w:p>
    <w:p>
      <w:pPr>
        <w:pStyle w:val="239"/>
        <w:keepNext w:val="0"/>
        <w:keepLines w:val="0"/>
        <w:pageBreakBefore w:val="0"/>
        <w:widowControl w:val="0"/>
        <w:shd w:val="clear" w:color="auto" w:fill="auto"/>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本合同正本一式两份，甲乙双方各执一份；副本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甲方执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乙方执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pPr>
        <w:pStyle w:val="239"/>
        <w:shd w:val="clear" w:color="auto" w:fill="auto"/>
        <w:ind w:firstLine="440"/>
        <w:rPr>
          <w:rFonts w:hint="eastAsia" w:ascii="宋体" w:hAnsi="宋体" w:eastAsia="宋体" w:cs="宋体"/>
          <w:color w:val="auto"/>
          <w:sz w:val="22"/>
          <w:szCs w:val="22"/>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乙方（盖章）：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法定代表人：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或受委托人（签字）：                      或受委托人（签字）：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                                  联系人：</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                                    帐号：</w:t>
      </w:r>
    </w:p>
    <w:p>
      <w:pPr>
        <w:shd w:val="clear" w:color="auto" w:fill="auto"/>
        <w:spacing w:line="480" w:lineRule="auto"/>
        <w:ind w:firstLine="440" w:firstLineChars="200"/>
        <w:rPr>
          <w:rFonts w:hint="eastAsia" w:ascii="宋体" w:hAnsi="宋体" w:eastAsia="宋体" w:cs="宋体"/>
          <w:color w:val="auto"/>
          <w:sz w:val="22"/>
          <w:szCs w:val="22"/>
          <w:highlight w:val="none"/>
          <w:lang w:eastAsia="zh-CN"/>
        </w:rPr>
      </w:pPr>
    </w:p>
    <w:p>
      <w:pPr>
        <w:shd w:val="clear" w:color="auto" w:fill="auto"/>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见证方：宁波市盛达工程管理咨询有限公司（盖章）</w:t>
      </w:r>
      <w:r>
        <w:rPr>
          <w:rFonts w:hint="eastAsia" w:ascii="宋体" w:hAnsi="宋体" w:eastAsia="宋体" w:cs="宋体"/>
          <w:color w:val="auto"/>
          <w:sz w:val="22"/>
          <w:szCs w:val="22"/>
          <w:highlight w:val="none"/>
        </w:rPr>
        <w:t xml:space="preserve">                         </w:t>
      </w:r>
    </w:p>
    <w:p>
      <w:pPr>
        <w:shd w:val="clear" w:color="auto" w:fill="auto"/>
        <w:spacing w:line="480" w:lineRule="auto"/>
        <w:ind w:firstLine="5280" w:firstLineChars="2400"/>
        <w:rPr>
          <w:rFonts w:hint="eastAsia" w:ascii="宋体" w:hAnsi="宋体" w:eastAsia="宋体" w:cs="宋体"/>
          <w:color w:val="auto"/>
          <w:sz w:val="22"/>
          <w:szCs w:val="22"/>
          <w:highlight w:val="none"/>
        </w:rPr>
      </w:pPr>
    </w:p>
    <w:p>
      <w:pPr>
        <w:shd w:val="clear" w:color="auto" w:fill="auto"/>
        <w:spacing w:line="480" w:lineRule="auto"/>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 约 地：</w:t>
      </w:r>
    </w:p>
    <w:p>
      <w:pPr>
        <w:pStyle w:val="25"/>
        <w:snapToGrid w:val="0"/>
        <w:spacing w:beforeLines="0" w:afterLines="0"/>
        <w:rPr>
          <w:rFonts w:hAnsi="宋体"/>
          <w:color w:val="auto"/>
          <w:highlight w:val="none"/>
        </w:rPr>
      </w:pPr>
      <w:r>
        <w:rPr>
          <w:rFonts w:hint="eastAsia" w:ascii="宋体" w:hAnsi="宋体" w:eastAsia="宋体" w:cs="宋体"/>
          <w:color w:val="auto"/>
          <w:sz w:val="22"/>
          <w:szCs w:val="22"/>
          <w:highlight w:val="none"/>
        </w:rPr>
        <w:t xml:space="preserve">                                            签约日期：    年  月    日</w:t>
      </w:r>
    </w:p>
    <w:p>
      <w:pPr>
        <w:rPr>
          <w:rFonts w:hint="eastAsia" w:ascii="宋体" w:hAnsi="宋体" w:cs="黑体"/>
          <w:b/>
          <w:bCs/>
          <w:color w:val="auto"/>
          <w:sz w:val="28"/>
          <w:szCs w:val="28"/>
          <w:highlight w:val="none"/>
        </w:rPr>
      </w:pPr>
      <w:bookmarkStart w:id="48" w:name="_Toc2275"/>
      <w:r>
        <w:rPr>
          <w:rFonts w:hint="eastAsia" w:ascii="宋体" w:hAnsi="宋体" w:cs="黑体"/>
          <w:b/>
          <w:bCs/>
          <w:color w:val="auto"/>
          <w:sz w:val="28"/>
          <w:szCs w:val="28"/>
          <w:highlight w:val="none"/>
        </w:rPr>
        <w:br w:type="page"/>
      </w:r>
    </w:p>
    <w:p>
      <w:pPr>
        <w:spacing w:line="400" w:lineRule="exact"/>
        <w:jc w:val="center"/>
        <w:outlineLvl w:val="0"/>
        <w:rPr>
          <w:rFonts w:ascii="宋体" w:hAnsi="宋体"/>
          <w:color w:val="auto"/>
          <w:highlight w:val="none"/>
        </w:rPr>
      </w:pPr>
      <w:bookmarkStart w:id="49" w:name="_Toc12566"/>
      <w:r>
        <w:rPr>
          <w:rFonts w:hint="eastAsia" w:ascii="宋体" w:hAnsi="宋体" w:cs="黑体"/>
          <w:b/>
          <w:bCs/>
          <w:color w:val="auto"/>
          <w:sz w:val="28"/>
          <w:szCs w:val="28"/>
          <w:highlight w:val="none"/>
        </w:rPr>
        <w:t>第六章</w:t>
      </w:r>
      <w:r>
        <w:rPr>
          <w:rFonts w:ascii="宋体" w:hAnsi="宋体" w:cs="黑体"/>
          <w:b/>
          <w:bCs/>
          <w:color w:val="auto"/>
          <w:sz w:val="28"/>
          <w:szCs w:val="28"/>
          <w:highlight w:val="none"/>
        </w:rPr>
        <w:t xml:space="preserve">  </w:t>
      </w:r>
      <w:r>
        <w:rPr>
          <w:rFonts w:hint="eastAsia" w:ascii="宋体" w:hAnsi="宋体" w:cs="黑体"/>
          <w:b/>
          <w:bCs/>
          <w:color w:val="auto"/>
          <w:sz w:val="28"/>
          <w:szCs w:val="28"/>
          <w:highlight w:val="none"/>
        </w:rPr>
        <w:t>投标文件格式</w:t>
      </w:r>
      <w:bookmarkEnd w:id="48"/>
      <w:bookmarkEnd w:id="49"/>
    </w:p>
    <w:p>
      <w:pPr>
        <w:snapToGrid w:val="0"/>
        <w:spacing w:line="400" w:lineRule="exact"/>
        <w:jc w:val="center"/>
        <w:rPr>
          <w:rFonts w:hint="eastAsia" w:ascii="宋体" w:hAnsi="宋体"/>
          <w:color w:val="auto"/>
          <w:highlight w:val="none"/>
        </w:rPr>
      </w:pPr>
    </w:p>
    <w:p>
      <w:pPr>
        <w:snapToGrid w:val="0"/>
        <w:spacing w:line="400" w:lineRule="exact"/>
        <w:jc w:val="center"/>
        <w:rPr>
          <w:rFonts w:hint="eastAsia" w:ascii="宋体" w:hAnsi="宋体"/>
          <w:color w:val="auto"/>
          <w:highlight w:val="none"/>
        </w:rPr>
      </w:pPr>
    </w:p>
    <w:p>
      <w:pPr>
        <w:numPr>
          <w:ilvl w:val="0"/>
          <w:numId w:val="11"/>
        </w:numPr>
        <w:spacing w:line="360" w:lineRule="auto"/>
        <w:jc w:val="center"/>
        <w:outlineLvl w:val="1"/>
        <w:rPr>
          <w:rFonts w:ascii="宋体" w:hAnsi="宋体"/>
          <w:b/>
          <w:color w:val="auto"/>
          <w:sz w:val="28"/>
          <w:szCs w:val="28"/>
          <w:highlight w:val="none"/>
        </w:rPr>
      </w:pPr>
      <w:r>
        <w:rPr>
          <w:rFonts w:hint="eastAsia" w:ascii="宋体" w:hAnsi="宋体" w:cs="宋体"/>
          <w:b/>
          <w:color w:val="auto"/>
          <w:sz w:val="28"/>
          <w:szCs w:val="28"/>
          <w:highlight w:val="none"/>
        </w:rPr>
        <w:t>资格审查文件格式</w:t>
      </w:r>
    </w:p>
    <w:p>
      <w:pPr>
        <w:spacing w:line="360" w:lineRule="auto"/>
        <w:rPr>
          <w:rFonts w:hint="eastAsia" w:ascii="宋体" w:hAnsi="宋体"/>
          <w:b/>
          <w:color w:val="auto"/>
          <w:sz w:val="24"/>
          <w:szCs w:val="24"/>
          <w:highlight w:val="none"/>
        </w:rPr>
      </w:pPr>
    </w:p>
    <w:p>
      <w:pPr>
        <w:spacing w:line="360" w:lineRule="auto"/>
        <w:jc w:val="left"/>
        <w:rPr>
          <w:rFonts w:ascii="宋体" w:hAnsi="宋体" w:cs="RomanS"/>
          <w:b/>
          <w:color w:val="auto"/>
          <w:sz w:val="24"/>
          <w:szCs w:val="24"/>
          <w:highlight w:val="none"/>
        </w:rPr>
      </w:pPr>
      <w:r>
        <w:rPr>
          <w:rFonts w:ascii="宋体" w:hAnsi="宋体" w:cs="RomanS"/>
          <w:b/>
          <w:color w:val="auto"/>
          <w:sz w:val="24"/>
          <w:szCs w:val="24"/>
          <w:highlight w:val="none"/>
        </w:rPr>
        <w:t>1.</w:t>
      </w:r>
      <w:r>
        <w:rPr>
          <w:rFonts w:hint="eastAsia" w:ascii="宋体" w:hAnsi="宋体" w:cs="RomanS"/>
          <w:b/>
          <w:color w:val="auto"/>
          <w:sz w:val="24"/>
          <w:szCs w:val="24"/>
          <w:highlight w:val="none"/>
        </w:rPr>
        <w:t>资格审查文件的外包装封面格式：</w:t>
      </w:r>
    </w:p>
    <w:p>
      <w:pPr>
        <w:snapToGrid w:val="0"/>
        <w:spacing w:before="120" w:beforeLines="50" w:after="50" w:line="360" w:lineRule="auto"/>
        <w:ind w:firstLine="3675" w:firstLineChars="1750"/>
        <w:rPr>
          <w:rFonts w:ascii="宋体" w:hAnsi="宋体"/>
          <w:color w:val="auto"/>
          <w:highlight w:val="none"/>
        </w:rPr>
      </w:pPr>
      <w:r>
        <w:rPr>
          <w:rFonts w:hint="eastAsia" w:ascii="宋体" w:hAnsi="宋体" w:cs="宋体"/>
          <w:color w:val="auto"/>
          <w:highlight w:val="none"/>
        </w:rPr>
        <w:t>资格文件</w:t>
      </w: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cs="宋体"/>
          <w:color w:val="auto"/>
          <w:highlight w:val="none"/>
        </w:rPr>
        <w:t>项目名称：</w:t>
      </w:r>
      <w:r>
        <w:rPr>
          <w:rFonts w:ascii="宋体" w:hAnsi="宋体"/>
          <w:color w:val="auto"/>
          <w:highlight w:val="none"/>
        </w:rPr>
        <w:t xml:space="preserve">                        </w:t>
      </w:r>
    </w:p>
    <w:p>
      <w:pPr>
        <w:spacing w:line="360" w:lineRule="auto"/>
        <w:rPr>
          <w:rFonts w:ascii="宋体" w:hAnsi="宋体"/>
          <w:color w:val="auto"/>
          <w:highlight w:val="none"/>
        </w:rPr>
      </w:pPr>
      <w:r>
        <w:rPr>
          <w:rFonts w:hint="eastAsia" w:ascii="宋体" w:hAnsi="宋体" w:cs="宋体"/>
          <w:color w:val="auto"/>
          <w:highlight w:val="none"/>
        </w:rPr>
        <w:t>项目编号：</w:t>
      </w:r>
      <w:r>
        <w:rPr>
          <w:rFonts w:ascii="宋体" w:hAnsi="宋体"/>
          <w:color w:val="auto"/>
          <w:highlight w:val="none"/>
        </w:rPr>
        <w:t xml:space="preserve"> </w:t>
      </w:r>
    </w:p>
    <w:p>
      <w:pPr>
        <w:spacing w:line="360" w:lineRule="auto"/>
        <w:rPr>
          <w:rFonts w:ascii="宋体" w:hAnsi="宋体"/>
          <w:color w:val="auto"/>
          <w:highlight w:val="none"/>
        </w:rPr>
      </w:pPr>
      <w:r>
        <w:rPr>
          <w:rFonts w:hint="eastAsia" w:ascii="宋体" w:hAnsi="宋体" w:cs="宋体"/>
          <w:color w:val="auto"/>
          <w:highlight w:val="none"/>
        </w:rPr>
        <w:t>供应商名称：</w:t>
      </w:r>
    </w:p>
    <w:p>
      <w:pPr>
        <w:spacing w:line="360" w:lineRule="auto"/>
        <w:rPr>
          <w:rFonts w:ascii="宋体" w:hAnsi="宋体"/>
          <w:color w:val="auto"/>
          <w:highlight w:val="none"/>
        </w:rPr>
      </w:pPr>
      <w:r>
        <w:rPr>
          <w:rFonts w:hint="eastAsia" w:ascii="宋体" w:hAnsi="宋体" w:cs="宋体"/>
          <w:color w:val="auto"/>
          <w:highlight w:val="none"/>
        </w:rPr>
        <w:t>供应商地址：</w:t>
      </w:r>
    </w:p>
    <w:p>
      <w:pPr>
        <w:pStyle w:val="6"/>
        <w:snapToGrid w:val="0"/>
        <w:spacing w:before="50" w:after="50" w:line="360" w:lineRule="auto"/>
        <w:ind w:firstLine="1070" w:firstLineChars="444"/>
        <w:jc w:val="center"/>
        <w:rPr>
          <w:rFonts w:ascii="宋体" w:hAnsi="宋体"/>
          <w:color w:val="auto"/>
          <w:highlight w:val="none"/>
        </w:rPr>
      </w:pPr>
      <w:r>
        <w:rPr>
          <w:rFonts w:hint="eastAsia" w:ascii="宋体" w:hAnsi="宋体" w:cs="宋体"/>
          <w:color w:val="auto"/>
          <w:highlight w:val="none"/>
        </w:rPr>
        <w:t>开标时启封</w:t>
      </w:r>
    </w:p>
    <w:p>
      <w:pPr>
        <w:spacing w:line="360" w:lineRule="auto"/>
        <w:rPr>
          <w:rFonts w:ascii="宋体" w:hAnsi="宋体"/>
          <w:color w:val="auto"/>
          <w:highlight w:val="none"/>
        </w:rPr>
      </w:pPr>
      <w:r>
        <w:rPr>
          <w:rFonts w:ascii="宋体" w:hAnsi="宋体"/>
          <w:color w:val="auto"/>
          <w:highlight w:val="none"/>
        </w:rPr>
        <w:t xml:space="preserve">                                                    </w:t>
      </w:r>
      <w:r>
        <w:rPr>
          <w:rFonts w:hint="eastAsia" w:ascii="宋体" w:hAnsi="宋体" w:cs="宋体"/>
          <w:color w:val="auto"/>
          <w:highlight w:val="none"/>
        </w:rPr>
        <w:t>（供应商公章）</w:t>
      </w:r>
    </w:p>
    <w:p>
      <w:pPr>
        <w:spacing w:line="360" w:lineRule="auto"/>
        <w:rPr>
          <w:rFonts w:ascii="宋体" w:hAnsi="宋体"/>
          <w:color w:val="auto"/>
          <w:highlight w:val="none"/>
        </w:rPr>
      </w:pPr>
      <w:r>
        <w:rPr>
          <w:rFonts w:ascii="宋体" w:hAnsi="宋体"/>
          <w:color w:val="auto"/>
          <w:highlight w:val="none"/>
        </w:rPr>
        <w:t xml:space="preserve">                                                      </w:t>
      </w:r>
      <w:r>
        <w:rPr>
          <w:rFonts w:hint="eastAsia" w:ascii="宋体" w:hAnsi="宋体" w:cs="宋体"/>
          <w:color w:val="auto"/>
          <w:highlight w:val="none"/>
        </w:rPr>
        <w:t>年</w:t>
      </w:r>
      <w:r>
        <w:rPr>
          <w:rFonts w:ascii="宋体" w:hAnsi="宋体"/>
          <w:color w:val="auto"/>
          <w:highlight w:val="none"/>
        </w:rPr>
        <w:t xml:space="preserve">  </w:t>
      </w:r>
      <w:r>
        <w:rPr>
          <w:rFonts w:hint="eastAsia" w:ascii="宋体" w:hAnsi="宋体" w:cs="宋体"/>
          <w:color w:val="auto"/>
          <w:highlight w:val="none"/>
        </w:rPr>
        <w:t>月</w:t>
      </w:r>
      <w:r>
        <w:rPr>
          <w:rFonts w:ascii="宋体" w:hAnsi="宋体"/>
          <w:color w:val="auto"/>
          <w:highlight w:val="none"/>
        </w:rPr>
        <w:t xml:space="preserve">  </w:t>
      </w:r>
      <w:r>
        <w:rPr>
          <w:rFonts w:hint="eastAsia" w:ascii="宋体" w:hAnsi="宋体" w:cs="宋体"/>
          <w:color w:val="auto"/>
          <w:highlight w:val="none"/>
        </w:rPr>
        <w:t>日</w:t>
      </w:r>
    </w:p>
    <w:p>
      <w:pPr>
        <w:spacing w:line="360" w:lineRule="auto"/>
        <w:rPr>
          <w:rFonts w:ascii="宋体" w:hAnsi="宋体"/>
          <w:color w:val="auto"/>
          <w:highlight w:val="none"/>
        </w:rPr>
      </w:pPr>
    </w:p>
    <w:p>
      <w:pPr>
        <w:spacing w:line="360" w:lineRule="auto"/>
        <w:jc w:val="left"/>
        <w:rPr>
          <w:rFonts w:ascii="宋体" w:hAnsi="宋体" w:cs="RomanS"/>
          <w:b/>
          <w:color w:val="auto"/>
          <w:sz w:val="24"/>
          <w:szCs w:val="24"/>
          <w:highlight w:val="none"/>
        </w:rPr>
      </w:pPr>
      <w:r>
        <w:rPr>
          <w:rFonts w:ascii="宋体" w:hAnsi="宋体" w:cs="RomanS"/>
          <w:b/>
          <w:color w:val="auto"/>
          <w:sz w:val="24"/>
          <w:szCs w:val="24"/>
          <w:highlight w:val="none"/>
        </w:rPr>
        <w:t>2.</w:t>
      </w:r>
      <w:r>
        <w:rPr>
          <w:rFonts w:hint="eastAsia" w:ascii="宋体" w:hAnsi="宋体" w:cs="RomanS"/>
          <w:b/>
          <w:color w:val="auto"/>
          <w:sz w:val="24"/>
          <w:szCs w:val="24"/>
          <w:highlight w:val="none"/>
        </w:rPr>
        <w:t>资格审查文件封面格式：</w:t>
      </w:r>
      <w:r>
        <w:rPr>
          <w:rFonts w:ascii="宋体" w:hAnsi="宋体" w:cs="RomanS"/>
          <w:b/>
          <w:color w:val="auto"/>
          <w:sz w:val="24"/>
          <w:szCs w:val="24"/>
          <w:highlight w:val="none"/>
        </w:rPr>
        <w:t xml:space="preserve"> </w:t>
      </w:r>
    </w:p>
    <w:p>
      <w:pPr>
        <w:spacing w:line="360" w:lineRule="auto"/>
        <w:rPr>
          <w:rFonts w:ascii="宋体" w:hAnsi="宋体"/>
          <w:color w:val="auto"/>
          <w:highlight w:val="none"/>
        </w:rPr>
      </w:pPr>
      <w:r>
        <w:rPr>
          <w:rFonts w:ascii="宋体" w:hAnsi="宋体"/>
          <w:color w:val="auto"/>
          <w:highlight w:val="none"/>
        </w:rPr>
        <w:t xml:space="preserve">                                                        </w:t>
      </w:r>
      <w:r>
        <w:rPr>
          <w:rFonts w:hint="eastAsia" w:ascii="宋体" w:hAnsi="宋体" w:cs="宋体"/>
          <w:color w:val="auto"/>
          <w:highlight w:val="none"/>
        </w:rPr>
        <w:t>正本</w:t>
      </w:r>
      <w:r>
        <w:rPr>
          <w:rFonts w:ascii="宋体" w:hAnsi="宋体"/>
          <w:color w:val="auto"/>
          <w:highlight w:val="none"/>
        </w:rPr>
        <w:t>/</w:t>
      </w:r>
      <w:r>
        <w:rPr>
          <w:rFonts w:hint="eastAsia" w:ascii="宋体" w:hAnsi="宋体" w:cs="宋体"/>
          <w:color w:val="auto"/>
          <w:highlight w:val="none"/>
        </w:rPr>
        <w:t>或副本</w:t>
      </w:r>
    </w:p>
    <w:p>
      <w:pPr>
        <w:snapToGrid w:val="0"/>
        <w:spacing w:before="120" w:beforeLines="50" w:after="50" w:line="360" w:lineRule="auto"/>
        <w:ind w:firstLine="3675" w:firstLineChars="1750"/>
        <w:rPr>
          <w:rFonts w:ascii="宋体" w:hAnsi="宋体"/>
          <w:color w:val="auto"/>
          <w:highlight w:val="none"/>
        </w:rPr>
      </w:pPr>
      <w:r>
        <w:rPr>
          <w:rFonts w:hint="eastAsia" w:ascii="宋体" w:hAnsi="宋体" w:cs="宋体"/>
          <w:color w:val="auto"/>
          <w:highlight w:val="none"/>
        </w:rPr>
        <w:t>资格文件</w:t>
      </w:r>
    </w:p>
    <w:p>
      <w:pPr>
        <w:spacing w:line="360" w:lineRule="auto"/>
        <w:rPr>
          <w:rFonts w:ascii="宋体" w:hAnsi="宋体"/>
          <w:color w:val="auto"/>
          <w:highlight w:val="none"/>
        </w:rPr>
      </w:pPr>
      <w:r>
        <w:rPr>
          <w:rFonts w:hint="eastAsia" w:ascii="宋体" w:hAnsi="宋体" w:cs="宋体"/>
          <w:color w:val="auto"/>
          <w:highlight w:val="none"/>
        </w:rPr>
        <w:t>项目名称：</w:t>
      </w:r>
      <w:r>
        <w:rPr>
          <w:rFonts w:ascii="宋体" w:hAnsi="宋体"/>
          <w:color w:val="auto"/>
          <w:highlight w:val="none"/>
        </w:rPr>
        <w:t xml:space="preserve">                       </w:t>
      </w:r>
    </w:p>
    <w:p>
      <w:pPr>
        <w:spacing w:line="360" w:lineRule="auto"/>
        <w:rPr>
          <w:rFonts w:ascii="宋体" w:hAnsi="宋体"/>
          <w:color w:val="auto"/>
          <w:highlight w:val="none"/>
        </w:rPr>
      </w:pPr>
      <w:r>
        <w:rPr>
          <w:rFonts w:hint="eastAsia" w:ascii="宋体" w:hAnsi="宋体" w:cs="宋体"/>
          <w:color w:val="auto"/>
          <w:highlight w:val="none"/>
        </w:rPr>
        <w:t>项目编号：</w:t>
      </w:r>
      <w:r>
        <w:rPr>
          <w:rFonts w:ascii="宋体" w:hAnsi="宋体"/>
          <w:color w:val="auto"/>
          <w:highlight w:val="none"/>
        </w:rPr>
        <w:t xml:space="preserve"> </w:t>
      </w:r>
    </w:p>
    <w:p>
      <w:pPr>
        <w:spacing w:line="360" w:lineRule="auto"/>
        <w:rPr>
          <w:rFonts w:ascii="宋体" w:hAnsi="宋体"/>
          <w:color w:val="auto"/>
          <w:highlight w:val="none"/>
        </w:rPr>
      </w:pPr>
      <w:r>
        <w:rPr>
          <w:rFonts w:hint="eastAsia" w:ascii="宋体" w:hAnsi="宋体" w:cs="宋体"/>
          <w:color w:val="auto"/>
          <w:highlight w:val="none"/>
        </w:rPr>
        <w:t>供应商名称：</w:t>
      </w:r>
    </w:p>
    <w:p>
      <w:pPr>
        <w:spacing w:line="360" w:lineRule="auto"/>
        <w:rPr>
          <w:rFonts w:ascii="宋体" w:hAnsi="宋体"/>
          <w:color w:val="auto"/>
          <w:highlight w:val="none"/>
        </w:rPr>
      </w:pPr>
      <w:r>
        <w:rPr>
          <w:rFonts w:hint="eastAsia" w:ascii="宋体" w:hAnsi="宋体" w:cs="宋体"/>
          <w:color w:val="auto"/>
          <w:highlight w:val="none"/>
        </w:rPr>
        <w:t>供应商地址：</w:t>
      </w:r>
    </w:p>
    <w:p>
      <w:pPr>
        <w:spacing w:line="360" w:lineRule="auto"/>
        <w:ind w:firstLine="5355" w:firstLineChars="2550"/>
        <w:rPr>
          <w:rFonts w:ascii="宋体" w:hAnsi="宋体"/>
          <w:color w:val="auto"/>
          <w:highlight w:val="none"/>
        </w:rPr>
      </w:pPr>
      <w:r>
        <w:rPr>
          <w:rFonts w:hint="eastAsia" w:ascii="宋体" w:hAnsi="宋体" w:cs="宋体"/>
          <w:color w:val="auto"/>
          <w:highlight w:val="none"/>
        </w:rPr>
        <w:t>（供应商公章）</w:t>
      </w:r>
    </w:p>
    <w:p>
      <w:pPr>
        <w:spacing w:line="360" w:lineRule="auto"/>
        <w:rPr>
          <w:rFonts w:ascii="宋体" w:hAnsi="宋体" w:cs="RomanS"/>
          <w:b/>
          <w:color w:val="auto"/>
          <w:sz w:val="24"/>
          <w:szCs w:val="24"/>
          <w:highlight w:val="none"/>
        </w:rPr>
      </w:pPr>
      <w:r>
        <w:rPr>
          <w:rFonts w:ascii="宋体" w:hAnsi="宋体"/>
          <w:color w:val="auto"/>
          <w:highlight w:val="none"/>
        </w:rPr>
        <w:t xml:space="preserve">                                                       </w:t>
      </w:r>
      <w:r>
        <w:rPr>
          <w:rFonts w:hint="eastAsia" w:ascii="宋体" w:hAnsi="宋体" w:cs="宋体"/>
          <w:color w:val="auto"/>
          <w:highlight w:val="none"/>
        </w:rPr>
        <w:t>年</w:t>
      </w:r>
      <w:r>
        <w:rPr>
          <w:rFonts w:ascii="宋体" w:hAnsi="宋体"/>
          <w:color w:val="auto"/>
          <w:highlight w:val="none"/>
        </w:rPr>
        <w:t xml:space="preserve">  </w:t>
      </w:r>
      <w:r>
        <w:rPr>
          <w:rFonts w:hint="eastAsia" w:ascii="宋体" w:hAnsi="宋体" w:cs="宋体"/>
          <w:color w:val="auto"/>
          <w:highlight w:val="none"/>
        </w:rPr>
        <w:t>月</w:t>
      </w:r>
      <w:r>
        <w:rPr>
          <w:rFonts w:ascii="宋体" w:hAnsi="宋体"/>
          <w:color w:val="auto"/>
          <w:highlight w:val="none"/>
        </w:rPr>
        <w:t xml:space="preserve">  </w:t>
      </w:r>
      <w:r>
        <w:rPr>
          <w:rFonts w:hint="eastAsia" w:ascii="宋体" w:hAnsi="宋体" w:cs="宋体"/>
          <w:color w:val="auto"/>
          <w:highlight w:val="none"/>
        </w:rPr>
        <w:t>日</w:t>
      </w:r>
      <w:r>
        <w:rPr>
          <w:rFonts w:ascii="宋体" w:hAnsi="宋体"/>
          <w:color w:val="auto"/>
          <w:highlight w:val="none"/>
        </w:rPr>
        <w:br w:type="page"/>
      </w:r>
      <w:r>
        <w:rPr>
          <w:rFonts w:ascii="宋体" w:hAnsi="宋体" w:cs="RomanS"/>
          <w:b/>
          <w:color w:val="auto"/>
          <w:sz w:val="24"/>
          <w:szCs w:val="24"/>
          <w:highlight w:val="none"/>
        </w:rPr>
        <w:t>3.</w:t>
      </w:r>
      <w:r>
        <w:rPr>
          <w:rFonts w:hint="eastAsia" w:ascii="宋体" w:hAnsi="宋体" w:cs="RomanS"/>
          <w:b/>
          <w:color w:val="auto"/>
          <w:sz w:val="24"/>
          <w:szCs w:val="24"/>
          <w:highlight w:val="none"/>
        </w:rPr>
        <w:t>资格审查文件内容包括</w:t>
      </w:r>
    </w:p>
    <w:p>
      <w:pPr>
        <w:numPr>
          <w:ilvl w:val="0"/>
          <w:numId w:val="12"/>
        </w:numPr>
        <w:spacing w:line="360" w:lineRule="auto"/>
        <w:rPr>
          <w:rFonts w:ascii="宋体" w:hAnsi="宋体"/>
          <w:color w:val="auto"/>
          <w:highlight w:val="none"/>
        </w:rPr>
      </w:pPr>
      <w:r>
        <w:rPr>
          <w:rFonts w:hint="eastAsia" w:ascii="宋体" w:hAnsi="宋体" w:cs="宋体"/>
          <w:color w:val="auto"/>
          <w:highlight w:val="none"/>
        </w:rPr>
        <w:t>资格条件自查表（格式附后）；</w:t>
      </w:r>
    </w:p>
    <w:p>
      <w:pPr>
        <w:numPr>
          <w:ilvl w:val="0"/>
          <w:numId w:val="12"/>
        </w:numPr>
        <w:spacing w:line="360" w:lineRule="auto"/>
        <w:rPr>
          <w:rFonts w:ascii="宋体" w:hAnsi="宋体"/>
          <w:color w:val="auto"/>
          <w:highlight w:val="none"/>
        </w:rPr>
      </w:pPr>
      <w:r>
        <w:rPr>
          <w:rFonts w:hint="eastAsia" w:ascii="宋体" w:hAnsi="宋体" w:cs="宋体"/>
          <w:color w:val="auto"/>
          <w:highlight w:val="none"/>
        </w:rPr>
        <w:t>投标声明书（格式附后）；</w:t>
      </w:r>
    </w:p>
    <w:p>
      <w:pPr>
        <w:numPr>
          <w:ilvl w:val="0"/>
          <w:numId w:val="12"/>
        </w:numPr>
        <w:spacing w:line="360" w:lineRule="auto"/>
        <w:rPr>
          <w:rFonts w:ascii="宋体" w:hAnsi="宋体"/>
          <w:color w:val="auto"/>
          <w:highlight w:val="none"/>
        </w:rPr>
      </w:pPr>
      <w:r>
        <w:rPr>
          <w:rFonts w:hint="eastAsia" w:ascii="宋体" w:hAnsi="宋体" w:eastAsia="宋体" w:cs="宋体"/>
          <w:color w:val="auto"/>
          <w:highlight w:val="none"/>
        </w:rPr>
        <w:t>合格</w:t>
      </w:r>
      <w:r>
        <w:rPr>
          <w:rFonts w:hint="eastAsia" w:ascii="宋体" w:hAnsi="宋体" w:cs="宋体"/>
          <w:i w:val="0"/>
          <w:color w:val="auto"/>
          <w:sz w:val="21"/>
          <w:szCs w:val="21"/>
          <w:highlight w:val="none"/>
          <w:lang w:val="en-US" w:eastAsia="zh-CN"/>
        </w:rPr>
        <w:t>供应商</w:t>
      </w:r>
      <w:r>
        <w:rPr>
          <w:rFonts w:hint="eastAsia" w:ascii="宋体" w:hAnsi="宋体" w:eastAsia="宋体" w:cs="宋体"/>
          <w:color w:val="auto"/>
          <w:highlight w:val="none"/>
        </w:rPr>
        <w:t>的承诺函</w:t>
      </w:r>
      <w:r>
        <w:rPr>
          <w:rFonts w:hint="eastAsia" w:ascii="宋体" w:hAnsi="宋体" w:cs="宋体"/>
          <w:color w:val="auto"/>
          <w:highlight w:val="none"/>
        </w:rPr>
        <w:t>（格式附后）</w:t>
      </w:r>
      <w:r>
        <w:rPr>
          <w:rFonts w:hint="eastAsia" w:ascii="宋体" w:hAnsi="宋体" w:cs="宋体"/>
          <w:color w:val="auto"/>
          <w:highlight w:val="none"/>
          <w:lang w:eastAsia="zh-CN"/>
        </w:rPr>
        <w:t>；</w:t>
      </w:r>
    </w:p>
    <w:p>
      <w:pPr>
        <w:numPr>
          <w:ilvl w:val="0"/>
          <w:numId w:val="12"/>
        </w:numPr>
        <w:spacing w:line="360" w:lineRule="auto"/>
        <w:rPr>
          <w:rFonts w:ascii="宋体" w:hAnsi="宋体"/>
          <w:color w:val="auto"/>
          <w:highlight w:val="none"/>
        </w:rPr>
      </w:pPr>
      <w:r>
        <w:rPr>
          <w:rFonts w:hint="eastAsia" w:ascii="Times New Roman" w:hAnsi="Times New Roman" w:eastAsia="宋体" w:cs="宋体"/>
          <w:color w:val="auto"/>
          <w:szCs w:val="21"/>
          <w:highlight w:val="none"/>
        </w:rPr>
        <w:t>中小企业声明函（格式见附件）</w:t>
      </w:r>
      <w:r>
        <w:rPr>
          <w:rFonts w:hint="eastAsia" w:cs="宋体"/>
          <w:color w:val="auto"/>
          <w:szCs w:val="21"/>
          <w:highlight w:val="none"/>
          <w:lang w:eastAsia="zh-CN"/>
        </w:rPr>
        <w:t>；</w:t>
      </w:r>
    </w:p>
    <w:p>
      <w:pPr>
        <w:numPr>
          <w:ilvl w:val="0"/>
          <w:numId w:val="12"/>
        </w:numPr>
        <w:spacing w:line="360" w:lineRule="auto"/>
        <w:rPr>
          <w:rFonts w:ascii="宋体" w:hAnsi="宋体"/>
          <w:color w:val="auto"/>
          <w:highlight w:val="none"/>
        </w:rPr>
      </w:pPr>
      <w:r>
        <w:rPr>
          <w:rFonts w:hint="eastAsia" w:ascii="Times New Roman" w:hAnsi="Times New Roman" w:eastAsia="宋体" w:cs="宋体"/>
          <w:color w:val="auto"/>
          <w:szCs w:val="21"/>
          <w:highlight w:val="none"/>
        </w:rPr>
        <w:t>残疾人福利单位声明函（如有，格式见附件）</w:t>
      </w:r>
      <w:r>
        <w:rPr>
          <w:rFonts w:hint="eastAsia" w:cs="宋体"/>
          <w:color w:val="auto"/>
          <w:szCs w:val="21"/>
          <w:highlight w:val="none"/>
          <w:lang w:eastAsia="zh-CN"/>
        </w:rPr>
        <w:t>；</w:t>
      </w:r>
    </w:p>
    <w:p>
      <w:pPr>
        <w:spacing w:line="360" w:lineRule="auto"/>
        <w:ind w:left="403"/>
        <w:rPr>
          <w:rFonts w:hint="eastAsia" w:ascii="宋体" w:hAnsi="宋体" w:eastAsia="宋体"/>
          <w:color w:val="auto"/>
          <w:highlight w:val="none"/>
          <w:lang w:eastAsia="zh-CN"/>
        </w:rPr>
      </w:pPr>
      <w:r>
        <w:rPr>
          <w:rFonts w:hint="eastAsia" w:ascii="宋体" w:hAnsi="宋体"/>
          <w:color w:val="auto"/>
          <w:highlight w:val="none"/>
          <w:lang w:val="en-US" w:eastAsia="zh-CN"/>
        </w:rPr>
        <w:t>6</w:t>
      </w:r>
      <w:r>
        <w:rPr>
          <w:rFonts w:hint="eastAsia" w:ascii="宋体" w:hAnsi="宋体" w:cs="宋体"/>
          <w:color w:val="auto"/>
          <w:highlight w:val="none"/>
        </w:rPr>
        <w:t>、采购文件要求的其他资格条件证明材料（如有）</w:t>
      </w:r>
      <w:r>
        <w:rPr>
          <w:rFonts w:hint="eastAsia" w:ascii="宋体" w:hAnsi="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ascii="宋体" w:hAnsi="宋体" w:cs="RomanS"/>
          <w:b/>
          <w:color w:val="auto"/>
          <w:sz w:val="24"/>
          <w:szCs w:val="24"/>
          <w:highlight w:val="none"/>
        </w:rPr>
      </w:pPr>
      <w:r>
        <w:rPr>
          <w:rFonts w:ascii="宋体" w:hAnsi="宋体"/>
          <w:b/>
          <w:bCs/>
          <w:color w:val="auto"/>
          <w:highlight w:val="none"/>
        </w:rPr>
        <w:br w:type="page"/>
      </w:r>
      <w:r>
        <w:rPr>
          <w:rFonts w:ascii="宋体" w:hAnsi="宋体" w:cs="RomanS"/>
          <w:b/>
          <w:color w:val="auto"/>
          <w:sz w:val="24"/>
          <w:szCs w:val="24"/>
          <w:highlight w:val="none"/>
        </w:rPr>
        <w:t>1</w:t>
      </w:r>
      <w:r>
        <w:rPr>
          <w:rFonts w:hint="eastAsia" w:ascii="宋体" w:hAnsi="宋体" w:cs="RomanS"/>
          <w:b/>
          <w:color w:val="auto"/>
          <w:sz w:val="24"/>
          <w:szCs w:val="24"/>
          <w:highlight w:val="none"/>
        </w:rPr>
        <w:t>、资格条件自查表</w:t>
      </w:r>
    </w:p>
    <w:p>
      <w:pPr>
        <w:adjustRightInd w:val="0"/>
        <w:snapToGrid w:val="0"/>
        <w:spacing w:line="360" w:lineRule="auto"/>
        <w:jc w:val="center"/>
        <w:rPr>
          <w:rFonts w:ascii="宋体" w:hAnsi="宋体"/>
          <w:b/>
          <w:bCs/>
          <w:color w:val="auto"/>
          <w:sz w:val="24"/>
          <w:szCs w:val="24"/>
          <w:highlight w:val="none"/>
        </w:rPr>
      </w:pPr>
      <w:r>
        <w:rPr>
          <w:rFonts w:hint="eastAsia" w:ascii="宋体" w:hAnsi="宋体" w:cs="宋体"/>
          <w:b/>
          <w:bCs/>
          <w:color w:val="auto"/>
          <w:sz w:val="24"/>
          <w:szCs w:val="24"/>
          <w:highlight w:val="none"/>
        </w:rPr>
        <w:t>资格条件自查表</w:t>
      </w:r>
    </w:p>
    <w:tbl>
      <w:tblPr>
        <w:tblStyle w:val="49"/>
        <w:tblW w:w="9118"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48"/>
        <w:gridCol w:w="4309"/>
        <w:gridCol w:w="1296"/>
        <w:gridCol w:w="266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4" w:hRule="atLeast"/>
          <w:jc w:val="center"/>
        </w:trPr>
        <w:tc>
          <w:tcPr>
            <w:tcW w:w="848" w:type="dxa"/>
            <w:tcBorders>
              <w:top w:val="single" w:color="auto" w:sz="12" w:space="0"/>
              <w:left w:val="single" w:color="auto" w:sz="12" w:space="0"/>
              <w:bottom w:val="outset" w:color="111111" w:sz="6" w:space="0"/>
              <w:right w:val="outset" w:color="111111" w:sz="6" w:space="0"/>
            </w:tcBorders>
            <w:vAlign w:val="center"/>
          </w:tcPr>
          <w:p>
            <w:pPr>
              <w:adjustRightInd w:val="0"/>
              <w:snapToGrid w:val="0"/>
              <w:spacing w:line="360" w:lineRule="auto"/>
              <w:jc w:val="center"/>
              <w:rPr>
                <w:rFonts w:ascii="宋体" w:hAnsi="宋体"/>
                <w:color w:val="auto"/>
                <w:highlight w:val="none"/>
              </w:rPr>
            </w:pPr>
            <w:r>
              <w:rPr>
                <w:rStyle w:val="52"/>
                <w:rFonts w:hint="eastAsia" w:ascii="宋体" w:hAnsi="宋体" w:cs="宋体"/>
                <w:color w:val="auto"/>
                <w:highlight w:val="none"/>
              </w:rPr>
              <w:t>评审内容</w:t>
            </w:r>
          </w:p>
        </w:tc>
        <w:tc>
          <w:tcPr>
            <w:tcW w:w="4309" w:type="dxa"/>
            <w:tcBorders>
              <w:top w:val="single" w:color="auto" w:sz="12" w:space="0"/>
              <w:left w:val="outset" w:color="111111" w:sz="6" w:space="0"/>
              <w:bottom w:val="outset" w:color="111111" w:sz="6" w:space="0"/>
              <w:right w:val="outset" w:color="111111" w:sz="6" w:space="0"/>
            </w:tcBorders>
            <w:vAlign w:val="center"/>
          </w:tcPr>
          <w:p>
            <w:pPr>
              <w:adjustRightInd w:val="0"/>
              <w:snapToGrid w:val="0"/>
              <w:spacing w:line="360" w:lineRule="auto"/>
              <w:jc w:val="center"/>
              <w:rPr>
                <w:rFonts w:ascii="宋体" w:hAnsi="宋体"/>
                <w:color w:val="auto"/>
                <w:highlight w:val="none"/>
              </w:rPr>
            </w:pPr>
            <w:r>
              <w:rPr>
                <w:rStyle w:val="52"/>
                <w:rFonts w:hint="eastAsia" w:ascii="宋体" w:hAnsi="宋体" w:cs="宋体"/>
                <w:color w:val="auto"/>
                <w:highlight w:val="none"/>
              </w:rPr>
              <w:t>采购文件要求</w:t>
            </w:r>
          </w:p>
        </w:tc>
        <w:tc>
          <w:tcPr>
            <w:tcW w:w="1296" w:type="dxa"/>
            <w:tcBorders>
              <w:top w:val="single" w:color="auto" w:sz="12" w:space="0"/>
              <w:left w:val="outset" w:color="111111" w:sz="6" w:space="0"/>
              <w:bottom w:val="outset" w:color="111111" w:sz="6" w:space="0"/>
              <w:right w:val="outset" w:color="111111" w:sz="6" w:space="0"/>
            </w:tcBorders>
            <w:vAlign w:val="center"/>
          </w:tcPr>
          <w:p>
            <w:pPr>
              <w:adjustRightInd w:val="0"/>
              <w:snapToGrid w:val="0"/>
              <w:spacing w:line="360" w:lineRule="auto"/>
              <w:jc w:val="center"/>
              <w:rPr>
                <w:rFonts w:ascii="宋体" w:hAnsi="宋体"/>
                <w:color w:val="auto"/>
                <w:highlight w:val="none"/>
              </w:rPr>
            </w:pPr>
            <w:r>
              <w:rPr>
                <w:rStyle w:val="52"/>
                <w:rFonts w:hint="eastAsia" w:ascii="宋体" w:hAnsi="宋体" w:cs="宋体"/>
                <w:color w:val="auto"/>
                <w:highlight w:val="none"/>
              </w:rPr>
              <w:t>自查结论</w:t>
            </w:r>
          </w:p>
        </w:tc>
        <w:tc>
          <w:tcPr>
            <w:tcW w:w="2665" w:type="dxa"/>
            <w:tcBorders>
              <w:top w:val="single" w:color="auto" w:sz="12" w:space="0"/>
              <w:left w:val="outset" w:color="111111" w:sz="6" w:space="0"/>
              <w:bottom w:val="outset" w:color="111111" w:sz="6" w:space="0"/>
              <w:right w:val="single" w:color="auto" w:sz="12" w:space="0"/>
            </w:tcBorders>
            <w:vAlign w:val="center"/>
          </w:tcPr>
          <w:p>
            <w:pPr>
              <w:adjustRightInd w:val="0"/>
              <w:snapToGrid w:val="0"/>
              <w:spacing w:line="360" w:lineRule="auto"/>
              <w:jc w:val="center"/>
              <w:rPr>
                <w:rFonts w:ascii="宋体" w:hAnsi="宋体"/>
                <w:color w:val="auto"/>
                <w:highlight w:val="none"/>
              </w:rPr>
            </w:pPr>
            <w:r>
              <w:rPr>
                <w:rStyle w:val="52"/>
                <w:rFonts w:hint="eastAsia" w:ascii="宋体" w:hAnsi="宋体" w:cs="宋体"/>
                <w:color w:val="auto"/>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4" w:hRule="atLeast"/>
          <w:jc w:val="center"/>
        </w:trPr>
        <w:tc>
          <w:tcPr>
            <w:tcW w:w="848" w:type="dxa"/>
            <w:vMerge w:val="restart"/>
            <w:tcBorders>
              <w:top w:val="outset" w:color="111111" w:sz="6" w:space="0"/>
              <w:left w:val="single" w:color="auto" w:sz="12" w:space="0"/>
              <w:right w:val="outset" w:color="111111" w:sz="6" w:space="0"/>
            </w:tcBorders>
            <w:vAlign w:val="center"/>
          </w:tcPr>
          <w:p>
            <w:pPr>
              <w:pStyle w:val="259"/>
              <w:adjustRightInd w:val="0"/>
              <w:snapToGrid w:val="0"/>
              <w:spacing w:before="0" w:beforeAutospacing="0" w:after="0" w:afterAutospacing="0" w:line="360" w:lineRule="auto"/>
              <w:jc w:val="center"/>
              <w:rPr>
                <w:rFonts w:cs="Times New Roman"/>
                <w:b/>
                <w:bCs/>
                <w:color w:val="auto"/>
                <w:sz w:val="21"/>
                <w:szCs w:val="21"/>
                <w:highlight w:val="none"/>
              </w:rPr>
            </w:pPr>
            <w:r>
              <w:rPr>
                <w:rFonts w:hint="eastAsia"/>
                <w:b/>
                <w:bCs/>
                <w:color w:val="auto"/>
                <w:sz w:val="21"/>
                <w:szCs w:val="21"/>
                <w:highlight w:val="none"/>
              </w:rPr>
              <w:t>资</w:t>
            </w:r>
          </w:p>
          <w:p>
            <w:pPr>
              <w:pStyle w:val="259"/>
              <w:adjustRightInd w:val="0"/>
              <w:snapToGrid w:val="0"/>
              <w:spacing w:before="0" w:beforeAutospacing="0" w:after="0" w:afterAutospacing="0" w:line="360" w:lineRule="auto"/>
              <w:jc w:val="center"/>
              <w:rPr>
                <w:rFonts w:cs="Times New Roman"/>
                <w:b/>
                <w:bCs/>
                <w:color w:val="auto"/>
                <w:sz w:val="21"/>
                <w:szCs w:val="21"/>
                <w:highlight w:val="none"/>
              </w:rPr>
            </w:pPr>
            <w:r>
              <w:rPr>
                <w:rFonts w:hint="eastAsia"/>
                <w:b/>
                <w:bCs/>
                <w:color w:val="auto"/>
                <w:sz w:val="21"/>
                <w:szCs w:val="21"/>
                <w:highlight w:val="none"/>
              </w:rPr>
              <w:t>格</w:t>
            </w:r>
          </w:p>
          <w:p>
            <w:pPr>
              <w:pStyle w:val="259"/>
              <w:adjustRightInd w:val="0"/>
              <w:snapToGrid w:val="0"/>
              <w:spacing w:before="0" w:beforeAutospacing="0" w:after="0" w:afterAutospacing="0" w:line="360" w:lineRule="auto"/>
              <w:jc w:val="center"/>
              <w:rPr>
                <w:rFonts w:cs="Times New Roman"/>
                <w:b/>
                <w:bCs/>
                <w:color w:val="auto"/>
                <w:sz w:val="21"/>
                <w:szCs w:val="21"/>
                <w:highlight w:val="none"/>
              </w:rPr>
            </w:pPr>
            <w:r>
              <w:rPr>
                <w:rFonts w:hint="eastAsia"/>
                <w:b/>
                <w:bCs/>
                <w:color w:val="auto"/>
                <w:sz w:val="21"/>
                <w:szCs w:val="21"/>
                <w:highlight w:val="none"/>
              </w:rPr>
              <w:t>性</w:t>
            </w:r>
          </w:p>
          <w:p>
            <w:pPr>
              <w:pStyle w:val="259"/>
              <w:adjustRightInd w:val="0"/>
              <w:snapToGrid w:val="0"/>
              <w:spacing w:before="0" w:beforeAutospacing="0" w:after="0" w:afterAutospacing="0" w:line="360" w:lineRule="auto"/>
              <w:jc w:val="center"/>
              <w:rPr>
                <w:rFonts w:cs="Times New Roman"/>
                <w:b/>
                <w:bCs/>
                <w:color w:val="auto"/>
                <w:sz w:val="21"/>
                <w:szCs w:val="21"/>
                <w:highlight w:val="none"/>
              </w:rPr>
            </w:pPr>
            <w:r>
              <w:rPr>
                <w:rFonts w:hint="eastAsia"/>
                <w:b/>
                <w:bCs/>
                <w:color w:val="auto"/>
                <w:sz w:val="21"/>
                <w:szCs w:val="21"/>
                <w:highlight w:val="none"/>
              </w:rPr>
              <w:t>审</w:t>
            </w:r>
          </w:p>
          <w:p>
            <w:pPr>
              <w:pStyle w:val="259"/>
              <w:adjustRightInd w:val="0"/>
              <w:snapToGrid w:val="0"/>
              <w:spacing w:before="0" w:beforeAutospacing="0" w:after="0" w:afterAutospacing="0" w:line="360" w:lineRule="auto"/>
              <w:jc w:val="center"/>
              <w:rPr>
                <w:rFonts w:cs="Times New Roman"/>
                <w:b/>
                <w:bCs/>
                <w:color w:val="auto"/>
                <w:sz w:val="21"/>
                <w:szCs w:val="21"/>
                <w:highlight w:val="none"/>
              </w:rPr>
            </w:pPr>
            <w:r>
              <w:rPr>
                <w:rFonts w:hint="eastAsia"/>
                <w:b/>
                <w:bCs/>
                <w:color w:val="auto"/>
                <w:sz w:val="21"/>
                <w:szCs w:val="21"/>
                <w:highlight w:val="none"/>
              </w:rPr>
              <w:t>查</w:t>
            </w:r>
          </w:p>
        </w:tc>
        <w:tc>
          <w:tcPr>
            <w:tcW w:w="4309" w:type="dxa"/>
            <w:tcBorders>
              <w:top w:val="outset" w:color="111111" w:sz="6" w:space="0"/>
              <w:left w:val="outset" w:color="111111" w:sz="6" w:space="0"/>
              <w:bottom w:val="single" w:color="auto" w:sz="4" w:space="0"/>
              <w:right w:val="outset" w:color="111111"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highlight w:val="none"/>
              </w:rPr>
            </w:pPr>
            <w:r>
              <w:rPr>
                <w:rFonts w:hint="eastAsia" w:ascii="宋体" w:hAnsi="宋体" w:cs="宋体"/>
                <w:color w:val="auto"/>
                <w:highlight w:val="none"/>
              </w:rPr>
              <w:t>一</w:t>
            </w:r>
            <w:r>
              <w:rPr>
                <w:rFonts w:ascii="宋体" w:hAnsi="宋体" w:cs="宋体"/>
                <w:color w:val="auto"/>
                <w:highlight w:val="none"/>
              </w:rPr>
              <w:t>.</w:t>
            </w:r>
            <w:r>
              <w:rPr>
                <w:rFonts w:hint="eastAsia" w:ascii="宋体" w:hAnsi="宋体" w:cs="宋体"/>
                <w:color w:val="auto"/>
                <w:highlight w:val="none"/>
              </w:rPr>
              <w:t>供应商具备《政府采购法》第二十二条所规定的条件：</w:t>
            </w:r>
          </w:p>
        </w:tc>
        <w:tc>
          <w:tcPr>
            <w:tcW w:w="1296" w:type="dxa"/>
            <w:tcBorders>
              <w:top w:val="outset" w:color="111111" w:sz="6" w:space="0"/>
              <w:left w:val="outset" w:color="111111" w:sz="6" w:space="0"/>
              <w:right w:val="outset" w:color="111111" w:sz="6"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□通过</w:t>
            </w:r>
            <w:r>
              <w:rPr>
                <w:rFonts w:ascii="宋体" w:hAnsi="宋体" w:cs="宋体"/>
                <w:color w:val="auto"/>
                <w:highlight w:val="none"/>
              </w:rPr>
              <w:t xml:space="preserve"> </w:t>
            </w:r>
          </w:p>
          <w:p>
            <w:pPr>
              <w:adjustRightInd w:val="0"/>
              <w:snapToGrid w:val="0"/>
              <w:spacing w:line="360" w:lineRule="auto"/>
              <w:rPr>
                <w:rFonts w:ascii="宋体" w:hAnsi="宋体"/>
                <w:color w:val="auto"/>
                <w:highlight w:val="none"/>
              </w:rPr>
            </w:pPr>
            <w:r>
              <w:rPr>
                <w:rFonts w:hint="eastAsia" w:ascii="宋体" w:hAnsi="宋体" w:cs="宋体"/>
                <w:color w:val="auto"/>
                <w:highlight w:val="none"/>
              </w:rPr>
              <w:t>□不通过</w:t>
            </w:r>
          </w:p>
        </w:tc>
        <w:tc>
          <w:tcPr>
            <w:tcW w:w="2665" w:type="dxa"/>
            <w:tcBorders>
              <w:top w:val="outset" w:color="111111" w:sz="6" w:space="0"/>
              <w:left w:val="outset" w:color="111111" w:sz="6" w:space="0"/>
              <w:bottom w:val="single" w:color="auto" w:sz="4" w:space="0"/>
              <w:right w:val="single" w:color="auto" w:sz="12" w:space="0"/>
            </w:tcBorders>
            <w:vAlign w:val="center"/>
          </w:tcPr>
          <w:p>
            <w:pPr>
              <w:adjustRightInd w:val="0"/>
              <w:snapToGrid w:val="0"/>
              <w:spacing w:line="360" w:lineRule="auto"/>
              <w:jc w:val="center"/>
              <w:rPr>
                <w:rFonts w:ascii="宋体" w:hAnsi="宋体"/>
                <w:color w:val="auto"/>
                <w:highlight w:val="none"/>
              </w:rPr>
            </w:pPr>
            <w:r>
              <w:rPr>
                <w:rFonts w:hint="eastAsia" w:ascii="宋体" w:hAnsi="宋体" w:cs="宋体"/>
                <w:color w:val="auto"/>
                <w:highlight w:val="none"/>
              </w:rPr>
              <w:t>第（</w:t>
            </w:r>
            <w:r>
              <w:rPr>
                <w:rFonts w:ascii="宋体" w:hAnsi="宋体" w:cs="宋体"/>
                <w:color w:val="auto"/>
                <w:highlight w:val="none"/>
              </w:rPr>
              <w:t xml:space="preserve"> </w:t>
            </w:r>
            <w:r>
              <w:rPr>
                <w:rFonts w:hint="eastAsia" w:ascii="宋体" w:hAnsi="宋体" w:cs="宋体"/>
                <w:color w:val="auto"/>
                <w:highlight w:val="none"/>
              </w:rPr>
              <w:t>）页</w:t>
            </w:r>
            <w:r>
              <w:rPr>
                <w:rFonts w:ascii="宋体" w:hAnsi="宋体" w:cs="宋体"/>
                <w:color w:val="auto"/>
                <w:highlight w:val="none"/>
              </w:rPr>
              <w:t>-</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4" w:hRule="atLeast"/>
          <w:jc w:val="center"/>
        </w:trPr>
        <w:tc>
          <w:tcPr>
            <w:tcW w:w="848" w:type="dxa"/>
            <w:vMerge w:val="continue"/>
            <w:tcBorders>
              <w:left w:val="single" w:color="auto" w:sz="12" w:space="0"/>
              <w:right w:val="outset" w:color="111111" w:sz="6" w:space="0"/>
            </w:tcBorders>
            <w:vAlign w:val="center"/>
          </w:tcPr>
          <w:p>
            <w:pPr>
              <w:adjustRightInd w:val="0"/>
              <w:snapToGrid w:val="0"/>
              <w:spacing w:line="360" w:lineRule="auto"/>
              <w:rPr>
                <w:rFonts w:ascii="宋体" w:hAnsi="宋体"/>
                <w:color w:val="auto"/>
                <w:highlight w:val="none"/>
              </w:rPr>
            </w:pPr>
          </w:p>
        </w:tc>
        <w:tc>
          <w:tcPr>
            <w:tcW w:w="4309"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w:t>
            </w:r>
            <w:r>
              <w:rPr>
                <w:rFonts w:hint="eastAsia" w:ascii="宋体" w:hAnsi="宋体" w:cs="宋体"/>
                <w:color w:val="auto"/>
                <w:highlight w:val="none"/>
              </w:rPr>
              <w:t>本项目不接受联合体投标。</w:t>
            </w:r>
          </w:p>
        </w:tc>
        <w:tc>
          <w:tcPr>
            <w:tcW w:w="1296"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□通过</w:t>
            </w:r>
          </w:p>
          <w:p>
            <w:pPr>
              <w:adjustRightInd w:val="0"/>
              <w:snapToGrid w:val="0"/>
              <w:spacing w:line="360" w:lineRule="auto"/>
              <w:rPr>
                <w:rFonts w:ascii="宋体" w:hAnsi="宋体"/>
                <w:color w:val="auto"/>
                <w:highlight w:val="none"/>
              </w:rPr>
            </w:pPr>
            <w:r>
              <w:rPr>
                <w:rFonts w:hint="eastAsia" w:ascii="宋体" w:hAnsi="宋体" w:cs="宋体"/>
                <w:color w:val="auto"/>
                <w:highlight w:val="none"/>
              </w:rPr>
              <w:t>□不通过</w:t>
            </w:r>
          </w:p>
        </w:tc>
        <w:tc>
          <w:tcPr>
            <w:tcW w:w="2665"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jc w:val="center"/>
              <w:rPr>
                <w:rFonts w:ascii="宋体" w:hAnsi="宋体"/>
                <w:color w:val="auto"/>
                <w:highlight w:val="none"/>
              </w:rPr>
            </w:pPr>
            <w:r>
              <w:rPr>
                <w:rFonts w:hint="eastAsia" w:ascii="宋体" w:hAnsi="宋体" w:cs="宋体"/>
                <w:color w:val="auto"/>
                <w:highlight w:val="none"/>
              </w:rPr>
              <w:t>第（</w:t>
            </w:r>
            <w:r>
              <w:rPr>
                <w:rFonts w:ascii="宋体" w:hAnsi="宋体" w:cs="宋体"/>
                <w:color w:val="auto"/>
                <w:highlight w:val="none"/>
              </w:rPr>
              <w:t xml:space="preserve"> </w:t>
            </w:r>
            <w:r>
              <w:rPr>
                <w:rFonts w:hint="eastAsia" w:ascii="宋体" w:hAnsi="宋体" w:cs="宋体"/>
                <w:color w:val="auto"/>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4" w:hRule="atLeast"/>
          <w:jc w:val="center"/>
        </w:trPr>
        <w:tc>
          <w:tcPr>
            <w:tcW w:w="848" w:type="dxa"/>
            <w:vMerge w:val="continue"/>
            <w:tcBorders>
              <w:left w:val="single" w:color="auto" w:sz="12" w:space="0"/>
              <w:right w:val="outset" w:color="111111" w:sz="6" w:space="0"/>
            </w:tcBorders>
            <w:vAlign w:val="center"/>
          </w:tcPr>
          <w:p>
            <w:pPr>
              <w:adjustRightInd w:val="0"/>
              <w:snapToGrid w:val="0"/>
              <w:spacing w:line="360" w:lineRule="auto"/>
              <w:rPr>
                <w:rFonts w:ascii="宋体" w:hAnsi="宋体"/>
                <w:color w:val="auto"/>
                <w:highlight w:val="none"/>
              </w:rPr>
            </w:pPr>
          </w:p>
        </w:tc>
        <w:tc>
          <w:tcPr>
            <w:tcW w:w="4309" w:type="dxa"/>
            <w:tcBorders>
              <w:top w:val="outset" w:color="111111" w:sz="6" w:space="0"/>
              <w:left w:val="outset" w:color="111111" w:sz="6" w:space="0"/>
              <w:bottom w:val="outset" w:color="111111" w:sz="6" w:space="0"/>
              <w:right w:val="outset" w:color="111111" w:sz="6"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highlight w:val="none"/>
              </w:rPr>
            </w:pPr>
            <w:r>
              <w:rPr>
                <w:rFonts w:hint="eastAsia" w:ascii="宋体" w:hAnsi="宋体" w:cs="宋体"/>
                <w:color w:val="auto"/>
                <w:highlight w:val="none"/>
                <w:lang w:val="en-US" w:eastAsia="zh-CN"/>
              </w:rPr>
              <w:t>三</w:t>
            </w:r>
            <w:r>
              <w:rPr>
                <w:rFonts w:ascii="宋体" w:hAnsi="宋体" w:cs="宋体"/>
                <w:color w:val="auto"/>
                <w:highlight w:val="none"/>
              </w:rPr>
              <w:t>.</w:t>
            </w:r>
            <w:r>
              <w:rPr>
                <w:rFonts w:hint="eastAsia" w:ascii="宋体" w:hAnsi="宋体" w:cs="宋体"/>
                <w:color w:val="auto"/>
                <w:highlight w:val="none"/>
              </w:rPr>
              <w:t>供应商未被列入“信用中国”网站</w:t>
            </w:r>
            <w:r>
              <w:rPr>
                <w:rFonts w:ascii="宋体" w:hAnsi="宋体" w:cs="宋体"/>
                <w:color w:val="auto"/>
                <w:highlight w:val="none"/>
              </w:rPr>
              <w:t>(www.creditchina.gov.cn)</w:t>
            </w:r>
            <w:r>
              <w:rPr>
                <w:rFonts w:hint="eastAsia" w:ascii="宋体" w:hAnsi="宋体" w:cs="宋体"/>
                <w:color w:val="auto"/>
                <w:highlight w:val="none"/>
              </w:rPr>
              <w:t>“记录失信被执行人或重大税收违法案件当事人名单或政府采购严重违法失信行为”记录名单；不处于中国政府采购网</w:t>
            </w:r>
            <w:r>
              <w:rPr>
                <w:rFonts w:ascii="宋体" w:hAnsi="宋体" w:cs="宋体"/>
                <w:color w:val="auto"/>
                <w:highlight w:val="none"/>
              </w:rPr>
              <w:t>(www.ccgp.gov.cn)</w:t>
            </w:r>
            <w:r>
              <w:rPr>
                <w:rFonts w:hint="eastAsia" w:ascii="宋体" w:hAnsi="宋体" w:cs="宋体"/>
                <w:color w:val="auto"/>
                <w:highlight w:val="none"/>
              </w:rPr>
              <w:t>“政府采购严重违法失信行为信息记录”中的禁止参加政府采购活动期间。（以代理机构于投标截止日当天在“信用中国”网站（</w:t>
            </w:r>
            <w:r>
              <w:rPr>
                <w:rFonts w:ascii="宋体" w:hAnsi="宋体" w:cs="宋体"/>
                <w:color w:val="auto"/>
                <w:highlight w:val="none"/>
              </w:rPr>
              <w:t>www.creditchina.gov.cn</w:t>
            </w:r>
            <w:r>
              <w:rPr>
                <w:rFonts w:hint="eastAsia" w:ascii="宋体" w:hAnsi="宋体" w:cs="宋体"/>
                <w:color w:val="auto"/>
                <w:highlight w:val="none"/>
              </w:rPr>
              <w:t>）及中国政府采购网查询结果为准，如相关失信记录已失效，供应商需提供相关证明资料）。</w:t>
            </w:r>
          </w:p>
        </w:tc>
        <w:tc>
          <w:tcPr>
            <w:tcW w:w="1296"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□通过</w:t>
            </w:r>
            <w:r>
              <w:rPr>
                <w:rFonts w:ascii="宋体" w:hAnsi="宋体" w:cs="宋体"/>
                <w:color w:val="auto"/>
                <w:highlight w:val="none"/>
              </w:rPr>
              <w:t xml:space="preserve"> </w:t>
            </w:r>
          </w:p>
          <w:p>
            <w:pPr>
              <w:adjustRightInd w:val="0"/>
              <w:snapToGrid w:val="0"/>
              <w:spacing w:line="360" w:lineRule="auto"/>
              <w:rPr>
                <w:rFonts w:ascii="宋体" w:hAnsi="宋体"/>
                <w:color w:val="auto"/>
                <w:highlight w:val="none"/>
              </w:rPr>
            </w:pPr>
            <w:r>
              <w:rPr>
                <w:rFonts w:hint="eastAsia" w:ascii="宋体" w:hAnsi="宋体" w:cs="宋体"/>
                <w:color w:val="auto"/>
                <w:highlight w:val="none"/>
              </w:rPr>
              <w:t>□不通过</w:t>
            </w:r>
          </w:p>
        </w:tc>
        <w:tc>
          <w:tcPr>
            <w:tcW w:w="2665"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jc w:val="center"/>
              <w:rPr>
                <w:rFonts w:ascii="宋体" w:hAnsi="宋体"/>
                <w:color w:val="auto"/>
                <w:highlight w:val="none"/>
              </w:rPr>
            </w:pPr>
            <w:r>
              <w:rPr>
                <w:rFonts w:hint="eastAsia" w:ascii="宋体" w:hAnsi="宋体" w:cs="宋体"/>
                <w:color w:val="auto"/>
                <w:highlight w:val="none"/>
              </w:rPr>
              <w:t>第（</w:t>
            </w:r>
            <w:r>
              <w:rPr>
                <w:rFonts w:ascii="宋体" w:hAnsi="宋体" w:cs="宋体"/>
                <w:color w:val="auto"/>
                <w:highlight w:val="none"/>
              </w:rPr>
              <w:t xml:space="preserve"> </w:t>
            </w:r>
            <w:r>
              <w:rPr>
                <w:rFonts w:hint="eastAsia" w:ascii="宋体" w:hAnsi="宋体" w:cs="宋体"/>
                <w:color w:val="auto"/>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4" w:hRule="atLeast"/>
          <w:jc w:val="center"/>
        </w:trPr>
        <w:tc>
          <w:tcPr>
            <w:tcW w:w="848" w:type="dxa"/>
            <w:vMerge w:val="continue"/>
            <w:tcBorders>
              <w:left w:val="single" w:color="auto" w:sz="12" w:space="0"/>
              <w:right w:val="outset" w:color="111111" w:sz="6" w:space="0"/>
            </w:tcBorders>
            <w:vAlign w:val="center"/>
          </w:tcPr>
          <w:p>
            <w:pPr>
              <w:adjustRightInd w:val="0"/>
              <w:snapToGrid w:val="0"/>
              <w:spacing w:line="360" w:lineRule="auto"/>
              <w:rPr>
                <w:rFonts w:ascii="宋体" w:hAnsi="宋体"/>
                <w:color w:val="auto"/>
                <w:highlight w:val="none"/>
              </w:rPr>
            </w:pPr>
          </w:p>
        </w:tc>
        <w:tc>
          <w:tcPr>
            <w:tcW w:w="4309" w:type="dxa"/>
            <w:tcBorders>
              <w:top w:val="outset" w:color="111111" w:sz="6" w:space="0"/>
              <w:left w:val="outset" w:color="111111" w:sz="6" w:space="0"/>
              <w:bottom w:val="outset" w:color="111111" w:sz="6" w:space="0"/>
              <w:right w:val="outset" w:color="111111" w:sz="6" w:space="0"/>
            </w:tcBorders>
            <w:vAlign w:val="top"/>
          </w:tcPr>
          <w:p>
            <w:pPr>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eastAsia="宋体"/>
                <w:color w:val="auto"/>
                <w:highlight w:val="none"/>
                <w:lang w:val="en-US" w:eastAsia="zh-CN"/>
              </w:rPr>
            </w:pPr>
            <w:r>
              <w:rPr>
                <w:rFonts w:hint="eastAsia" w:ascii="宋体" w:hAnsi="宋体" w:cs="宋体"/>
                <w:color w:val="auto"/>
                <w:highlight w:val="none"/>
                <w:lang w:val="en-US" w:eastAsia="zh-CN"/>
              </w:rPr>
              <w:t>四</w:t>
            </w:r>
            <w:r>
              <w:rPr>
                <w:rFonts w:ascii="宋体" w:hAnsi="宋体" w:cs="宋体"/>
                <w:color w:val="auto"/>
                <w:highlight w:val="none"/>
              </w:rPr>
              <w:t>.</w:t>
            </w:r>
            <w:r>
              <w:rPr>
                <w:rFonts w:hint="eastAsia" w:ascii="宋体" w:hAnsi="宋体" w:eastAsia="宋体" w:cs="宋体"/>
                <w:i w:val="0"/>
                <w:caps w:val="0"/>
                <w:color w:val="auto"/>
                <w:spacing w:val="0"/>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1296"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□通过</w:t>
            </w:r>
            <w:r>
              <w:rPr>
                <w:rFonts w:ascii="宋体" w:hAnsi="宋体" w:cs="宋体"/>
                <w:color w:val="auto"/>
                <w:highlight w:val="none"/>
              </w:rPr>
              <w:t xml:space="preserve"> </w:t>
            </w:r>
          </w:p>
          <w:p>
            <w:pPr>
              <w:adjustRightInd w:val="0"/>
              <w:snapToGrid w:val="0"/>
              <w:spacing w:line="360" w:lineRule="auto"/>
              <w:rPr>
                <w:rFonts w:ascii="宋体" w:hAnsi="宋体"/>
                <w:color w:val="auto"/>
                <w:highlight w:val="none"/>
              </w:rPr>
            </w:pPr>
            <w:r>
              <w:rPr>
                <w:rFonts w:hint="eastAsia" w:ascii="宋体" w:hAnsi="宋体" w:cs="宋体"/>
                <w:color w:val="auto"/>
                <w:highlight w:val="none"/>
              </w:rPr>
              <w:t>□不通过</w:t>
            </w:r>
          </w:p>
        </w:tc>
        <w:tc>
          <w:tcPr>
            <w:tcW w:w="2665"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jc w:val="center"/>
              <w:rPr>
                <w:rFonts w:ascii="宋体" w:hAnsi="宋体"/>
                <w:color w:val="auto"/>
                <w:highlight w:val="none"/>
              </w:rPr>
            </w:pPr>
            <w:r>
              <w:rPr>
                <w:rFonts w:hint="eastAsia" w:ascii="宋体" w:hAnsi="宋体" w:cs="宋体"/>
                <w:color w:val="auto"/>
                <w:highlight w:val="none"/>
              </w:rPr>
              <w:t>第（</w:t>
            </w:r>
            <w:r>
              <w:rPr>
                <w:rFonts w:ascii="宋体" w:hAnsi="宋体" w:cs="宋体"/>
                <w:color w:val="auto"/>
                <w:highlight w:val="none"/>
              </w:rPr>
              <w:t xml:space="preserve"> </w:t>
            </w:r>
            <w:r>
              <w:rPr>
                <w:rFonts w:hint="eastAsia" w:ascii="宋体" w:hAnsi="宋体" w:cs="宋体"/>
                <w:color w:val="auto"/>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4" w:hRule="atLeast"/>
          <w:jc w:val="center"/>
        </w:trPr>
        <w:tc>
          <w:tcPr>
            <w:tcW w:w="848" w:type="dxa"/>
            <w:tcBorders>
              <w:left w:val="single" w:color="auto" w:sz="12" w:space="0"/>
              <w:bottom w:val="outset" w:color="111111" w:sz="6" w:space="0"/>
              <w:right w:val="outset" w:color="111111" w:sz="6" w:space="0"/>
            </w:tcBorders>
            <w:vAlign w:val="center"/>
          </w:tcPr>
          <w:p>
            <w:pPr>
              <w:adjustRightInd w:val="0"/>
              <w:snapToGrid w:val="0"/>
              <w:spacing w:line="360" w:lineRule="auto"/>
              <w:rPr>
                <w:rFonts w:ascii="宋体" w:hAnsi="宋体"/>
                <w:color w:val="auto"/>
                <w:highlight w:val="none"/>
              </w:rPr>
            </w:pPr>
          </w:p>
        </w:tc>
        <w:tc>
          <w:tcPr>
            <w:tcW w:w="4309" w:type="dxa"/>
            <w:tcBorders>
              <w:top w:val="outset" w:color="111111" w:sz="6" w:space="0"/>
              <w:left w:val="outset" w:color="111111" w:sz="6" w:space="0"/>
              <w:bottom w:val="outset" w:color="111111" w:sz="6" w:space="0"/>
              <w:right w:val="outset" w:color="111111" w:sz="6"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highlight w:val="none"/>
              </w:rPr>
            </w:pPr>
            <w:r>
              <w:rPr>
                <w:rFonts w:hint="eastAsia" w:ascii="宋体" w:hAnsi="宋体" w:cs="宋体"/>
                <w:color w:val="auto"/>
                <w:highlight w:val="none"/>
                <w:lang w:val="en-US" w:eastAsia="zh-CN"/>
              </w:rPr>
              <w:t>五</w:t>
            </w:r>
            <w:r>
              <w:rPr>
                <w:rFonts w:ascii="宋体" w:hAnsi="宋体" w:cs="宋体"/>
                <w:color w:val="auto"/>
                <w:highlight w:val="none"/>
              </w:rPr>
              <w:t>.</w:t>
            </w:r>
            <w:r>
              <w:rPr>
                <w:rFonts w:hint="eastAsia" w:ascii="宋体" w:hAnsi="宋体" w:cs="宋体"/>
                <w:color w:val="auto"/>
                <w:highlight w:val="none"/>
              </w:rPr>
              <w:t>采购文件要求的其他资格条件证明材料（如有）；</w:t>
            </w:r>
          </w:p>
        </w:tc>
        <w:tc>
          <w:tcPr>
            <w:tcW w:w="1296"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□通过</w:t>
            </w:r>
            <w:r>
              <w:rPr>
                <w:rFonts w:ascii="宋体" w:hAnsi="宋体" w:cs="宋体"/>
                <w:color w:val="auto"/>
                <w:highlight w:val="none"/>
              </w:rPr>
              <w:t xml:space="preserve"> </w:t>
            </w:r>
          </w:p>
          <w:p>
            <w:pPr>
              <w:adjustRightInd w:val="0"/>
              <w:snapToGrid w:val="0"/>
              <w:spacing w:line="360" w:lineRule="auto"/>
              <w:rPr>
                <w:rFonts w:ascii="宋体" w:hAnsi="宋体"/>
                <w:color w:val="auto"/>
                <w:highlight w:val="none"/>
              </w:rPr>
            </w:pPr>
            <w:r>
              <w:rPr>
                <w:rFonts w:hint="eastAsia" w:ascii="宋体" w:hAnsi="宋体" w:cs="宋体"/>
                <w:color w:val="auto"/>
                <w:highlight w:val="none"/>
              </w:rPr>
              <w:t>□不通过</w:t>
            </w:r>
          </w:p>
        </w:tc>
        <w:tc>
          <w:tcPr>
            <w:tcW w:w="2665"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jc w:val="center"/>
              <w:rPr>
                <w:rFonts w:ascii="宋体" w:hAnsi="宋体"/>
                <w:color w:val="auto"/>
                <w:highlight w:val="none"/>
              </w:rPr>
            </w:pPr>
            <w:r>
              <w:rPr>
                <w:rFonts w:hint="eastAsia" w:ascii="宋体" w:hAnsi="宋体" w:cs="宋体"/>
                <w:color w:val="auto"/>
                <w:highlight w:val="none"/>
              </w:rPr>
              <w:t>第（</w:t>
            </w:r>
            <w:r>
              <w:rPr>
                <w:rFonts w:ascii="宋体" w:hAnsi="宋体" w:cs="宋体"/>
                <w:color w:val="auto"/>
                <w:highlight w:val="none"/>
              </w:rPr>
              <w:t xml:space="preserve"> </w:t>
            </w:r>
            <w:r>
              <w:rPr>
                <w:rFonts w:hint="eastAsia" w:ascii="宋体" w:hAnsi="宋体" w:cs="宋体"/>
                <w:color w:val="auto"/>
                <w:highlight w:val="none"/>
              </w:rPr>
              <w:t>）页</w:t>
            </w:r>
          </w:p>
        </w:tc>
      </w:tr>
    </w:tbl>
    <w:p>
      <w:pPr>
        <w:adjustRightInd w:val="0"/>
        <w:snapToGrid w:val="0"/>
        <w:spacing w:line="360" w:lineRule="auto"/>
        <w:rPr>
          <w:rFonts w:ascii="宋体" w:hAnsi="宋体"/>
          <w:b/>
          <w:bCs/>
          <w:color w:val="auto"/>
          <w:highlight w:val="none"/>
        </w:rPr>
      </w:pPr>
      <w:r>
        <w:rPr>
          <w:rFonts w:hint="eastAsia" w:ascii="宋体" w:hAnsi="宋体" w:cs="宋体"/>
          <w:b/>
          <w:bCs/>
          <w:color w:val="auto"/>
          <w:highlight w:val="none"/>
        </w:rPr>
        <w:t>备注：资格条件自查表将作为供应商有效性审查的重要内容之一，供应商必须严格按照其内容及序列要求在投标文件中对应如实提供，对资格性证明文件的任何缺漏和不符合项将会直接导致投标无效！</w:t>
      </w:r>
      <w:r>
        <w:rPr>
          <w:rFonts w:ascii="宋体" w:hAnsi="宋体" w:cs="宋体"/>
          <w:b/>
          <w:bCs/>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ascii="宋体" w:hAnsi="宋体" w:cs="RomanS"/>
          <w:b/>
          <w:color w:val="auto"/>
          <w:sz w:val="24"/>
          <w:szCs w:val="24"/>
          <w:highlight w:val="none"/>
        </w:rPr>
      </w:pPr>
      <w:r>
        <w:rPr>
          <w:rFonts w:ascii="宋体" w:hAnsi="宋体"/>
          <w:b/>
          <w:bCs/>
          <w:color w:val="auto"/>
          <w:highlight w:val="none"/>
        </w:rPr>
        <w:br w:type="page"/>
      </w:r>
      <w:r>
        <w:rPr>
          <w:rFonts w:ascii="宋体" w:hAnsi="宋体" w:cs="RomanS"/>
          <w:b/>
          <w:color w:val="auto"/>
          <w:sz w:val="24"/>
          <w:szCs w:val="24"/>
          <w:highlight w:val="none"/>
        </w:rPr>
        <w:t>2</w:t>
      </w:r>
      <w:r>
        <w:rPr>
          <w:rFonts w:hint="eastAsia" w:ascii="宋体" w:hAnsi="宋体" w:cs="RomanS"/>
          <w:b/>
          <w:color w:val="auto"/>
          <w:sz w:val="24"/>
          <w:szCs w:val="24"/>
          <w:highlight w:val="none"/>
        </w:rPr>
        <w:t>、投标声明书</w:t>
      </w:r>
    </w:p>
    <w:p>
      <w:pPr>
        <w:spacing w:line="360" w:lineRule="auto"/>
        <w:jc w:val="center"/>
        <w:rPr>
          <w:rFonts w:ascii="宋体" w:hAnsi="宋体"/>
          <w:b/>
          <w:bCs/>
          <w:color w:val="auto"/>
          <w:sz w:val="28"/>
          <w:szCs w:val="28"/>
          <w:highlight w:val="none"/>
        </w:rPr>
      </w:pPr>
      <w:r>
        <w:rPr>
          <w:rFonts w:hint="eastAsia" w:ascii="宋体" w:hAnsi="宋体" w:cs="宋体"/>
          <w:b/>
          <w:bCs/>
          <w:color w:val="auto"/>
          <w:sz w:val="28"/>
          <w:szCs w:val="28"/>
          <w:highlight w:val="none"/>
        </w:rPr>
        <w:t>投标声明书</w:t>
      </w:r>
    </w:p>
    <w:p>
      <w:pPr>
        <w:spacing w:line="360" w:lineRule="auto"/>
        <w:rPr>
          <w:rFonts w:ascii="宋体" w:hAnsi="宋体"/>
          <w:b/>
          <w:bCs/>
          <w:color w:val="auto"/>
          <w:highlight w:val="none"/>
        </w:rPr>
      </w:pPr>
    </w:p>
    <w:p>
      <w:pPr>
        <w:spacing w:line="360" w:lineRule="auto"/>
        <w:rPr>
          <w:rFonts w:ascii="宋体" w:hAnsi="宋体"/>
          <w:b/>
          <w:bCs/>
          <w:color w:val="auto"/>
          <w:highlight w:val="none"/>
        </w:rPr>
      </w:pPr>
      <w:r>
        <w:rPr>
          <w:rFonts w:hint="eastAsia" w:ascii="宋体" w:hAnsi="宋体" w:cs="宋体"/>
          <w:b/>
          <w:bCs/>
          <w:color w:val="auto"/>
          <w:highlight w:val="none"/>
          <w:lang w:eastAsia="zh-CN"/>
        </w:rPr>
        <w:t>宁波中屹工程管理咨询有限公司</w:t>
      </w:r>
      <w:r>
        <w:rPr>
          <w:rFonts w:hint="eastAsia" w:ascii="宋体" w:hAnsi="宋体" w:cs="宋体"/>
          <w:b/>
          <w:bCs/>
          <w:color w:val="auto"/>
          <w:highlight w:val="none"/>
        </w:rPr>
        <w:t>：</w:t>
      </w:r>
    </w:p>
    <w:p>
      <w:pPr>
        <w:snapToGrid w:val="0"/>
        <w:spacing w:before="120" w:beforeLines="50" w:line="360" w:lineRule="auto"/>
        <w:ind w:firstLine="424" w:firstLineChars="202"/>
        <w:rPr>
          <w:rFonts w:ascii="宋体" w:hAnsi="宋体"/>
          <w:color w:val="auto"/>
          <w:highlight w:val="none"/>
        </w:rPr>
      </w:pPr>
      <w:r>
        <w:rPr>
          <w:rFonts w:hint="eastAsia" w:ascii="宋体" w:hAnsi="宋体" w:cs="宋体"/>
          <w:color w:val="auto"/>
          <w:highlight w:val="none"/>
        </w:rPr>
        <w:t>关于你贵司发布</w:t>
      </w:r>
      <w:r>
        <w:rPr>
          <w:rFonts w:ascii="宋体" w:hAnsi="宋体" w:cs="宋体"/>
          <w:color w:val="auto"/>
          <w:highlight w:val="none"/>
          <w:u w:val="single"/>
        </w:rPr>
        <w:t xml:space="preserve">  </w:t>
      </w:r>
      <w:r>
        <w:rPr>
          <w:rFonts w:ascii="宋体" w:hAnsi="宋体" w:cs="宋体"/>
          <w:color w:val="auto"/>
          <w:kern w:val="28"/>
          <w:highlight w:val="none"/>
          <w:u w:val="single"/>
        </w:rPr>
        <w:t>XXXXXXXXXXXXXXXXXXXXXXXXXXXX</w:t>
      </w:r>
      <w:r>
        <w:rPr>
          <w:rFonts w:ascii="宋体" w:hAnsi="宋体" w:cs="宋体"/>
          <w:color w:val="auto"/>
          <w:highlight w:val="none"/>
          <w:u w:val="single"/>
        </w:rPr>
        <w:t xml:space="preserve">  </w:t>
      </w:r>
      <w:r>
        <w:rPr>
          <w:rFonts w:hint="eastAsia" w:ascii="宋体" w:hAnsi="宋体" w:cs="宋体"/>
          <w:color w:val="auto"/>
          <w:highlight w:val="none"/>
        </w:rPr>
        <w:t>项目（项目编号：　　　）的采购公告，本公司（企业）愿意参加投标，并声明：</w:t>
      </w:r>
    </w:p>
    <w:p>
      <w:pPr>
        <w:snapToGrid w:val="0"/>
        <w:spacing w:line="360" w:lineRule="auto"/>
        <w:ind w:firstLine="424" w:firstLineChars="202"/>
        <w:rPr>
          <w:rFonts w:ascii="宋体" w:hAnsi="宋体"/>
          <w:color w:val="auto"/>
          <w:highlight w:val="none"/>
        </w:rPr>
      </w:pPr>
      <w:r>
        <w:rPr>
          <w:rFonts w:hint="eastAsia" w:ascii="宋体" w:hAnsi="宋体" w:cs="宋体"/>
          <w:color w:val="auto"/>
          <w:highlight w:val="none"/>
        </w:rPr>
        <w:t>本公司（企业）具备《中华人民共和国政府采购法》第二十二条资格条件，并已清楚采购文件的要求及有关文件规定。</w:t>
      </w:r>
    </w:p>
    <w:p>
      <w:pPr>
        <w:snapToGrid w:val="0"/>
        <w:spacing w:line="360" w:lineRule="auto"/>
        <w:ind w:firstLine="424" w:firstLineChars="202"/>
        <w:rPr>
          <w:rFonts w:ascii="宋体" w:hAnsi="宋体"/>
          <w:color w:val="auto"/>
          <w:highlight w:val="none"/>
        </w:rPr>
      </w:pPr>
      <w:r>
        <w:rPr>
          <w:rFonts w:hint="eastAsia" w:ascii="宋体" w:hAnsi="宋体" w:cs="宋体"/>
          <w:color w:val="auto"/>
          <w:highlight w:val="none"/>
        </w:rPr>
        <w:t>本公司（企业）的法定代表人或单位负责人与所参投的本采购项目的其他供应商的法定代表人或单位负责人不为同一人且与其他供应商之间不存在直接控股、管理关系。</w:t>
      </w:r>
    </w:p>
    <w:p>
      <w:pPr>
        <w:snapToGrid w:val="0"/>
        <w:spacing w:line="360" w:lineRule="auto"/>
        <w:ind w:firstLine="424" w:firstLineChars="202"/>
        <w:rPr>
          <w:rFonts w:ascii="宋体" w:hAnsi="宋体"/>
          <w:color w:val="auto"/>
          <w:highlight w:val="none"/>
        </w:rPr>
      </w:pPr>
      <w:r>
        <w:rPr>
          <w:rFonts w:hint="eastAsia" w:ascii="宋体" w:hAnsi="宋体" w:cs="宋体"/>
          <w:color w:val="auto"/>
          <w:highlight w:val="none"/>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rFonts w:ascii="宋体" w:hAnsi="宋体"/>
          <w:color w:val="auto"/>
          <w:highlight w:val="none"/>
        </w:rPr>
      </w:pPr>
      <w:r>
        <w:rPr>
          <w:rFonts w:hint="eastAsia" w:ascii="宋体" w:hAnsi="宋体" w:cs="宋体"/>
          <w:b/>
          <w:bCs/>
          <w:color w:val="auto"/>
          <w:highlight w:val="none"/>
        </w:rPr>
        <w:t>本公司（企业）具有履行合同所必需的设备和专业技术能力，且本公司（企业）参加政府采购活动前</w:t>
      </w:r>
      <w:r>
        <w:rPr>
          <w:rFonts w:ascii="宋体" w:hAnsi="宋体" w:cs="宋体"/>
          <w:b/>
          <w:bCs/>
          <w:color w:val="auto"/>
          <w:highlight w:val="none"/>
        </w:rPr>
        <w:t>3</w:t>
      </w:r>
      <w:r>
        <w:rPr>
          <w:rFonts w:hint="eastAsia" w:ascii="宋体" w:hAnsi="宋体" w:cs="宋体"/>
          <w:b/>
          <w:bCs/>
          <w:color w:val="auto"/>
          <w:highlight w:val="none"/>
        </w:rPr>
        <w:t>年内在经营活动中没有重大违法记录。</w:t>
      </w:r>
      <w:r>
        <w:rPr>
          <w:rFonts w:hint="eastAsia" w:ascii="宋体" w:hAnsi="宋体" w:cs="宋体"/>
          <w:color w:val="auto"/>
          <w:highlight w:val="none"/>
        </w:rPr>
        <w:t>否则，由此所造成的损失、不良后果及法律责任，一律由我公司（企业）承担。</w:t>
      </w:r>
    </w:p>
    <w:p>
      <w:pPr>
        <w:snapToGrid w:val="0"/>
        <w:spacing w:line="360" w:lineRule="auto"/>
        <w:ind w:firstLine="426" w:firstLineChars="202"/>
        <w:rPr>
          <w:rFonts w:hint="eastAsia" w:ascii="宋体" w:hAnsi="宋体" w:cs="宋体"/>
          <w:b/>
          <w:bCs/>
          <w:color w:val="auto"/>
          <w:highlight w:val="none"/>
        </w:rPr>
      </w:pPr>
      <w:r>
        <w:rPr>
          <w:rFonts w:hint="eastAsia" w:ascii="宋体" w:hAnsi="宋体" w:cs="宋体"/>
          <w:b/>
          <w:bCs/>
          <w:color w:val="auto"/>
          <w:highlight w:val="none"/>
        </w:rPr>
        <w:t>本公司（企业）未被列入“信用中国”网站</w:t>
      </w:r>
      <w:r>
        <w:rPr>
          <w:rFonts w:ascii="宋体" w:hAnsi="宋体" w:cs="宋体"/>
          <w:b/>
          <w:bCs/>
          <w:color w:val="auto"/>
          <w:highlight w:val="none"/>
        </w:rPr>
        <w:t>(www.creditchina.gov.cn)</w:t>
      </w:r>
      <w:r>
        <w:rPr>
          <w:rFonts w:hint="eastAsia" w:ascii="宋体" w:hAnsi="宋体" w:cs="宋体"/>
          <w:b/>
          <w:bCs/>
          <w:color w:val="auto"/>
          <w:highlight w:val="none"/>
        </w:rPr>
        <w:t>“记录失信被执行人或重大税收违法案件当事人名单或政府采购严重违法失信行为”记录名单；不处于中国政府采购网</w:t>
      </w:r>
      <w:r>
        <w:rPr>
          <w:rFonts w:ascii="宋体" w:hAnsi="宋体" w:cs="宋体"/>
          <w:b/>
          <w:bCs/>
          <w:color w:val="auto"/>
          <w:highlight w:val="none"/>
        </w:rPr>
        <w:t>(www.ccgp.gov.cn)</w:t>
      </w:r>
      <w:r>
        <w:rPr>
          <w:rFonts w:hint="eastAsia" w:ascii="宋体" w:hAnsi="宋体" w:cs="宋体"/>
          <w:b/>
          <w:bCs/>
          <w:color w:val="auto"/>
          <w:highlight w:val="none"/>
        </w:rPr>
        <w:t>“政府采购严重违法失信行为信息记录”中的禁止参加政府采购活动期间。</w:t>
      </w:r>
      <w:r>
        <w:rPr>
          <w:rFonts w:hint="eastAsia" w:ascii="宋体" w:hAnsi="宋体" w:cs="宋体"/>
          <w:b/>
          <w:bCs/>
          <w:color w:val="auto"/>
          <w:szCs w:val="21"/>
          <w:highlight w:val="none"/>
          <w:lang w:eastAsia="zh-CN"/>
        </w:rPr>
        <w:t>未在中国裁判文书网有行贿犯罪相关记录</w:t>
      </w:r>
      <w:r>
        <w:rPr>
          <w:rFonts w:hint="eastAsia" w:ascii="宋体" w:hAnsi="宋体" w:cs="宋体"/>
          <w:b/>
          <w:bCs/>
          <w:color w:val="auto"/>
          <w:szCs w:val="21"/>
          <w:highlight w:val="none"/>
        </w:rPr>
        <w:t>。</w:t>
      </w:r>
      <w:r>
        <w:rPr>
          <w:rFonts w:hint="eastAsia" w:ascii="宋体" w:hAnsi="宋体" w:cs="宋体"/>
          <w:b/>
          <w:bCs/>
          <w:color w:val="auto"/>
          <w:highlight w:val="none"/>
        </w:rPr>
        <w:t>否则，由此所造成的损失、不良后果及法律责任，一律由我公司（企业）承担。</w:t>
      </w:r>
    </w:p>
    <w:p>
      <w:pPr>
        <w:snapToGrid w:val="0"/>
        <w:spacing w:line="360" w:lineRule="auto"/>
        <w:ind w:firstLine="426" w:firstLineChars="202"/>
        <w:rPr>
          <w:rFonts w:hint="eastAsia" w:ascii="宋体" w:hAnsi="宋体" w:cs="宋体"/>
          <w:b/>
          <w:bCs/>
          <w:color w:val="auto"/>
          <w:highlight w:val="none"/>
        </w:rPr>
      </w:pPr>
      <w:r>
        <w:rPr>
          <w:rFonts w:hint="eastAsia" w:ascii="宋体" w:hAnsi="宋体" w:cs="宋体"/>
          <w:b/>
          <w:bCs/>
          <w:color w:val="auto"/>
          <w:highlight w:val="none"/>
        </w:rPr>
        <w:t>否则，由此所造成的损失、不良后果及法律责任，一律由我公司（企业）承担。</w:t>
      </w:r>
    </w:p>
    <w:p>
      <w:pPr>
        <w:snapToGrid w:val="0"/>
        <w:spacing w:line="360" w:lineRule="auto"/>
        <w:ind w:firstLine="426" w:firstLineChars="202"/>
        <w:rPr>
          <w:color w:val="auto"/>
          <w:highlight w:val="none"/>
        </w:rPr>
      </w:pPr>
      <w:r>
        <w:rPr>
          <w:rFonts w:hint="eastAsia" w:ascii="宋体" w:hAnsi="宋体" w:cs="宋体"/>
          <w:b/>
          <w:bCs/>
          <w:color w:val="auto"/>
          <w:highlight w:val="none"/>
          <w:lang w:val="en-US" w:eastAsia="zh-CN"/>
        </w:rPr>
        <w:t>本项目不接受联合体。</w:t>
      </w:r>
    </w:p>
    <w:p>
      <w:pPr>
        <w:snapToGrid w:val="0"/>
        <w:spacing w:line="360" w:lineRule="auto"/>
        <w:ind w:firstLine="424" w:firstLineChars="202"/>
        <w:rPr>
          <w:rFonts w:ascii="宋体" w:hAnsi="宋体"/>
          <w:color w:val="auto"/>
          <w:highlight w:val="none"/>
        </w:rPr>
      </w:pPr>
      <w:r>
        <w:rPr>
          <w:rFonts w:hint="eastAsia" w:ascii="宋体" w:hAnsi="宋体" w:cs="宋体"/>
          <w:color w:val="auto"/>
          <w:highlight w:val="none"/>
        </w:rPr>
        <w:t>本次招标采购活动中，如有违法、违规、弄虚作假行为，所造成的损失、不良后果及法律责任，一律由我公司（企业）承担。</w:t>
      </w:r>
    </w:p>
    <w:p>
      <w:pPr>
        <w:spacing w:line="360" w:lineRule="auto"/>
        <w:ind w:firstLine="420"/>
        <w:rPr>
          <w:rFonts w:ascii="宋体" w:hAnsi="宋体"/>
          <w:b/>
          <w:bCs/>
          <w:color w:val="auto"/>
          <w:highlight w:val="none"/>
        </w:rPr>
      </w:pPr>
      <w:r>
        <w:rPr>
          <w:rFonts w:hint="eastAsia" w:ascii="宋体" w:hAnsi="宋体" w:cs="宋体"/>
          <w:b/>
          <w:bCs/>
          <w:color w:val="auto"/>
          <w:highlight w:val="none"/>
        </w:rPr>
        <w:t>特此声明！</w:t>
      </w:r>
    </w:p>
    <w:p>
      <w:pPr>
        <w:adjustRightInd w:val="0"/>
        <w:snapToGrid w:val="0"/>
        <w:spacing w:line="360" w:lineRule="auto"/>
        <w:ind w:left="425"/>
        <w:rPr>
          <w:rFonts w:ascii="宋体" w:hAnsi="宋体"/>
          <w:color w:val="auto"/>
          <w:spacing w:val="4"/>
          <w:highlight w:val="none"/>
        </w:rPr>
      </w:pPr>
    </w:p>
    <w:p>
      <w:pPr>
        <w:spacing w:line="360" w:lineRule="auto"/>
        <w:contextualSpacing/>
        <w:rPr>
          <w:color w:val="auto"/>
          <w:szCs w:val="21"/>
          <w:highlight w:val="none"/>
        </w:rPr>
      </w:pPr>
      <w:r>
        <w:rPr>
          <w:rFonts w:hint="eastAsia" w:eastAsia="宋体"/>
          <w:color w:val="auto"/>
          <w:szCs w:val="21"/>
          <w:highlight w:val="none"/>
          <w:lang w:val="en-US" w:eastAsia="zh-CN"/>
        </w:rPr>
        <w:t>供应商</w:t>
      </w:r>
      <w:r>
        <w:rPr>
          <w:rFonts w:hint="eastAsia"/>
          <w:color w:val="auto"/>
          <w:szCs w:val="21"/>
          <w:highlight w:val="none"/>
        </w:rPr>
        <w:t>（盖章）：</w:t>
      </w:r>
    </w:p>
    <w:p>
      <w:pPr>
        <w:spacing w:line="360" w:lineRule="auto"/>
        <w:contextualSpacing/>
        <w:rPr>
          <w:color w:val="auto"/>
          <w:szCs w:val="21"/>
          <w:highlight w:val="none"/>
        </w:rPr>
      </w:pPr>
    </w:p>
    <w:p>
      <w:pPr>
        <w:spacing w:line="360" w:lineRule="auto"/>
        <w:contextualSpacing/>
        <w:rPr>
          <w:color w:val="auto"/>
          <w:szCs w:val="21"/>
          <w:highlight w:val="none"/>
        </w:rPr>
      </w:pPr>
      <w:r>
        <w:rPr>
          <w:rFonts w:hint="eastAsia"/>
          <w:color w:val="auto"/>
          <w:szCs w:val="21"/>
          <w:highlight w:val="none"/>
        </w:rPr>
        <w:t>法定代表人或授权代表人（签字或盖章）：</w:t>
      </w:r>
    </w:p>
    <w:p>
      <w:pPr>
        <w:spacing w:line="360" w:lineRule="auto"/>
        <w:contextualSpacing/>
        <w:rPr>
          <w:color w:val="auto"/>
          <w:szCs w:val="21"/>
          <w:highlight w:val="none"/>
        </w:rPr>
      </w:pPr>
    </w:p>
    <w:p>
      <w:pPr>
        <w:spacing w:line="400" w:lineRule="exact"/>
        <w:rPr>
          <w:rFonts w:hint="eastAsia" w:ascii="宋体" w:hAnsi="宋体" w:eastAsia="宋体"/>
          <w:color w:val="auto"/>
          <w:szCs w:val="21"/>
          <w:highlight w:val="none"/>
          <w:lang w:val="en-US" w:eastAsia="zh-CN"/>
        </w:rPr>
      </w:pPr>
      <w:r>
        <w:rPr>
          <w:rFonts w:hint="eastAsia"/>
          <w:color w:val="auto"/>
          <w:szCs w:val="21"/>
          <w:highlight w:val="none"/>
        </w:rPr>
        <w:t xml:space="preserve">日期：       年   月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2"/>
        <w:rPr>
          <w:rFonts w:ascii="宋体" w:hAnsi="宋体"/>
          <w:b/>
          <w:color w:val="auto"/>
          <w:sz w:val="24"/>
          <w:highlight w:val="none"/>
        </w:rPr>
      </w:pPr>
      <w:r>
        <w:rPr>
          <w:rFonts w:ascii="宋体" w:hAnsi="宋体"/>
          <w:b/>
          <w:bCs/>
          <w:color w:val="auto"/>
          <w:highlight w:val="none"/>
        </w:rPr>
        <w:br w:type="page"/>
      </w:r>
      <w:r>
        <w:rPr>
          <w:rFonts w:ascii="宋体" w:hAnsi="宋体" w:cs="RomanS"/>
          <w:b/>
          <w:color w:val="auto"/>
          <w:sz w:val="24"/>
          <w:szCs w:val="24"/>
          <w:highlight w:val="none"/>
        </w:rPr>
        <w:t>3</w:t>
      </w:r>
      <w:r>
        <w:rPr>
          <w:rFonts w:hint="eastAsia" w:ascii="宋体" w:hAnsi="宋体" w:cs="RomanS"/>
          <w:b/>
          <w:color w:val="auto"/>
          <w:sz w:val="24"/>
          <w:szCs w:val="24"/>
          <w:highlight w:val="none"/>
        </w:rPr>
        <w:t>、</w:t>
      </w:r>
      <w:r>
        <w:rPr>
          <w:rFonts w:hint="eastAsia" w:ascii="宋体" w:hAnsi="宋体" w:eastAsia="宋体" w:cs="RomanS"/>
          <w:b/>
          <w:color w:val="auto"/>
          <w:sz w:val="24"/>
          <w:szCs w:val="24"/>
          <w:highlight w:val="none"/>
        </w:rPr>
        <w:t>合格</w:t>
      </w:r>
      <w:r>
        <w:rPr>
          <w:rFonts w:hint="eastAsia" w:ascii="宋体" w:hAnsi="宋体" w:cs="RomanS"/>
          <w:b/>
          <w:color w:val="auto"/>
          <w:sz w:val="24"/>
          <w:szCs w:val="24"/>
          <w:highlight w:val="none"/>
          <w:lang w:val="en-US" w:eastAsia="zh-CN"/>
        </w:rPr>
        <w:t>供应商</w:t>
      </w:r>
      <w:r>
        <w:rPr>
          <w:rFonts w:hint="eastAsia" w:ascii="宋体" w:hAnsi="宋体" w:eastAsia="宋体" w:cs="RomanS"/>
          <w:b/>
          <w:color w:val="auto"/>
          <w:sz w:val="24"/>
          <w:szCs w:val="24"/>
          <w:highlight w:val="none"/>
        </w:rPr>
        <w:t>的承诺函</w:t>
      </w:r>
    </w:p>
    <w:p>
      <w:pPr>
        <w:spacing w:line="400" w:lineRule="exact"/>
        <w:ind w:firstLine="420" w:firstLineChars="200"/>
        <w:rPr>
          <w:rFonts w:ascii="宋体" w:hAnsi="宋体"/>
          <w:color w:val="auto"/>
          <w:szCs w:val="21"/>
          <w:highlight w:val="none"/>
        </w:rPr>
      </w:pPr>
    </w:p>
    <w:p>
      <w:pPr>
        <w:keepNext w:val="0"/>
        <w:keepLines w:val="0"/>
        <w:pageBreakBefore w:val="0"/>
        <w:widowControl w:val="0"/>
        <w:kinsoku/>
        <w:wordWrap/>
        <w:overflowPunct/>
        <w:topLinePunct w:val="0"/>
        <w:autoSpaceDE/>
        <w:autoSpaceDN/>
        <w:bidi w:val="0"/>
        <w:snapToGrid/>
        <w:spacing w:line="360" w:lineRule="auto"/>
        <w:jc w:val="cente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合格</w:t>
      </w:r>
      <w:r>
        <w:rPr>
          <w:rFonts w:hint="eastAsia" w:ascii="宋体" w:hAnsi="宋体" w:eastAsia="宋体" w:cs="宋体"/>
          <w:b/>
          <w:bCs/>
          <w:color w:val="auto"/>
          <w:szCs w:val="21"/>
          <w:highlight w:val="none"/>
          <w:lang w:val="en-US" w:eastAsia="zh-CN"/>
        </w:rPr>
        <w:t>供应商</w:t>
      </w:r>
      <w:r>
        <w:rPr>
          <w:rFonts w:hint="eastAsia" w:ascii="宋体" w:hAnsi="宋体" w:cs="宋体"/>
          <w:b/>
          <w:bCs/>
          <w:color w:val="auto"/>
          <w:szCs w:val="21"/>
          <w:highlight w:val="none"/>
        </w:rPr>
        <w:t>的承诺函</w:t>
      </w:r>
    </w:p>
    <w:p>
      <w:pPr>
        <w:keepNext w:val="0"/>
        <w:keepLines w:val="0"/>
        <w:pageBreakBefore w:val="0"/>
        <w:widowControl w:val="0"/>
        <w:kinsoku/>
        <w:wordWrap/>
        <w:overflowPunct/>
        <w:topLinePunct w:val="0"/>
        <w:autoSpaceDE/>
        <w:autoSpaceDN/>
        <w:bidi w:val="0"/>
        <w:snapToGrid/>
        <w:spacing w:line="360" w:lineRule="auto"/>
        <w:jc w:val="center"/>
        <w:outlineLvl w:val="9"/>
        <w:rPr>
          <w:rFonts w:hint="eastAsia" w:ascii="宋体" w:hAnsi="宋体" w:cs="宋体"/>
          <w:b/>
          <w:bCs/>
          <w:color w:val="auto"/>
          <w:szCs w:val="21"/>
          <w:highlight w:val="none"/>
        </w:rPr>
      </w:pPr>
    </w:p>
    <w:p>
      <w:pPr>
        <w:keepNext w:val="0"/>
        <w:keepLines w:val="0"/>
        <w:pageBreakBefore w:val="0"/>
        <w:widowControl w:val="0"/>
        <w:kinsoku/>
        <w:wordWrap/>
        <w:overflowPunct/>
        <w:topLinePunct w:val="0"/>
        <w:autoSpaceDE/>
        <w:autoSpaceDN/>
        <w:bidi w:val="0"/>
        <w:snapToGrid/>
        <w:spacing w:line="360" w:lineRule="auto"/>
        <w:contextualSpacing/>
        <w:outlineLvl w:val="9"/>
        <w:rPr>
          <w:rFonts w:cs="宋体"/>
          <w:b/>
          <w:color w:val="auto"/>
          <w:szCs w:val="21"/>
          <w:highlight w:val="none"/>
        </w:rPr>
      </w:pPr>
      <w:r>
        <w:rPr>
          <w:rFonts w:hint="eastAsia" w:cs="宋体"/>
          <w:b/>
          <w:color w:val="auto"/>
          <w:szCs w:val="21"/>
          <w:highlight w:val="none"/>
        </w:rPr>
        <w:t>致：宁波中屹工程管理咨询有限公司</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contextualSpacing/>
        <w:textAlignment w:val="baseline"/>
        <w:outlineLvl w:val="9"/>
        <w:rPr>
          <w:rFonts w:cs="宋体"/>
          <w:b/>
          <w:color w:val="auto"/>
          <w:szCs w:val="21"/>
          <w:highlight w:val="none"/>
        </w:rPr>
      </w:pPr>
      <w:r>
        <w:rPr>
          <w:rFonts w:hint="eastAsia" w:cs="宋体"/>
          <w:b/>
          <w:color w:val="auto"/>
          <w:szCs w:val="21"/>
          <w:highlight w:val="none"/>
        </w:rPr>
        <w:t>我方郑重承诺：</w:t>
      </w:r>
    </w:p>
    <w:p>
      <w:pPr>
        <w:keepNext w:val="0"/>
        <w:keepLines w:val="0"/>
        <w:pageBreakBefore w:val="0"/>
        <w:widowControl w:val="0"/>
        <w:numPr>
          <w:ilvl w:val="0"/>
          <w:numId w:val="13"/>
        </w:numPr>
        <w:kinsoku/>
        <w:wordWrap/>
        <w:overflowPunct/>
        <w:topLinePunct w:val="0"/>
        <w:autoSpaceDE/>
        <w:autoSpaceDN/>
        <w:bidi w:val="0"/>
        <w:snapToGrid/>
        <w:spacing w:line="360" w:lineRule="auto"/>
        <w:ind w:firstLine="420" w:firstLineChars="200"/>
        <w:contextualSpacing/>
        <w:outlineLvl w:val="9"/>
        <w:rPr>
          <w:rFonts w:cs="宋体"/>
          <w:color w:val="auto"/>
          <w:kern w:val="0"/>
          <w:szCs w:val="21"/>
          <w:highlight w:val="none"/>
        </w:rPr>
      </w:pPr>
      <w:r>
        <w:rPr>
          <w:rFonts w:hint="eastAsia" w:cs="宋体"/>
          <w:color w:val="auto"/>
          <w:kern w:val="0"/>
          <w:szCs w:val="21"/>
          <w:highlight w:val="none"/>
        </w:rPr>
        <w:t>我单位具有独立承担民事责任的能力；</w:t>
      </w:r>
    </w:p>
    <w:p>
      <w:pPr>
        <w:keepNext w:val="0"/>
        <w:keepLines w:val="0"/>
        <w:pageBreakBefore w:val="0"/>
        <w:widowControl w:val="0"/>
        <w:numPr>
          <w:ilvl w:val="0"/>
          <w:numId w:val="13"/>
        </w:numPr>
        <w:kinsoku/>
        <w:wordWrap/>
        <w:overflowPunct/>
        <w:topLinePunct w:val="0"/>
        <w:autoSpaceDE/>
        <w:autoSpaceDN/>
        <w:bidi w:val="0"/>
        <w:snapToGrid/>
        <w:spacing w:line="360" w:lineRule="auto"/>
        <w:ind w:firstLine="420" w:firstLineChars="200"/>
        <w:contextualSpacing/>
        <w:outlineLvl w:val="9"/>
        <w:rPr>
          <w:rFonts w:cs="宋体"/>
          <w:color w:val="auto"/>
          <w:kern w:val="0"/>
          <w:szCs w:val="21"/>
          <w:highlight w:val="none"/>
        </w:rPr>
      </w:pPr>
      <w:r>
        <w:rPr>
          <w:rFonts w:hint="eastAsia" w:cs="宋体"/>
          <w:color w:val="auto"/>
          <w:kern w:val="0"/>
          <w:szCs w:val="21"/>
          <w:highlight w:val="none"/>
        </w:rPr>
        <w:t>我单位具有良好的商业信誉和健全的财务会计制度；</w:t>
      </w:r>
    </w:p>
    <w:p>
      <w:pPr>
        <w:keepNext w:val="0"/>
        <w:keepLines w:val="0"/>
        <w:pageBreakBefore w:val="0"/>
        <w:widowControl w:val="0"/>
        <w:numPr>
          <w:ilvl w:val="0"/>
          <w:numId w:val="13"/>
        </w:numPr>
        <w:kinsoku/>
        <w:wordWrap/>
        <w:overflowPunct/>
        <w:topLinePunct w:val="0"/>
        <w:autoSpaceDE/>
        <w:autoSpaceDN/>
        <w:bidi w:val="0"/>
        <w:snapToGrid/>
        <w:spacing w:line="360" w:lineRule="auto"/>
        <w:ind w:firstLine="420" w:firstLineChars="200"/>
        <w:contextualSpacing/>
        <w:outlineLvl w:val="9"/>
        <w:rPr>
          <w:rFonts w:cs="宋体"/>
          <w:color w:val="auto"/>
          <w:kern w:val="0"/>
          <w:szCs w:val="21"/>
          <w:highlight w:val="none"/>
        </w:rPr>
      </w:pPr>
      <w:r>
        <w:rPr>
          <w:rFonts w:hint="eastAsia" w:cs="宋体"/>
          <w:color w:val="auto"/>
          <w:kern w:val="0"/>
          <w:szCs w:val="21"/>
          <w:highlight w:val="none"/>
        </w:rPr>
        <w:t>我单位具有履行合同所必需的设备和专业技术能力；</w:t>
      </w:r>
    </w:p>
    <w:p>
      <w:pPr>
        <w:keepNext w:val="0"/>
        <w:keepLines w:val="0"/>
        <w:pageBreakBefore w:val="0"/>
        <w:widowControl w:val="0"/>
        <w:numPr>
          <w:ilvl w:val="0"/>
          <w:numId w:val="13"/>
        </w:numPr>
        <w:kinsoku/>
        <w:wordWrap/>
        <w:overflowPunct/>
        <w:topLinePunct w:val="0"/>
        <w:autoSpaceDE/>
        <w:autoSpaceDN/>
        <w:bidi w:val="0"/>
        <w:snapToGrid/>
        <w:spacing w:line="360" w:lineRule="auto"/>
        <w:ind w:firstLine="420" w:firstLineChars="200"/>
        <w:contextualSpacing/>
        <w:outlineLvl w:val="9"/>
        <w:rPr>
          <w:rFonts w:cs="宋体"/>
          <w:color w:val="auto"/>
          <w:kern w:val="0"/>
          <w:szCs w:val="21"/>
          <w:highlight w:val="none"/>
        </w:rPr>
      </w:pPr>
      <w:r>
        <w:rPr>
          <w:rFonts w:hint="eastAsia" w:cs="宋体"/>
          <w:color w:val="auto"/>
          <w:kern w:val="0"/>
          <w:szCs w:val="21"/>
          <w:highlight w:val="none"/>
        </w:rPr>
        <w:t>我单位有依法缴纳税收和社会保障资金的良好记录；</w:t>
      </w:r>
    </w:p>
    <w:p>
      <w:pPr>
        <w:keepNext w:val="0"/>
        <w:keepLines w:val="0"/>
        <w:pageBreakBefore w:val="0"/>
        <w:widowControl w:val="0"/>
        <w:numPr>
          <w:ilvl w:val="0"/>
          <w:numId w:val="13"/>
        </w:numPr>
        <w:kinsoku/>
        <w:wordWrap/>
        <w:overflowPunct/>
        <w:topLinePunct w:val="0"/>
        <w:autoSpaceDE/>
        <w:autoSpaceDN/>
        <w:bidi w:val="0"/>
        <w:snapToGrid/>
        <w:spacing w:line="360" w:lineRule="auto"/>
        <w:ind w:firstLine="420" w:firstLineChars="200"/>
        <w:contextualSpacing/>
        <w:outlineLvl w:val="9"/>
        <w:rPr>
          <w:rFonts w:cs="宋体"/>
          <w:color w:val="auto"/>
          <w:kern w:val="0"/>
          <w:szCs w:val="21"/>
          <w:highlight w:val="none"/>
        </w:rPr>
      </w:pPr>
      <w:r>
        <w:rPr>
          <w:rFonts w:hint="eastAsia" w:cs="宋体"/>
          <w:color w:val="auto"/>
          <w:kern w:val="0"/>
          <w:szCs w:val="21"/>
          <w:highlight w:val="none"/>
        </w:rPr>
        <w:t>参加政府采购活动前3年内在经营活动中没有重大违法记录；</w:t>
      </w:r>
    </w:p>
    <w:p>
      <w:pPr>
        <w:keepNext w:val="0"/>
        <w:keepLines w:val="0"/>
        <w:pageBreakBefore w:val="0"/>
        <w:widowControl w:val="0"/>
        <w:numPr>
          <w:ilvl w:val="0"/>
          <w:numId w:val="13"/>
        </w:numPr>
        <w:kinsoku/>
        <w:wordWrap/>
        <w:overflowPunct/>
        <w:topLinePunct w:val="0"/>
        <w:autoSpaceDE/>
        <w:autoSpaceDN/>
        <w:bidi w:val="0"/>
        <w:snapToGrid/>
        <w:spacing w:line="360" w:lineRule="auto"/>
        <w:ind w:firstLine="420" w:firstLineChars="200"/>
        <w:contextualSpacing/>
        <w:outlineLvl w:val="9"/>
        <w:rPr>
          <w:rFonts w:cs="Arial"/>
          <w:bCs/>
          <w:color w:val="auto"/>
          <w:szCs w:val="21"/>
          <w:highlight w:val="none"/>
        </w:rPr>
      </w:pPr>
      <w:r>
        <w:rPr>
          <w:rFonts w:hint="eastAsia" w:cs="宋体"/>
          <w:bCs/>
          <w:color w:val="auto"/>
          <w:szCs w:val="21"/>
          <w:highlight w:val="none"/>
        </w:rPr>
        <w:t>我单位符合以下条件：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contextualSpacing/>
        <w:textAlignment w:val="baseline"/>
        <w:outlineLvl w:val="9"/>
        <w:rPr>
          <w:rFonts w:cs="Arial"/>
          <w:bCs/>
          <w:color w:val="auto"/>
          <w:szCs w:val="21"/>
          <w:highlight w:val="none"/>
        </w:rPr>
      </w:pPr>
      <w:r>
        <w:rPr>
          <w:rFonts w:hint="eastAsia" w:cs="Arial"/>
          <w:bCs/>
          <w:color w:val="auto"/>
          <w:szCs w:val="21"/>
          <w:highlight w:val="none"/>
        </w:rPr>
        <w:t>1）单位负责人为同一人或者存在直接控股、管理关系的不同</w:t>
      </w:r>
      <w:r>
        <w:rPr>
          <w:rFonts w:hint="eastAsia" w:ascii="宋体" w:hAnsi="宋体" w:cs="宋体"/>
          <w:i w:val="0"/>
          <w:color w:val="auto"/>
          <w:sz w:val="21"/>
          <w:szCs w:val="21"/>
          <w:highlight w:val="none"/>
          <w:lang w:val="en-US" w:eastAsia="zh-CN"/>
        </w:rPr>
        <w:t>供应商</w:t>
      </w:r>
      <w:r>
        <w:rPr>
          <w:rFonts w:hint="eastAsia" w:cs="Arial"/>
          <w:bCs/>
          <w:color w:val="auto"/>
          <w:szCs w:val="21"/>
          <w:highlight w:val="none"/>
        </w:rPr>
        <w:t>，不得参加同一合同项下的政府采购活动。除单一来源采购项目外，为采购项目提供整体设计、规范编制或者项目管理、监理、检测等服务的</w:t>
      </w:r>
      <w:r>
        <w:rPr>
          <w:rFonts w:hint="eastAsia" w:ascii="宋体" w:hAnsi="宋体" w:cs="宋体"/>
          <w:i w:val="0"/>
          <w:color w:val="auto"/>
          <w:sz w:val="21"/>
          <w:szCs w:val="21"/>
          <w:highlight w:val="none"/>
          <w:lang w:val="en-US" w:eastAsia="zh-CN"/>
        </w:rPr>
        <w:t>供应商</w:t>
      </w:r>
      <w:r>
        <w:rPr>
          <w:rFonts w:hint="eastAsia" w:cs="Arial"/>
          <w:bCs/>
          <w:color w:val="auto"/>
          <w:szCs w:val="21"/>
          <w:highlight w:val="none"/>
        </w:rPr>
        <w:t>，不得再参加该采购项目的其他采购活动。</w:t>
      </w:r>
    </w:p>
    <w:p>
      <w:pPr>
        <w:keepNext w:val="0"/>
        <w:keepLines w:val="0"/>
        <w:pageBreakBefore w:val="0"/>
        <w:widowControl w:val="0"/>
        <w:kinsoku/>
        <w:wordWrap/>
        <w:overflowPunct/>
        <w:topLinePunct w:val="0"/>
        <w:autoSpaceDE/>
        <w:autoSpaceDN/>
        <w:bidi w:val="0"/>
        <w:snapToGrid/>
        <w:spacing w:line="360" w:lineRule="auto"/>
        <w:ind w:firstLine="517" w:firstLineChars="245"/>
        <w:contextualSpacing/>
        <w:outlineLvl w:val="9"/>
        <w:rPr>
          <w:b/>
          <w:bCs/>
          <w:color w:val="auto"/>
          <w:szCs w:val="21"/>
          <w:highlight w:val="none"/>
        </w:rPr>
      </w:pPr>
      <w:r>
        <w:rPr>
          <w:rFonts w:hint="eastAsia" w:cs="宋体"/>
          <w:b/>
          <w:color w:val="auto"/>
          <w:szCs w:val="21"/>
          <w:highlight w:val="none"/>
        </w:rPr>
        <w:t>特此承诺。</w:t>
      </w:r>
    </w:p>
    <w:p>
      <w:pPr>
        <w:keepNext w:val="0"/>
        <w:keepLines w:val="0"/>
        <w:pageBreakBefore w:val="0"/>
        <w:widowControl w:val="0"/>
        <w:kinsoku/>
        <w:wordWrap/>
        <w:overflowPunct/>
        <w:topLinePunct w:val="0"/>
        <w:autoSpaceDE/>
        <w:autoSpaceDN/>
        <w:bidi w:val="0"/>
        <w:snapToGrid/>
        <w:spacing w:line="360" w:lineRule="auto"/>
        <w:contextualSpacing/>
        <w:outlineLvl w:val="9"/>
        <w:rPr>
          <w:rFonts w:hint="eastAsia" w:ascii="宋体" w:hAnsi="宋体" w:cs="宋体"/>
          <w:b/>
          <w:bCs/>
          <w:color w:val="auto"/>
          <w:szCs w:val="21"/>
          <w:highlight w:val="none"/>
        </w:rPr>
      </w:pPr>
    </w:p>
    <w:p>
      <w:pPr>
        <w:keepNext w:val="0"/>
        <w:keepLines w:val="0"/>
        <w:pageBreakBefore w:val="0"/>
        <w:widowControl w:val="0"/>
        <w:kinsoku/>
        <w:wordWrap/>
        <w:overflowPunct/>
        <w:topLinePunct w:val="0"/>
        <w:autoSpaceDE/>
        <w:autoSpaceDN/>
        <w:bidi w:val="0"/>
        <w:snapToGrid/>
        <w:spacing w:line="360" w:lineRule="auto"/>
        <w:contextualSpacing/>
        <w:outlineLvl w:val="9"/>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snapToGrid/>
        <w:spacing w:line="360" w:lineRule="auto"/>
        <w:contextualSpacing/>
        <w:outlineLvl w:val="9"/>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snapToGrid/>
        <w:spacing w:line="360" w:lineRule="auto"/>
        <w:contextualSpacing/>
        <w:outlineLvl w:val="9"/>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snapToGrid/>
        <w:spacing w:line="360" w:lineRule="auto"/>
        <w:contextualSpacing/>
        <w:outlineLvl w:val="9"/>
        <w:rPr>
          <w:color w:val="auto"/>
          <w:szCs w:val="21"/>
          <w:highlight w:val="none"/>
        </w:rPr>
      </w:pPr>
      <w:r>
        <w:rPr>
          <w:rFonts w:hint="eastAsia" w:eastAsia="宋体"/>
          <w:color w:val="auto"/>
          <w:szCs w:val="21"/>
          <w:highlight w:val="none"/>
          <w:lang w:val="en-US" w:eastAsia="zh-CN"/>
        </w:rPr>
        <w:t>供应商</w:t>
      </w:r>
      <w:r>
        <w:rPr>
          <w:rFonts w:hint="eastAsia"/>
          <w:color w:val="auto"/>
          <w:szCs w:val="21"/>
          <w:highlight w:val="none"/>
        </w:rPr>
        <w:t>（盖章）：</w:t>
      </w:r>
    </w:p>
    <w:p>
      <w:pPr>
        <w:keepNext w:val="0"/>
        <w:keepLines w:val="0"/>
        <w:pageBreakBefore w:val="0"/>
        <w:widowControl w:val="0"/>
        <w:kinsoku/>
        <w:wordWrap/>
        <w:overflowPunct/>
        <w:topLinePunct w:val="0"/>
        <w:autoSpaceDE/>
        <w:autoSpaceDN/>
        <w:bidi w:val="0"/>
        <w:snapToGrid/>
        <w:spacing w:line="360" w:lineRule="auto"/>
        <w:contextualSpacing/>
        <w:outlineLvl w:val="9"/>
        <w:rPr>
          <w:color w:val="auto"/>
          <w:szCs w:val="21"/>
          <w:highlight w:val="none"/>
        </w:rPr>
      </w:pPr>
    </w:p>
    <w:p>
      <w:pPr>
        <w:keepNext w:val="0"/>
        <w:keepLines w:val="0"/>
        <w:pageBreakBefore w:val="0"/>
        <w:widowControl w:val="0"/>
        <w:kinsoku/>
        <w:wordWrap/>
        <w:overflowPunct/>
        <w:topLinePunct w:val="0"/>
        <w:autoSpaceDE/>
        <w:autoSpaceDN/>
        <w:bidi w:val="0"/>
        <w:snapToGrid/>
        <w:spacing w:line="360" w:lineRule="auto"/>
        <w:contextualSpacing/>
        <w:outlineLvl w:val="9"/>
        <w:rPr>
          <w:color w:val="auto"/>
          <w:szCs w:val="21"/>
          <w:highlight w:val="none"/>
        </w:rPr>
      </w:pPr>
      <w:r>
        <w:rPr>
          <w:rFonts w:hint="eastAsia"/>
          <w:color w:val="auto"/>
          <w:szCs w:val="21"/>
          <w:highlight w:val="none"/>
        </w:rPr>
        <w:t>法定代表人或授权代表人（签字或盖章）：</w:t>
      </w:r>
    </w:p>
    <w:p>
      <w:pPr>
        <w:keepNext w:val="0"/>
        <w:keepLines w:val="0"/>
        <w:pageBreakBefore w:val="0"/>
        <w:widowControl w:val="0"/>
        <w:kinsoku/>
        <w:wordWrap/>
        <w:overflowPunct/>
        <w:topLinePunct w:val="0"/>
        <w:autoSpaceDE/>
        <w:autoSpaceDN/>
        <w:bidi w:val="0"/>
        <w:snapToGrid/>
        <w:spacing w:line="360" w:lineRule="auto"/>
        <w:contextualSpacing/>
        <w:outlineLvl w:val="9"/>
        <w:rPr>
          <w:color w:val="auto"/>
          <w:szCs w:val="21"/>
          <w:highlight w:val="none"/>
        </w:rPr>
      </w:pPr>
    </w:p>
    <w:p>
      <w:pPr>
        <w:keepNext w:val="0"/>
        <w:keepLines w:val="0"/>
        <w:pageBreakBefore w:val="0"/>
        <w:widowControl w:val="0"/>
        <w:kinsoku/>
        <w:wordWrap/>
        <w:overflowPunct/>
        <w:topLinePunct w:val="0"/>
        <w:autoSpaceDE/>
        <w:autoSpaceDN/>
        <w:bidi w:val="0"/>
        <w:snapToGrid/>
        <w:spacing w:line="400" w:lineRule="exact"/>
        <w:outlineLvl w:val="9"/>
        <w:rPr>
          <w:rFonts w:hint="eastAsia" w:ascii="宋体" w:hAnsi="宋体" w:eastAsia="宋体"/>
          <w:color w:val="auto"/>
          <w:szCs w:val="21"/>
          <w:highlight w:val="none"/>
          <w:lang w:val="en-US" w:eastAsia="zh-CN"/>
        </w:rPr>
      </w:pPr>
      <w:r>
        <w:rPr>
          <w:rFonts w:hint="eastAsia"/>
          <w:color w:val="auto"/>
          <w:szCs w:val="21"/>
          <w:highlight w:val="none"/>
        </w:rPr>
        <w:t xml:space="preserve">日期：       年   月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日</w:t>
      </w:r>
    </w:p>
    <w:p>
      <w:pPr>
        <w:keepNext w:val="0"/>
        <w:keepLines w:val="0"/>
        <w:pageBreakBefore w:val="0"/>
        <w:widowControl w:val="0"/>
        <w:kinsoku/>
        <w:wordWrap/>
        <w:overflowPunct/>
        <w:topLinePunct w:val="0"/>
        <w:autoSpaceDE/>
        <w:autoSpaceDN/>
        <w:bidi w:val="0"/>
        <w:snapToGrid/>
        <w:spacing w:line="360" w:lineRule="auto"/>
        <w:ind w:firstLine="420" w:firstLineChars="200"/>
        <w:outlineLvl w:val="9"/>
        <w:rPr>
          <w:rFonts w:hint="eastAsia" w:ascii="宋体" w:hAnsi="宋体" w:cs="宋体"/>
          <w:color w:val="auto"/>
          <w:highlight w:val="none"/>
        </w:rPr>
      </w:pPr>
    </w:p>
    <w:p>
      <w:pPr>
        <w:keepNext w:val="0"/>
        <w:keepLines w:val="0"/>
        <w:pageBreakBefore w:val="0"/>
        <w:widowControl w:val="0"/>
        <w:kinsoku/>
        <w:wordWrap/>
        <w:overflowPunct/>
        <w:topLinePunct w:val="0"/>
        <w:autoSpaceDE/>
        <w:autoSpaceDN/>
        <w:bidi w:val="0"/>
        <w:snapToGrid/>
        <w:spacing w:line="360" w:lineRule="auto"/>
        <w:ind w:firstLine="420" w:firstLineChars="200"/>
        <w:outlineLvl w:val="9"/>
        <w:rPr>
          <w:rFonts w:hint="eastAsia" w:ascii="宋体" w:hAnsi="宋体" w:cs="宋体"/>
          <w:color w:val="auto"/>
          <w:highlight w:val="none"/>
        </w:rPr>
      </w:pPr>
    </w:p>
    <w:p>
      <w:pPr>
        <w:keepNext w:val="0"/>
        <w:keepLines w:val="0"/>
        <w:pageBreakBefore w:val="0"/>
        <w:widowControl w:val="0"/>
        <w:kinsoku/>
        <w:wordWrap/>
        <w:overflowPunct/>
        <w:topLinePunct w:val="0"/>
        <w:autoSpaceDE/>
        <w:autoSpaceDN/>
        <w:bidi w:val="0"/>
        <w:snapToGrid/>
        <w:spacing w:line="360" w:lineRule="auto"/>
        <w:jc w:val="left"/>
        <w:outlineLvl w:val="9"/>
        <w:rPr>
          <w:rFonts w:ascii="宋体" w:hAnsi="宋体" w:cs="RomanS"/>
          <w:b/>
          <w:color w:val="auto"/>
          <w:sz w:val="24"/>
          <w:szCs w:val="24"/>
          <w:highlight w:val="none"/>
        </w:rPr>
      </w:pPr>
    </w:p>
    <w:p>
      <w:pPr>
        <w:keepNext w:val="0"/>
        <w:keepLines w:val="0"/>
        <w:pageBreakBefore w:val="0"/>
        <w:widowControl w:val="0"/>
        <w:kinsoku/>
        <w:wordWrap/>
        <w:overflowPunct/>
        <w:topLinePunct w:val="0"/>
        <w:autoSpaceDE/>
        <w:autoSpaceDN/>
        <w:bidi w:val="0"/>
        <w:snapToGrid/>
        <w:spacing w:line="360" w:lineRule="auto"/>
        <w:jc w:val="left"/>
        <w:outlineLvl w:val="9"/>
        <w:rPr>
          <w:rFonts w:ascii="宋体" w:hAnsi="宋体" w:cs="RomanS"/>
          <w:b/>
          <w:color w:val="auto"/>
          <w:sz w:val="24"/>
          <w:szCs w:val="24"/>
          <w:highlight w:val="none"/>
        </w:rPr>
      </w:pPr>
    </w:p>
    <w:p>
      <w:pPr>
        <w:keepNext w:val="0"/>
        <w:keepLines w:val="0"/>
        <w:pageBreakBefore w:val="0"/>
        <w:widowControl w:val="0"/>
        <w:kinsoku/>
        <w:wordWrap/>
        <w:overflowPunct/>
        <w:topLinePunct w:val="0"/>
        <w:autoSpaceDE/>
        <w:autoSpaceDN/>
        <w:bidi w:val="0"/>
        <w:snapToGrid/>
        <w:spacing w:line="360" w:lineRule="auto"/>
        <w:jc w:val="left"/>
        <w:outlineLvl w:val="9"/>
        <w:rPr>
          <w:rFonts w:ascii="宋体" w:hAnsi="宋体" w:cs="RomanS"/>
          <w:b/>
          <w:color w:val="auto"/>
          <w:sz w:val="24"/>
          <w:szCs w:val="24"/>
          <w:highlight w:val="none"/>
        </w:rPr>
      </w:pPr>
    </w:p>
    <w:p>
      <w:pPr>
        <w:keepNext w:val="0"/>
        <w:keepLines w:val="0"/>
        <w:pageBreakBefore w:val="0"/>
        <w:widowControl w:val="0"/>
        <w:kinsoku/>
        <w:wordWrap/>
        <w:overflowPunct/>
        <w:topLinePunct w:val="0"/>
        <w:autoSpaceDE/>
        <w:autoSpaceDN/>
        <w:bidi w:val="0"/>
        <w:snapToGrid/>
        <w:spacing w:line="360" w:lineRule="auto"/>
        <w:jc w:val="left"/>
        <w:outlineLvl w:val="9"/>
        <w:rPr>
          <w:rFonts w:ascii="宋体" w:hAnsi="宋体" w:cs="RomanS"/>
          <w:b/>
          <w:color w:val="auto"/>
          <w:sz w:val="24"/>
          <w:szCs w:val="24"/>
          <w:highlight w:val="none"/>
        </w:rPr>
      </w:pPr>
    </w:p>
    <w:p>
      <w:pPr>
        <w:keepNext w:val="0"/>
        <w:keepLines w:val="0"/>
        <w:pageBreakBefore w:val="0"/>
        <w:widowControl w:val="0"/>
        <w:kinsoku/>
        <w:wordWrap/>
        <w:overflowPunct/>
        <w:topLinePunct w:val="0"/>
        <w:autoSpaceDE/>
        <w:autoSpaceDN/>
        <w:bidi w:val="0"/>
        <w:snapToGrid/>
        <w:spacing w:line="360" w:lineRule="auto"/>
        <w:jc w:val="left"/>
        <w:outlineLvl w:val="9"/>
        <w:rPr>
          <w:rFonts w:ascii="宋体" w:hAnsi="宋体" w:cs="RomanS"/>
          <w:b/>
          <w:color w:val="auto"/>
          <w:sz w:val="24"/>
          <w:szCs w:val="24"/>
          <w:highlight w:val="none"/>
        </w:rPr>
      </w:pPr>
    </w:p>
    <w:p>
      <w:pPr>
        <w:keepNext w:val="0"/>
        <w:keepLines w:val="0"/>
        <w:pageBreakBefore w:val="0"/>
        <w:widowControl w:val="0"/>
        <w:kinsoku/>
        <w:wordWrap/>
        <w:overflowPunct/>
        <w:topLinePunct w:val="0"/>
        <w:autoSpaceDE/>
        <w:autoSpaceDN/>
        <w:bidi w:val="0"/>
        <w:snapToGrid/>
        <w:spacing w:line="360" w:lineRule="auto"/>
        <w:jc w:val="left"/>
        <w:outlineLvl w:val="9"/>
        <w:rPr>
          <w:rFonts w:ascii="宋体" w:hAnsi="宋体" w:cs="RomanS"/>
          <w:b/>
          <w:color w:val="auto"/>
          <w:sz w:val="24"/>
          <w:szCs w:val="24"/>
          <w:highlight w:val="none"/>
        </w:rPr>
      </w:pPr>
    </w:p>
    <w:p>
      <w:pPr>
        <w:keepNext w:val="0"/>
        <w:keepLines w:val="0"/>
        <w:pageBreakBefore w:val="0"/>
        <w:widowControl w:val="0"/>
        <w:kinsoku/>
        <w:wordWrap/>
        <w:overflowPunct/>
        <w:topLinePunct w:val="0"/>
        <w:autoSpaceDE/>
        <w:autoSpaceDN/>
        <w:bidi w:val="0"/>
        <w:snapToGrid/>
        <w:spacing w:line="360" w:lineRule="auto"/>
        <w:jc w:val="left"/>
        <w:outlineLvl w:val="9"/>
        <w:rPr>
          <w:rFonts w:ascii="宋体" w:hAnsi="宋体" w:cs="RomanS"/>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ascii="宋体" w:hAnsi="宋体" w:cs="RomanS"/>
          <w:b/>
          <w:color w:val="auto"/>
          <w:sz w:val="24"/>
          <w:szCs w:val="24"/>
          <w:highlight w:val="none"/>
        </w:rPr>
      </w:pPr>
      <w:r>
        <w:rPr>
          <w:rFonts w:hint="eastAsia" w:ascii="宋体" w:hAnsi="宋体" w:cs="RomanS"/>
          <w:b/>
          <w:color w:val="auto"/>
          <w:sz w:val="24"/>
          <w:szCs w:val="24"/>
          <w:highlight w:val="none"/>
          <w:lang w:val="en-US" w:eastAsia="zh-CN"/>
        </w:rPr>
        <w:t>4</w:t>
      </w:r>
      <w:r>
        <w:rPr>
          <w:rFonts w:hint="eastAsia" w:ascii="宋体" w:hAnsi="宋体" w:cs="RomanS"/>
          <w:b/>
          <w:color w:val="auto"/>
          <w:sz w:val="24"/>
          <w:szCs w:val="24"/>
          <w:highlight w:val="none"/>
        </w:rPr>
        <w:t>、中小企业声明函格式</w:t>
      </w:r>
    </w:p>
    <w:p>
      <w:pPr>
        <w:spacing w:line="360" w:lineRule="auto"/>
        <w:jc w:val="center"/>
        <w:rPr>
          <w:rFonts w:hint="eastAsia" w:ascii="宋体" w:hAnsi="宋体" w:cs="宋体"/>
          <w:b/>
          <w:bCs/>
          <w:color w:val="auto"/>
          <w:sz w:val="32"/>
          <w:szCs w:val="32"/>
          <w:highlight w:val="none"/>
        </w:rPr>
      </w:pPr>
    </w:p>
    <w:p>
      <w:pPr>
        <w:spacing w:line="360" w:lineRule="auto"/>
        <w:jc w:val="center"/>
        <w:rPr>
          <w:rFonts w:ascii="宋体" w:hAnsi="宋体"/>
          <w:b/>
          <w:bCs/>
          <w:color w:val="auto"/>
          <w:sz w:val="28"/>
          <w:szCs w:val="28"/>
          <w:highlight w:val="none"/>
        </w:rPr>
      </w:pPr>
      <w:r>
        <w:rPr>
          <w:rFonts w:hint="eastAsia" w:ascii="宋体" w:hAnsi="宋体" w:cs="宋体"/>
          <w:b/>
          <w:bCs/>
          <w:color w:val="auto"/>
          <w:sz w:val="32"/>
          <w:szCs w:val="32"/>
          <w:highlight w:val="none"/>
        </w:rPr>
        <w:t>中小企业声明函</w:t>
      </w:r>
    </w:p>
    <w:p>
      <w:pPr>
        <w:widowControl/>
        <w:spacing w:before="100" w:beforeAutospacing="1" w:after="100" w:afterAutospacing="1" w:line="360" w:lineRule="auto"/>
        <w:jc w:val="left"/>
        <w:rPr>
          <w:rFonts w:ascii="宋体" w:hAnsi="宋体"/>
          <w:color w:val="auto"/>
          <w:kern w:val="0"/>
          <w:highlight w:val="none"/>
        </w:rPr>
      </w:pPr>
      <w:r>
        <w:rPr>
          <w:rFonts w:hint="eastAsia" w:ascii="宋体" w:hAnsi="宋体" w:cs="宋体"/>
          <w:color w:val="auto"/>
          <w:kern w:val="0"/>
          <w:sz w:val="24"/>
          <w:szCs w:val="24"/>
          <w:highlight w:val="none"/>
        </w:rPr>
        <w:t>　　</w:t>
      </w:r>
      <w:r>
        <w:rPr>
          <w:rFonts w:hint="eastAsia" w:ascii="宋体" w:hAnsi="宋体" w:cs="宋体"/>
          <w:color w:val="auto"/>
          <w:kern w:val="0"/>
          <w:highlight w:val="none"/>
        </w:rPr>
        <w:t>根据财政部《政府采购促进中小企业发展暂行办法》（财库</w:t>
      </w:r>
      <w:r>
        <w:rPr>
          <w:rFonts w:ascii="宋体" w:hAnsi="宋体" w:cs="宋体"/>
          <w:color w:val="auto"/>
          <w:kern w:val="0"/>
          <w:highlight w:val="none"/>
        </w:rPr>
        <w:t>[2011]181</w:t>
      </w:r>
      <w:r>
        <w:rPr>
          <w:rFonts w:hint="eastAsia" w:ascii="宋体" w:hAnsi="宋体" w:cs="宋体"/>
          <w:color w:val="auto"/>
          <w:kern w:val="0"/>
          <w:highlight w:val="none"/>
        </w:rPr>
        <w:t>号）和宁波市财政局《关于政府采购促进中小企业发展若干问题的通知》（甬采购办</w:t>
      </w:r>
      <w:r>
        <w:rPr>
          <w:rFonts w:ascii="宋体" w:hAnsi="宋体" w:cs="宋体"/>
          <w:color w:val="auto"/>
          <w:kern w:val="0"/>
          <w:highlight w:val="none"/>
        </w:rPr>
        <w:t>[2012]1427</w:t>
      </w:r>
      <w:r>
        <w:rPr>
          <w:rFonts w:hint="eastAsia" w:ascii="宋体" w:hAnsi="宋体" w:cs="宋体"/>
          <w:color w:val="auto"/>
          <w:kern w:val="0"/>
          <w:highlight w:val="none"/>
        </w:rPr>
        <w:t>号）的规定，本单位郑重声明：</w:t>
      </w:r>
    </w:p>
    <w:p>
      <w:pPr>
        <w:widowControl/>
        <w:spacing w:before="100" w:beforeAutospacing="1" w:after="100" w:afterAutospacing="1" w:line="360" w:lineRule="auto"/>
        <w:jc w:val="left"/>
        <w:rPr>
          <w:rFonts w:hint="default" w:ascii="宋体" w:hAnsi="宋体" w:eastAsia="宋体"/>
          <w:color w:val="auto"/>
          <w:kern w:val="0"/>
          <w:highlight w:val="none"/>
          <w:lang w:val="en-US" w:eastAsia="zh-CN"/>
        </w:rPr>
      </w:pPr>
      <w:r>
        <w:rPr>
          <w:rFonts w:hint="eastAsia" w:ascii="宋体" w:hAnsi="宋体" w:cs="宋体"/>
          <w:color w:val="auto"/>
          <w:kern w:val="0"/>
          <w:highlight w:val="none"/>
        </w:rPr>
        <w:t>　　</w:t>
      </w:r>
      <w:r>
        <w:rPr>
          <w:rFonts w:ascii="宋体" w:hAnsi="宋体" w:cs="宋体"/>
          <w:color w:val="auto"/>
          <w:kern w:val="0"/>
          <w:highlight w:val="none"/>
        </w:rPr>
        <w:t>1.</w:t>
      </w:r>
      <w:r>
        <w:rPr>
          <w:rFonts w:hint="eastAsia" w:ascii="宋体" w:hAnsi="宋体" w:cs="宋体"/>
          <w:color w:val="auto"/>
          <w:kern w:val="0"/>
          <w:highlight w:val="none"/>
        </w:rPr>
        <w:t>依据工业和信息化部、国家统计局、国家发展和改革委员会、财政部《关于印发中小企业划型标准规定的通知》（工信部联企业</w:t>
      </w:r>
      <w:r>
        <w:rPr>
          <w:rFonts w:ascii="宋体" w:hAnsi="宋体" w:cs="宋体"/>
          <w:color w:val="auto"/>
          <w:kern w:val="0"/>
          <w:highlight w:val="none"/>
        </w:rPr>
        <w:t>[2011]300</w:t>
      </w:r>
      <w:r>
        <w:rPr>
          <w:rFonts w:hint="eastAsia" w:ascii="宋体" w:hAnsi="宋体" w:cs="宋体"/>
          <w:color w:val="auto"/>
          <w:kern w:val="0"/>
          <w:highlight w:val="none"/>
        </w:rPr>
        <w:t>号）规定的划分标准，本单位为</w:t>
      </w:r>
      <w:r>
        <w:rPr>
          <w:rFonts w:ascii="宋体" w:hAnsi="宋体" w:cs="宋体"/>
          <w:color w:val="auto"/>
          <w:kern w:val="0"/>
          <w:highlight w:val="none"/>
        </w:rPr>
        <w:t>______</w:t>
      </w:r>
      <w:r>
        <w:rPr>
          <w:rFonts w:hint="eastAsia" w:ascii="宋体" w:hAnsi="宋体" w:cs="宋体"/>
          <w:color w:val="auto"/>
          <w:kern w:val="0"/>
          <w:highlight w:val="none"/>
        </w:rPr>
        <w:t>（大型、中型、小型、微型、不划型）企业，其中所属行业为</w:t>
      </w:r>
      <w:r>
        <w:rPr>
          <w:rFonts w:hint="eastAsia" w:ascii="宋体" w:hAnsi="宋体" w:cs="宋体"/>
          <w:b/>
          <w:bCs/>
          <w:color w:val="auto"/>
          <w:kern w:val="0"/>
          <w:highlight w:val="none"/>
          <w:u w:val="single"/>
          <w:lang w:val="en-US" w:eastAsia="zh-CN"/>
        </w:rPr>
        <w:t>软件和信息技术服务业</w:t>
      </w:r>
      <w:r>
        <w:rPr>
          <w:rFonts w:hint="eastAsia" w:ascii="宋体" w:hAnsi="宋体" w:cs="宋体"/>
          <w:color w:val="auto"/>
          <w:kern w:val="0"/>
          <w:highlight w:val="none"/>
        </w:rPr>
        <w:t>、上年末从业人员</w:t>
      </w:r>
      <w:r>
        <w:rPr>
          <w:rFonts w:ascii="宋体" w:hAnsi="宋体" w:cs="宋体"/>
          <w:color w:val="auto"/>
          <w:kern w:val="0"/>
          <w:highlight w:val="none"/>
        </w:rPr>
        <w:t>____</w:t>
      </w:r>
      <w:r>
        <w:rPr>
          <w:rFonts w:hint="eastAsia" w:ascii="宋体" w:hAnsi="宋体" w:cs="宋体"/>
          <w:color w:val="auto"/>
          <w:kern w:val="0"/>
          <w:highlight w:val="none"/>
        </w:rPr>
        <w:t>人、上年营业收入</w:t>
      </w:r>
      <w:r>
        <w:rPr>
          <w:rFonts w:ascii="宋体" w:hAnsi="宋体" w:cs="宋体"/>
          <w:color w:val="auto"/>
          <w:kern w:val="0"/>
          <w:highlight w:val="none"/>
        </w:rPr>
        <w:t>____</w:t>
      </w:r>
      <w:r>
        <w:rPr>
          <w:rFonts w:hint="eastAsia" w:ascii="宋体" w:hAnsi="宋体" w:cs="宋体"/>
          <w:color w:val="auto"/>
          <w:kern w:val="0"/>
          <w:highlight w:val="none"/>
        </w:rPr>
        <w:t>万元、上年资产总额</w:t>
      </w:r>
      <w:r>
        <w:rPr>
          <w:rFonts w:ascii="宋体" w:hAnsi="宋体" w:cs="宋体"/>
          <w:color w:val="auto"/>
          <w:kern w:val="0"/>
          <w:highlight w:val="none"/>
        </w:rPr>
        <w:t>____</w:t>
      </w:r>
      <w:r>
        <w:rPr>
          <w:rFonts w:hint="eastAsia" w:ascii="宋体" w:hAnsi="宋体" w:cs="宋体"/>
          <w:color w:val="auto"/>
          <w:kern w:val="0"/>
          <w:highlight w:val="none"/>
        </w:rPr>
        <w:t>万元</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本次产品生产的企业为</w:t>
      </w:r>
      <w:r>
        <w:rPr>
          <w:rFonts w:ascii="宋体" w:hAnsi="宋体" w:cs="宋体"/>
          <w:color w:val="auto"/>
          <w:kern w:val="0"/>
          <w:highlight w:val="none"/>
        </w:rPr>
        <w:t>______</w:t>
      </w:r>
      <w:r>
        <w:rPr>
          <w:rFonts w:hint="eastAsia" w:ascii="宋体" w:hAnsi="宋体" w:cs="宋体"/>
          <w:color w:val="auto"/>
          <w:kern w:val="0"/>
          <w:highlight w:val="none"/>
        </w:rPr>
        <w:t>（大型、中型、小型、微型、不划型）企业</w:t>
      </w:r>
      <w:r>
        <w:rPr>
          <w:rFonts w:hint="eastAsia" w:ascii="宋体" w:hAnsi="宋体" w:cs="宋体"/>
          <w:color w:val="auto"/>
          <w:kern w:val="0"/>
          <w:highlight w:val="none"/>
          <w:lang w:eastAsia="zh-CN"/>
        </w:rPr>
        <w:t>。</w:t>
      </w:r>
    </w:p>
    <w:p>
      <w:pPr>
        <w:widowControl/>
        <w:spacing w:before="100" w:beforeAutospacing="1" w:after="100" w:afterAutospacing="1" w:line="360" w:lineRule="auto"/>
        <w:jc w:val="left"/>
        <w:rPr>
          <w:rFonts w:ascii="宋体" w:hAnsi="宋体"/>
          <w:color w:val="auto"/>
          <w:kern w:val="0"/>
          <w:highlight w:val="none"/>
        </w:rPr>
      </w:pPr>
      <w:r>
        <w:rPr>
          <w:rFonts w:hint="eastAsia" w:ascii="宋体" w:hAnsi="宋体" w:cs="宋体"/>
          <w:color w:val="auto"/>
          <w:kern w:val="0"/>
          <w:highlight w:val="none"/>
        </w:rPr>
        <w:t>　　</w:t>
      </w:r>
      <w:r>
        <w:rPr>
          <w:rFonts w:ascii="宋体" w:hAnsi="宋体" w:cs="宋体"/>
          <w:color w:val="auto"/>
          <w:kern w:val="0"/>
          <w:highlight w:val="none"/>
        </w:rPr>
        <w:t>2.</w:t>
      </w:r>
      <w:r>
        <w:rPr>
          <w:rFonts w:hint="eastAsia" w:ascii="宋体" w:hAnsi="宋体" w:cs="宋体"/>
          <w:color w:val="auto"/>
          <w:kern w:val="0"/>
          <w:highlight w:val="none"/>
        </w:rPr>
        <w:t>本单位参加</w:t>
      </w:r>
      <w:r>
        <w:rPr>
          <w:rFonts w:ascii="宋体" w:hAnsi="宋体" w:cs="宋体"/>
          <w:color w:val="auto"/>
          <w:kern w:val="0"/>
          <w:highlight w:val="none"/>
        </w:rPr>
        <w:t>______</w:t>
      </w:r>
      <w:r>
        <w:rPr>
          <w:rFonts w:hint="eastAsia" w:ascii="宋体" w:hAnsi="宋体" w:cs="宋体"/>
          <w:color w:val="auto"/>
          <w:kern w:val="0"/>
          <w:highlight w:val="none"/>
        </w:rPr>
        <w:t>项目（项目编号</w:t>
      </w:r>
      <w:r>
        <w:rPr>
          <w:rFonts w:ascii="宋体" w:hAnsi="宋体" w:cs="宋体"/>
          <w:color w:val="auto"/>
          <w:kern w:val="0"/>
          <w:highlight w:val="none"/>
        </w:rPr>
        <w:t>______</w:t>
      </w:r>
      <w:r>
        <w:rPr>
          <w:rFonts w:hint="eastAsia" w:ascii="宋体" w:hAnsi="宋体" w:cs="宋体"/>
          <w:color w:val="auto"/>
          <w:kern w:val="0"/>
          <w:highlight w:val="none"/>
        </w:rPr>
        <w:t>标段</w:t>
      </w:r>
      <w:r>
        <w:rPr>
          <w:rFonts w:ascii="宋体" w:hAnsi="宋体" w:cs="宋体"/>
          <w:color w:val="auto"/>
          <w:kern w:val="0"/>
          <w:highlight w:val="none"/>
        </w:rPr>
        <w:t>/</w:t>
      </w:r>
      <w:r>
        <w:rPr>
          <w:rFonts w:hint="eastAsia" w:ascii="宋体" w:hAnsi="宋体" w:cs="宋体"/>
          <w:color w:val="auto"/>
          <w:kern w:val="0"/>
          <w:highlight w:val="none"/>
        </w:rPr>
        <w:t>包</w:t>
      </w:r>
      <w:r>
        <w:rPr>
          <w:rFonts w:ascii="宋体" w:hAnsi="宋体" w:cs="宋体"/>
          <w:color w:val="auto"/>
          <w:kern w:val="0"/>
          <w:highlight w:val="none"/>
        </w:rPr>
        <w:t>______</w:t>
      </w:r>
      <w:r>
        <w:rPr>
          <w:rFonts w:hint="eastAsia" w:ascii="宋体" w:hAnsi="宋体" w:cs="宋体"/>
          <w:color w:val="auto"/>
          <w:kern w:val="0"/>
          <w:highlight w:val="none"/>
        </w:rPr>
        <w:t>）采购活动，项目的市场价格为</w:t>
      </w:r>
      <w:r>
        <w:rPr>
          <w:rFonts w:ascii="宋体" w:hAnsi="宋体" w:cs="宋体"/>
          <w:color w:val="auto"/>
          <w:kern w:val="0"/>
          <w:highlight w:val="none"/>
        </w:rPr>
        <w:t>_____</w:t>
      </w:r>
      <w:r>
        <w:rPr>
          <w:rFonts w:hint="eastAsia" w:ascii="宋体" w:hAnsi="宋体" w:cs="宋体"/>
          <w:color w:val="auto"/>
          <w:kern w:val="0"/>
          <w:highlight w:val="none"/>
        </w:rPr>
        <w:t>万元，本次投标价格为</w:t>
      </w:r>
      <w:r>
        <w:rPr>
          <w:rFonts w:ascii="宋体" w:hAnsi="宋体" w:cs="宋体"/>
          <w:color w:val="auto"/>
          <w:kern w:val="0"/>
          <w:highlight w:val="none"/>
        </w:rPr>
        <w:t>_____</w:t>
      </w:r>
      <w:r>
        <w:rPr>
          <w:rFonts w:hint="eastAsia" w:ascii="宋体" w:hAnsi="宋体" w:cs="宋体"/>
          <w:color w:val="auto"/>
          <w:kern w:val="0"/>
          <w:highlight w:val="none"/>
        </w:rPr>
        <w:t>万元，其中由本单位承担工程金额为</w:t>
      </w:r>
      <w:r>
        <w:rPr>
          <w:rFonts w:ascii="宋体" w:hAnsi="宋体" w:cs="宋体"/>
          <w:color w:val="auto"/>
          <w:kern w:val="0"/>
          <w:highlight w:val="none"/>
        </w:rPr>
        <w:t>_____</w:t>
      </w:r>
      <w:r>
        <w:rPr>
          <w:rFonts w:hint="eastAsia" w:ascii="宋体" w:hAnsi="宋体" w:cs="宋体"/>
          <w:color w:val="auto"/>
          <w:kern w:val="0"/>
          <w:highlight w:val="none"/>
        </w:rPr>
        <w:t>万元，由本单位提供服务金额为</w:t>
      </w:r>
      <w:r>
        <w:rPr>
          <w:rFonts w:ascii="宋体" w:hAnsi="宋体" w:cs="宋体"/>
          <w:color w:val="auto"/>
          <w:kern w:val="0"/>
          <w:highlight w:val="none"/>
        </w:rPr>
        <w:t>_____</w:t>
      </w:r>
      <w:r>
        <w:rPr>
          <w:rFonts w:hint="eastAsia" w:ascii="宋体" w:hAnsi="宋体" w:cs="宋体"/>
          <w:color w:val="auto"/>
          <w:kern w:val="0"/>
          <w:highlight w:val="none"/>
        </w:rPr>
        <w:t>万元，提供本单位制造的货物金额为</w:t>
      </w:r>
      <w:r>
        <w:rPr>
          <w:rFonts w:ascii="宋体" w:hAnsi="宋体" w:cs="宋体"/>
          <w:color w:val="auto"/>
          <w:kern w:val="0"/>
          <w:highlight w:val="none"/>
        </w:rPr>
        <w:t>_____</w:t>
      </w:r>
      <w:r>
        <w:rPr>
          <w:rFonts w:hint="eastAsia" w:ascii="宋体" w:hAnsi="宋体" w:cs="宋体"/>
          <w:color w:val="auto"/>
          <w:kern w:val="0"/>
          <w:highlight w:val="none"/>
        </w:rPr>
        <w:t>万元，或者提供其他大型企业制造的货物金额为</w:t>
      </w:r>
      <w:r>
        <w:rPr>
          <w:rFonts w:ascii="宋体" w:hAnsi="宋体" w:cs="宋体"/>
          <w:color w:val="auto"/>
          <w:kern w:val="0"/>
          <w:highlight w:val="none"/>
        </w:rPr>
        <w:t>_____</w:t>
      </w:r>
      <w:r>
        <w:rPr>
          <w:rFonts w:hint="eastAsia" w:ascii="宋体" w:hAnsi="宋体" w:cs="宋体"/>
          <w:color w:val="auto"/>
          <w:kern w:val="0"/>
          <w:highlight w:val="none"/>
        </w:rPr>
        <w:t>万元、其他中型企业制造的货物金额为</w:t>
      </w:r>
      <w:r>
        <w:rPr>
          <w:rFonts w:ascii="宋体" w:hAnsi="宋体" w:cs="宋体"/>
          <w:color w:val="auto"/>
          <w:kern w:val="0"/>
          <w:highlight w:val="none"/>
        </w:rPr>
        <w:t>_____</w:t>
      </w:r>
      <w:r>
        <w:rPr>
          <w:rFonts w:hint="eastAsia" w:ascii="宋体" w:hAnsi="宋体" w:cs="宋体"/>
          <w:color w:val="auto"/>
          <w:kern w:val="0"/>
          <w:highlight w:val="none"/>
        </w:rPr>
        <w:t>万元、其他小型企业制造的货物金额为</w:t>
      </w:r>
      <w:r>
        <w:rPr>
          <w:rFonts w:ascii="宋体" w:hAnsi="宋体" w:cs="宋体"/>
          <w:color w:val="auto"/>
          <w:kern w:val="0"/>
          <w:highlight w:val="none"/>
        </w:rPr>
        <w:t>_____</w:t>
      </w:r>
      <w:r>
        <w:rPr>
          <w:rFonts w:hint="eastAsia" w:ascii="宋体" w:hAnsi="宋体" w:cs="宋体"/>
          <w:color w:val="auto"/>
          <w:kern w:val="0"/>
          <w:highlight w:val="none"/>
        </w:rPr>
        <w:t>万元、其他微型企业制造的货物金额为</w:t>
      </w:r>
      <w:r>
        <w:rPr>
          <w:rFonts w:ascii="宋体" w:hAnsi="宋体" w:cs="宋体"/>
          <w:color w:val="auto"/>
          <w:kern w:val="0"/>
          <w:highlight w:val="none"/>
        </w:rPr>
        <w:t>_____</w:t>
      </w:r>
      <w:r>
        <w:rPr>
          <w:rFonts w:hint="eastAsia" w:ascii="宋体" w:hAnsi="宋体" w:cs="宋体"/>
          <w:color w:val="auto"/>
          <w:kern w:val="0"/>
          <w:highlight w:val="none"/>
        </w:rPr>
        <w:t>万元。原产地为中国境内货物金额为</w:t>
      </w:r>
      <w:r>
        <w:rPr>
          <w:rFonts w:ascii="宋体" w:hAnsi="宋体" w:cs="宋体"/>
          <w:color w:val="auto"/>
          <w:kern w:val="0"/>
          <w:highlight w:val="none"/>
        </w:rPr>
        <w:t>_____</w:t>
      </w:r>
      <w:r>
        <w:rPr>
          <w:rFonts w:hint="eastAsia" w:ascii="宋体" w:hAnsi="宋体" w:cs="宋体"/>
          <w:color w:val="auto"/>
          <w:kern w:val="0"/>
          <w:highlight w:val="none"/>
        </w:rPr>
        <w:t>万元、原产地为宁波货物金额为</w:t>
      </w:r>
      <w:r>
        <w:rPr>
          <w:rFonts w:ascii="宋体" w:hAnsi="宋体" w:cs="宋体"/>
          <w:color w:val="auto"/>
          <w:kern w:val="0"/>
          <w:highlight w:val="none"/>
        </w:rPr>
        <w:t>_____</w:t>
      </w:r>
      <w:r>
        <w:rPr>
          <w:rFonts w:hint="eastAsia" w:ascii="宋体" w:hAnsi="宋体" w:cs="宋体"/>
          <w:color w:val="auto"/>
          <w:kern w:val="0"/>
          <w:highlight w:val="none"/>
        </w:rPr>
        <w:t>万元，列入国家节能产品清单货物金额为</w:t>
      </w:r>
      <w:r>
        <w:rPr>
          <w:rFonts w:ascii="宋体" w:hAnsi="宋体" w:cs="宋体"/>
          <w:color w:val="auto"/>
          <w:kern w:val="0"/>
          <w:highlight w:val="none"/>
        </w:rPr>
        <w:t>_____</w:t>
      </w:r>
      <w:r>
        <w:rPr>
          <w:rFonts w:hint="eastAsia" w:ascii="宋体" w:hAnsi="宋体" w:cs="宋体"/>
          <w:color w:val="auto"/>
          <w:kern w:val="0"/>
          <w:highlight w:val="none"/>
        </w:rPr>
        <w:t>万元，列入国家环境标志产品清单货物金额为</w:t>
      </w:r>
      <w:r>
        <w:rPr>
          <w:rFonts w:ascii="宋体" w:hAnsi="宋体" w:cs="宋体"/>
          <w:color w:val="auto"/>
          <w:kern w:val="0"/>
          <w:highlight w:val="none"/>
        </w:rPr>
        <w:t>_____</w:t>
      </w:r>
      <w:r>
        <w:rPr>
          <w:rFonts w:hint="eastAsia" w:ascii="宋体" w:hAnsi="宋体" w:cs="宋体"/>
          <w:color w:val="auto"/>
          <w:kern w:val="0"/>
          <w:highlight w:val="none"/>
        </w:rPr>
        <w:t>万元。</w:t>
      </w:r>
    </w:p>
    <w:p>
      <w:pPr>
        <w:widowControl/>
        <w:spacing w:before="100" w:beforeAutospacing="1" w:after="100" w:afterAutospacing="1" w:line="360" w:lineRule="auto"/>
        <w:jc w:val="left"/>
        <w:rPr>
          <w:rFonts w:ascii="宋体" w:hAnsi="宋体"/>
          <w:color w:val="auto"/>
          <w:kern w:val="0"/>
          <w:highlight w:val="none"/>
        </w:rPr>
      </w:pPr>
      <w:r>
        <w:rPr>
          <w:rFonts w:hint="eastAsia" w:ascii="宋体" w:hAnsi="宋体" w:cs="宋体"/>
          <w:color w:val="auto"/>
          <w:kern w:val="0"/>
          <w:highlight w:val="none"/>
        </w:rPr>
        <w:t>　　本单位对上述声明的真实性负责。如有虚假，将依法承担相应责任。</w:t>
      </w:r>
    </w:p>
    <w:p>
      <w:pPr>
        <w:widowControl/>
        <w:spacing w:before="100" w:beforeAutospacing="1" w:after="100" w:afterAutospacing="1" w:line="360" w:lineRule="auto"/>
        <w:jc w:val="left"/>
        <w:rPr>
          <w:rFonts w:ascii="宋体" w:hAnsi="宋体"/>
          <w:color w:val="auto"/>
          <w:kern w:val="0"/>
          <w:highlight w:val="none"/>
          <w:u w:val="single"/>
        </w:rPr>
      </w:pPr>
      <w:r>
        <w:rPr>
          <w:rFonts w:hint="eastAsia" w:ascii="宋体" w:hAnsi="宋体" w:cs="宋体"/>
          <w:color w:val="auto"/>
          <w:kern w:val="0"/>
          <w:highlight w:val="none"/>
        </w:rPr>
        <w:t>　　供应商名称（盖章）：</w:t>
      </w:r>
      <w:r>
        <w:rPr>
          <w:rFonts w:ascii="宋体" w:hAnsi="宋体" w:cs="宋体"/>
          <w:color w:val="auto"/>
          <w:kern w:val="0"/>
          <w:highlight w:val="none"/>
          <w:u w:val="single"/>
        </w:rPr>
        <w:t xml:space="preserve">                          </w:t>
      </w:r>
    </w:p>
    <w:p>
      <w:pPr>
        <w:widowControl/>
        <w:spacing w:before="100" w:beforeAutospacing="1" w:after="100" w:afterAutospacing="1" w:line="360" w:lineRule="auto"/>
        <w:jc w:val="left"/>
        <w:rPr>
          <w:rFonts w:ascii="宋体" w:hAnsi="宋体"/>
          <w:color w:val="auto"/>
          <w:kern w:val="0"/>
          <w:highlight w:val="none"/>
        </w:rPr>
      </w:pPr>
      <w:r>
        <w:rPr>
          <w:rFonts w:hint="eastAsia" w:ascii="宋体" w:hAnsi="宋体" w:cs="宋体"/>
          <w:color w:val="auto"/>
          <w:kern w:val="0"/>
          <w:highlight w:val="none"/>
        </w:rPr>
        <w:t>　　日</w:t>
      </w:r>
      <w:r>
        <w:rPr>
          <w:rFonts w:ascii="宋体" w:hAnsi="宋体" w:cs="宋体"/>
          <w:color w:val="auto"/>
          <w:kern w:val="0"/>
          <w:highlight w:val="none"/>
        </w:rPr>
        <w:t xml:space="preserve">  </w:t>
      </w:r>
      <w:r>
        <w:rPr>
          <w:rFonts w:hint="eastAsia" w:ascii="宋体" w:hAnsi="宋体" w:cs="宋体"/>
          <w:color w:val="auto"/>
          <w:kern w:val="0"/>
          <w:highlight w:val="none"/>
        </w:rPr>
        <w:t>期：</w:t>
      </w:r>
    </w:p>
    <w:p>
      <w:pPr>
        <w:spacing w:before="240" w:line="360" w:lineRule="auto"/>
        <w:rPr>
          <w:rFonts w:ascii="宋体" w:hAnsi="宋体"/>
          <w:color w:val="auto"/>
          <w:highlight w:val="none"/>
        </w:rPr>
      </w:pPr>
      <w:r>
        <w:rPr>
          <w:rFonts w:ascii="宋体" w:hAnsi="宋体"/>
          <w:color w:val="auto"/>
          <w:highlight w:val="none"/>
        </w:rPr>
        <w:br w:type="page"/>
      </w:r>
      <w:r>
        <w:rPr>
          <w:rFonts w:hint="eastAsia" w:ascii="宋体" w:hAnsi="宋体" w:cs="宋体"/>
          <w:color w:val="auto"/>
          <w:highlight w:val="none"/>
        </w:rPr>
        <w:t>填写说明：</w:t>
      </w:r>
    </w:p>
    <w:p>
      <w:pPr>
        <w:spacing w:before="240" w:line="360" w:lineRule="auto"/>
        <w:rPr>
          <w:rFonts w:ascii="宋体" w:hAnsi="宋体"/>
          <w:color w:val="auto"/>
          <w:highlight w:val="none"/>
        </w:rPr>
      </w:pPr>
      <w:r>
        <w:rPr>
          <w:rFonts w:ascii="宋体" w:hAnsi="宋体" w:cs="宋体"/>
          <w:color w:val="auto"/>
          <w:highlight w:val="none"/>
        </w:rPr>
        <w:t>1</w:t>
      </w:r>
      <w:r>
        <w:rPr>
          <w:rFonts w:hint="eastAsia" w:ascii="宋体" w:hAnsi="宋体" w:cs="宋体"/>
          <w:color w:val="auto"/>
          <w:highlight w:val="none"/>
        </w:rPr>
        <w:t>、根据工信部联企业</w:t>
      </w:r>
      <w:r>
        <w:rPr>
          <w:rFonts w:ascii="宋体" w:hAnsi="宋体" w:cs="宋体"/>
          <w:color w:val="auto"/>
          <w:highlight w:val="none"/>
        </w:rPr>
        <w:t>[2011]300</w:t>
      </w:r>
      <w:r>
        <w:rPr>
          <w:rFonts w:hint="eastAsia" w:ascii="宋体" w:hAnsi="宋体" w:cs="宋体"/>
          <w:color w:val="auto"/>
          <w:highlight w:val="none"/>
        </w:rPr>
        <w:t>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spacing w:before="240" w:line="360" w:lineRule="auto"/>
        <w:rPr>
          <w:rFonts w:ascii="宋体" w:hAnsi="宋体"/>
          <w:color w:val="auto"/>
          <w:highlight w:val="none"/>
        </w:rPr>
      </w:pPr>
      <w:r>
        <w:rPr>
          <w:rFonts w:ascii="宋体" w:hAnsi="宋体" w:cs="宋体"/>
          <w:color w:val="auto"/>
          <w:highlight w:val="none"/>
        </w:rPr>
        <w:t>2</w:t>
      </w:r>
      <w:r>
        <w:rPr>
          <w:rFonts w:hint="eastAsia" w:ascii="宋体" w:hAnsi="宋体" w:cs="宋体"/>
          <w:color w:val="auto"/>
          <w:highlight w:val="none"/>
        </w:rPr>
        <w:t>、第</w:t>
      </w:r>
      <w:r>
        <w:rPr>
          <w:rFonts w:ascii="宋体" w:hAnsi="宋体" w:cs="宋体"/>
          <w:color w:val="auto"/>
          <w:highlight w:val="none"/>
        </w:rPr>
        <w:t>1</w:t>
      </w:r>
      <w:r>
        <w:rPr>
          <w:rFonts w:hint="eastAsia" w:ascii="宋体" w:hAnsi="宋体" w:cs="宋体"/>
          <w:color w:val="auto"/>
          <w:highlight w:val="none"/>
        </w:rPr>
        <w:t>条宁波政府采购网（</w:t>
      </w:r>
      <w:r>
        <w:rPr>
          <w:rFonts w:ascii="宋体" w:hAnsi="宋体" w:cs="宋体"/>
          <w:color w:val="auto"/>
          <w:highlight w:val="none"/>
        </w:rPr>
        <w:t>www.nbzfcg.cn</w:t>
      </w:r>
      <w:r>
        <w:rPr>
          <w:rFonts w:hint="eastAsia" w:ascii="宋体" w:hAnsi="宋体" w:cs="宋体"/>
          <w:color w:val="auto"/>
          <w:highlight w:val="none"/>
        </w:rPr>
        <w:t>）注册的企业供应商须根据上年财务报表等，登录进入网上供应商平台中“供应商账户管理”</w:t>
      </w:r>
      <w:r>
        <w:rPr>
          <w:rFonts w:ascii="宋体" w:hAnsi="宋体" w:cs="宋体"/>
          <w:color w:val="auto"/>
          <w:highlight w:val="none"/>
        </w:rPr>
        <w:t>-</w:t>
      </w:r>
      <w:r>
        <w:rPr>
          <w:rFonts w:hint="eastAsia" w:ascii="宋体" w:hAnsi="宋体" w:cs="宋体"/>
          <w:color w:val="auto"/>
          <w:highlight w:val="none"/>
        </w:rPr>
        <w:t>“单位信息”模块，对照前款说明，可选择“所属行业”，如实填写修改上年末从业人员</w:t>
      </w:r>
      <w:r>
        <w:rPr>
          <w:rFonts w:ascii="宋体" w:hAnsi="宋体" w:cs="宋体"/>
          <w:color w:val="auto"/>
          <w:highlight w:val="none"/>
        </w:rPr>
        <w:t>____</w:t>
      </w:r>
      <w:r>
        <w:rPr>
          <w:rFonts w:hint="eastAsia" w:ascii="宋体" w:hAnsi="宋体" w:cs="宋体"/>
          <w:color w:val="auto"/>
          <w:highlight w:val="none"/>
        </w:rPr>
        <w:t>人、上年营业收入</w:t>
      </w:r>
      <w:r>
        <w:rPr>
          <w:rFonts w:ascii="宋体" w:hAnsi="宋体" w:cs="宋体"/>
          <w:color w:val="auto"/>
          <w:highlight w:val="none"/>
        </w:rPr>
        <w:t>____</w:t>
      </w:r>
      <w:r>
        <w:rPr>
          <w:rFonts w:hint="eastAsia" w:ascii="宋体" w:hAnsi="宋体" w:cs="宋体"/>
          <w:color w:val="auto"/>
          <w:highlight w:val="none"/>
        </w:rPr>
        <w:t>万元、上年资产总额</w:t>
      </w:r>
      <w:r>
        <w:rPr>
          <w:rFonts w:ascii="宋体" w:hAnsi="宋体" w:cs="宋体"/>
          <w:color w:val="auto"/>
          <w:highlight w:val="none"/>
        </w:rPr>
        <w:t>____</w:t>
      </w:r>
      <w:r>
        <w:rPr>
          <w:rFonts w:hint="eastAsia" w:ascii="宋体" w:hAnsi="宋体" w:cs="宋体"/>
          <w:color w:val="auto"/>
          <w:highlight w:val="none"/>
        </w:rPr>
        <w:t>万元等数据，新成立企业暂以当前实际数据填报，重新点击会自动显示修改后企业划型信息，事业社团其他类型供应商不划型。</w:t>
      </w:r>
    </w:p>
    <w:p>
      <w:pPr>
        <w:spacing w:before="240" w:line="360" w:lineRule="auto"/>
        <w:rPr>
          <w:rFonts w:ascii="宋体" w:hAnsi="宋体"/>
          <w:color w:val="auto"/>
          <w:highlight w:val="none"/>
        </w:rPr>
      </w:pPr>
      <w:r>
        <w:rPr>
          <w:rFonts w:ascii="宋体" w:hAnsi="宋体" w:cs="宋体"/>
          <w:color w:val="auto"/>
          <w:highlight w:val="none"/>
        </w:rPr>
        <w:t>3</w:t>
      </w:r>
      <w:r>
        <w:rPr>
          <w:rFonts w:hint="eastAsia" w:ascii="宋体" w:hAnsi="宋体" w:cs="宋体"/>
          <w:color w:val="auto"/>
          <w:highlight w:val="none"/>
        </w:rPr>
        <w:t>、第</w:t>
      </w:r>
      <w:r>
        <w:rPr>
          <w:rFonts w:ascii="宋体" w:hAnsi="宋体" w:cs="宋体"/>
          <w:color w:val="auto"/>
          <w:highlight w:val="none"/>
        </w:rPr>
        <w:t>2</w:t>
      </w:r>
      <w:r>
        <w:rPr>
          <w:rFonts w:hint="eastAsia" w:ascii="宋体" w:hAnsi="宋体" w:cs="宋体"/>
          <w:color w:val="auto"/>
          <w:highlight w:val="none"/>
        </w:rPr>
        <w:t>条有多个标包的，须按每个标包分别填写，无此分类货物或服务金额的应填“零”。</w:t>
      </w:r>
    </w:p>
    <w:p>
      <w:pPr>
        <w:spacing w:before="240" w:line="360" w:lineRule="auto"/>
        <w:rPr>
          <w:rFonts w:ascii="宋体" w:hAnsi="宋体"/>
          <w:color w:val="auto"/>
          <w:highlight w:val="none"/>
        </w:rPr>
      </w:pPr>
      <w:r>
        <w:rPr>
          <w:rFonts w:ascii="宋体" w:hAnsi="宋体" w:cs="宋体"/>
          <w:color w:val="auto"/>
          <w:highlight w:val="none"/>
        </w:rPr>
        <w:t>4</w:t>
      </w:r>
      <w:r>
        <w:rPr>
          <w:rFonts w:hint="eastAsia" w:ascii="宋体" w:hAnsi="宋体" w:cs="宋体"/>
          <w:color w:val="auto"/>
          <w:highlight w:val="none"/>
        </w:rPr>
        <w:t>、联合体投标的，由联合体双办方提供本表。</w:t>
      </w:r>
    </w:p>
    <w:p>
      <w:pPr>
        <w:spacing w:before="240" w:line="360" w:lineRule="auto"/>
        <w:rPr>
          <w:rFonts w:ascii="宋体" w:hAnsi="宋体"/>
          <w:color w:val="auto"/>
          <w:highlight w:val="none"/>
        </w:rPr>
      </w:pPr>
      <w:r>
        <w:rPr>
          <w:rFonts w:ascii="宋体" w:hAnsi="宋体" w:cs="宋体"/>
          <w:color w:val="auto"/>
          <w:highlight w:val="none"/>
        </w:rPr>
        <w:t>5</w:t>
      </w:r>
      <w:r>
        <w:rPr>
          <w:rFonts w:hint="eastAsia" w:ascii="宋体" w:hAnsi="宋体" w:cs="宋体"/>
          <w:color w:val="auto"/>
          <w:highlight w:val="none"/>
        </w:rPr>
        <w:t>、资格入围式项目（一个标包由多家中标入围）：采购人公布项目预算的，第</w:t>
      </w:r>
      <w:r>
        <w:rPr>
          <w:rFonts w:ascii="宋体" w:hAnsi="宋体" w:cs="宋体"/>
          <w:color w:val="auto"/>
          <w:highlight w:val="none"/>
        </w:rPr>
        <w:t>2</w:t>
      </w:r>
      <w:r>
        <w:rPr>
          <w:rFonts w:hint="eastAsia" w:ascii="宋体" w:hAnsi="宋体" w:cs="宋体"/>
          <w:color w:val="auto"/>
          <w:highlight w:val="none"/>
        </w:rPr>
        <w:t>条有关金额按市场预估总价、投标预估总价除以入围数量填写；未公布预算的或入围数量的，供应商无需填写。</w:t>
      </w:r>
    </w:p>
    <w:p>
      <w:pPr>
        <w:spacing w:before="240" w:line="360" w:lineRule="auto"/>
        <w:rPr>
          <w:rFonts w:ascii="宋体" w:hAnsi="宋体"/>
          <w:color w:val="auto"/>
          <w:highlight w:val="none"/>
        </w:rPr>
      </w:pPr>
      <w:r>
        <w:rPr>
          <w:rFonts w:ascii="宋体" w:hAnsi="宋体" w:cs="宋体"/>
          <w:color w:val="auto"/>
          <w:highlight w:val="none"/>
        </w:rPr>
        <w:t>6</w:t>
      </w:r>
      <w:r>
        <w:rPr>
          <w:rFonts w:hint="eastAsia" w:ascii="宋体" w:hAnsi="宋体" w:cs="宋体"/>
          <w:color w:val="auto"/>
          <w:highlight w:val="none"/>
        </w:rPr>
        <w:t>、投标价格为费率的项目、中标价格按单价执行的项目：采购人公布项目预算的，第</w:t>
      </w:r>
      <w:r>
        <w:rPr>
          <w:rFonts w:ascii="宋体" w:hAnsi="宋体" w:cs="宋体"/>
          <w:color w:val="auto"/>
          <w:highlight w:val="none"/>
        </w:rPr>
        <w:t>2</w:t>
      </w:r>
      <w:r>
        <w:rPr>
          <w:rFonts w:hint="eastAsia" w:ascii="宋体" w:hAnsi="宋体" w:cs="宋体"/>
          <w:color w:val="auto"/>
          <w:highlight w:val="none"/>
        </w:rPr>
        <w:t>条有关金额按市场预估总价、投标预估总价填写；未公布预算的，供应商无需填写。</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outlineLvl w:val="2"/>
        <w:rPr>
          <w:rFonts w:ascii="宋体" w:hAnsi="宋体"/>
          <w:b/>
          <w:bCs/>
          <w:color w:val="auto"/>
          <w:sz w:val="24"/>
          <w:szCs w:val="24"/>
          <w:highlight w:val="none"/>
        </w:rPr>
      </w:pPr>
      <w:r>
        <w:rPr>
          <w:rFonts w:ascii="宋体" w:hAnsi="宋体"/>
          <w:b/>
          <w:bCs/>
          <w:color w:val="auto"/>
          <w:highlight w:val="none"/>
        </w:rPr>
        <w:br w:type="page"/>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、残疾人福利性单位声明函格式（如有）</w:t>
      </w:r>
    </w:p>
    <w:p>
      <w:pPr>
        <w:spacing w:line="360" w:lineRule="auto"/>
        <w:jc w:val="center"/>
        <w:rPr>
          <w:rFonts w:ascii="宋体" w:hAnsi="宋体"/>
          <w:b/>
          <w:bCs/>
          <w:color w:val="auto"/>
          <w:spacing w:val="6"/>
          <w:sz w:val="24"/>
          <w:szCs w:val="24"/>
          <w:highlight w:val="none"/>
        </w:rPr>
      </w:pPr>
      <w:r>
        <w:rPr>
          <w:rFonts w:hint="eastAsia" w:ascii="宋体" w:hAnsi="宋体" w:cs="宋体"/>
          <w:b/>
          <w:bCs/>
          <w:color w:val="auto"/>
          <w:spacing w:val="6"/>
          <w:sz w:val="24"/>
          <w:szCs w:val="24"/>
          <w:highlight w:val="none"/>
        </w:rPr>
        <w:t>残疾人福利性单位声明函</w:t>
      </w:r>
    </w:p>
    <w:p>
      <w:pPr>
        <w:spacing w:line="360" w:lineRule="auto"/>
        <w:rPr>
          <w:rFonts w:ascii="宋体" w:hAnsi="宋体"/>
          <w:b/>
          <w:bCs/>
          <w:color w:val="auto"/>
          <w:spacing w:val="6"/>
          <w:highlight w:val="none"/>
        </w:rPr>
      </w:pPr>
    </w:p>
    <w:p>
      <w:pPr>
        <w:spacing w:line="360" w:lineRule="auto"/>
        <w:ind w:firstLine="444" w:firstLineChars="200"/>
        <w:rPr>
          <w:rFonts w:ascii="宋体" w:hAnsi="宋体"/>
          <w:color w:val="auto"/>
          <w:spacing w:val="6"/>
          <w:highlight w:val="none"/>
        </w:rPr>
      </w:pPr>
      <w:r>
        <w:rPr>
          <w:rFonts w:hint="eastAsia" w:ascii="宋体" w:hAnsi="宋体" w:cs="宋体"/>
          <w:color w:val="auto"/>
          <w:spacing w:val="6"/>
          <w:highlight w:val="none"/>
        </w:rPr>
        <w:t>本单位郑重声明，根据《财政部</w:t>
      </w:r>
      <w:r>
        <w:rPr>
          <w:rFonts w:ascii="宋体" w:hAnsi="宋体" w:cs="宋体"/>
          <w:color w:val="auto"/>
          <w:spacing w:val="6"/>
          <w:highlight w:val="none"/>
        </w:rPr>
        <w:t xml:space="preserve"> </w:t>
      </w:r>
      <w:r>
        <w:rPr>
          <w:rFonts w:hint="eastAsia" w:ascii="宋体" w:hAnsi="宋体" w:cs="宋体"/>
          <w:color w:val="auto"/>
          <w:spacing w:val="6"/>
          <w:highlight w:val="none"/>
        </w:rPr>
        <w:t>民政部</w:t>
      </w:r>
      <w:r>
        <w:rPr>
          <w:rFonts w:ascii="宋体" w:hAnsi="宋体" w:cs="宋体"/>
          <w:color w:val="auto"/>
          <w:spacing w:val="6"/>
          <w:highlight w:val="none"/>
        </w:rPr>
        <w:t xml:space="preserve"> </w:t>
      </w:r>
      <w:r>
        <w:rPr>
          <w:rFonts w:hint="eastAsia" w:ascii="宋体" w:hAnsi="宋体" w:cs="宋体"/>
          <w:color w:val="auto"/>
          <w:spacing w:val="6"/>
          <w:highlight w:val="none"/>
        </w:rPr>
        <w:t>中国残疾人联合会关于促进残疾人就业政府采购政策的通知》（财库</w:t>
      </w:r>
      <w:r>
        <w:rPr>
          <w:rFonts w:hint="eastAsia" w:ascii="宋体" w:hAnsi="宋体" w:cs="宋体"/>
          <w:color w:val="auto"/>
          <w:highlight w:val="none"/>
        </w:rPr>
        <w:t>〔</w:t>
      </w:r>
      <w:r>
        <w:rPr>
          <w:rFonts w:ascii="宋体" w:hAnsi="宋体" w:cs="宋体"/>
          <w:color w:val="auto"/>
          <w:highlight w:val="none"/>
        </w:rPr>
        <w:t>2017</w:t>
      </w:r>
      <w:r>
        <w:rPr>
          <w:rFonts w:hint="eastAsia" w:ascii="宋体" w:hAnsi="宋体" w:cs="宋体"/>
          <w:color w:val="auto"/>
          <w:highlight w:val="none"/>
        </w:rPr>
        <w:t>〕</w:t>
      </w:r>
      <w:r>
        <w:rPr>
          <w:rFonts w:ascii="宋体" w:hAnsi="宋体" w:cs="宋体"/>
          <w:color w:val="auto"/>
          <w:highlight w:val="none"/>
        </w:rPr>
        <w:t>141</w:t>
      </w:r>
      <w:r>
        <w:rPr>
          <w:rFonts w:hint="eastAsia" w:ascii="宋体" w:hAnsi="宋体" w:cs="宋体"/>
          <w:color w:val="auto"/>
          <w:spacing w:val="6"/>
          <w:highlight w:val="none"/>
        </w:rPr>
        <w:t>号）的规定，本单位为符合条件的残疾人福利性单位，且本单位参加</w:t>
      </w:r>
      <w:r>
        <w:rPr>
          <w:rFonts w:ascii="宋体" w:hAnsi="宋体" w:cs="宋体"/>
          <w:color w:val="auto"/>
          <w:spacing w:val="6"/>
          <w:highlight w:val="none"/>
        </w:rPr>
        <w:t>______</w:t>
      </w:r>
      <w:r>
        <w:rPr>
          <w:rFonts w:hint="eastAsia" w:ascii="宋体" w:hAnsi="宋体" w:cs="宋体"/>
          <w:color w:val="auto"/>
          <w:spacing w:val="6"/>
          <w:highlight w:val="none"/>
        </w:rPr>
        <w:t>单位的</w:t>
      </w:r>
      <w:r>
        <w:rPr>
          <w:rFonts w:ascii="宋体" w:hAnsi="宋体" w:cs="宋体"/>
          <w:color w:val="auto"/>
          <w:spacing w:val="6"/>
          <w:highlight w:val="none"/>
        </w:rPr>
        <w:t>______</w:t>
      </w:r>
      <w:r>
        <w:rPr>
          <w:rFonts w:hint="eastAsia" w:ascii="宋体" w:hAnsi="宋体" w:cs="宋体"/>
          <w:color w:val="auto"/>
          <w:spacing w:val="6"/>
          <w:highlight w:val="none"/>
        </w:rPr>
        <w:t>项目采购活动提供本单位制造的货物（由本单位承担工程</w:t>
      </w:r>
      <w:r>
        <w:rPr>
          <w:rFonts w:ascii="宋体" w:hAnsi="宋体" w:cs="宋体"/>
          <w:color w:val="auto"/>
          <w:spacing w:val="6"/>
          <w:highlight w:val="none"/>
        </w:rPr>
        <w:t>/</w:t>
      </w:r>
      <w:r>
        <w:rPr>
          <w:rFonts w:hint="eastAsia" w:ascii="宋体" w:hAnsi="宋体" w:cs="宋体"/>
          <w:color w:val="auto"/>
          <w:spacing w:val="6"/>
          <w:highlight w:val="none"/>
        </w:rPr>
        <w:t>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360" w:lineRule="auto"/>
        <w:ind w:firstLine="444" w:firstLineChars="200"/>
        <w:rPr>
          <w:rFonts w:ascii="宋体" w:hAnsi="宋体"/>
          <w:color w:val="auto"/>
          <w:spacing w:val="6"/>
          <w:highlight w:val="none"/>
        </w:rPr>
      </w:pPr>
    </w:p>
    <w:p>
      <w:pPr>
        <w:spacing w:line="360" w:lineRule="auto"/>
        <w:ind w:firstLine="444" w:firstLineChars="200"/>
        <w:rPr>
          <w:rFonts w:ascii="宋体" w:hAnsi="宋体"/>
          <w:color w:val="auto"/>
          <w:spacing w:val="6"/>
          <w:highlight w:val="none"/>
        </w:rPr>
      </w:pPr>
    </w:p>
    <w:p>
      <w:pPr>
        <w:tabs>
          <w:tab w:val="left" w:pos="4860"/>
        </w:tabs>
        <w:spacing w:line="360" w:lineRule="auto"/>
        <w:ind w:right="1560" w:firstLine="444" w:firstLineChars="200"/>
        <w:jc w:val="center"/>
        <w:rPr>
          <w:rFonts w:ascii="宋体" w:hAnsi="宋体"/>
          <w:color w:val="auto"/>
          <w:spacing w:val="6"/>
          <w:highlight w:val="none"/>
        </w:rPr>
      </w:pPr>
      <w:r>
        <w:rPr>
          <w:rFonts w:ascii="宋体" w:hAnsi="宋体" w:cs="宋体"/>
          <w:color w:val="auto"/>
          <w:spacing w:val="6"/>
          <w:highlight w:val="none"/>
        </w:rPr>
        <w:t xml:space="preserve">               </w:t>
      </w:r>
      <w:r>
        <w:rPr>
          <w:rFonts w:hint="eastAsia" w:ascii="宋体" w:hAnsi="宋体" w:cs="宋体"/>
          <w:color w:val="auto"/>
          <w:spacing w:val="6"/>
          <w:highlight w:val="none"/>
        </w:rPr>
        <w:t>单位名称（盖章）：</w:t>
      </w:r>
    </w:p>
    <w:p>
      <w:pPr>
        <w:tabs>
          <w:tab w:val="left" w:pos="4860"/>
        </w:tabs>
        <w:spacing w:line="360" w:lineRule="auto"/>
        <w:ind w:right="1560" w:firstLine="444" w:firstLineChars="200"/>
        <w:jc w:val="center"/>
        <w:rPr>
          <w:rFonts w:ascii="宋体" w:hAnsi="宋体"/>
          <w:color w:val="auto"/>
          <w:spacing w:val="6"/>
          <w:highlight w:val="none"/>
        </w:rPr>
      </w:pPr>
      <w:r>
        <w:rPr>
          <w:rFonts w:ascii="宋体" w:hAnsi="宋体" w:cs="宋体"/>
          <w:color w:val="auto"/>
          <w:spacing w:val="6"/>
          <w:highlight w:val="none"/>
        </w:rPr>
        <w:t xml:space="preserve">       </w:t>
      </w:r>
      <w:r>
        <w:rPr>
          <w:rFonts w:hint="eastAsia" w:ascii="宋体" w:hAnsi="宋体" w:cs="宋体"/>
          <w:color w:val="auto"/>
          <w:spacing w:val="6"/>
          <w:highlight w:val="none"/>
        </w:rPr>
        <w:t>日</w:t>
      </w:r>
      <w:r>
        <w:rPr>
          <w:rFonts w:ascii="宋体" w:hAnsi="宋体" w:cs="宋体"/>
          <w:color w:val="auto"/>
          <w:spacing w:val="6"/>
          <w:highlight w:val="none"/>
        </w:rPr>
        <w:t xml:space="preserve">  </w:t>
      </w:r>
      <w:r>
        <w:rPr>
          <w:rFonts w:hint="eastAsia" w:ascii="宋体" w:hAnsi="宋体" w:cs="宋体"/>
          <w:color w:val="auto"/>
          <w:spacing w:val="6"/>
          <w:highlight w:val="none"/>
        </w:rPr>
        <w:t>期：</w:t>
      </w:r>
    </w:p>
    <w:p>
      <w:pPr>
        <w:tabs>
          <w:tab w:val="left" w:pos="4860"/>
        </w:tabs>
        <w:rPr>
          <w:rFonts w:ascii="宋体" w:hAnsi="宋体"/>
          <w:color w:val="auto"/>
          <w:spacing w:val="6"/>
          <w:highlight w:val="none"/>
        </w:rPr>
      </w:pPr>
      <w:r>
        <w:rPr>
          <w:rFonts w:hint="eastAsia" w:ascii="宋体" w:hAnsi="宋体" w:cs="宋体"/>
          <w:color w:val="auto"/>
          <w:spacing w:val="6"/>
          <w:highlight w:val="none"/>
        </w:rPr>
        <w:t>注：</w:t>
      </w:r>
      <w:r>
        <w:rPr>
          <w:rFonts w:ascii="宋体" w:hAnsi="宋体" w:cs="宋体"/>
          <w:color w:val="auto"/>
          <w:spacing w:val="6"/>
          <w:highlight w:val="none"/>
        </w:rPr>
        <w:t>1</w:t>
      </w:r>
      <w:r>
        <w:rPr>
          <w:rFonts w:hint="eastAsia" w:ascii="宋体" w:hAnsi="宋体" w:cs="宋体"/>
          <w:color w:val="auto"/>
          <w:spacing w:val="6"/>
          <w:highlight w:val="none"/>
        </w:rPr>
        <w:t>、如供应商为非残疾人福利性单位的可不提供本声明函。</w:t>
      </w:r>
    </w:p>
    <w:p>
      <w:pPr>
        <w:tabs>
          <w:tab w:val="left" w:pos="4860"/>
        </w:tabs>
        <w:ind w:firstLine="444" w:firstLineChars="200"/>
        <w:rPr>
          <w:rFonts w:ascii="宋体" w:hAnsi="宋体"/>
          <w:color w:val="auto"/>
          <w:spacing w:val="6"/>
          <w:highlight w:val="none"/>
        </w:rPr>
      </w:pPr>
      <w:r>
        <w:rPr>
          <w:rFonts w:ascii="宋体" w:hAnsi="宋体" w:cs="宋体"/>
          <w:color w:val="auto"/>
          <w:spacing w:val="6"/>
          <w:highlight w:val="none"/>
        </w:rPr>
        <w:t>2</w:t>
      </w:r>
      <w:r>
        <w:rPr>
          <w:rFonts w:hint="eastAsia" w:ascii="宋体" w:hAnsi="宋体" w:cs="宋体"/>
          <w:color w:val="auto"/>
          <w:spacing w:val="6"/>
          <w:highlight w:val="none"/>
        </w:rPr>
        <w:t>、享受政府采购支持政策的残疾人福利性单位应当同时满足以下条件：</w:t>
      </w:r>
    </w:p>
    <w:p>
      <w:pPr>
        <w:tabs>
          <w:tab w:val="left" w:pos="4860"/>
        </w:tabs>
        <w:ind w:firstLine="444" w:firstLineChars="200"/>
        <w:rPr>
          <w:rFonts w:ascii="宋体" w:hAnsi="宋体"/>
          <w:color w:val="auto"/>
          <w:spacing w:val="6"/>
          <w:highlight w:val="none"/>
        </w:rPr>
      </w:pPr>
      <w:r>
        <w:rPr>
          <w:rFonts w:hint="eastAsia" w:ascii="宋体" w:hAnsi="宋体" w:cs="宋体"/>
          <w:color w:val="auto"/>
          <w:spacing w:val="6"/>
          <w:highlight w:val="none"/>
        </w:rPr>
        <w:t>（</w:t>
      </w:r>
      <w:r>
        <w:rPr>
          <w:rFonts w:ascii="宋体" w:hAnsi="宋体" w:cs="宋体"/>
          <w:color w:val="auto"/>
          <w:spacing w:val="6"/>
          <w:highlight w:val="none"/>
        </w:rPr>
        <w:t>1</w:t>
      </w:r>
      <w:r>
        <w:rPr>
          <w:rFonts w:hint="eastAsia" w:ascii="宋体" w:hAnsi="宋体" w:cs="宋体"/>
          <w:color w:val="auto"/>
          <w:spacing w:val="6"/>
          <w:highlight w:val="none"/>
        </w:rPr>
        <w:t>）安置的残疾人占本单位在职职工人数的比例不低于</w:t>
      </w:r>
      <w:r>
        <w:rPr>
          <w:rFonts w:ascii="宋体" w:hAnsi="宋体" w:cs="宋体"/>
          <w:color w:val="auto"/>
          <w:spacing w:val="6"/>
          <w:highlight w:val="none"/>
        </w:rPr>
        <w:t>25%</w:t>
      </w:r>
      <w:r>
        <w:rPr>
          <w:rFonts w:hint="eastAsia" w:ascii="宋体" w:hAnsi="宋体" w:cs="宋体"/>
          <w:color w:val="auto"/>
          <w:spacing w:val="6"/>
          <w:highlight w:val="none"/>
        </w:rPr>
        <w:t>（含</w:t>
      </w:r>
      <w:r>
        <w:rPr>
          <w:rFonts w:ascii="宋体" w:hAnsi="宋体" w:cs="宋体"/>
          <w:color w:val="auto"/>
          <w:spacing w:val="6"/>
          <w:highlight w:val="none"/>
        </w:rPr>
        <w:t>25%</w:t>
      </w:r>
      <w:r>
        <w:rPr>
          <w:rFonts w:hint="eastAsia" w:ascii="宋体" w:hAnsi="宋体" w:cs="宋体"/>
          <w:color w:val="auto"/>
          <w:spacing w:val="6"/>
          <w:highlight w:val="none"/>
        </w:rPr>
        <w:t>），并且安置的残疾人人数不少于</w:t>
      </w:r>
      <w:r>
        <w:rPr>
          <w:rFonts w:ascii="宋体" w:hAnsi="宋体" w:cs="宋体"/>
          <w:color w:val="auto"/>
          <w:spacing w:val="6"/>
          <w:highlight w:val="none"/>
        </w:rPr>
        <w:t>10</w:t>
      </w:r>
      <w:r>
        <w:rPr>
          <w:rFonts w:hint="eastAsia" w:ascii="宋体" w:hAnsi="宋体" w:cs="宋体"/>
          <w:color w:val="auto"/>
          <w:spacing w:val="6"/>
          <w:highlight w:val="none"/>
        </w:rPr>
        <w:t>人（含</w:t>
      </w:r>
      <w:r>
        <w:rPr>
          <w:rFonts w:ascii="宋体" w:hAnsi="宋体" w:cs="宋体"/>
          <w:color w:val="auto"/>
          <w:spacing w:val="6"/>
          <w:highlight w:val="none"/>
        </w:rPr>
        <w:t>10</w:t>
      </w:r>
      <w:r>
        <w:rPr>
          <w:rFonts w:hint="eastAsia" w:ascii="宋体" w:hAnsi="宋体" w:cs="宋体"/>
          <w:color w:val="auto"/>
          <w:spacing w:val="6"/>
          <w:highlight w:val="none"/>
        </w:rPr>
        <w:t>人）；</w:t>
      </w:r>
    </w:p>
    <w:p>
      <w:pPr>
        <w:tabs>
          <w:tab w:val="left" w:pos="4860"/>
        </w:tabs>
        <w:ind w:firstLine="444" w:firstLineChars="200"/>
        <w:rPr>
          <w:rFonts w:ascii="宋体" w:hAnsi="宋体"/>
          <w:color w:val="auto"/>
          <w:spacing w:val="6"/>
          <w:highlight w:val="none"/>
        </w:rPr>
      </w:pPr>
      <w:r>
        <w:rPr>
          <w:rFonts w:hint="eastAsia" w:ascii="宋体" w:hAnsi="宋体" w:cs="宋体"/>
          <w:color w:val="auto"/>
          <w:spacing w:val="6"/>
          <w:highlight w:val="none"/>
        </w:rPr>
        <w:t>（</w:t>
      </w:r>
      <w:r>
        <w:rPr>
          <w:rFonts w:ascii="宋体" w:hAnsi="宋体" w:cs="宋体"/>
          <w:color w:val="auto"/>
          <w:spacing w:val="6"/>
          <w:highlight w:val="none"/>
        </w:rPr>
        <w:t>2</w:t>
      </w:r>
      <w:r>
        <w:rPr>
          <w:rFonts w:hint="eastAsia" w:ascii="宋体" w:hAnsi="宋体" w:cs="宋体"/>
          <w:color w:val="auto"/>
          <w:spacing w:val="6"/>
          <w:highlight w:val="none"/>
        </w:rPr>
        <w:t>）依法与安置的每位残疾人签订了一年以上（含一年）的劳动合同或服务协议；</w:t>
      </w:r>
    </w:p>
    <w:p>
      <w:pPr>
        <w:tabs>
          <w:tab w:val="left" w:pos="4860"/>
        </w:tabs>
        <w:ind w:firstLine="444" w:firstLineChars="200"/>
        <w:rPr>
          <w:rFonts w:ascii="宋体" w:hAnsi="宋体"/>
          <w:color w:val="auto"/>
          <w:spacing w:val="6"/>
          <w:highlight w:val="none"/>
        </w:rPr>
      </w:pPr>
      <w:r>
        <w:rPr>
          <w:rFonts w:hint="eastAsia" w:ascii="宋体" w:hAnsi="宋体" w:cs="宋体"/>
          <w:color w:val="auto"/>
          <w:spacing w:val="6"/>
          <w:highlight w:val="none"/>
        </w:rPr>
        <w:t>（</w:t>
      </w:r>
      <w:r>
        <w:rPr>
          <w:rFonts w:ascii="宋体" w:hAnsi="宋体" w:cs="宋体"/>
          <w:color w:val="auto"/>
          <w:spacing w:val="6"/>
          <w:highlight w:val="none"/>
        </w:rPr>
        <w:t>3</w:t>
      </w:r>
      <w:r>
        <w:rPr>
          <w:rFonts w:hint="eastAsia" w:ascii="宋体" w:hAnsi="宋体" w:cs="宋体"/>
          <w:color w:val="auto"/>
          <w:spacing w:val="6"/>
          <w:highlight w:val="none"/>
        </w:rPr>
        <w:t>）为安置的每位残疾人按月足额缴纳了基本养老保险、基本医疗保险、失业保险、工伤保险和生育保险等社会保险费；</w:t>
      </w:r>
    </w:p>
    <w:p>
      <w:pPr>
        <w:tabs>
          <w:tab w:val="left" w:pos="4860"/>
        </w:tabs>
        <w:ind w:firstLine="444" w:firstLineChars="200"/>
        <w:rPr>
          <w:rFonts w:ascii="宋体" w:hAnsi="宋体"/>
          <w:color w:val="auto"/>
          <w:spacing w:val="6"/>
          <w:highlight w:val="none"/>
        </w:rPr>
      </w:pPr>
      <w:r>
        <w:rPr>
          <w:rFonts w:hint="eastAsia" w:ascii="宋体" w:hAnsi="宋体" w:cs="宋体"/>
          <w:color w:val="auto"/>
          <w:spacing w:val="6"/>
          <w:highlight w:val="none"/>
        </w:rPr>
        <w:t>（</w:t>
      </w:r>
      <w:r>
        <w:rPr>
          <w:rFonts w:ascii="宋体" w:hAnsi="宋体" w:cs="宋体"/>
          <w:color w:val="auto"/>
          <w:spacing w:val="6"/>
          <w:highlight w:val="none"/>
        </w:rPr>
        <w:t>4</w:t>
      </w:r>
      <w:r>
        <w:rPr>
          <w:rFonts w:hint="eastAsia" w:ascii="宋体" w:hAnsi="宋体" w:cs="宋体"/>
          <w:color w:val="auto"/>
          <w:spacing w:val="6"/>
          <w:highlight w:val="none"/>
        </w:rPr>
        <w:t>）通过银行等金融机构向安置的每位残疾人，按月支付了不低于单位所在区县适用的经省级人民政府批准的月最低工资标准的工资；</w:t>
      </w:r>
    </w:p>
    <w:p>
      <w:pPr>
        <w:tabs>
          <w:tab w:val="left" w:pos="4860"/>
        </w:tabs>
        <w:ind w:firstLine="444" w:firstLineChars="200"/>
        <w:rPr>
          <w:rFonts w:ascii="宋体" w:hAnsi="宋体"/>
          <w:color w:val="auto"/>
          <w:spacing w:val="6"/>
          <w:highlight w:val="none"/>
        </w:rPr>
      </w:pPr>
      <w:r>
        <w:rPr>
          <w:rFonts w:hint="eastAsia" w:ascii="宋体" w:hAnsi="宋体" w:cs="宋体"/>
          <w:color w:val="auto"/>
          <w:spacing w:val="6"/>
          <w:highlight w:val="none"/>
        </w:rPr>
        <w:t>（</w:t>
      </w:r>
      <w:r>
        <w:rPr>
          <w:rFonts w:ascii="宋体" w:hAnsi="宋体" w:cs="宋体"/>
          <w:color w:val="auto"/>
          <w:spacing w:val="6"/>
          <w:highlight w:val="none"/>
        </w:rPr>
        <w:t>5</w:t>
      </w:r>
      <w:r>
        <w:rPr>
          <w:rFonts w:hint="eastAsia" w:ascii="宋体" w:hAnsi="宋体" w:cs="宋体"/>
          <w:color w:val="auto"/>
          <w:spacing w:val="6"/>
          <w:highlight w:val="none"/>
        </w:rPr>
        <w:t>）提供本单位制造的货物、承担的工程或者服务（以下简称产品），或者提供其他残疾人福利性单位制造的货物（不包括使用非残疾人福利性单位注册商标的货物）。</w:t>
      </w:r>
    </w:p>
    <w:p>
      <w:pPr>
        <w:tabs>
          <w:tab w:val="left" w:pos="4860"/>
        </w:tabs>
        <w:ind w:firstLine="444" w:firstLineChars="200"/>
        <w:rPr>
          <w:rFonts w:ascii="宋体" w:hAnsi="宋体" w:cs="RomanS"/>
          <w:b/>
          <w:color w:val="auto"/>
          <w:sz w:val="24"/>
          <w:szCs w:val="24"/>
          <w:highlight w:val="none"/>
        </w:rPr>
      </w:pPr>
      <w:r>
        <w:rPr>
          <w:rFonts w:hint="eastAsia" w:ascii="宋体" w:hAnsi="宋体" w:cs="宋体"/>
          <w:color w:val="auto"/>
          <w:spacing w:val="6"/>
          <w:highlight w:val="none"/>
        </w:rPr>
        <w:t>前款所称残疾人是指法定劳动年龄内，持有《中华人民共和国残疾人证》或者《中华人民共和国残疾军人证（</w:t>
      </w:r>
      <w:r>
        <w:rPr>
          <w:rFonts w:ascii="宋体" w:hAnsi="宋体" w:cs="宋体"/>
          <w:color w:val="auto"/>
          <w:spacing w:val="6"/>
          <w:highlight w:val="none"/>
        </w:rPr>
        <w:t>1</w:t>
      </w:r>
      <w:r>
        <w:rPr>
          <w:rFonts w:hint="eastAsia" w:ascii="宋体" w:hAnsi="宋体" w:cs="宋体"/>
          <w:color w:val="auto"/>
          <w:spacing w:val="6"/>
          <w:highlight w:val="none"/>
        </w:rPr>
        <w:t>至</w:t>
      </w:r>
      <w:r>
        <w:rPr>
          <w:rFonts w:ascii="宋体" w:hAnsi="宋体" w:cs="宋体"/>
          <w:color w:val="auto"/>
          <w:spacing w:val="6"/>
          <w:highlight w:val="none"/>
        </w:rPr>
        <w:t>8</w:t>
      </w:r>
      <w:r>
        <w:rPr>
          <w:rFonts w:hint="eastAsia" w:ascii="宋体" w:hAnsi="宋体" w:cs="宋体"/>
          <w:color w:val="auto"/>
          <w:spacing w:val="6"/>
          <w:highlight w:val="none"/>
        </w:rPr>
        <w:t>级）》的自然人，包括具有劳动条件和劳动意愿的精神残疾人。在职职工人数是指与残疾人福利性单位建立劳动关系并依法签订劳动合同或者服务协议的雇员人数。</w:t>
      </w:r>
    </w:p>
    <w:p>
      <w:pPr>
        <w:rPr>
          <w:rFonts w:hint="eastAsia" w:ascii="宋体" w:hAnsi="宋体" w:cs="RomanS"/>
          <w:b/>
          <w:color w:val="auto"/>
          <w:sz w:val="24"/>
          <w:szCs w:val="24"/>
          <w:highlight w:val="none"/>
          <w:lang w:val="en-US" w:eastAsia="zh-CN"/>
        </w:rPr>
      </w:pPr>
      <w:r>
        <w:rPr>
          <w:rFonts w:hint="eastAsia" w:ascii="宋体" w:hAnsi="宋体" w:cs="RomanS"/>
          <w:b/>
          <w:color w:val="auto"/>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ascii="宋体" w:hAnsi="宋体" w:cs="RomanS"/>
          <w:b/>
          <w:color w:val="auto"/>
          <w:sz w:val="24"/>
          <w:szCs w:val="24"/>
          <w:highlight w:val="none"/>
        </w:rPr>
      </w:pPr>
      <w:r>
        <w:rPr>
          <w:rFonts w:hint="eastAsia" w:ascii="宋体" w:hAnsi="宋体" w:cs="RomanS"/>
          <w:b/>
          <w:color w:val="auto"/>
          <w:sz w:val="24"/>
          <w:szCs w:val="24"/>
          <w:highlight w:val="none"/>
          <w:lang w:val="en-US" w:eastAsia="zh-CN"/>
        </w:rPr>
        <w:t>6</w:t>
      </w:r>
      <w:r>
        <w:rPr>
          <w:rFonts w:hint="eastAsia" w:ascii="宋体" w:hAnsi="宋体" w:cs="RomanS"/>
          <w:b/>
          <w:color w:val="auto"/>
          <w:sz w:val="24"/>
          <w:szCs w:val="24"/>
          <w:highlight w:val="none"/>
        </w:rPr>
        <w:t>、采购文件要求的其他资格条件证明材料（如有）</w:t>
      </w:r>
    </w:p>
    <w:p>
      <w:pPr>
        <w:spacing w:line="360" w:lineRule="auto"/>
        <w:jc w:val="center"/>
        <w:outlineLvl w:val="1"/>
        <w:rPr>
          <w:rFonts w:ascii="宋体" w:hAnsi="宋体" w:cs="宋体"/>
          <w:b/>
          <w:color w:val="auto"/>
          <w:sz w:val="28"/>
          <w:szCs w:val="28"/>
          <w:highlight w:val="none"/>
        </w:rPr>
      </w:pPr>
      <w:r>
        <w:rPr>
          <w:rFonts w:ascii="宋体" w:hAnsi="宋体"/>
          <w:color w:val="auto"/>
          <w:highlight w:val="none"/>
        </w:rPr>
        <w:br w:type="page"/>
      </w:r>
      <w:r>
        <w:rPr>
          <w:rFonts w:hint="eastAsia" w:ascii="宋体" w:hAnsi="宋体"/>
          <w:b/>
          <w:color w:val="auto"/>
          <w:sz w:val="28"/>
          <w:szCs w:val="28"/>
          <w:highlight w:val="none"/>
        </w:rPr>
        <w:t>二、</w:t>
      </w:r>
      <w:r>
        <w:rPr>
          <w:rFonts w:hint="eastAsia" w:ascii="宋体" w:hAnsi="宋体" w:cs="宋体"/>
          <w:b/>
          <w:color w:val="auto"/>
          <w:sz w:val="28"/>
          <w:szCs w:val="28"/>
          <w:highlight w:val="none"/>
        </w:rPr>
        <w:t>商务技术文件格式</w:t>
      </w:r>
    </w:p>
    <w:p>
      <w:pPr>
        <w:snapToGrid w:val="0"/>
        <w:spacing w:before="120" w:beforeLines="50" w:after="50" w:line="360" w:lineRule="auto"/>
        <w:jc w:val="center"/>
        <w:rPr>
          <w:rFonts w:ascii="宋体" w:hAnsi="宋体"/>
          <w:color w:val="auto"/>
          <w:highlight w:val="none"/>
        </w:rPr>
      </w:pPr>
    </w:p>
    <w:p>
      <w:pPr>
        <w:snapToGrid w:val="0"/>
        <w:spacing w:before="120" w:beforeLines="50" w:after="50" w:line="360" w:lineRule="auto"/>
        <w:rPr>
          <w:rFonts w:ascii="宋体" w:hAnsi="宋体"/>
          <w:b/>
          <w:color w:val="auto"/>
          <w:sz w:val="24"/>
          <w:szCs w:val="24"/>
          <w:highlight w:val="none"/>
        </w:rPr>
      </w:pPr>
      <w:r>
        <w:rPr>
          <w:rFonts w:ascii="宋体" w:hAnsi="宋体" w:cs="宋体"/>
          <w:b/>
          <w:color w:val="auto"/>
          <w:sz w:val="24"/>
          <w:szCs w:val="24"/>
          <w:highlight w:val="none"/>
        </w:rPr>
        <w:t>1.</w:t>
      </w:r>
      <w:r>
        <w:rPr>
          <w:rFonts w:ascii="宋体" w:hAnsi="宋体"/>
          <w:b/>
          <w:color w:val="auto"/>
          <w:sz w:val="24"/>
          <w:szCs w:val="24"/>
          <w:highlight w:val="none"/>
        </w:rPr>
        <w:t xml:space="preserve"> </w:t>
      </w:r>
      <w:r>
        <w:rPr>
          <w:rFonts w:hint="eastAsia" w:ascii="宋体" w:hAnsi="宋体" w:cs="宋体"/>
          <w:b/>
          <w:color w:val="auto"/>
          <w:sz w:val="24"/>
          <w:szCs w:val="24"/>
          <w:highlight w:val="none"/>
        </w:rPr>
        <w:t>商务技术文件的外包装封面格式（不可缺）：</w:t>
      </w:r>
    </w:p>
    <w:p>
      <w:pPr>
        <w:snapToGrid w:val="0"/>
        <w:spacing w:before="120" w:beforeLines="50" w:after="50" w:line="360" w:lineRule="auto"/>
        <w:ind w:firstLine="3675" w:firstLineChars="1750"/>
        <w:rPr>
          <w:rFonts w:ascii="宋体" w:hAnsi="宋体"/>
          <w:color w:val="auto"/>
          <w:highlight w:val="none"/>
        </w:rPr>
      </w:pPr>
      <w:r>
        <w:rPr>
          <w:rFonts w:hint="eastAsia" w:ascii="宋体" w:hAnsi="宋体" w:cs="宋体"/>
          <w:color w:val="auto"/>
          <w:highlight w:val="none"/>
        </w:rPr>
        <w:t>商务技术文件</w:t>
      </w:r>
    </w:p>
    <w:p>
      <w:pPr>
        <w:snapToGrid w:val="0"/>
        <w:spacing w:before="120" w:beforeLines="50" w:after="50" w:line="360" w:lineRule="auto"/>
        <w:ind w:firstLine="932" w:firstLineChars="444"/>
        <w:rPr>
          <w:rFonts w:ascii="宋体" w:hAnsi="宋体"/>
          <w:color w:val="auto"/>
          <w:highlight w:val="none"/>
        </w:rPr>
      </w:pPr>
      <w:r>
        <w:rPr>
          <w:rFonts w:hint="eastAsia" w:ascii="宋体" w:hAnsi="宋体" w:cs="宋体"/>
          <w:color w:val="auto"/>
          <w:highlight w:val="none"/>
        </w:rPr>
        <w:t>项目名称：</w:t>
      </w:r>
    </w:p>
    <w:p>
      <w:pPr>
        <w:snapToGrid w:val="0"/>
        <w:spacing w:before="120" w:beforeLines="50" w:after="50" w:line="360" w:lineRule="auto"/>
        <w:ind w:firstLine="932" w:firstLineChars="444"/>
        <w:rPr>
          <w:rFonts w:ascii="宋体" w:hAnsi="宋体"/>
          <w:color w:val="auto"/>
          <w:highlight w:val="none"/>
        </w:rPr>
      </w:pPr>
      <w:r>
        <w:rPr>
          <w:rFonts w:hint="eastAsia" w:ascii="宋体" w:hAnsi="宋体" w:cs="宋体"/>
          <w:color w:val="auto"/>
          <w:highlight w:val="none"/>
        </w:rPr>
        <w:t>项目编号：</w:t>
      </w:r>
    </w:p>
    <w:p>
      <w:pPr>
        <w:snapToGrid w:val="0"/>
        <w:spacing w:before="120" w:beforeLines="50" w:after="50" w:line="360" w:lineRule="auto"/>
        <w:ind w:firstLine="932" w:firstLineChars="444"/>
        <w:rPr>
          <w:rFonts w:ascii="宋体" w:hAnsi="宋体"/>
          <w:color w:val="auto"/>
          <w:highlight w:val="none"/>
        </w:rPr>
      </w:pPr>
    </w:p>
    <w:p>
      <w:pPr>
        <w:snapToGrid w:val="0"/>
        <w:spacing w:before="120" w:beforeLines="50" w:after="50" w:line="360" w:lineRule="auto"/>
        <w:ind w:firstLine="932" w:firstLineChars="444"/>
        <w:rPr>
          <w:rFonts w:ascii="宋体" w:hAnsi="宋体"/>
          <w:color w:val="auto"/>
          <w:highlight w:val="none"/>
        </w:rPr>
      </w:pPr>
      <w:r>
        <w:rPr>
          <w:rFonts w:hint="eastAsia" w:ascii="宋体" w:hAnsi="宋体" w:cs="宋体"/>
          <w:color w:val="auto"/>
          <w:highlight w:val="none"/>
        </w:rPr>
        <w:t>供应商名称：</w:t>
      </w:r>
    </w:p>
    <w:p>
      <w:pPr>
        <w:snapToGrid w:val="0"/>
        <w:spacing w:before="120" w:beforeLines="50" w:after="50" w:line="360" w:lineRule="auto"/>
        <w:ind w:firstLine="932" w:firstLineChars="444"/>
        <w:rPr>
          <w:rFonts w:ascii="宋体" w:hAnsi="宋体"/>
          <w:color w:val="auto"/>
          <w:highlight w:val="none"/>
        </w:rPr>
      </w:pPr>
      <w:r>
        <w:rPr>
          <w:rFonts w:hint="eastAsia" w:ascii="宋体" w:hAnsi="宋体" w:cs="宋体"/>
          <w:color w:val="auto"/>
          <w:highlight w:val="none"/>
        </w:rPr>
        <w:t>供应商地址：</w:t>
      </w:r>
    </w:p>
    <w:p>
      <w:pPr>
        <w:pStyle w:val="6"/>
        <w:snapToGrid w:val="0"/>
        <w:spacing w:before="50" w:after="50" w:line="360" w:lineRule="auto"/>
        <w:ind w:firstLine="1070" w:firstLineChars="444"/>
        <w:jc w:val="center"/>
        <w:rPr>
          <w:rFonts w:ascii="宋体" w:hAnsi="宋体"/>
          <w:color w:val="auto"/>
          <w:highlight w:val="none"/>
        </w:rPr>
      </w:pPr>
      <w:r>
        <w:rPr>
          <w:rFonts w:hint="eastAsia" w:ascii="宋体" w:hAnsi="宋体" w:cs="宋体"/>
          <w:color w:val="auto"/>
          <w:highlight w:val="none"/>
        </w:rPr>
        <w:t>开标时启封</w:t>
      </w:r>
    </w:p>
    <w:p>
      <w:pPr>
        <w:snapToGrid w:val="0"/>
        <w:spacing w:before="120" w:beforeLines="50" w:after="50" w:line="360" w:lineRule="auto"/>
        <w:ind w:firstLine="645"/>
        <w:jc w:val="center"/>
        <w:rPr>
          <w:rFonts w:ascii="宋体" w:hAns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pPr>
        <w:snapToGrid w:val="0"/>
        <w:spacing w:before="120" w:beforeLines="50" w:after="50" w:line="360" w:lineRule="auto"/>
        <w:rPr>
          <w:rFonts w:hint="eastAsia" w:ascii="宋体" w:hAnsi="宋体" w:cs="宋体"/>
          <w:b/>
          <w:color w:val="auto"/>
          <w:sz w:val="24"/>
          <w:szCs w:val="24"/>
          <w:highlight w:val="none"/>
        </w:rPr>
      </w:pPr>
    </w:p>
    <w:p>
      <w:pPr>
        <w:snapToGrid w:val="0"/>
        <w:spacing w:before="120" w:beforeLines="50" w:after="50" w:line="360" w:lineRule="auto"/>
        <w:rPr>
          <w:rFonts w:ascii="宋体" w:hAnsi="宋体" w:cs="宋体"/>
          <w:b/>
          <w:color w:val="auto"/>
          <w:sz w:val="24"/>
          <w:szCs w:val="24"/>
          <w:highlight w:val="none"/>
        </w:rPr>
      </w:pPr>
      <w:r>
        <w:rPr>
          <w:rFonts w:ascii="宋体" w:hAnsi="宋体" w:cs="宋体"/>
          <w:b/>
          <w:color w:val="auto"/>
          <w:sz w:val="24"/>
          <w:szCs w:val="24"/>
          <w:highlight w:val="none"/>
        </w:rPr>
        <w:t xml:space="preserve">2. </w:t>
      </w:r>
      <w:r>
        <w:rPr>
          <w:rFonts w:hint="eastAsia" w:ascii="宋体" w:hAnsi="宋体" w:cs="宋体"/>
          <w:b/>
          <w:color w:val="auto"/>
          <w:sz w:val="24"/>
          <w:szCs w:val="24"/>
          <w:highlight w:val="none"/>
        </w:rPr>
        <w:t>商务技术文件封面格式：</w:t>
      </w:r>
      <w:r>
        <w:rPr>
          <w:rFonts w:ascii="宋体" w:hAnsi="宋体" w:cs="宋体"/>
          <w:b/>
          <w:color w:val="auto"/>
          <w:sz w:val="24"/>
          <w:szCs w:val="24"/>
          <w:highlight w:val="none"/>
        </w:rPr>
        <w:t xml:space="preserve"> </w:t>
      </w:r>
    </w:p>
    <w:p>
      <w:pPr>
        <w:snapToGrid w:val="0"/>
        <w:spacing w:before="120" w:beforeLines="50" w:after="50" w:line="360" w:lineRule="auto"/>
        <w:rPr>
          <w:rFonts w:ascii="宋体" w:hAnsi="宋体"/>
          <w:b/>
          <w:bCs/>
          <w:color w:val="auto"/>
          <w:highlight w:val="none"/>
        </w:rPr>
      </w:pPr>
      <w:r>
        <w:rPr>
          <w:rFonts w:ascii="宋体" w:hAnsi="宋体" w:cs="宋体"/>
          <w:color w:val="auto"/>
          <w:highlight w:val="none"/>
        </w:rPr>
        <w:t xml:space="preserve">                                                    </w:t>
      </w:r>
      <w:r>
        <w:rPr>
          <w:rFonts w:hint="eastAsia" w:ascii="宋体" w:hAnsi="宋体" w:cs="宋体"/>
          <w:b/>
          <w:bCs/>
          <w:color w:val="auto"/>
          <w:highlight w:val="none"/>
        </w:rPr>
        <w:t>正本</w:t>
      </w:r>
      <w:r>
        <w:rPr>
          <w:rFonts w:ascii="宋体" w:hAnsi="宋体" w:cs="宋体"/>
          <w:b/>
          <w:bCs/>
          <w:color w:val="auto"/>
          <w:highlight w:val="none"/>
        </w:rPr>
        <w:t>/</w:t>
      </w:r>
      <w:r>
        <w:rPr>
          <w:rFonts w:hint="eastAsia" w:ascii="宋体" w:hAnsi="宋体" w:cs="宋体"/>
          <w:b/>
          <w:bCs/>
          <w:color w:val="auto"/>
          <w:highlight w:val="none"/>
        </w:rPr>
        <w:t>或副本</w:t>
      </w:r>
    </w:p>
    <w:p>
      <w:pPr>
        <w:snapToGrid w:val="0"/>
        <w:spacing w:before="120" w:beforeLines="50" w:after="50" w:line="360" w:lineRule="auto"/>
        <w:rPr>
          <w:rFonts w:ascii="宋体" w:hAnsi="宋体"/>
          <w:color w:val="auto"/>
          <w:highlight w:val="none"/>
        </w:rPr>
      </w:pPr>
    </w:p>
    <w:p>
      <w:pPr>
        <w:snapToGrid w:val="0"/>
        <w:spacing w:before="50" w:after="120" w:afterLines="50" w:line="360" w:lineRule="auto"/>
        <w:jc w:val="center"/>
        <w:rPr>
          <w:rFonts w:ascii="宋体" w:hAnsi="宋体"/>
          <w:b/>
          <w:bCs/>
          <w:color w:val="auto"/>
          <w:highlight w:val="none"/>
        </w:rPr>
      </w:pPr>
      <w:r>
        <w:rPr>
          <w:rFonts w:hint="eastAsia" w:ascii="宋体" w:hAnsi="宋体" w:cs="宋体"/>
          <w:b/>
          <w:bCs/>
          <w:color w:val="auto"/>
          <w:highlight w:val="none"/>
        </w:rPr>
        <w:t>商务技术文件</w:t>
      </w:r>
    </w:p>
    <w:p>
      <w:pPr>
        <w:snapToGrid w:val="0"/>
        <w:spacing w:before="120" w:beforeLines="50" w:after="50" w:line="360" w:lineRule="auto"/>
        <w:ind w:firstLine="932" w:firstLineChars="444"/>
        <w:rPr>
          <w:rFonts w:ascii="宋体" w:hAnsi="宋体"/>
          <w:color w:val="auto"/>
          <w:highlight w:val="none"/>
        </w:rPr>
      </w:pPr>
      <w:r>
        <w:rPr>
          <w:rFonts w:hint="eastAsia" w:ascii="宋体" w:hAnsi="宋体" w:cs="宋体"/>
          <w:color w:val="auto"/>
          <w:highlight w:val="none"/>
        </w:rPr>
        <w:t>项目名称：</w:t>
      </w:r>
    </w:p>
    <w:p>
      <w:pPr>
        <w:snapToGrid w:val="0"/>
        <w:spacing w:before="120" w:beforeLines="50" w:after="50" w:line="360" w:lineRule="auto"/>
        <w:ind w:firstLine="932" w:firstLineChars="444"/>
        <w:rPr>
          <w:rFonts w:ascii="宋体" w:hAnsi="宋体"/>
          <w:color w:val="auto"/>
          <w:highlight w:val="none"/>
        </w:rPr>
      </w:pPr>
      <w:r>
        <w:rPr>
          <w:rFonts w:hint="eastAsia" w:ascii="宋体" w:hAnsi="宋体" w:cs="宋体"/>
          <w:color w:val="auto"/>
          <w:highlight w:val="none"/>
        </w:rPr>
        <w:t>项目编号：</w:t>
      </w:r>
    </w:p>
    <w:p>
      <w:pPr>
        <w:snapToGrid w:val="0"/>
        <w:spacing w:before="120" w:beforeLines="50" w:after="50" w:line="360" w:lineRule="auto"/>
        <w:ind w:firstLine="932" w:firstLineChars="444"/>
        <w:rPr>
          <w:rFonts w:ascii="宋体" w:hAnsi="宋体"/>
          <w:color w:val="auto"/>
          <w:highlight w:val="none"/>
        </w:rPr>
      </w:pPr>
    </w:p>
    <w:p>
      <w:pPr>
        <w:snapToGrid w:val="0"/>
        <w:spacing w:before="120" w:beforeLines="50" w:after="50" w:line="360" w:lineRule="auto"/>
        <w:ind w:firstLine="932" w:firstLineChars="444"/>
        <w:rPr>
          <w:rFonts w:ascii="宋体" w:hAnsi="宋体"/>
          <w:color w:val="auto"/>
          <w:highlight w:val="none"/>
        </w:rPr>
      </w:pPr>
      <w:r>
        <w:rPr>
          <w:rFonts w:hint="eastAsia" w:ascii="宋体" w:hAnsi="宋体" w:cs="宋体"/>
          <w:color w:val="auto"/>
          <w:highlight w:val="none"/>
        </w:rPr>
        <w:t>供应商名称：</w:t>
      </w:r>
    </w:p>
    <w:p>
      <w:pPr>
        <w:snapToGrid w:val="0"/>
        <w:spacing w:before="120" w:beforeLines="50" w:after="50" w:line="360" w:lineRule="auto"/>
        <w:ind w:firstLine="932" w:firstLineChars="444"/>
        <w:rPr>
          <w:rFonts w:ascii="宋体" w:hAnsi="宋体"/>
          <w:color w:val="auto"/>
          <w:highlight w:val="none"/>
        </w:rPr>
      </w:pPr>
      <w:r>
        <w:rPr>
          <w:rFonts w:hint="eastAsia" w:ascii="宋体" w:hAnsi="宋体" w:cs="宋体"/>
          <w:color w:val="auto"/>
          <w:highlight w:val="none"/>
        </w:rPr>
        <w:t>供应商地址：</w:t>
      </w:r>
    </w:p>
    <w:p>
      <w:pPr>
        <w:snapToGrid w:val="0"/>
        <w:spacing w:before="120" w:beforeLines="50" w:after="50" w:line="360" w:lineRule="auto"/>
        <w:ind w:firstLine="645"/>
        <w:jc w:val="center"/>
        <w:rPr>
          <w:rFonts w:ascii="宋体" w:hAns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pPr>
        <w:snapToGrid w:val="0"/>
        <w:spacing w:before="120" w:beforeLines="50" w:after="50" w:line="360" w:lineRule="auto"/>
        <w:rPr>
          <w:rFonts w:ascii="宋体" w:hAnsi="宋体" w:cs="宋体"/>
          <w:b/>
          <w:color w:val="auto"/>
          <w:sz w:val="24"/>
          <w:szCs w:val="24"/>
          <w:highlight w:val="none"/>
        </w:rPr>
      </w:pPr>
      <w:r>
        <w:rPr>
          <w:rFonts w:ascii="宋体" w:hAnsi="宋体"/>
          <w:b/>
          <w:bCs/>
          <w:color w:val="auto"/>
          <w:highlight w:val="none"/>
        </w:rPr>
        <w:br w:type="page"/>
      </w:r>
      <w:r>
        <w:rPr>
          <w:rFonts w:ascii="宋体" w:hAnsi="宋体" w:cs="宋体"/>
          <w:b/>
          <w:color w:val="auto"/>
          <w:sz w:val="24"/>
          <w:szCs w:val="24"/>
          <w:highlight w:val="none"/>
        </w:rPr>
        <w:t>3.</w:t>
      </w:r>
      <w:r>
        <w:rPr>
          <w:rFonts w:hint="eastAsia" w:ascii="宋体" w:hAnsi="宋体" w:cs="宋体"/>
          <w:b/>
          <w:color w:val="auto"/>
          <w:sz w:val="24"/>
          <w:szCs w:val="24"/>
          <w:highlight w:val="none"/>
        </w:rPr>
        <w:t>商务技术文件：</w:t>
      </w:r>
    </w:p>
    <w:p>
      <w:pPr>
        <w:numPr>
          <w:ilvl w:val="0"/>
          <w:numId w:val="14"/>
        </w:numPr>
        <w:spacing w:line="360" w:lineRule="auto"/>
        <w:rPr>
          <w:rFonts w:ascii="宋体" w:hAnsi="宋体"/>
          <w:color w:val="auto"/>
          <w:highlight w:val="none"/>
        </w:rPr>
      </w:pPr>
      <w:r>
        <w:rPr>
          <w:rFonts w:hint="eastAsia" w:ascii="宋体" w:hAnsi="宋体" w:cs="宋体"/>
          <w:color w:val="auto"/>
          <w:highlight w:val="none"/>
        </w:rPr>
        <w:t>符合性自查表（格式附后）；</w:t>
      </w:r>
    </w:p>
    <w:p>
      <w:pPr>
        <w:numPr>
          <w:ilvl w:val="0"/>
          <w:numId w:val="14"/>
        </w:numPr>
        <w:spacing w:line="360" w:lineRule="auto"/>
        <w:rPr>
          <w:rFonts w:ascii="宋体" w:hAnsi="宋体"/>
          <w:color w:val="auto"/>
          <w:highlight w:val="none"/>
        </w:rPr>
      </w:pPr>
      <w:r>
        <w:rPr>
          <w:rFonts w:hint="eastAsia" w:ascii="宋体" w:hAnsi="宋体" w:cs="宋体"/>
          <w:color w:val="auto"/>
          <w:highlight w:val="none"/>
        </w:rPr>
        <w:t>评分索引表（格式附后）；</w:t>
      </w:r>
    </w:p>
    <w:p>
      <w:pPr>
        <w:numPr>
          <w:ilvl w:val="0"/>
          <w:numId w:val="14"/>
        </w:numPr>
        <w:spacing w:line="360" w:lineRule="auto"/>
        <w:rPr>
          <w:rFonts w:ascii="宋体" w:hAnsi="宋体"/>
          <w:color w:val="auto"/>
          <w:highlight w:val="none"/>
        </w:rPr>
      </w:pPr>
      <w:r>
        <w:rPr>
          <w:rFonts w:hint="eastAsia" w:ascii="宋体" w:hAnsi="宋体" w:cs="宋体"/>
          <w:color w:val="auto"/>
          <w:highlight w:val="none"/>
        </w:rPr>
        <w:t>投标函（格式附后）；</w:t>
      </w:r>
    </w:p>
    <w:p>
      <w:pPr>
        <w:numPr>
          <w:ilvl w:val="0"/>
          <w:numId w:val="14"/>
        </w:numPr>
        <w:spacing w:line="360" w:lineRule="auto"/>
        <w:rPr>
          <w:rFonts w:ascii="宋体" w:hAnsi="宋体"/>
          <w:color w:val="auto"/>
          <w:highlight w:val="none"/>
        </w:rPr>
      </w:pPr>
      <w:r>
        <w:rPr>
          <w:rFonts w:hint="eastAsia" w:ascii="宋体" w:hAnsi="宋体" w:cs="宋体"/>
          <w:color w:val="auto"/>
          <w:highlight w:val="none"/>
        </w:rPr>
        <w:t>技术要求响应表</w:t>
      </w:r>
      <w:r>
        <w:rPr>
          <w:rFonts w:ascii="宋体" w:hAnsi="宋体"/>
          <w:color w:val="auto"/>
          <w:highlight w:val="none"/>
        </w:rPr>
        <w:t xml:space="preserve"> (</w:t>
      </w:r>
      <w:r>
        <w:rPr>
          <w:rFonts w:hint="eastAsia" w:ascii="宋体" w:hAnsi="宋体" w:cs="宋体"/>
          <w:color w:val="auto"/>
          <w:highlight w:val="none"/>
        </w:rPr>
        <w:t>格式附后</w:t>
      </w:r>
      <w:r>
        <w:rPr>
          <w:rFonts w:ascii="宋体" w:hAnsi="宋体"/>
          <w:color w:val="auto"/>
          <w:highlight w:val="none"/>
        </w:rPr>
        <w:t xml:space="preserve">) </w:t>
      </w:r>
      <w:r>
        <w:rPr>
          <w:rFonts w:hint="eastAsia" w:ascii="宋体" w:hAnsi="宋体" w:cs="宋体"/>
          <w:color w:val="auto"/>
          <w:highlight w:val="none"/>
        </w:rPr>
        <w:t>；</w:t>
      </w:r>
    </w:p>
    <w:p>
      <w:pPr>
        <w:numPr>
          <w:ilvl w:val="0"/>
          <w:numId w:val="14"/>
        </w:numPr>
        <w:spacing w:line="360" w:lineRule="auto"/>
        <w:rPr>
          <w:rFonts w:ascii="宋体" w:hAnsi="宋体"/>
          <w:color w:val="auto"/>
          <w:highlight w:val="none"/>
        </w:rPr>
      </w:pPr>
      <w:r>
        <w:rPr>
          <w:rFonts w:hint="eastAsia" w:ascii="宋体" w:hAnsi="宋体" w:cs="宋体"/>
          <w:color w:val="auto"/>
          <w:highlight w:val="none"/>
        </w:rPr>
        <w:t>法定代表人身份证明或法定代表人授权委托书；</w:t>
      </w:r>
    </w:p>
    <w:p>
      <w:pPr>
        <w:numPr>
          <w:ilvl w:val="0"/>
          <w:numId w:val="14"/>
        </w:numPr>
        <w:spacing w:line="360" w:lineRule="auto"/>
        <w:rPr>
          <w:rFonts w:hint="eastAsia" w:ascii="宋体" w:hAnsi="宋体"/>
          <w:color w:val="auto"/>
          <w:highlight w:val="none"/>
        </w:rPr>
      </w:pPr>
      <w:r>
        <w:rPr>
          <w:rFonts w:hint="eastAsia" w:ascii="宋体" w:hAnsi="宋体" w:cs="宋体"/>
          <w:color w:val="auto"/>
          <w:highlight w:val="none"/>
        </w:rPr>
        <w:t>供应商资格声明（格式附后）；</w:t>
      </w:r>
    </w:p>
    <w:p>
      <w:pPr>
        <w:numPr>
          <w:ilvl w:val="0"/>
          <w:numId w:val="14"/>
        </w:numPr>
        <w:spacing w:line="360" w:lineRule="auto"/>
        <w:rPr>
          <w:rFonts w:ascii="宋体" w:hAnsi="宋体" w:cs="宋体"/>
          <w:color w:val="auto"/>
          <w:highlight w:val="none"/>
        </w:rPr>
      </w:pPr>
      <w:r>
        <w:rPr>
          <w:rFonts w:hint="eastAsia" w:ascii="宋体" w:hAnsi="宋体" w:cs="宋体"/>
          <w:color w:val="auto"/>
          <w:highlight w:val="none"/>
        </w:rPr>
        <w:t>拟投入人员配备表（格式附后）；</w:t>
      </w:r>
    </w:p>
    <w:p>
      <w:pPr>
        <w:numPr>
          <w:ilvl w:val="0"/>
          <w:numId w:val="14"/>
        </w:numPr>
        <w:spacing w:line="360" w:lineRule="auto"/>
        <w:rPr>
          <w:rFonts w:hint="eastAsia" w:ascii="宋体" w:hAnsi="宋体"/>
          <w:color w:val="auto"/>
          <w:highlight w:val="none"/>
        </w:rPr>
      </w:pPr>
      <w:r>
        <w:rPr>
          <w:rFonts w:hint="eastAsia" w:ascii="宋体" w:hAnsi="宋体" w:cs="宋体"/>
          <w:color w:val="auto"/>
          <w:highlight w:val="none"/>
        </w:rPr>
        <w:t>商务响应（偏离）表（格式附后）；</w:t>
      </w:r>
    </w:p>
    <w:p>
      <w:pPr>
        <w:numPr>
          <w:ilvl w:val="0"/>
          <w:numId w:val="14"/>
        </w:numPr>
        <w:spacing w:line="360" w:lineRule="auto"/>
        <w:rPr>
          <w:rFonts w:ascii="宋体" w:hAnsi="宋体"/>
          <w:color w:val="auto"/>
          <w:highlight w:val="none"/>
        </w:rPr>
      </w:pPr>
      <w:r>
        <w:rPr>
          <w:rFonts w:hint="eastAsia" w:ascii="宋体" w:hAnsi="宋体" w:cs="宋体"/>
          <w:color w:val="auto"/>
          <w:highlight w:val="none"/>
        </w:rPr>
        <w:t>针对本项目第四章评分标准中的条款拟定完整投标方案（格式自拟）；</w:t>
      </w:r>
    </w:p>
    <w:p>
      <w:pPr>
        <w:numPr>
          <w:ilvl w:val="0"/>
          <w:numId w:val="14"/>
        </w:numPr>
        <w:spacing w:line="360" w:lineRule="auto"/>
        <w:rPr>
          <w:rFonts w:ascii="宋体" w:hAnsi="宋体"/>
          <w:color w:val="auto"/>
          <w:highlight w:val="none"/>
        </w:rPr>
      </w:pPr>
      <w:r>
        <w:rPr>
          <w:rFonts w:hint="eastAsia" w:ascii="宋体" w:hAnsi="宋体" w:cs="宋体"/>
          <w:color w:val="auto"/>
          <w:highlight w:val="none"/>
        </w:rPr>
        <w:t>供应商认为需要提供的其它材料（格式自拟）；</w:t>
      </w:r>
    </w:p>
    <w:p>
      <w:pPr>
        <w:spacing w:line="360" w:lineRule="auto"/>
        <w:jc w:val="left"/>
        <w:outlineLvl w:val="2"/>
        <w:rPr>
          <w:rFonts w:ascii="宋体" w:hAnsi="宋体" w:cs="RomanS"/>
          <w:b/>
          <w:color w:val="auto"/>
          <w:sz w:val="24"/>
          <w:szCs w:val="24"/>
          <w:highlight w:val="none"/>
        </w:rPr>
      </w:pPr>
      <w:r>
        <w:rPr>
          <w:rFonts w:ascii="宋体" w:hAnsi="宋体"/>
          <w:color w:val="auto"/>
          <w:highlight w:val="none"/>
        </w:rPr>
        <w:br w:type="page"/>
      </w:r>
      <w:r>
        <w:rPr>
          <w:rFonts w:ascii="宋体" w:hAnsi="宋体" w:cs="RomanS"/>
          <w:b/>
          <w:color w:val="auto"/>
          <w:sz w:val="24"/>
          <w:szCs w:val="24"/>
          <w:highlight w:val="none"/>
        </w:rPr>
        <w:t>1</w:t>
      </w:r>
      <w:r>
        <w:rPr>
          <w:rFonts w:hint="eastAsia" w:ascii="宋体" w:hAnsi="宋体" w:cs="RomanS"/>
          <w:b/>
          <w:color w:val="auto"/>
          <w:sz w:val="24"/>
          <w:szCs w:val="24"/>
          <w:highlight w:val="none"/>
        </w:rPr>
        <w:t>、符合性自查表格式</w:t>
      </w:r>
    </w:p>
    <w:p>
      <w:pPr>
        <w:snapToGrid w:val="0"/>
        <w:spacing w:before="120" w:beforeLines="50" w:after="50" w:line="360" w:lineRule="auto"/>
        <w:jc w:val="center"/>
        <w:rPr>
          <w:rFonts w:ascii="宋体" w:hAnsi="宋体"/>
          <w:b/>
          <w:bCs/>
          <w:color w:val="auto"/>
          <w:sz w:val="24"/>
          <w:szCs w:val="24"/>
          <w:highlight w:val="none"/>
        </w:rPr>
      </w:pPr>
      <w:r>
        <w:rPr>
          <w:rFonts w:hint="eastAsia" w:ascii="宋体" w:hAnsi="宋体" w:cs="宋体"/>
          <w:b/>
          <w:bCs/>
          <w:color w:val="auto"/>
          <w:sz w:val="24"/>
          <w:szCs w:val="24"/>
          <w:highlight w:val="none"/>
        </w:rPr>
        <w:t>符合性自查表</w:t>
      </w:r>
    </w:p>
    <w:tbl>
      <w:tblPr>
        <w:tblStyle w:val="49"/>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19"/>
        <w:gridCol w:w="4620"/>
        <w:gridCol w:w="1248"/>
        <w:gridCol w:w="22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819" w:type="dxa"/>
            <w:tcBorders>
              <w:top w:val="single" w:color="auto" w:sz="12" w:space="0"/>
              <w:left w:val="single" w:color="auto" w:sz="12" w:space="0"/>
              <w:bottom w:val="outset" w:color="111111" w:sz="6" w:space="0"/>
              <w:right w:val="outset" w:color="111111" w:sz="6"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评审内容</w:t>
            </w:r>
          </w:p>
        </w:tc>
        <w:tc>
          <w:tcPr>
            <w:tcW w:w="4620" w:type="dxa"/>
            <w:tcBorders>
              <w:top w:val="single" w:color="auto" w:sz="12"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采购文件要求</w:t>
            </w:r>
          </w:p>
        </w:tc>
        <w:tc>
          <w:tcPr>
            <w:tcW w:w="1248" w:type="dxa"/>
            <w:tcBorders>
              <w:top w:val="single" w:color="auto" w:sz="12"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自查结论</w:t>
            </w:r>
          </w:p>
        </w:tc>
        <w:tc>
          <w:tcPr>
            <w:tcW w:w="22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19" w:type="dxa"/>
            <w:vMerge w:val="restart"/>
            <w:tcBorders>
              <w:top w:val="outset" w:color="111111" w:sz="6" w:space="0"/>
              <w:left w:val="single" w:color="auto" w:sz="12" w:space="0"/>
              <w:right w:val="outset" w:color="111111" w:sz="6" w:space="0"/>
            </w:tcBorders>
            <w:vAlign w:val="center"/>
          </w:tcPr>
          <w:p>
            <w:pPr>
              <w:adjustRightInd w:val="0"/>
              <w:snapToGrid w:val="0"/>
              <w:spacing w:line="360" w:lineRule="auto"/>
              <w:jc w:val="center"/>
              <w:rPr>
                <w:rFonts w:ascii="宋体" w:hAnsi="宋体"/>
                <w:color w:val="auto"/>
                <w:highlight w:val="none"/>
              </w:rPr>
            </w:pPr>
            <w:r>
              <w:rPr>
                <w:rFonts w:hint="eastAsia" w:ascii="宋体" w:hAnsi="宋体" w:cs="宋体"/>
                <w:color w:val="auto"/>
                <w:highlight w:val="none"/>
              </w:rPr>
              <w:t>符</w:t>
            </w:r>
          </w:p>
          <w:p>
            <w:pPr>
              <w:adjustRightInd w:val="0"/>
              <w:snapToGrid w:val="0"/>
              <w:spacing w:line="360" w:lineRule="auto"/>
              <w:jc w:val="center"/>
              <w:rPr>
                <w:rFonts w:ascii="宋体" w:hAnsi="宋体"/>
                <w:color w:val="auto"/>
                <w:highlight w:val="none"/>
              </w:rPr>
            </w:pPr>
            <w:r>
              <w:rPr>
                <w:rFonts w:hint="eastAsia" w:ascii="宋体" w:hAnsi="宋体" w:cs="宋体"/>
                <w:color w:val="auto"/>
                <w:highlight w:val="none"/>
              </w:rPr>
              <w:t>合</w:t>
            </w:r>
          </w:p>
          <w:p>
            <w:pPr>
              <w:adjustRightInd w:val="0"/>
              <w:snapToGrid w:val="0"/>
              <w:spacing w:line="360" w:lineRule="auto"/>
              <w:jc w:val="center"/>
              <w:rPr>
                <w:rFonts w:ascii="宋体" w:hAnsi="宋体"/>
                <w:color w:val="auto"/>
                <w:highlight w:val="none"/>
              </w:rPr>
            </w:pPr>
            <w:r>
              <w:rPr>
                <w:rFonts w:hint="eastAsia" w:ascii="宋体" w:hAnsi="宋体" w:cs="宋体"/>
                <w:color w:val="auto"/>
                <w:highlight w:val="none"/>
              </w:rPr>
              <w:t>性</w:t>
            </w:r>
          </w:p>
          <w:p>
            <w:pPr>
              <w:adjustRightInd w:val="0"/>
              <w:snapToGrid w:val="0"/>
              <w:spacing w:line="360" w:lineRule="auto"/>
              <w:jc w:val="center"/>
              <w:rPr>
                <w:rFonts w:ascii="宋体" w:hAnsi="宋体"/>
                <w:color w:val="auto"/>
                <w:highlight w:val="none"/>
              </w:rPr>
            </w:pPr>
            <w:r>
              <w:rPr>
                <w:rFonts w:hint="eastAsia" w:ascii="宋体" w:hAnsi="宋体" w:cs="宋体"/>
                <w:color w:val="auto"/>
                <w:highlight w:val="none"/>
              </w:rPr>
              <w:t>审</w:t>
            </w:r>
          </w:p>
          <w:p>
            <w:pPr>
              <w:adjustRightInd w:val="0"/>
              <w:snapToGrid w:val="0"/>
              <w:spacing w:line="360" w:lineRule="auto"/>
              <w:jc w:val="center"/>
              <w:rPr>
                <w:rFonts w:ascii="宋体" w:hAnsi="宋体"/>
                <w:color w:val="auto"/>
                <w:highlight w:val="none"/>
              </w:rPr>
            </w:pPr>
            <w:r>
              <w:rPr>
                <w:rFonts w:hint="eastAsia" w:ascii="宋体" w:hAnsi="宋体" w:cs="宋体"/>
                <w:color w:val="auto"/>
                <w:highlight w:val="none"/>
              </w:rPr>
              <w:t>查</w:t>
            </w:r>
          </w:p>
        </w:tc>
        <w:tc>
          <w:tcPr>
            <w:tcW w:w="4620" w:type="dxa"/>
            <w:tcBorders>
              <w:top w:val="outset" w:color="111111" w:sz="6" w:space="0"/>
              <w:left w:val="outset" w:color="111111" w:sz="6" w:space="0"/>
              <w:bottom w:val="single" w:color="auto" w:sz="4" w:space="0"/>
              <w:right w:val="outset" w:color="111111" w:sz="6" w:space="0"/>
            </w:tcBorders>
            <w:vAlign w:val="center"/>
          </w:tcPr>
          <w:p>
            <w:pPr>
              <w:adjustRightInd w:val="0"/>
              <w:snapToGrid w:val="0"/>
              <w:spacing w:line="360" w:lineRule="auto"/>
              <w:rPr>
                <w:rFonts w:hint="eastAsia" w:ascii="宋体" w:hAnsi="宋体" w:eastAsia="宋体"/>
                <w:color w:val="auto"/>
                <w:highlight w:val="none"/>
                <w:lang w:eastAsia="zh-CN"/>
              </w:rPr>
            </w:pPr>
            <w:r>
              <w:rPr>
                <w:rFonts w:ascii="宋体" w:hAnsi="宋体" w:cs="宋体"/>
                <w:color w:val="auto"/>
                <w:highlight w:val="none"/>
              </w:rPr>
              <w:t>1</w:t>
            </w:r>
            <w:r>
              <w:rPr>
                <w:rFonts w:hint="eastAsia" w:ascii="宋体" w:hAnsi="宋体" w:cs="宋体"/>
                <w:color w:val="auto"/>
                <w:highlight w:val="none"/>
              </w:rPr>
              <w:t>、投标函已提交并符合采购文件要求的</w:t>
            </w:r>
            <w:r>
              <w:rPr>
                <w:rFonts w:hint="eastAsia" w:ascii="宋体" w:hAnsi="宋体" w:cs="宋体"/>
                <w:color w:val="auto"/>
                <w:highlight w:val="none"/>
                <w:lang w:eastAsia="zh-CN"/>
              </w:rPr>
              <w:t>；</w:t>
            </w:r>
          </w:p>
        </w:tc>
        <w:tc>
          <w:tcPr>
            <w:tcW w:w="1248" w:type="dxa"/>
            <w:tcBorders>
              <w:top w:val="outset" w:color="111111" w:sz="6" w:space="0"/>
              <w:left w:val="outset" w:color="111111" w:sz="6" w:space="0"/>
              <w:right w:val="outset" w:color="111111" w:sz="6"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□通过</w:t>
            </w:r>
            <w:r>
              <w:rPr>
                <w:rFonts w:ascii="宋体" w:hAnsi="宋体" w:cs="宋体"/>
                <w:color w:val="auto"/>
                <w:highlight w:val="none"/>
              </w:rPr>
              <w:t xml:space="preserve"> </w:t>
            </w:r>
          </w:p>
          <w:p>
            <w:pPr>
              <w:adjustRightInd w:val="0"/>
              <w:snapToGrid w:val="0"/>
              <w:spacing w:line="360" w:lineRule="auto"/>
              <w:rPr>
                <w:rFonts w:ascii="宋体" w:hAnsi="宋体"/>
                <w:color w:val="auto"/>
                <w:highlight w:val="none"/>
              </w:rPr>
            </w:pPr>
            <w:r>
              <w:rPr>
                <w:rFonts w:hint="eastAsia" w:ascii="宋体" w:hAnsi="宋体" w:cs="宋体"/>
                <w:color w:val="auto"/>
                <w:highlight w:val="none"/>
              </w:rPr>
              <w:t>□不通过</w:t>
            </w:r>
          </w:p>
        </w:tc>
        <w:tc>
          <w:tcPr>
            <w:tcW w:w="2246" w:type="dxa"/>
            <w:tcBorders>
              <w:top w:val="outset" w:color="111111" w:sz="6" w:space="0"/>
              <w:left w:val="outset" w:color="111111" w:sz="6" w:space="0"/>
              <w:bottom w:val="single" w:color="auto" w:sz="4" w:space="0"/>
              <w:right w:val="single" w:color="auto" w:sz="12"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第（</w:t>
            </w:r>
            <w:r>
              <w:rPr>
                <w:rFonts w:ascii="宋体" w:hAnsi="宋体" w:cs="宋体"/>
                <w:color w:val="auto"/>
                <w:highlight w:val="none"/>
              </w:rPr>
              <w:t xml:space="preserve"> </w:t>
            </w:r>
            <w:r>
              <w:rPr>
                <w:rFonts w:hint="eastAsia" w:ascii="宋体" w:hAnsi="宋体" w:cs="宋体"/>
                <w:color w:val="auto"/>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819" w:type="dxa"/>
            <w:vMerge w:val="continue"/>
            <w:tcBorders>
              <w:left w:val="single" w:color="auto" w:sz="12" w:space="0"/>
              <w:right w:val="outset" w:color="111111" w:sz="6" w:space="0"/>
            </w:tcBorders>
            <w:vAlign w:val="center"/>
          </w:tcPr>
          <w:p>
            <w:pPr>
              <w:adjustRightInd w:val="0"/>
              <w:snapToGrid w:val="0"/>
              <w:spacing w:line="360" w:lineRule="auto"/>
              <w:rPr>
                <w:rFonts w:ascii="宋体" w:hAnsi="宋体"/>
                <w:color w:val="auto"/>
                <w:highlight w:val="none"/>
              </w:rPr>
            </w:pPr>
          </w:p>
        </w:tc>
        <w:tc>
          <w:tcPr>
            <w:tcW w:w="462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、按照采购文件规定要求签署、盖章且投标文件有法定代表人</w:t>
            </w:r>
            <w:r>
              <w:rPr>
                <w:rFonts w:hint="eastAsia" w:ascii="宋体" w:hAnsi="宋体" w:cs="宋体"/>
                <w:color w:val="auto"/>
                <w:highlight w:val="none"/>
                <w:lang w:eastAsia="zh-TW"/>
              </w:rPr>
              <w:t>签署本人姓名（或印盖本人姓名章）</w:t>
            </w:r>
            <w:r>
              <w:rPr>
                <w:rFonts w:hint="eastAsia" w:ascii="宋体" w:hAnsi="宋体" w:cs="宋体"/>
                <w:color w:val="auto"/>
                <w:highlight w:val="none"/>
              </w:rPr>
              <w:t>，或</w:t>
            </w:r>
            <w:r>
              <w:rPr>
                <w:rFonts w:hint="eastAsia" w:ascii="宋体" w:hAnsi="宋体" w:cs="宋体"/>
                <w:color w:val="auto"/>
                <w:highlight w:val="none"/>
                <w:lang w:eastAsia="zh-TW"/>
              </w:rPr>
              <w:t>签署</w:t>
            </w:r>
            <w:r>
              <w:rPr>
                <w:rFonts w:hint="eastAsia" w:ascii="宋体" w:hAnsi="宋体" w:cs="宋体"/>
                <w:color w:val="auto"/>
                <w:highlight w:val="none"/>
              </w:rPr>
              <w:t>人有法定代表人有效授权书的；</w:t>
            </w:r>
          </w:p>
        </w:tc>
        <w:tc>
          <w:tcPr>
            <w:tcW w:w="12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□通过</w:t>
            </w:r>
            <w:r>
              <w:rPr>
                <w:rFonts w:ascii="宋体" w:hAnsi="宋体" w:cs="宋体"/>
                <w:color w:val="auto"/>
                <w:highlight w:val="none"/>
              </w:rPr>
              <w:t xml:space="preserve"> </w:t>
            </w:r>
          </w:p>
          <w:p>
            <w:pPr>
              <w:adjustRightInd w:val="0"/>
              <w:snapToGrid w:val="0"/>
              <w:spacing w:line="360" w:lineRule="auto"/>
              <w:rPr>
                <w:rFonts w:ascii="宋体" w:hAnsi="宋体"/>
                <w:color w:val="auto"/>
                <w:highlight w:val="none"/>
              </w:rPr>
            </w:pPr>
            <w:r>
              <w:rPr>
                <w:rFonts w:hint="eastAsia" w:ascii="宋体" w:hAnsi="宋体" w:cs="宋体"/>
                <w:color w:val="auto"/>
                <w:highlight w:val="none"/>
              </w:rPr>
              <w:t>□不通过</w:t>
            </w:r>
          </w:p>
        </w:tc>
        <w:tc>
          <w:tcPr>
            <w:tcW w:w="22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第（</w:t>
            </w:r>
            <w:r>
              <w:rPr>
                <w:rFonts w:ascii="宋体" w:hAnsi="宋体" w:cs="宋体"/>
                <w:color w:val="auto"/>
                <w:highlight w:val="none"/>
              </w:rPr>
              <w:t xml:space="preserve"> </w:t>
            </w:r>
            <w:r>
              <w:rPr>
                <w:rFonts w:hint="eastAsia" w:ascii="宋体" w:hAnsi="宋体" w:cs="宋体"/>
                <w:color w:val="auto"/>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vMerge w:val="continue"/>
            <w:tcBorders>
              <w:left w:val="single" w:color="auto" w:sz="12" w:space="0"/>
              <w:right w:val="outset" w:color="111111" w:sz="6" w:space="0"/>
            </w:tcBorders>
            <w:vAlign w:val="center"/>
          </w:tcPr>
          <w:p>
            <w:pPr>
              <w:adjustRightInd w:val="0"/>
              <w:snapToGrid w:val="0"/>
              <w:spacing w:line="360" w:lineRule="auto"/>
              <w:rPr>
                <w:rFonts w:ascii="宋体" w:hAnsi="宋体"/>
                <w:color w:val="auto"/>
                <w:highlight w:val="none"/>
              </w:rPr>
            </w:pPr>
          </w:p>
        </w:tc>
        <w:tc>
          <w:tcPr>
            <w:tcW w:w="462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投标文件完全满足采购文件的实质性条款（即标注★号条款）无负偏离的；</w:t>
            </w:r>
          </w:p>
        </w:tc>
        <w:tc>
          <w:tcPr>
            <w:tcW w:w="12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□通过</w:t>
            </w:r>
            <w:r>
              <w:rPr>
                <w:rFonts w:ascii="宋体" w:hAnsi="宋体" w:cs="宋体"/>
                <w:color w:val="auto"/>
                <w:highlight w:val="none"/>
              </w:rPr>
              <w:t xml:space="preserve"> </w:t>
            </w:r>
          </w:p>
          <w:p>
            <w:pPr>
              <w:adjustRightInd w:val="0"/>
              <w:snapToGrid w:val="0"/>
              <w:spacing w:line="360" w:lineRule="auto"/>
              <w:rPr>
                <w:rFonts w:ascii="宋体" w:hAnsi="宋体"/>
                <w:color w:val="auto"/>
                <w:highlight w:val="none"/>
              </w:rPr>
            </w:pPr>
            <w:r>
              <w:rPr>
                <w:rFonts w:hint="eastAsia" w:ascii="宋体" w:hAnsi="宋体" w:cs="宋体"/>
                <w:color w:val="auto"/>
                <w:highlight w:val="none"/>
              </w:rPr>
              <w:t>□不通过</w:t>
            </w:r>
          </w:p>
        </w:tc>
        <w:tc>
          <w:tcPr>
            <w:tcW w:w="22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第（</w:t>
            </w:r>
            <w:r>
              <w:rPr>
                <w:rFonts w:ascii="宋体" w:hAnsi="宋体" w:cs="宋体"/>
                <w:color w:val="auto"/>
                <w:highlight w:val="none"/>
              </w:rPr>
              <w:t xml:space="preserve"> </w:t>
            </w:r>
            <w:r>
              <w:rPr>
                <w:rFonts w:hint="eastAsia" w:ascii="宋体" w:hAnsi="宋体" w:cs="宋体"/>
                <w:color w:val="auto"/>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vMerge w:val="continue"/>
            <w:tcBorders>
              <w:left w:val="single" w:color="auto" w:sz="12" w:space="0"/>
              <w:right w:val="outset" w:color="111111" w:sz="6" w:space="0"/>
            </w:tcBorders>
            <w:vAlign w:val="center"/>
          </w:tcPr>
          <w:p>
            <w:pPr>
              <w:adjustRightInd w:val="0"/>
              <w:snapToGrid w:val="0"/>
              <w:spacing w:line="360" w:lineRule="auto"/>
              <w:rPr>
                <w:rFonts w:ascii="宋体" w:hAnsi="宋体"/>
                <w:color w:val="auto"/>
                <w:highlight w:val="none"/>
              </w:rPr>
            </w:pPr>
          </w:p>
        </w:tc>
        <w:tc>
          <w:tcPr>
            <w:tcW w:w="462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、投标文件没有采购文件中规定的其它无效投标条款的；</w:t>
            </w:r>
          </w:p>
        </w:tc>
        <w:tc>
          <w:tcPr>
            <w:tcW w:w="12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□通过</w:t>
            </w:r>
            <w:r>
              <w:rPr>
                <w:rFonts w:ascii="宋体" w:hAnsi="宋体" w:cs="宋体"/>
                <w:color w:val="auto"/>
                <w:highlight w:val="none"/>
              </w:rPr>
              <w:t xml:space="preserve"> </w:t>
            </w:r>
          </w:p>
          <w:p>
            <w:pPr>
              <w:adjustRightInd w:val="0"/>
              <w:snapToGrid w:val="0"/>
              <w:spacing w:line="360" w:lineRule="auto"/>
              <w:rPr>
                <w:rFonts w:ascii="宋体" w:hAnsi="宋体"/>
                <w:color w:val="auto"/>
                <w:highlight w:val="none"/>
              </w:rPr>
            </w:pPr>
            <w:r>
              <w:rPr>
                <w:rFonts w:hint="eastAsia" w:ascii="宋体" w:hAnsi="宋体" w:cs="宋体"/>
                <w:color w:val="auto"/>
                <w:highlight w:val="none"/>
              </w:rPr>
              <w:t>□不通过</w:t>
            </w:r>
          </w:p>
        </w:tc>
        <w:tc>
          <w:tcPr>
            <w:tcW w:w="22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第（</w:t>
            </w:r>
            <w:r>
              <w:rPr>
                <w:rFonts w:ascii="宋体" w:hAnsi="宋体" w:cs="宋体"/>
                <w:color w:val="auto"/>
                <w:highlight w:val="none"/>
              </w:rPr>
              <w:t xml:space="preserve"> </w:t>
            </w:r>
            <w:r>
              <w:rPr>
                <w:rFonts w:hint="eastAsia" w:ascii="宋体" w:hAnsi="宋体" w:cs="宋体"/>
                <w:color w:val="auto"/>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vMerge w:val="continue"/>
            <w:tcBorders>
              <w:left w:val="single" w:color="auto" w:sz="12" w:space="0"/>
              <w:right w:val="outset" w:color="111111" w:sz="6" w:space="0"/>
            </w:tcBorders>
            <w:vAlign w:val="center"/>
          </w:tcPr>
          <w:p>
            <w:pPr>
              <w:adjustRightInd w:val="0"/>
              <w:snapToGrid w:val="0"/>
              <w:spacing w:line="360" w:lineRule="auto"/>
              <w:rPr>
                <w:rFonts w:ascii="宋体" w:hAnsi="宋体"/>
                <w:color w:val="auto"/>
                <w:highlight w:val="none"/>
              </w:rPr>
            </w:pPr>
          </w:p>
        </w:tc>
        <w:tc>
          <w:tcPr>
            <w:tcW w:w="462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hint="eastAsia" w:ascii="宋体" w:hAnsi="宋体" w:eastAsia="宋体"/>
                <w:color w:val="auto"/>
                <w:highlight w:val="none"/>
                <w:lang w:eastAsia="zh-CN"/>
              </w:rPr>
            </w:pPr>
            <w:r>
              <w:rPr>
                <w:rFonts w:hint="eastAsia" w:ascii="宋体" w:hAnsi="宋体" w:cs="宋体"/>
                <w:color w:val="auto"/>
                <w:highlight w:val="none"/>
                <w:lang w:val="en-US" w:eastAsia="zh-CN"/>
              </w:rPr>
              <w:t>5</w:t>
            </w:r>
            <w:r>
              <w:rPr>
                <w:rFonts w:hint="eastAsia" w:ascii="宋体" w:hAnsi="宋体" w:cs="宋体"/>
                <w:color w:val="auto"/>
                <w:highlight w:val="none"/>
              </w:rPr>
              <w:t>、按有关法律、法规、规章不属于投标无效的</w:t>
            </w:r>
            <w:r>
              <w:rPr>
                <w:rFonts w:hint="eastAsia" w:ascii="宋体" w:hAnsi="宋体" w:cs="宋体"/>
                <w:color w:val="auto"/>
                <w:highlight w:val="none"/>
                <w:lang w:eastAsia="zh-CN"/>
              </w:rPr>
              <w:t>；</w:t>
            </w:r>
          </w:p>
        </w:tc>
        <w:tc>
          <w:tcPr>
            <w:tcW w:w="12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□通过</w:t>
            </w:r>
            <w:r>
              <w:rPr>
                <w:rFonts w:ascii="宋体" w:hAnsi="宋体" w:cs="宋体"/>
                <w:color w:val="auto"/>
                <w:highlight w:val="none"/>
              </w:rPr>
              <w:t xml:space="preserve"> </w:t>
            </w:r>
          </w:p>
          <w:p>
            <w:pPr>
              <w:adjustRightInd w:val="0"/>
              <w:snapToGrid w:val="0"/>
              <w:spacing w:line="360" w:lineRule="auto"/>
              <w:rPr>
                <w:rFonts w:ascii="宋体" w:hAnsi="宋体"/>
                <w:color w:val="auto"/>
                <w:highlight w:val="none"/>
              </w:rPr>
            </w:pPr>
            <w:r>
              <w:rPr>
                <w:rFonts w:hint="eastAsia" w:ascii="宋体" w:hAnsi="宋体" w:cs="宋体"/>
                <w:color w:val="auto"/>
                <w:highlight w:val="none"/>
              </w:rPr>
              <w:t>□不通过</w:t>
            </w:r>
          </w:p>
        </w:tc>
        <w:tc>
          <w:tcPr>
            <w:tcW w:w="22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第（</w:t>
            </w:r>
            <w:r>
              <w:rPr>
                <w:rFonts w:ascii="宋体" w:hAnsi="宋体" w:cs="宋体"/>
                <w:color w:val="auto"/>
                <w:highlight w:val="none"/>
              </w:rPr>
              <w:t xml:space="preserve"> </w:t>
            </w:r>
            <w:r>
              <w:rPr>
                <w:rFonts w:hint="eastAsia" w:ascii="宋体" w:hAnsi="宋体" w:cs="宋体"/>
                <w:color w:val="auto"/>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tcBorders>
              <w:left w:val="single" w:color="auto" w:sz="12" w:space="0"/>
              <w:bottom w:val="outset" w:color="111111" w:sz="6" w:space="0"/>
              <w:right w:val="outset" w:color="111111" w:sz="6" w:space="0"/>
            </w:tcBorders>
            <w:vAlign w:val="center"/>
          </w:tcPr>
          <w:p>
            <w:pPr>
              <w:adjustRightInd w:val="0"/>
              <w:snapToGrid w:val="0"/>
              <w:spacing w:line="360" w:lineRule="auto"/>
              <w:rPr>
                <w:rFonts w:ascii="宋体" w:hAnsi="宋体"/>
                <w:color w:val="auto"/>
                <w:highlight w:val="none"/>
              </w:rPr>
            </w:pPr>
          </w:p>
        </w:tc>
        <w:tc>
          <w:tcPr>
            <w:tcW w:w="462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、按照采购文件要求提供其他证明材料</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rPr>
              <w:t>。</w:t>
            </w:r>
          </w:p>
        </w:tc>
        <w:tc>
          <w:tcPr>
            <w:tcW w:w="12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□通过</w:t>
            </w:r>
            <w:r>
              <w:rPr>
                <w:rFonts w:ascii="宋体" w:hAnsi="宋体" w:cs="宋体"/>
                <w:color w:val="auto"/>
                <w:highlight w:val="none"/>
              </w:rPr>
              <w:t xml:space="preserve"> </w:t>
            </w:r>
          </w:p>
          <w:p>
            <w:pPr>
              <w:adjustRightInd w:val="0"/>
              <w:snapToGrid w:val="0"/>
              <w:spacing w:line="360" w:lineRule="auto"/>
              <w:rPr>
                <w:rFonts w:ascii="宋体" w:hAnsi="宋体"/>
                <w:color w:val="auto"/>
                <w:highlight w:val="none"/>
              </w:rPr>
            </w:pPr>
            <w:r>
              <w:rPr>
                <w:rFonts w:hint="eastAsia" w:ascii="宋体" w:hAnsi="宋体" w:cs="宋体"/>
                <w:color w:val="auto"/>
                <w:highlight w:val="none"/>
              </w:rPr>
              <w:t>□不通过</w:t>
            </w:r>
          </w:p>
        </w:tc>
        <w:tc>
          <w:tcPr>
            <w:tcW w:w="22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rPr>
                <w:rFonts w:ascii="宋体" w:hAnsi="宋体"/>
                <w:color w:val="auto"/>
                <w:highlight w:val="none"/>
              </w:rPr>
            </w:pPr>
            <w:r>
              <w:rPr>
                <w:rFonts w:hint="eastAsia" w:ascii="宋体" w:hAnsi="宋体" w:cs="宋体"/>
                <w:color w:val="auto"/>
                <w:highlight w:val="none"/>
              </w:rPr>
              <w:t>第（</w:t>
            </w:r>
            <w:r>
              <w:rPr>
                <w:rFonts w:ascii="宋体" w:hAnsi="宋体" w:cs="宋体"/>
                <w:color w:val="auto"/>
                <w:highlight w:val="none"/>
              </w:rPr>
              <w:t xml:space="preserve"> </w:t>
            </w:r>
            <w:r>
              <w:rPr>
                <w:rFonts w:hint="eastAsia" w:ascii="宋体" w:hAnsi="宋体" w:cs="宋体"/>
                <w:color w:val="auto"/>
                <w:highlight w:val="none"/>
              </w:rPr>
              <w:t>）页</w:t>
            </w:r>
          </w:p>
        </w:tc>
      </w:tr>
    </w:tbl>
    <w:p>
      <w:pPr>
        <w:adjustRightInd w:val="0"/>
        <w:snapToGrid w:val="0"/>
        <w:spacing w:line="360" w:lineRule="auto"/>
        <w:rPr>
          <w:rFonts w:hint="eastAsia" w:ascii="宋体" w:hAnsi="宋体" w:cs="宋体"/>
          <w:b/>
          <w:bCs/>
          <w:color w:val="auto"/>
          <w:highlight w:val="none"/>
        </w:rPr>
      </w:pPr>
    </w:p>
    <w:p>
      <w:pPr>
        <w:adjustRightInd w:val="0"/>
        <w:snapToGrid w:val="0"/>
        <w:spacing w:line="360" w:lineRule="auto"/>
        <w:rPr>
          <w:rFonts w:ascii="宋体" w:hAnsi="宋体"/>
          <w:b/>
          <w:bCs/>
          <w:color w:val="auto"/>
          <w:highlight w:val="none"/>
        </w:rPr>
      </w:pPr>
      <w:r>
        <w:rPr>
          <w:rFonts w:hint="eastAsia" w:ascii="宋体" w:hAnsi="宋体" w:cs="宋体"/>
          <w:b/>
          <w:bCs/>
          <w:color w:val="auto"/>
          <w:highlight w:val="none"/>
        </w:rPr>
        <w:t>备注：符合性自查表将作为供应商有效性审查的重要内容之一，供应商必须严格按照其内容及序列要求在投标文件中对应如实提供，对证明文件的任何缺漏和不符合项将会直接导致投标无效！</w:t>
      </w:r>
      <w:r>
        <w:rPr>
          <w:rFonts w:ascii="宋体" w:hAnsi="宋体" w:cs="宋体"/>
          <w:b/>
          <w:bCs/>
          <w:color w:val="auto"/>
          <w:highlight w:val="none"/>
        </w:rPr>
        <w:t xml:space="preserve"> </w:t>
      </w:r>
    </w:p>
    <w:p>
      <w:pPr>
        <w:spacing w:line="360" w:lineRule="auto"/>
        <w:rPr>
          <w:rFonts w:ascii="宋体" w:hAnsi="宋体"/>
          <w:color w:val="auto"/>
          <w:highlight w:val="none"/>
        </w:rPr>
      </w:pPr>
    </w:p>
    <w:p>
      <w:pPr>
        <w:spacing w:line="360" w:lineRule="auto"/>
        <w:jc w:val="left"/>
        <w:outlineLvl w:val="2"/>
        <w:rPr>
          <w:rFonts w:ascii="宋体" w:hAnsi="宋体" w:cs="RomanS"/>
          <w:b/>
          <w:color w:val="auto"/>
          <w:sz w:val="24"/>
          <w:szCs w:val="24"/>
          <w:highlight w:val="none"/>
        </w:rPr>
      </w:pPr>
      <w:r>
        <w:rPr>
          <w:rFonts w:ascii="宋体" w:hAnsi="宋体"/>
          <w:color w:val="auto"/>
          <w:highlight w:val="none"/>
        </w:rPr>
        <w:br w:type="page"/>
      </w:r>
      <w:r>
        <w:rPr>
          <w:rFonts w:ascii="宋体" w:hAnsi="宋体" w:cs="RomanS"/>
          <w:b/>
          <w:color w:val="auto"/>
          <w:sz w:val="24"/>
          <w:szCs w:val="24"/>
          <w:highlight w:val="none"/>
        </w:rPr>
        <w:t>2</w:t>
      </w:r>
      <w:r>
        <w:rPr>
          <w:rFonts w:hint="eastAsia" w:ascii="宋体" w:hAnsi="宋体" w:cs="RomanS"/>
          <w:b/>
          <w:color w:val="auto"/>
          <w:sz w:val="24"/>
          <w:szCs w:val="24"/>
          <w:highlight w:val="none"/>
        </w:rPr>
        <w:t>、评分索引表</w:t>
      </w:r>
    </w:p>
    <w:p>
      <w:pPr>
        <w:spacing w:line="400" w:lineRule="exact"/>
        <w:ind w:firstLine="420" w:firstLineChars="200"/>
        <w:rPr>
          <w:rFonts w:ascii="宋体"/>
          <w:color w:val="auto"/>
          <w:highlight w:val="none"/>
        </w:rPr>
      </w:pPr>
      <w:r>
        <w:rPr>
          <w:rFonts w:hint="eastAsia" w:ascii="宋体" w:hAnsi="宋体"/>
          <w:color w:val="auto"/>
          <w:highlight w:val="none"/>
        </w:rPr>
        <w:t>具体内容参见招标文件的评分内容和标准，格式如下：</w:t>
      </w:r>
    </w:p>
    <w:tbl>
      <w:tblPr>
        <w:tblStyle w:val="49"/>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584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Align w:val="center"/>
          </w:tcPr>
          <w:p>
            <w:pPr>
              <w:spacing w:line="400" w:lineRule="exact"/>
              <w:rPr>
                <w:rFonts w:ascii="宋体"/>
                <w:color w:val="auto"/>
                <w:highlight w:val="none"/>
              </w:rPr>
            </w:pPr>
            <w:r>
              <w:rPr>
                <w:rFonts w:hint="eastAsia" w:ascii="宋体" w:hAnsi="宋体"/>
                <w:color w:val="auto"/>
                <w:highlight w:val="none"/>
              </w:rPr>
              <w:t>项目</w:t>
            </w:r>
            <w:r>
              <w:rPr>
                <w:rFonts w:hint="eastAsia" w:ascii="宋体" w:hAnsi="宋体"/>
                <w:color w:val="auto"/>
                <w:highlight w:val="none"/>
                <w:lang w:val="en-US" w:eastAsia="zh-CN"/>
              </w:rPr>
              <w:t>分类</w:t>
            </w:r>
          </w:p>
        </w:tc>
        <w:tc>
          <w:tcPr>
            <w:tcW w:w="5848" w:type="dxa"/>
            <w:vAlign w:val="center"/>
          </w:tcPr>
          <w:p>
            <w:pPr>
              <w:rPr>
                <w:rFonts w:ascii="宋体"/>
                <w:color w:val="auto"/>
                <w:highlight w:val="none"/>
              </w:rPr>
            </w:pPr>
            <w:r>
              <w:rPr>
                <w:rFonts w:hint="eastAsia" w:ascii="宋体" w:hAnsi="宋体"/>
                <w:color w:val="auto"/>
                <w:highlight w:val="none"/>
              </w:rPr>
              <w:t>评分</w:t>
            </w:r>
            <w:r>
              <w:rPr>
                <w:rFonts w:hint="eastAsia" w:ascii="宋体" w:hAnsi="宋体"/>
                <w:color w:val="auto"/>
                <w:highlight w:val="none"/>
                <w:lang w:val="en-US" w:eastAsia="zh-CN"/>
              </w:rPr>
              <w:t>内容</w:t>
            </w:r>
          </w:p>
        </w:tc>
        <w:tc>
          <w:tcPr>
            <w:tcW w:w="1087" w:type="dxa"/>
            <w:vAlign w:val="center"/>
          </w:tcPr>
          <w:p>
            <w:pPr>
              <w:rPr>
                <w:rFonts w:ascii="宋体"/>
                <w:color w:val="auto"/>
                <w:highlight w:val="none"/>
              </w:rPr>
            </w:pPr>
            <w:r>
              <w:rPr>
                <w:rFonts w:hint="eastAsia" w:ascii="宋体" w:hAnsi="宋体"/>
                <w:color w:val="auto"/>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restart"/>
            <w:vAlign w:val="center"/>
          </w:tcPr>
          <w:p>
            <w:pPr>
              <w:spacing w:line="400" w:lineRule="exact"/>
              <w:rPr>
                <w:rFonts w:ascii="宋体"/>
                <w:color w:val="auto"/>
                <w:highlight w:val="none"/>
              </w:rPr>
            </w:pPr>
          </w:p>
        </w:tc>
        <w:tc>
          <w:tcPr>
            <w:tcW w:w="5848" w:type="dxa"/>
            <w:vAlign w:val="center"/>
          </w:tcPr>
          <w:p>
            <w:pPr>
              <w:rPr>
                <w:rFonts w:ascii="宋体"/>
                <w:color w:val="auto"/>
                <w:highlight w:val="none"/>
              </w:rPr>
            </w:pPr>
          </w:p>
        </w:tc>
        <w:tc>
          <w:tcPr>
            <w:tcW w:w="1087" w:type="dxa"/>
            <w:vAlign w:val="center"/>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highlight w:val="none"/>
              </w:rPr>
            </w:pPr>
          </w:p>
        </w:tc>
        <w:tc>
          <w:tcPr>
            <w:tcW w:w="5848" w:type="dxa"/>
            <w:vAlign w:val="center"/>
          </w:tcPr>
          <w:p>
            <w:pPr>
              <w:rPr>
                <w:rFonts w:ascii="宋体"/>
                <w:color w:val="auto"/>
                <w:highlight w:val="none"/>
              </w:rPr>
            </w:pPr>
          </w:p>
        </w:tc>
        <w:tc>
          <w:tcPr>
            <w:tcW w:w="1087" w:type="dxa"/>
            <w:vAlign w:val="center"/>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highlight w:val="none"/>
              </w:rPr>
            </w:pPr>
          </w:p>
        </w:tc>
        <w:tc>
          <w:tcPr>
            <w:tcW w:w="5848" w:type="dxa"/>
            <w:vAlign w:val="center"/>
          </w:tcPr>
          <w:p>
            <w:pPr>
              <w:rPr>
                <w:rFonts w:ascii="宋体"/>
                <w:color w:val="auto"/>
                <w:highlight w:val="none"/>
              </w:rPr>
            </w:pPr>
          </w:p>
        </w:tc>
        <w:tc>
          <w:tcPr>
            <w:tcW w:w="1087" w:type="dxa"/>
            <w:vAlign w:val="center"/>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highlight w:val="none"/>
              </w:rPr>
            </w:pPr>
          </w:p>
        </w:tc>
        <w:tc>
          <w:tcPr>
            <w:tcW w:w="5848" w:type="dxa"/>
            <w:vAlign w:val="center"/>
          </w:tcPr>
          <w:p>
            <w:pPr>
              <w:rPr>
                <w:rFonts w:ascii="宋体"/>
                <w:color w:val="auto"/>
                <w:highlight w:val="none"/>
              </w:rPr>
            </w:pPr>
          </w:p>
        </w:tc>
        <w:tc>
          <w:tcPr>
            <w:tcW w:w="1087" w:type="dxa"/>
            <w:vAlign w:val="center"/>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restart"/>
            <w:vAlign w:val="center"/>
          </w:tcPr>
          <w:p>
            <w:pPr>
              <w:spacing w:line="400" w:lineRule="exact"/>
              <w:rPr>
                <w:rFonts w:ascii="宋体"/>
                <w:color w:val="auto"/>
                <w:highlight w:val="none"/>
              </w:rPr>
            </w:pPr>
          </w:p>
        </w:tc>
        <w:tc>
          <w:tcPr>
            <w:tcW w:w="5848" w:type="dxa"/>
            <w:vAlign w:val="center"/>
          </w:tcPr>
          <w:p>
            <w:pPr>
              <w:rPr>
                <w:rFonts w:ascii="宋体"/>
                <w:color w:val="auto"/>
                <w:highlight w:val="none"/>
              </w:rPr>
            </w:pPr>
          </w:p>
        </w:tc>
        <w:tc>
          <w:tcPr>
            <w:tcW w:w="1087" w:type="dxa"/>
            <w:vAlign w:val="center"/>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highlight w:val="none"/>
              </w:rPr>
            </w:pPr>
          </w:p>
        </w:tc>
        <w:tc>
          <w:tcPr>
            <w:tcW w:w="5848" w:type="dxa"/>
            <w:vAlign w:val="center"/>
          </w:tcPr>
          <w:p>
            <w:pPr>
              <w:rPr>
                <w:rFonts w:ascii="宋体"/>
                <w:color w:val="auto"/>
                <w:highlight w:val="none"/>
              </w:rPr>
            </w:pPr>
          </w:p>
        </w:tc>
        <w:tc>
          <w:tcPr>
            <w:tcW w:w="1087" w:type="dxa"/>
            <w:vAlign w:val="center"/>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highlight w:val="none"/>
              </w:rPr>
            </w:pPr>
          </w:p>
        </w:tc>
        <w:tc>
          <w:tcPr>
            <w:tcW w:w="5848" w:type="dxa"/>
            <w:vAlign w:val="center"/>
          </w:tcPr>
          <w:p>
            <w:pPr>
              <w:rPr>
                <w:rFonts w:ascii="宋体"/>
                <w:color w:val="auto"/>
                <w:highlight w:val="none"/>
              </w:rPr>
            </w:pPr>
          </w:p>
        </w:tc>
        <w:tc>
          <w:tcPr>
            <w:tcW w:w="1087" w:type="dxa"/>
            <w:vAlign w:val="center"/>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highlight w:val="none"/>
              </w:rPr>
            </w:pPr>
          </w:p>
        </w:tc>
        <w:tc>
          <w:tcPr>
            <w:tcW w:w="5848" w:type="dxa"/>
            <w:vAlign w:val="center"/>
          </w:tcPr>
          <w:p>
            <w:pPr>
              <w:rPr>
                <w:rFonts w:ascii="宋体"/>
                <w:color w:val="auto"/>
                <w:highlight w:val="none"/>
              </w:rPr>
            </w:pPr>
          </w:p>
        </w:tc>
        <w:tc>
          <w:tcPr>
            <w:tcW w:w="1087" w:type="dxa"/>
            <w:vAlign w:val="center"/>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restart"/>
            <w:vAlign w:val="center"/>
          </w:tcPr>
          <w:p>
            <w:pPr>
              <w:spacing w:line="400" w:lineRule="exact"/>
              <w:rPr>
                <w:rFonts w:ascii="宋体"/>
                <w:color w:val="auto"/>
                <w:highlight w:val="none"/>
              </w:rPr>
            </w:pPr>
          </w:p>
        </w:tc>
        <w:tc>
          <w:tcPr>
            <w:tcW w:w="5848" w:type="dxa"/>
            <w:vAlign w:val="center"/>
          </w:tcPr>
          <w:p>
            <w:pPr>
              <w:rPr>
                <w:rFonts w:ascii="宋体"/>
                <w:color w:val="auto"/>
                <w:highlight w:val="none"/>
              </w:rPr>
            </w:pPr>
          </w:p>
        </w:tc>
        <w:tc>
          <w:tcPr>
            <w:tcW w:w="1087" w:type="dxa"/>
            <w:vAlign w:val="center"/>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highlight w:val="none"/>
              </w:rPr>
            </w:pPr>
          </w:p>
        </w:tc>
        <w:tc>
          <w:tcPr>
            <w:tcW w:w="5848" w:type="dxa"/>
            <w:vAlign w:val="center"/>
          </w:tcPr>
          <w:p>
            <w:pPr>
              <w:rPr>
                <w:rFonts w:ascii="宋体"/>
                <w:color w:val="auto"/>
                <w:highlight w:val="none"/>
              </w:rPr>
            </w:pPr>
          </w:p>
        </w:tc>
        <w:tc>
          <w:tcPr>
            <w:tcW w:w="1087" w:type="dxa"/>
            <w:vAlign w:val="center"/>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highlight w:val="none"/>
              </w:rPr>
            </w:pPr>
          </w:p>
        </w:tc>
        <w:tc>
          <w:tcPr>
            <w:tcW w:w="5848" w:type="dxa"/>
            <w:vAlign w:val="center"/>
          </w:tcPr>
          <w:p>
            <w:pPr>
              <w:rPr>
                <w:rFonts w:ascii="宋体"/>
                <w:color w:val="auto"/>
                <w:highlight w:val="none"/>
              </w:rPr>
            </w:pPr>
          </w:p>
        </w:tc>
        <w:tc>
          <w:tcPr>
            <w:tcW w:w="1087" w:type="dxa"/>
            <w:vAlign w:val="center"/>
          </w:tcPr>
          <w:p>
            <w:pPr>
              <w:rPr>
                <w:rFonts w:ascii="宋体"/>
                <w:color w:val="auto"/>
                <w:highlight w:val="none"/>
              </w:rPr>
            </w:pPr>
          </w:p>
        </w:tc>
      </w:tr>
    </w:tbl>
    <w:p>
      <w:pPr>
        <w:spacing w:line="400" w:lineRule="exact"/>
        <w:ind w:firstLine="422" w:firstLineChars="200"/>
        <w:rPr>
          <w:rFonts w:ascii="宋体"/>
          <w:b/>
          <w:color w:val="auto"/>
          <w:highlight w:val="none"/>
        </w:rPr>
      </w:pPr>
      <w:r>
        <w:rPr>
          <w:rFonts w:hint="eastAsia" w:ascii="宋体" w:hAnsi="宋体"/>
          <w:b/>
          <w:color w:val="auto"/>
          <w:highlight w:val="none"/>
        </w:rPr>
        <w:t>注：请各供应商将本表放在投标文件目录前</w:t>
      </w:r>
      <w:r>
        <w:rPr>
          <w:rFonts w:hint="eastAsia" w:ascii="宋体" w:hAnsi="宋体"/>
          <w:color w:val="auto"/>
          <w:highlight w:val="none"/>
        </w:rPr>
        <w:t>（如评分内容和标准中涉及样品分和演示分之类由</w:t>
      </w:r>
      <w:r>
        <w:rPr>
          <w:rFonts w:hint="eastAsia" w:ascii="宋体" w:hAnsi="宋体" w:cs="宋体"/>
          <w:i w:val="0"/>
          <w:color w:val="auto"/>
          <w:sz w:val="21"/>
          <w:szCs w:val="21"/>
          <w:highlight w:val="none"/>
          <w:lang w:val="en-US" w:eastAsia="zh-CN"/>
        </w:rPr>
        <w:t>供应商</w:t>
      </w:r>
      <w:r>
        <w:rPr>
          <w:rFonts w:hint="eastAsia" w:ascii="宋体" w:hAnsi="宋体"/>
          <w:color w:val="auto"/>
          <w:highlight w:val="none"/>
        </w:rPr>
        <w:t>自行决定是否填写对应页码）</w:t>
      </w:r>
    </w:p>
    <w:p>
      <w:pPr>
        <w:rPr>
          <w:rFonts w:hint="eastAsia" w:ascii="宋体" w:hAnsi="宋体" w:cs="RomanS"/>
          <w:b/>
          <w:color w:val="auto"/>
          <w:sz w:val="24"/>
          <w:szCs w:val="24"/>
          <w:highlight w:val="none"/>
          <w:lang w:val="en-US" w:eastAsia="zh-CN"/>
        </w:rPr>
      </w:pPr>
      <w:r>
        <w:rPr>
          <w:rFonts w:hint="eastAsia" w:ascii="宋体" w:hAnsi="宋体" w:cs="RomanS"/>
          <w:b/>
          <w:color w:val="auto"/>
          <w:sz w:val="24"/>
          <w:szCs w:val="24"/>
          <w:highlight w:val="none"/>
          <w:lang w:val="en-US" w:eastAsia="zh-CN"/>
        </w:rPr>
        <w:br w:type="page"/>
      </w:r>
    </w:p>
    <w:p>
      <w:pPr>
        <w:spacing w:line="360" w:lineRule="auto"/>
        <w:jc w:val="left"/>
        <w:outlineLvl w:val="2"/>
        <w:rPr>
          <w:rFonts w:ascii="宋体" w:hAnsi="宋体" w:cs="RomanS"/>
          <w:b/>
          <w:color w:val="auto"/>
          <w:sz w:val="24"/>
          <w:szCs w:val="24"/>
          <w:highlight w:val="none"/>
        </w:rPr>
      </w:pPr>
      <w:r>
        <w:rPr>
          <w:rFonts w:hint="eastAsia" w:ascii="宋体" w:hAnsi="宋体" w:cs="RomanS"/>
          <w:b/>
          <w:color w:val="auto"/>
          <w:sz w:val="24"/>
          <w:szCs w:val="24"/>
          <w:highlight w:val="none"/>
          <w:lang w:val="en-US" w:eastAsia="zh-CN"/>
        </w:rPr>
        <w:t>3</w:t>
      </w:r>
      <w:r>
        <w:rPr>
          <w:rFonts w:hint="eastAsia" w:ascii="宋体" w:hAnsi="宋体" w:cs="RomanS"/>
          <w:b/>
          <w:color w:val="auto"/>
          <w:sz w:val="24"/>
          <w:szCs w:val="24"/>
          <w:highlight w:val="none"/>
        </w:rPr>
        <w:t>、投标函格式</w:t>
      </w:r>
    </w:p>
    <w:p>
      <w:pPr>
        <w:pStyle w:val="44"/>
        <w:widowControl w:val="0"/>
        <w:snapToGrid w:val="0"/>
        <w:spacing w:before="0" w:beforeAutospacing="0" w:after="0" w:afterAutospacing="0" w:line="360" w:lineRule="auto"/>
        <w:ind w:firstLine="301"/>
        <w:jc w:val="center"/>
        <w:rPr>
          <w:rFonts w:ascii="宋体" w:hAnsi="宋体"/>
          <w:color w:val="auto"/>
          <w:sz w:val="28"/>
          <w:szCs w:val="28"/>
          <w:highlight w:val="none"/>
          <w:u w:val="single"/>
        </w:rPr>
      </w:pPr>
      <w:r>
        <w:rPr>
          <w:rFonts w:hint="eastAsia" w:ascii="宋体" w:hAnsi="宋体" w:cs="宋体"/>
          <w:b/>
          <w:bCs/>
          <w:color w:val="auto"/>
          <w:spacing w:val="-4"/>
          <w:kern w:val="2"/>
          <w:sz w:val="28"/>
          <w:szCs w:val="28"/>
          <w:highlight w:val="none"/>
        </w:rPr>
        <w:t>投</w:t>
      </w:r>
      <w:r>
        <w:rPr>
          <w:rFonts w:ascii="宋体" w:hAnsi="宋体" w:cs="宋体"/>
          <w:b/>
          <w:bCs/>
          <w:color w:val="auto"/>
          <w:spacing w:val="-4"/>
          <w:kern w:val="2"/>
          <w:sz w:val="28"/>
          <w:szCs w:val="28"/>
          <w:highlight w:val="none"/>
        </w:rPr>
        <w:t xml:space="preserve"> </w:t>
      </w:r>
      <w:r>
        <w:rPr>
          <w:rFonts w:hint="eastAsia" w:ascii="宋体" w:hAnsi="宋体" w:cs="宋体"/>
          <w:b/>
          <w:bCs/>
          <w:color w:val="auto"/>
          <w:spacing w:val="-4"/>
          <w:kern w:val="2"/>
          <w:sz w:val="28"/>
          <w:szCs w:val="28"/>
          <w:highlight w:val="none"/>
        </w:rPr>
        <w:t>标</w:t>
      </w:r>
      <w:r>
        <w:rPr>
          <w:rFonts w:ascii="宋体" w:hAnsi="宋体" w:cs="宋体"/>
          <w:b/>
          <w:bCs/>
          <w:color w:val="auto"/>
          <w:spacing w:val="-4"/>
          <w:kern w:val="2"/>
          <w:sz w:val="28"/>
          <w:szCs w:val="28"/>
          <w:highlight w:val="none"/>
        </w:rPr>
        <w:t xml:space="preserve"> </w:t>
      </w:r>
      <w:r>
        <w:rPr>
          <w:rFonts w:hint="eastAsia" w:ascii="宋体" w:hAnsi="宋体" w:cs="宋体"/>
          <w:b/>
          <w:bCs/>
          <w:color w:val="auto"/>
          <w:spacing w:val="-4"/>
          <w:kern w:val="2"/>
          <w:sz w:val="28"/>
          <w:szCs w:val="28"/>
          <w:highlight w:val="none"/>
        </w:rPr>
        <w:t>函</w:t>
      </w:r>
    </w:p>
    <w:p>
      <w:pPr>
        <w:pStyle w:val="44"/>
        <w:widowControl w:val="0"/>
        <w:snapToGrid w:val="0"/>
        <w:spacing w:before="0" w:beforeAutospacing="0" w:after="120" w:afterAutospacing="0" w:line="360" w:lineRule="auto"/>
        <w:jc w:val="both"/>
        <w:rPr>
          <w:rFonts w:ascii="宋体" w:hAnsi="宋体"/>
          <w:color w:val="auto"/>
          <w:sz w:val="21"/>
          <w:szCs w:val="21"/>
          <w:highlight w:val="none"/>
        </w:rPr>
      </w:pPr>
      <w:r>
        <w:rPr>
          <w:rFonts w:ascii="宋体" w:hAnsi="宋体" w:cs="宋体"/>
          <w:color w:val="auto"/>
          <w:spacing w:val="-4"/>
          <w:kern w:val="2"/>
          <w:sz w:val="21"/>
          <w:szCs w:val="21"/>
          <w:highlight w:val="none"/>
          <w:u w:val="single"/>
        </w:rPr>
        <w:t xml:space="preserve">   </w:t>
      </w:r>
      <w:r>
        <w:rPr>
          <w:rFonts w:hint="eastAsia" w:ascii="宋体" w:hAnsi="宋体" w:cs="宋体"/>
          <w:color w:val="auto"/>
          <w:spacing w:val="-4"/>
          <w:kern w:val="2"/>
          <w:sz w:val="21"/>
          <w:szCs w:val="21"/>
          <w:highlight w:val="none"/>
          <w:u w:val="single"/>
        </w:rPr>
        <w:t>致（招标代理公司）</w:t>
      </w:r>
      <w:r>
        <w:rPr>
          <w:rFonts w:ascii="宋体" w:hAnsi="宋体" w:cs="宋体"/>
          <w:color w:val="auto"/>
          <w:spacing w:val="-4"/>
          <w:kern w:val="2"/>
          <w:sz w:val="21"/>
          <w:szCs w:val="21"/>
          <w:highlight w:val="none"/>
          <w:u w:val="single"/>
        </w:rPr>
        <w:t xml:space="preserve">                   </w:t>
      </w:r>
      <w:r>
        <w:rPr>
          <w:rFonts w:hint="eastAsia" w:ascii="宋体" w:hAnsi="宋体" w:cs="宋体"/>
          <w:color w:val="auto"/>
          <w:spacing w:val="-4"/>
          <w:kern w:val="2"/>
          <w:sz w:val="21"/>
          <w:szCs w:val="21"/>
          <w:highlight w:val="none"/>
        </w:rPr>
        <w:t>：</w:t>
      </w:r>
    </w:p>
    <w:p>
      <w:pPr>
        <w:pStyle w:val="44"/>
        <w:widowControl w:val="0"/>
        <w:snapToGrid w:val="0"/>
        <w:spacing w:before="0" w:beforeAutospacing="0" w:after="0" w:afterAutospacing="0" w:line="360" w:lineRule="auto"/>
        <w:ind w:firstLine="404" w:firstLineChars="200"/>
        <w:jc w:val="both"/>
        <w:rPr>
          <w:rFonts w:ascii="宋体" w:hAnsi="宋体"/>
          <w:color w:val="auto"/>
          <w:sz w:val="21"/>
          <w:szCs w:val="21"/>
          <w:highlight w:val="none"/>
        </w:rPr>
      </w:pPr>
      <w:r>
        <w:rPr>
          <w:rFonts w:ascii="宋体" w:hAnsi="宋体" w:cs="宋体"/>
          <w:color w:val="auto"/>
          <w:spacing w:val="-4"/>
          <w:kern w:val="2"/>
          <w:sz w:val="21"/>
          <w:szCs w:val="21"/>
          <w:highlight w:val="none"/>
          <w:u w:val="single"/>
        </w:rPr>
        <w:t xml:space="preserve">              </w:t>
      </w:r>
      <w:r>
        <w:rPr>
          <w:rFonts w:hint="eastAsia" w:ascii="宋体" w:hAnsi="宋体" w:cs="宋体"/>
          <w:color w:val="auto"/>
          <w:spacing w:val="-4"/>
          <w:kern w:val="2"/>
          <w:sz w:val="21"/>
          <w:szCs w:val="21"/>
          <w:highlight w:val="none"/>
          <w:u w:val="single"/>
        </w:rPr>
        <w:t>（供应商全称）</w:t>
      </w:r>
      <w:r>
        <w:rPr>
          <w:rFonts w:ascii="宋体" w:hAnsi="宋体" w:cs="宋体"/>
          <w:color w:val="auto"/>
          <w:spacing w:val="-4"/>
          <w:kern w:val="2"/>
          <w:sz w:val="21"/>
          <w:szCs w:val="21"/>
          <w:highlight w:val="none"/>
          <w:u w:val="single"/>
        </w:rPr>
        <w:t xml:space="preserve">      </w:t>
      </w:r>
      <w:r>
        <w:rPr>
          <w:rFonts w:ascii="宋体" w:hAnsi="宋体" w:cs="宋体"/>
          <w:color w:val="auto"/>
          <w:spacing w:val="-4"/>
          <w:kern w:val="2"/>
          <w:sz w:val="21"/>
          <w:szCs w:val="21"/>
          <w:highlight w:val="none"/>
        </w:rPr>
        <w:t xml:space="preserve"> </w:t>
      </w:r>
      <w:r>
        <w:rPr>
          <w:rFonts w:hint="eastAsia" w:ascii="宋体" w:hAnsi="宋体" w:cs="宋体"/>
          <w:color w:val="auto"/>
          <w:spacing w:val="-4"/>
          <w:kern w:val="2"/>
          <w:sz w:val="21"/>
          <w:szCs w:val="21"/>
          <w:highlight w:val="none"/>
        </w:rPr>
        <w:t>授权</w:t>
      </w:r>
      <w:r>
        <w:rPr>
          <w:rFonts w:ascii="宋体" w:hAnsi="宋体" w:cs="宋体"/>
          <w:color w:val="auto"/>
          <w:spacing w:val="-4"/>
          <w:kern w:val="2"/>
          <w:sz w:val="21"/>
          <w:szCs w:val="21"/>
          <w:highlight w:val="none"/>
          <w:u w:val="single"/>
        </w:rPr>
        <w:t xml:space="preserve"> </w:t>
      </w:r>
      <w:r>
        <w:rPr>
          <w:rFonts w:hint="eastAsia" w:ascii="宋体" w:hAnsi="宋体" w:cs="宋体"/>
          <w:color w:val="auto"/>
          <w:spacing w:val="-4"/>
          <w:kern w:val="2"/>
          <w:sz w:val="21"/>
          <w:szCs w:val="21"/>
          <w:highlight w:val="none"/>
          <w:u w:val="single"/>
        </w:rPr>
        <w:t>（全权代表姓名、职务）</w:t>
      </w:r>
      <w:r>
        <w:rPr>
          <w:rFonts w:ascii="宋体" w:hAnsi="宋体" w:cs="宋体"/>
          <w:color w:val="auto"/>
          <w:spacing w:val="-4"/>
          <w:kern w:val="2"/>
          <w:sz w:val="21"/>
          <w:szCs w:val="21"/>
          <w:highlight w:val="none"/>
          <w:u w:val="single"/>
        </w:rPr>
        <w:t xml:space="preserve">      </w:t>
      </w:r>
    </w:p>
    <w:p>
      <w:pPr>
        <w:pStyle w:val="44"/>
        <w:widowControl w:val="0"/>
        <w:snapToGrid w:val="0"/>
        <w:spacing w:before="0" w:beforeAutospacing="0" w:after="0" w:afterAutospacing="0" w:line="360" w:lineRule="auto"/>
        <w:ind w:firstLine="404" w:firstLineChars="200"/>
        <w:jc w:val="both"/>
        <w:rPr>
          <w:rFonts w:ascii="宋体" w:hAnsi="宋体"/>
          <w:color w:val="auto"/>
          <w:sz w:val="21"/>
          <w:szCs w:val="21"/>
          <w:highlight w:val="none"/>
          <w:u w:val="single"/>
        </w:rPr>
      </w:pPr>
      <w:r>
        <w:rPr>
          <w:rFonts w:hint="eastAsia" w:ascii="宋体" w:hAnsi="宋体" w:cs="宋体"/>
          <w:color w:val="auto"/>
          <w:spacing w:val="-4"/>
          <w:kern w:val="2"/>
          <w:sz w:val="21"/>
          <w:szCs w:val="21"/>
          <w:highlight w:val="none"/>
        </w:rPr>
        <w:t>为本公司（单位）合法代理人，参加贵方组织的</w:t>
      </w:r>
      <w:r>
        <w:rPr>
          <w:rFonts w:ascii="宋体" w:hAnsi="宋体" w:cs="宋体"/>
          <w:color w:val="auto"/>
          <w:spacing w:val="-4"/>
          <w:kern w:val="2"/>
          <w:sz w:val="21"/>
          <w:szCs w:val="21"/>
          <w:highlight w:val="none"/>
        </w:rPr>
        <w:t xml:space="preserve"> </w:t>
      </w:r>
      <w:r>
        <w:rPr>
          <w:rFonts w:ascii="宋体" w:hAnsi="宋体" w:cs="宋体"/>
          <w:color w:val="auto"/>
          <w:spacing w:val="-4"/>
          <w:kern w:val="2"/>
          <w:sz w:val="21"/>
          <w:szCs w:val="21"/>
          <w:highlight w:val="none"/>
          <w:u w:val="single"/>
        </w:rPr>
        <w:t xml:space="preserve">         </w:t>
      </w:r>
      <w:r>
        <w:rPr>
          <w:rFonts w:hint="eastAsia" w:ascii="宋体" w:hAnsi="宋体" w:cs="宋体"/>
          <w:color w:val="auto"/>
          <w:spacing w:val="-4"/>
          <w:kern w:val="2"/>
          <w:sz w:val="21"/>
          <w:szCs w:val="21"/>
          <w:highlight w:val="none"/>
          <w:u w:val="single"/>
        </w:rPr>
        <w:t>（项目编号、项目名称）</w:t>
      </w:r>
      <w:r>
        <w:rPr>
          <w:rFonts w:ascii="宋体" w:hAnsi="宋体" w:cs="宋体"/>
          <w:color w:val="auto"/>
          <w:spacing w:val="-4"/>
          <w:kern w:val="2"/>
          <w:sz w:val="21"/>
          <w:szCs w:val="21"/>
          <w:highlight w:val="none"/>
          <w:u w:val="single"/>
        </w:rPr>
        <w:t xml:space="preserve">      </w:t>
      </w:r>
      <w:r>
        <w:rPr>
          <w:rFonts w:hint="eastAsia" w:ascii="宋体" w:hAnsi="宋体" w:cs="宋体"/>
          <w:color w:val="auto"/>
          <w:spacing w:val="-4"/>
          <w:kern w:val="2"/>
          <w:sz w:val="21"/>
          <w:szCs w:val="21"/>
          <w:highlight w:val="none"/>
        </w:rPr>
        <w:t>招投标活动，代表本公司（单位）处理招投标活动中的一切事宜，为对</w:t>
      </w:r>
      <w:r>
        <w:rPr>
          <w:rFonts w:ascii="宋体" w:hAnsi="宋体" w:cs="宋体"/>
          <w:color w:val="auto"/>
          <w:spacing w:val="-4"/>
          <w:kern w:val="2"/>
          <w:sz w:val="21"/>
          <w:szCs w:val="21"/>
          <w:highlight w:val="none"/>
          <w:u w:val="single"/>
        </w:rPr>
        <w:t xml:space="preserve">     </w:t>
      </w:r>
      <w:r>
        <w:rPr>
          <w:rFonts w:hint="eastAsia" w:ascii="宋体" w:hAnsi="宋体" w:cs="宋体"/>
          <w:color w:val="auto"/>
          <w:spacing w:val="-4"/>
          <w:kern w:val="2"/>
          <w:sz w:val="21"/>
          <w:szCs w:val="21"/>
          <w:highlight w:val="none"/>
          <w:u w:val="single"/>
        </w:rPr>
        <w:t>（项目名称）</w:t>
      </w:r>
      <w:r>
        <w:rPr>
          <w:rFonts w:ascii="宋体" w:hAnsi="宋体" w:cs="宋体"/>
          <w:color w:val="auto"/>
          <w:spacing w:val="-4"/>
          <w:kern w:val="2"/>
          <w:sz w:val="21"/>
          <w:szCs w:val="21"/>
          <w:highlight w:val="none"/>
          <w:u w:val="single"/>
        </w:rPr>
        <w:t xml:space="preserve">       </w:t>
      </w:r>
      <w:r>
        <w:rPr>
          <w:rFonts w:hint="eastAsia" w:ascii="宋体" w:hAnsi="宋体" w:cs="宋体"/>
          <w:color w:val="auto"/>
          <w:spacing w:val="-4"/>
          <w:kern w:val="2"/>
          <w:sz w:val="21"/>
          <w:szCs w:val="21"/>
          <w:highlight w:val="none"/>
        </w:rPr>
        <w:t>进行投标，在此：</w:t>
      </w:r>
    </w:p>
    <w:p>
      <w:pPr>
        <w:pStyle w:val="44"/>
        <w:widowControl w:val="0"/>
        <w:numPr>
          <w:ilvl w:val="0"/>
          <w:numId w:val="15"/>
        </w:numPr>
        <w:tabs>
          <w:tab w:val="left" w:pos="525"/>
        </w:tabs>
        <w:snapToGrid w:val="0"/>
        <w:spacing w:before="0" w:beforeAutospacing="0" w:after="0" w:afterAutospacing="0" w:line="360" w:lineRule="auto"/>
        <w:jc w:val="both"/>
        <w:rPr>
          <w:rFonts w:ascii="宋体" w:hAnsi="宋体"/>
          <w:color w:val="auto"/>
          <w:sz w:val="21"/>
          <w:szCs w:val="21"/>
          <w:highlight w:val="none"/>
        </w:rPr>
      </w:pPr>
      <w:r>
        <w:rPr>
          <w:rFonts w:hint="eastAsia" w:ascii="宋体" w:hAnsi="宋体" w:cs="宋体"/>
          <w:color w:val="auto"/>
          <w:spacing w:val="-4"/>
          <w:kern w:val="2"/>
          <w:sz w:val="21"/>
          <w:szCs w:val="21"/>
          <w:highlight w:val="none"/>
        </w:rPr>
        <w:t>提供采购文件中“投标须知”规定的全部投标文件</w:t>
      </w:r>
      <w:r>
        <w:rPr>
          <w:rFonts w:hint="eastAsia" w:ascii="宋体" w:hAnsi="宋体" w:cs="宋体"/>
          <w:color w:val="auto"/>
          <w:spacing w:val="-4"/>
          <w:kern w:val="2"/>
          <w:sz w:val="21"/>
          <w:szCs w:val="21"/>
          <w:highlight w:val="none"/>
          <w:lang w:eastAsia="zh-CN"/>
        </w:rPr>
        <w:t>。</w:t>
      </w:r>
      <w:r>
        <w:rPr>
          <w:rFonts w:ascii="宋体" w:hAnsi="宋体" w:cs="宋体"/>
          <w:color w:val="auto"/>
          <w:spacing w:val="-4"/>
          <w:kern w:val="2"/>
          <w:sz w:val="21"/>
          <w:szCs w:val="21"/>
          <w:highlight w:val="none"/>
        </w:rPr>
        <w:t xml:space="preserve"> </w:t>
      </w:r>
    </w:p>
    <w:p>
      <w:pPr>
        <w:pStyle w:val="44"/>
        <w:widowControl w:val="0"/>
        <w:tabs>
          <w:tab w:val="left" w:pos="525"/>
        </w:tabs>
        <w:snapToGrid w:val="0"/>
        <w:spacing w:before="0" w:beforeAutospacing="0" w:after="0" w:afterAutospacing="0" w:line="360" w:lineRule="auto"/>
        <w:ind w:firstLine="301"/>
        <w:jc w:val="both"/>
        <w:rPr>
          <w:rFonts w:ascii="宋体" w:hAnsi="宋体"/>
          <w:color w:val="auto"/>
          <w:sz w:val="21"/>
          <w:szCs w:val="21"/>
          <w:highlight w:val="none"/>
        </w:rPr>
      </w:pPr>
      <w:r>
        <w:rPr>
          <w:rFonts w:hint="eastAsia" w:ascii="宋体" w:hAnsi="宋体" w:cs="宋体"/>
          <w:color w:val="auto"/>
          <w:spacing w:val="-4"/>
          <w:kern w:val="2"/>
          <w:sz w:val="21"/>
          <w:szCs w:val="21"/>
          <w:highlight w:val="none"/>
          <w:lang w:val="en-US" w:eastAsia="zh-CN"/>
        </w:rPr>
        <w:t>2</w:t>
      </w:r>
      <w:r>
        <w:rPr>
          <w:rFonts w:hint="eastAsia" w:ascii="宋体" w:hAnsi="宋体" w:cs="宋体"/>
          <w:color w:val="auto"/>
          <w:spacing w:val="-4"/>
          <w:kern w:val="2"/>
          <w:sz w:val="21"/>
          <w:szCs w:val="21"/>
          <w:highlight w:val="none"/>
        </w:rPr>
        <w:t>、据此函，签字代表宣布并承诺如下：</w:t>
      </w:r>
    </w:p>
    <w:p>
      <w:pPr>
        <w:spacing w:line="360" w:lineRule="auto"/>
        <w:ind w:left="254" w:leftChars="121"/>
        <w:rPr>
          <w:rFonts w:ascii="宋体" w:hAnsi="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w:t>
      </w:r>
      <w:r>
        <w:rPr>
          <w:rFonts w:hint="eastAsia" w:ascii="宋体" w:hAnsi="宋体" w:cs="宋体"/>
          <w:color w:val="auto"/>
          <w:spacing w:val="-4"/>
          <w:highlight w:val="none"/>
        </w:rPr>
        <w:t>本投标自开标之日起</w:t>
      </w:r>
      <w:r>
        <w:rPr>
          <w:rFonts w:ascii="宋体" w:hAnsi="宋体" w:cs="宋体"/>
          <w:color w:val="auto"/>
          <w:spacing w:val="-4"/>
          <w:highlight w:val="none"/>
          <w:u w:val="single"/>
        </w:rPr>
        <w:t xml:space="preserve"> 90 </w:t>
      </w:r>
      <w:r>
        <w:rPr>
          <w:rFonts w:hint="eastAsia" w:ascii="宋体" w:hAnsi="宋体" w:cs="宋体"/>
          <w:color w:val="auto"/>
          <w:spacing w:val="-4"/>
          <w:highlight w:val="none"/>
        </w:rPr>
        <w:t>天内有效。</w:t>
      </w:r>
    </w:p>
    <w:p>
      <w:pPr>
        <w:pStyle w:val="44"/>
        <w:widowControl w:val="0"/>
        <w:snapToGrid w:val="0"/>
        <w:spacing w:before="0" w:beforeAutospacing="0" w:after="0" w:afterAutospacing="0" w:line="360" w:lineRule="auto"/>
        <w:ind w:firstLine="303" w:firstLineChars="150"/>
        <w:jc w:val="both"/>
        <w:rPr>
          <w:rFonts w:ascii="宋体" w:hAnsi="宋体"/>
          <w:color w:val="auto"/>
          <w:sz w:val="21"/>
          <w:szCs w:val="21"/>
          <w:highlight w:val="none"/>
        </w:rPr>
      </w:pPr>
      <w:r>
        <w:rPr>
          <w:rFonts w:hint="eastAsia" w:ascii="宋体" w:hAnsi="宋体" w:cs="宋体"/>
          <w:color w:val="auto"/>
          <w:spacing w:val="-4"/>
          <w:kern w:val="2"/>
          <w:sz w:val="21"/>
          <w:szCs w:val="21"/>
          <w:highlight w:val="none"/>
        </w:rPr>
        <w:t>（</w:t>
      </w:r>
      <w:r>
        <w:rPr>
          <w:rFonts w:ascii="宋体" w:hAnsi="宋体" w:cs="宋体"/>
          <w:color w:val="auto"/>
          <w:spacing w:val="-4"/>
          <w:kern w:val="2"/>
          <w:sz w:val="21"/>
          <w:szCs w:val="21"/>
          <w:highlight w:val="none"/>
        </w:rPr>
        <w:t>2</w:t>
      </w:r>
      <w:r>
        <w:rPr>
          <w:rFonts w:hint="eastAsia" w:ascii="宋体" w:hAnsi="宋体" w:cs="宋体"/>
          <w:color w:val="auto"/>
          <w:spacing w:val="-4"/>
          <w:kern w:val="2"/>
          <w:sz w:val="21"/>
          <w:szCs w:val="21"/>
          <w:highlight w:val="none"/>
        </w:rPr>
        <w:t>）我们已详细审查全部采购文件及有关的澄清</w:t>
      </w:r>
      <w:r>
        <w:rPr>
          <w:rFonts w:ascii="宋体" w:hAnsi="宋体" w:cs="宋体"/>
          <w:color w:val="auto"/>
          <w:spacing w:val="-4"/>
          <w:kern w:val="2"/>
          <w:sz w:val="21"/>
          <w:szCs w:val="21"/>
          <w:highlight w:val="none"/>
        </w:rPr>
        <w:t>/</w:t>
      </w:r>
      <w:r>
        <w:rPr>
          <w:rFonts w:hint="eastAsia" w:ascii="宋体" w:hAnsi="宋体" w:cs="宋体"/>
          <w:color w:val="auto"/>
          <w:spacing w:val="-4"/>
          <w:kern w:val="2"/>
          <w:sz w:val="21"/>
          <w:szCs w:val="21"/>
          <w:highlight w:val="none"/>
        </w:rPr>
        <w:t>修改文件</w:t>
      </w:r>
      <w:r>
        <w:rPr>
          <w:rFonts w:ascii="宋体" w:hAnsi="宋体" w:cs="宋体"/>
          <w:color w:val="auto"/>
          <w:spacing w:val="-4"/>
          <w:kern w:val="2"/>
          <w:sz w:val="21"/>
          <w:szCs w:val="21"/>
          <w:highlight w:val="none"/>
        </w:rPr>
        <w:t>(</w:t>
      </w:r>
      <w:r>
        <w:rPr>
          <w:rFonts w:hint="eastAsia" w:ascii="宋体" w:hAnsi="宋体" w:cs="宋体"/>
          <w:color w:val="auto"/>
          <w:spacing w:val="-4"/>
          <w:kern w:val="2"/>
          <w:sz w:val="21"/>
          <w:szCs w:val="21"/>
          <w:highlight w:val="none"/>
        </w:rPr>
        <w:t>若有的话</w:t>
      </w:r>
      <w:r>
        <w:rPr>
          <w:rFonts w:ascii="宋体" w:hAnsi="宋体" w:cs="宋体"/>
          <w:color w:val="auto"/>
          <w:spacing w:val="-4"/>
          <w:kern w:val="2"/>
          <w:sz w:val="21"/>
          <w:szCs w:val="21"/>
          <w:highlight w:val="none"/>
        </w:rPr>
        <w:t>)</w:t>
      </w:r>
      <w:r>
        <w:rPr>
          <w:rFonts w:hint="eastAsia" w:ascii="宋体" w:hAnsi="宋体" w:cs="宋体"/>
          <w:color w:val="auto"/>
          <w:spacing w:val="-4"/>
          <w:kern w:val="2"/>
          <w:sz w:val="21"/>
          <w:szCs w:val="21"/>
          <w:highlight w:val="none"/>
        </w:rPr>
        <w:t>，我们完全理解并同意放弃对这方面提出任何异议的权利。保证遵守采购文件有关条款规定。</w:t>
      </w:r>
    </w:p>
    <w:p>
      <w:pPr>
        <w:pStyle w:val="44"/>
        <w:widowControl w:val="0"/>
        <w:snapToGrid w:val="0"/>
        <w:spacing w:before="0" w:beforeAutospacing="0" w:after="0" w:afterAutospacing="0" w:line="360" w:lineRule="auto"/>
        <w:ind w:firstLine="202" w:firstLineChars="100"/>
        <w:jc w:val="both"/>
        <w:rPr>
          <w:rFonts w:ascii="宋体" w:hAnsi="宋体"/>
          <w:color w:val="auto"/>
          <w:sz w:val="21"/>
          <w:szCs w:val="21"/>
          <w:highlight w:val="none"/>
        </w:rPr>
      </w:pPr>
      <w:r>
        <w:rPr>
          <w:rFonts w:hint="eastAsia" w:ascii="宋体" w:hAnsi="宋体" w:cs="宋体"/>
          <w:color w:val="auto"/>
          <w:spacing w:val="-4"/>
          <w:kern w:val="2"/>
          <w:sz w:val="21"/>
          <w:szCs w:val="21"/>
          <w:highlight w:val="none"/>
        </w:rPr>
        <w:t>（</w:t>
      </w:r>
      <w:r>
        <w:rPr>
          <w:rFonts w:ascii="宋体" w:hAnsi="宋体" w:cs="宋体"/>
          <w:color w:val="auto"/>
          <w:spacing w:val="-4"/>
          <w:kern w:val="2"/>
          <w:sz w:val="21"/>
          <w:szCs w:val="21"/>
          <w:highlight w:val="none"/>
        </w:rPr>
        <w:t>3</w:t>
      </w:r>
      <w:r>
        <w:rPr>
          <w:rFonts w:hint="eastAsia" w:ascii="宋体" w:hAnsi="宋体" w:cs="宋体"/>
          <w:color w:val="auto"/>
          <w:spacing w:val="-4"/>
          <w:kern w:val="2"/>
          <w:sz w:val="21"/>
          <w:szCs w:val="21"/>
          <w:highlight w:val="none"/>
        </w:rPr>
        <w:t>）保证在中标后忠实地执行与采购人所签署的合同，并承担合同规定的责任义务。保证在中标后按照采购文件的规定支付中标服务费。</w:t>
      </w:r>
    </w:p>
    <w:p>
      <w:pPr>
        <w:pStyle w:val="44"/>
        <w:widowControl w:val="0"/>
        <w:snapToGrid w:val="0"/>
        <w:spacing w:before="0" w:beforeAutospacing="0" w:after="0" w:afterAutospacing="0" w:line="360" w:lineRule="auto"/>
        <w:ind w:firstLine="303" w:firstLineChars="150"/>
        <w:jc w:val="both"/>
        <w:rPr>
          <w:rFonts w:ascii="宋体" w:hAnsi="宋体"/>
          <w:color w:val="auto"/>
          <w:sz w:val="21"/>
          <w:szCs w:val="21"/>
          <w:highlight w:val="none"/>
        </w:rPr>
      </w:pPr>
      <w:r>
        <w:rPr>
          <w:rFonts w:hint="eastAsia" w:ascii="宋体" w:hAnsi="宋体" w:cs="宋体"/>
          <w:color w:val="auto"/>
          <w:spacing w:val="-4"/>
          <w:kern w:val="2"/>
          <w:sz w:val="21"/>
          <w:szCs w:val="21"/>
          <w:highlight w:val="none"/>
        </w:rPr>
        <w:t>（</w:t>
      </w:r>
      <w:r>
        <w:rPr>
          <w:rFonts w:ascii="宋体" w:hAnsi="宋体" w:cs="宋体"/>
          <w:color w:val="auto"/>
          <w:spacing w:val="-4"/>
          <w:kern w:val="2"/>
          <w:sz w:val="21"/>
          <w:szCs w:val="21"/>
          <w:highlight w:val="none"/>
        </w:rPr>
        <w:t>4</w:t>
      </w:r>
      <w:r>
        <w:rPr>
          <w:rFonts w:hint="eastAsia" w:ascii="宋体" w:hAnsi="宋体" w:cs="宋体"/>
          <w:color w:val="auto"/>
          <w:spacing w:val="-4"/>
          <w:kern w:val="2"/>
          <w:sz w:val="21"/>
          <w:szCs w:val="21"/>
          <w:highlight w:val="none"/>
        </w:rPr>
        <w:t>）承诺应贵方要求提供任何与该项目投标有关的数据、情况和技术资料。</w:t>
      </w:r>
    </w:p>
    <w:p>
      <w:pPr>
        <w:pStyle w:val="44"/>
        <w:widowControl w:val="0"/>
        <w:snapToGrid w:val="0"/>
        <w:spacing w:before="0" w:beforeAutospacing="0" w:after="0" w:afterAutospacing="0" w:line="360" w:lineRule="auto"/>
        <w:ind w:firstLine="303" w:firstLineChars="150"/>
        <w:jc w:val="both"/>
        <w:rPr>
          <w:rFonts w:ascii="宋体" w:hAnsi="宋体"/>
          <w:color w:val="auto"/>
          <w:sz w:val="21"/>
          <w:szCs w:val="21"/>
          <w:highlight w:val="none"/>
        </w:rPr>
      </w:pPr>
      <w:r>
        <w:rPr>
          <w:rFonts w:hint="eastAsia" w:ascii="宋体" w:hAnsi="宋体" w:cs="宋体"/>
          <w:color w:val="auto"/>
          <w:spacing w:val="-4"/>
          <w:kern w:val="2"/>
          <w:sz w:val="21"/>
          <w:szCs w:val="21"/>
          <w:highlight w:val="none"/>
        </w:rPr>
        <w:t>（</w:t>
      </w:r>
      <w:r>
        <w:rPr>
          <w:rFonts w:ascii="宋体" w:hAnsi="宋体" w:cs="宋体"/>
          <w:color w:val="auto"/>
          <w:spacing w:val="-4"/>
          <w:kern w:val="2"/>
          <w:sz w:val="21"/>
          <w:szCs w:val="21"/>
          <w:highlight w:val="none"/>
        </w:rPr>
        <w:t>5</w:t>
      </w:r>
      <w:r>
        <w:rPr>
          <w:rFonts w:hint="eastAsia" w:ascii="宋体" w:hAnsi="宋体" w:cs="宋体"/>
          <w:color w:val="auto"/>
          <w:spacing w:val="-4"/>
          <w:kern w:val="2"/>
          <w:sz w:val="21"/>
          <w:szCs w:val="21"/>
          <w:highlight w:val="none"/>
        </w:rPr>
        <w:t>）我们承诺，与为采购人采购本次招标的货物或服务进行设计、编制规范和其他文件所委托的咨询公司或其附属机构无任何直接或间接的关联。</w:t>
      </w:r>
    </w:p>
    <w:p>
      <w:pPr>
        <w:pStyle w:val="44"/>
        <w:widowControl w:val="0"/>
        <w:snapToGrid w:val="0"/>
        <w:spacing w:before="0" w:beforeAutospacing="0" w:after="0" w:afterAutospacing="0" w:line="360" w:lineRule="auto"/>
        <w:ind w:firstLine="303" w:firstLineChars="150"/>
        <w:jc w:val="both"/>
        <w:rPr>
          <w:rFonts w:ascii="宋体" w:hAnsi="宋体"/>
          <w:color w:val="auto"/>
          <w:sz w:val="21"/>
          <w:szCs w:val="21"/>
          <w:highlight w:val="none"/>
        </w:rPr>
      </w:pPr>
      <w:r>
        <w:rPr>
          <w:rFonts w:hint="eastAsia" w:ascii="宋体" w:hAnsi="宋体" w:cs="宋体"/>
          <w:color w:val="auto"/>
          <w:spacing w:val="-4"/>
          <w:kern w:val="2"/>
          <w:sz w:val="21"/>
          <w:szCs w:val="21"/>
          <w:highlight w:val="none"/>
        </w:rPr>
        <w:t>（</w:t>
      </w:r>
      <w:r>
        <w:rPr>
          <w:rFonts w:ascii="宋体" w:hAnsi="宋体" w:cs="宋体"/>
          <w:color w:val="auto"/>
          <w:spacing w:val="-4"/>
          <w:kern w:val="2"/>
          <w:sz w:val="21"/>
          <w:szCs w:val="21"/>
          <w:highlight w:val="none"/>
        </w:rPr>
        <w:t>6</w:t>
      </w:r>
      <w:r>
        <w:rPr>
          <w:rFonts w:hint="eastAsia" w:ascii="宋体" w:hAnsi="宋体" w:cs="宋体"/>
          <w:color w:val="auto"/>
          <w:spacing w:val="-4"/>
          <w:kern w:val="2"/>
          <w:sz w:val="21"/>
          <w:szCs w:val="21"/>
          <w:highlight w:val="none"/>
        </w:rPr>
        <w:t>）投标方已详细审查并理解全部采购文件，如有违反，愿意接受监管机构相应的处理。</w:t>
      </w:r>
    </w:p>
    <w:p>
      <w:pPr>
        <w:pStyle w:val="44"/>
        <w:widowControl w:val="0"/>
        <w:numPr>
          <w:ilvl w:val="0"/>
          <w:numId w:val="0"/>
        </w:numPr>
        <w:snapToGrid w:val="0"/>
        <w:spacing w:before="0" w:beforeAutospacing="0" w:after="0" w:afterAutospacing="0" w:line="360" w:lineRule="auto"/>
        <w:ind w:left="301" w:leftChars="0"/>
        <w:jc w:val="both"/>
        <w:rPr>
          <w:rFonts w:ascii="宋体" w:hAnsi="宋体"/>
          <w:color w:val="auto"/>
          <w:sz w:val="21"/>
          <w:szCs w:val="21"/>
          <w:highlight w:val="none"/>
        </w:rPr>
      </w:pPr>
      <w:r>
        <w:rPr>
          <w:rFonts w:hint="eastAsia" w:ascii="宋体" w:hAnsi="宋体" w:cs="宋体"/>
          <w:color w:val="auto"/>
          <w:spacing w:val="-4"/>
          <w:kern w:val="2"/>
          <w:sz w:val="21"/>
          <w:szCs w:val="21"/>
          <w:highlight w:val="none"/>
          <w:lang w:val="en-US" w:eastAsia="zh-CN"/>
        </w:rPr>
        <w:t>3、</w:t>
      </w:r>
      <w:r>
        <w:rPr>
          <w:rFonts w:hint="eastAsia" w:ascii="宋体" w:hAnsi="宋体" w:cs="宋体"/>
          <w:color w:val="auto"/>
          <w:spacing w:val="-4"/>
          <w:kern w:val="2"/>
          <w:sz w:val="21"/>
          <w:szCs w:val="21"/>
          <w:highlight w:val="none"/>
        </w:rPr>
        <w:t>与本投标有关的一切往来通讯请寄：</w:t>
      </w:r>
    </w:p>
    <w:p>
      <w:pPr>
        <w:pStyle w:val="44"/>
        <w:widowControl w:val="0"/>
        <w:snapToGrid w:val="0"/>
        <w:spacing w:before="0" w:beforeAutospacing="0" w:after="0" w:afterAutospacing="0" w:line="360" w:lineRule="auto"/>
        <w:ind w:firstLine="301"/>
        <w:jc w:val="both"/>
        <w:rPr>
          <w:rFonts w:ascii="宋体" w:hAnsi="宋体"/>
          <w:color w:val="auto"/>
          <w:sz w:val="21"/>
          <w:szCs w:val="21"/>
          <w:highlight w:val="none"/>
        </w:rPr>
      </w:pPr>
      <w:r>
        <w:rPr>
          <w:rFonts w:hint="eastAsia" w:ascii="宋体" w:hAnsi="宋体" w:cs="宋体"/>
          <w:color w:val="auto"/>
          <w:spacing w:val="-4"/>
          <w:kern w:val="2"/>
          <w:sz w:val="21"/>
          <w:szCs w:val="21"/>
          <w:highlight w:val="none"/>
        </w:rPr>
        <w:t>地址：</w:t>
      </w:r>
      <w:r>
        <w:rPr>
          <w:rFonts w:ascii="宋体" w:hAnsi="宋体" w:cs="宋体"/>
          <w:color w:val="auto"/>
          <w:spacing w:val="-4"/>
          <w:kern w:val="2"/>
          <w:sz w:val="21"/>
          <w:szCs w:val="21"/>
          <w:highlight w:val="none"/>
          <w:u w:val="single"/>
        </w:rPr>
        <w:t xml:space="preserve">                                                   </w:t>
      </w:r>
    </w:p>
    <w:p>
      <w:pPr>
        <w:pStyle w:val="44"/>
        <w:widowControl w:val="0"/>
        <w:snapToGrid w:val="0"/>
        <w:spacing w:before="0" w:beforeAutospacing="0" w:after="120" w:afterAutospacing="0" w:line="360" w:lineRule="auto"/>
        <w:ind w:firstLine="420"/>
        <w:jc w:val="both"/>
        <w:rPr>
          <w:rFonts w:ascii="宋体" w:hAnsi="宋体"/>
          <w:color w:val="auto"/>
          <w:sz w:val="21"/>
          <w:szCs w:val="21"/>
          <w:highlight w:val="none"/>
          <w:u w:val="single"/>
        </w:rPr>
      </w:pPr>
      <w:r>
        <w:rPr>
          <w:rFonts w:hint="eastAsia" w:ascii="宋体" w:hAnsi="宋体" w:cs="宋体"/>
          <w:color w:val="auto"/>
          <w:spacing w:val="-4"/>
          <w:kern w:val="2"/>
          <w:sz w:val="21"/>
          <w:szCs w:val="21"/>
          <w:highlight w:val="none"/>
        </w:rPr>
        <w:t>邮编：</w:t>
      </w:r>
      <w:r>
        <w:rPr>
          <w:rFonts w:ascii="宋体" w:hAnsi="宋体" w:cs="宋体"/>
          <w:color w:val="auto"/>
          <w:spacing w:val="-4"/>
          <w:kern w:val="2"/>
          <w:sz w:val="21"/>
          <w:szCs w:val="21"/>
          <w:highlight w:val="none"/>
          <w:u w:val="single"/>
        </w:rPr>
        <w:t xml:space="preserve">            </w:t>
      </w:r>
      <w:r>
        <w:rPr>
          <w:rFonts w:hint="eastAsia" w:ascii="宋体" w:hAnsi="宋体" w:cs="宋体"/>
          <w:color w:val="auto"/>
          <w:spacing w:val="-4"/>
          <w:kern w:val="2"/>
          <w:sz w:val="21"/>
          <w:szCs w:val="21"/>
          <w:highlight w:val="none"/>
        </w:rPr>
        <w:t>电话：</w:t>
      </w:r>
      <w:r>
        <w:rPr>
          <w:rFonts w:ascii="宋体" w:hAnsi="宋体" w:cs="宋体"/>
          <w:color w:val="auto"/>
          <w:spacing w:val="-4"/>
          <w:kern w:val="2"/>
          <w:sz w:val="21"/>
          <w:szCs w:val="21"/>
          <w:highlight w:val="none"/>
          <w:u w:val="single"/>
        </w:rPr>
        <w:t xml:space="preserve">              </w:t>
      </w:r>
      <w:r>
        <w:rPr>
          <w:rFonts w:hint="eastAsia" w:ascii="宋体" w:hAnsi="宋体" w:cs="宋体"/>
          <w:color w:val="auto"/>
          <w:spacing w:val="-4"/>
          <w:kern w:val="2"/>
          <w:sz w:val="21"/>
          <w:szCs w:val="21"/>
          <w:highlight w:val="none"/>
        </w:rPr>
        <w:t>传真：</w:t>
      </w:r>
      <w:r>
        <w:rPr>
          <w:rFonts w:ascii="宋体" w:hAnsi="宋体" w:cs="宋体"/>
          <w:color w:val="auto"/>
          <w:spacing w:val="-4"/>
          <w:kern w:val="2"/>
          <w:sz w:val="21"/>
          <w:szCs w:val="21"/>
          <w:highlight w:val="none"/>
          <w:u w:val="single"/>
        </w:rPr>
        <w:t xml:space="preserve">             </w:t>
      </w:r>
    </w:p>
    <w:p>
      <w:pPr>
        <w:pStyle w:val="44"/>
        <w:widowControl w:val="0"/>
        <w:snapToGrid w:val="0"/>
        <w:spacing w:before="0" w:beforeAutospacing="0" w:after="0" w:afterAutospacing="0" w:line="360" w:lineRule="auto"/>
        <w:jc w:val="both"/>
        <w:rPr>
          <w:rFonts w:ascii="宋体" w:hAnsi="宋体"/>
          <w:color w:val="auto"/>
          <w:sz w:val="21"/>
          <w:szCs w:val="21"/>
          <w:highlight w:val="none"/>
        </w:rPr>
      </w:pPr>
    </w:p>
    <w:p>
      <w:pPr>
        <w:pStyle w:val="44"/>
        <w:widowControl w:val="0"/>
        <w:tabs>
          <w:tab w:val="left" w:pos="4841"/>
        </w:tabs>
        <w:snapToGrid w:val="0"/>
        <w:spacing w:before="0" w:beforeAutospacing="0" w:after="0" w:afterAutospacing="0" w:line="360" w:lineRule="auto"/>
        <w:ind w:firstLine="301"/>
        <w:jc w:val="both"/>
        <w:rPr>
          <w:rFonts w:ascii="宋体" w:hAnsi="宋体"/>
          <w:color w:val="auto"/>
          <w:sz w:val="21"/>
          <w:szCs w:val="21"/>
          <w:highlight w:val="none"/>
        </w:rPr>
      </w:pPr>
      <w:r>
        <w:rPr>
          <w:rFonts w:hint="eastAsia" w:ascii="宋体" w:hAnsi="宋体" w:cs="宋体"/>
          <w:color w:val="auto"/>
          <w:spacing w:val="-4"/>
          <w:kern w:val="2"/>
          <w:sz w:val="21"/>
          <w:szCs w:val="21"/>
          <w:highlight w:val="none"/>
        </w:rPr>
        <w:t>供应商（盖章）：</w:t>
      </w:r>
      <w:r>
        <w:rPr>
          <w:rFonts w:ascii="宋体" w:hAnsi="宋体" w:cs="宋体"/>
          <w:color w:val="auto"/>
          <w:spacing w:val="-4"/>
          <w:kern w:val="2"/>
          <w:sz w:val="21"/>
          <w:szCs w:val="21"/>
          <w:highlight w:val="none"/>
        </w:rPr>
        <w:t xml:space="preserve">                  </w:t>
      </w:r>
    </w:p>
    <w:p>
      <w:pPr>
        <w:pStyle w:val="44"/>
        <w:widowControl w:val="0"/>
        <w:tabs>
          <w:tab w:val="left" w:pos="4841"/>
        </w:tabs>
        <w:snapToGrid w:val="0"/>
        <w:spacing w:before="0" w:beforeAutospacing="0" w:after="0" w:afterAutospacing="0" w:line="360" w:lineRule="auto"/>
        <w:ind w:firstLine="301"/>
        <w:jc w:val="both"/>
        <w:rPr>
          <w:rFonts w:ascii="宋体" w:hAnsi="宋体"/>
          <w:color w:val="auto"/>
          <w:sz w:val="21"/>
          <w:szCs w:val="21"/>
          <w:highlight w:val="none"/>
        </w:rPr>
      </w:pPr>
      <w:r>
        <w:rPr>
          <w:rFonts w:hint="eastAsia" w:ascii="宋体" w:hAnsi="宋体" w:cs="宋体"/>
          <w:color w:val="auto"/>
          <w:spacing w:val="-4"/>
          <w:kern w:val="2"/>
          <w:sz w:val="21"/>
          <w:szCs w:val="21"/>
          <w:highlight w:val="none"/>
        </w:rPr>
        <w:t>法定代表或其授权代表（签字</w:t>
      </w:r>
      <w:r>
        <w:rPr>
          <w:rFonts w:hint="eastAsia" w:ascii="宋体" w:hAnsi="宋体" w:cs="宋体"/>
          <w:color w:val="auto"/>
          <w:spacing w:val="-4"/>
          <w:kern w:val="2"/>
          <w:sz w:val="21"/>
          <w:szCs w:val="21"/>
          <w:highlight w:val="none"/>
          <w:lang w:val="en-US" w:eastAsia="zh-CN"/>
        </w:rPr>
        <w:t>或盖章</w:t>
      </w:r>
      <w:r>
        <w:rPr>
          <w:rFonts w:hint="eastAsia" w:ascii="宋体" w:hAnsi="宋体" w:cs="宋体"/>
          <w:color w:val="auto"/>
          <w:spacing w:val="-4"/>
          <w:kern w:val="2"/>
          <w:sz w:val="21"/>
          <w:szCs w:val="21"/>
          <w:highlight w:val="none"/>
        </w:rPr>
        <w:t>）：</w:t>
      </w:r>
    </w:p>
    <w:p>
      <w:pPr>
        <w:pStyle w:val="44"/>
        <w:widowControl w:val="0"/>
        <w:tabs>
          <w:tab w:val="left" w:pos="4841"/>
        </w:tabs>
        <w:snapToGrid w:val="0"/>
        <w:spacing w:before="0" w:beforeAutospacing="0" w:after="0" w:afterAutospacing="0" w:line="360" w:lineRule="auto"/>
        <w:ind w:firstLine="301"/>
        <w:jc w:val="both"/>
        <w:rPr>
          <w:rFonts w:ascii="宋体" w:hAnsi="宋体"/>
          <w:color w:val="auto"/>
          <w:spacing w:val="-4"/>
          <w:kern w:val="2"/>
          <w:sz w:val="21"/>
          <w:szCs w:val="21"/>
          <w:highlight w:val="none"/>
        </w:rPr>
      </w:pPr>
      <w:r>
        <w:rPr>
          <w:rFonts w:hint="eastAsia" w:ascii="宋体" w:hAnsi="宋体" w:cs="宋体"/>
          <w:color w:val="auto"/>
          <w:spacing w:val="-4"/>
          <w:kern w:val="2"/>
          <w:sz w:val="21"/>
          <w:szCs w:val="21"/>
          <w:highlight w:val="none"/>
        </w:rPr>
        <w:t>日</w:t>
      </w:r>
      <w:r>
        <w:rPr>
          <w:rFonts w:ascii="宋体" w:hAnsi="宋体" w:cs="宋体"/>
          <w:color w:val="auto"/>
          <w:spacing w:val="-4"/>
          <w:kern w:val="2"/>
          <w:sz w:val="21"/>
          <w:szCs w:val="21"/>
          <w:highlight w:val="none"/>
        </w:rPr>
        <w:t xml:space="preserve">      </w:t>
      </w:r>
      <w:r>
        <w:rPr>
          <w:rFonts w:hint="eastAsia" w:ascii="宋体" w:hAnsi="宋体" w:cs="宋体"/>
          <w:color w:val="auto"/>
          <w:spacing w:val="-4"/>
          <w:kern w:val="2"/>
          <w:sz w:val="21"/>
          <w:szCs w:val="21"/>
          <w:highlight w:val="none"/>
        </w:rPr>
        <w:t>期：</w:t>
      </w:r>
      <w:r>
        <w:rPr>
          <w:rFonts w:ascii="宋体" w:hAnsi="宋体" w:cs="宋体"/>
          <w:color w:val="auto"/>
          <w:spacing w:val="-4"/>
          <w:kern w:val="2"/>
          <w:sz w:val="21"/>
          <w:szCs w:val="21"/>
          <w:highlight w:val="none"/>
        </w:rPr>
        <w:t xml:space="preserve">  </w:t>
      </w:r>
    </w:p>
    <w:p>
      <w:pPr>
        <w:spacing w:line="360" w:lineRule="auto"/>
        <w:jc w:val="left"/>
        <w:outlineLvl w:val="2"/>
        <w:rPr>
          <w:rFonts w:ascii="宋体" w:hAnsi="宋体" w:cs="RomanS"/>
          <w:b/>
          <w:color w:val="auto"/>
          <w:sz w:val="24"/>
          <w:szCs w:val="24"/>
          <w:highlight w:val="none"/>
        </w:rPr>
      </w:pPr>
      <w:r>
        <w:rPr>
          <w:rFonts w:ascii="宋体" w:hAnsi="宋体"/>
          <w:color w:val="auto"/>
          <w:spacing w:val="-4"/>
          <w:highlight w:val="none"/>
        </w:rPr>
        <w:br w:type="page"/>
      </w:r>
      <w:r>
        <w:rPr>
          <w:rFonts w:hint="eastAsia" w:ascii="宋体" w:hAnsi="宋体" w:cs="RomanS"/>
          <w:b/>
          <w:color w:val="auto"/>
          <w:sz w:val="24"/>
          <w:szCs w:val="24"/>
          <w:highlight w:val="none"/>
          <w:lang w:val="en-US" w:eastAsia="zh-CN"/>
        </w:rPr>
        <w:t>4</w:t>
      </w:r>
      <w:r>
        <w:rPr>
          <w:rFonts w:hint="eastAsia" w:ascii="宋体" w:hAnsi="宋体" w:cs="RomanS"/>
          <w:b/>
          <w:color w:val="auto"/>
          <w:sz w:val="24"/>
          <w:szCs w:val="24"/>
          <w:highlight w:val="none"/>
        </w:rPr>
        <w:t>、技术要求响应表格式；</w:t>
      </w:r>
    </w:p>
    <w:p>
      <w:pPr>
        <w:spacing w:line="360" w:lineRule="auto"/>
        <w:jc w:val="center"/>
        <w:rPr>
          <w:rFonts w:hint="eastAsia" w:ascii="宋体" w:hAnsi="宋体" w:cs="宋体"/>
          <w:b/>
          <w:bCs/>
          <w:color w:val="auto"/>
          <w:sz w:val="28"/>
          <w:szCs w:val="28"/>
          <w:highlight w:val="none"/>
        </w:rPr>
      </w:pPr>
    </w:p>
    <w:p>
      <w:pPr>
        <w:spacing w:line="360" w:lineRule="auto"/>
        <w:jc w:val="center"/>
        <w:rPr>
          <w:rFonts w:ascii="宋体" w:hAnsi="宋体"/>
          <w:b/>
          <w:bCs/>
          <w:color w:val="auto"/>
          <w:sz w:val="28"/>
          <w:szCs w:val="28"/>
          <w:highlight w:val="none"/>
        </w:rPr>
      </w:pPr>
      <w:r>
        <w:rPr>
          <w:rFonts w:hint="eastAsia" w:ascii="宋体" w:hAnsi="宋体" w:cs="宋体"/>
          <w:b/>
          <w:bCs/>
          <w:color w:val="auto"/>
          <w:sz w:val="28"/>
          <w:szCs w:val="28"/>
          <w:highlight w:val="none"/>
        </w:rPr>
        <w:t>技术要求响应表</w:t>
      </w:r>
    </w:p>
    <w:p>
      <w:pPr>
        <w:spacing w:line="360" w:lineRule="auto"/>
        <w:ind w:right="25" w:rightChars="12"/>
        <w:rPr>
          <w:rFonts w:hint="eastAsia" w:ascii="宋体" w:hAnsi="宋体" w:cs="宋体"/>
          <w:color w:val="auto"/>
          <w:highlight w:val="none"/>
          <w:lang w:val="zh-CN"/>
        </w:rPr>
      </w:pPr>
    </w:p>
    <w:p>
      <w:pPr>
        <w:spacing w:line="360" w:lineRule="auto"/>
        <w:ind w:right="25" w:rightChars="12"/>
        <w:rPr>
          <w:rFonts w:ascii="宋体" w:hAnsi="宋体"/>
          <w:color w:val="auto"/>
          <w:highlight w:val="none"/>
        </w:rPr>
      </w:pPr>
      <w:r>
        <w:rPr>
          <w:rFonts w:hint="eastAsia" w:ascii="宋体" w:hAnsi="宋体" w:cs="宋体"/>
          <w:color w:val="auto"/>
          <w:highlight w:val="none"/>
          <w:lang w:val="zh-CN"/>
        </w:rPr>
        <w:t>项目编号：</w:t>
      </w:r>
      <w:r>
        <w:rPr>
          <w:rFonts w:ascii="宋体" w:hAnsi="宋体" w:cs="宋体"/>
          <w:color w:val="auto"/>
          <w:highlight w:val="none"/>
          <w:u w:val="single"/>
          <w:lang w:val="zh-CN"/>
        </w:rPr>
        <w:t xml:space="preserve">                 </w:t>
      </w:r>
      <w:r>
        <w:rPr>
          <w:rFonts w:ascii="宋体" w:hAnsi="宋体" w:cs="宋体"/>
          <w:color w:val="auto"/>
          <w:highlight w:val="none"/>
          <w:lang w:val="zh-CN"/>
        </w:rPr>
        <w:t xml:space="preserve"> </w:t>
      </w:r>
      <w:r>
        <w:rPr>
          <w:rFonts w:hint="eastAsia" w:ascii="宋体" w:hAnsi="宋体" w:cs="宋体"/>
          <w:color w:val="auto"/>
          <w:highlight w:val="none"/>
          <w:lang w:val="zh-CN"/>
        </w:rPr>
        <w:t>项目名称</w:t>
      </w:r>
      <w:r>
        <w:rPr>
          <w:rFonts w:hint="eastAsia" w:ascii="宋体" w:hAnsi="宋体" w:cs="宋体"/>
          <w:color w:val="auto"/>
          <w:highlight w:val="none"/>
          <w:u w:val="none"/>
          <w:lang w:val="zh-CN"/>
        </w:rPr>
        <w:t>：</w:t>
      </w:r>
      <w:r>
        <w:rPr>
          <w:rFonts w:hint="eastAsia" w:ascii="宋体" w:hAnsi="宋体" w:cs="宋体"/>
          <w:color w:val="auto"/>
          <w:highlight w:val="none"/>
          <w:u w:val="single"/>
          <w:lang w:val="en-US" w:eastAsia="zh-CN"/>
        </w:rPr>
        <w:t xml:space="preserve">           </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en-US" w:eastAsia="zh-CN"/>
        </w:rPr>
        <w:t xml:space="preserve">   </w:t>
      </w:r>
      <w:r>
        <w:rPr>
          <w:rFonts w:ascii="宋体" w:hAnsi="宋体" w:cs="宋体"/>
          <w:color w:val="auto"/>
          <w:highlight w:val="none"/>
          <w:u w:val="single"/>
          <w:lang w:val="zh-CN"/>
        </w:rPr>
        <w:t xml:space="preserve">    </w:t>
      </w:r>
      <w:r>
        <w:rPr>
          <w:rFonts w:ascii="宋体" w:hAnsi="宋体" w:cs="宋体"/>
          <w:color w:val="auto"/>
          <w:spacing w:val="-4"/>
          <w:highlight w:val="none"/>
          <w:u w:val="single"/>
        </w:rPr>
        <w:t xml:space="preserve"> </w:t>
      </w:r>
    </w:p>
    <w:tbl>
      <w:tblPr>
        <w:tblStyle w:val="4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975"/>
        <w:gridCol w:w="2630"/>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93" w:type="dxa"/>
            <w:vAlign w:val="center"/>
          </w:tcPr>
          <w:p>
            <w:pPr>
              <w:topLinePunct/>
              <w:spacing w:line="360" w:lineRule="auto"/>
              <w:jc w:val="center"/>
              <w:rPr>
                <w:rFonts w:ascii="宋体" w:hAnsi="宋体"/>
                <w:color w:val="auto"/>
                <w:highlight w:val="none"/>
              </w:rPr>
            </w:pPr>
            <w:r>
              <w:rPr>
                <w:rFonts w:hint="eastAsia" w:ascii="宋体" w:hAnsi="宋体" w:cs="宋体"/>
                <w:color w:val="auto"/>
                <w:highlight w:val="none"/>
              </w:rPr>
              <w:t>序号</w:t>
            </w:r>
          </w:p>
        </w:tc>
        <w:tc>
          <w:tcPr>
            <w:tcW w:w="2975" w:type="dxa"/>
            <w:vAlign w:val="center"/>
          </w:tcPr>
          <w:p>
            <w:pPr>
              <w:topLinePunct/>
              <w:spacing w:line="360" w:lineRule="auto"/>
              <w:jc w:val="center"/>
              <w:rPr>
                <w:rFonts w:ascii="宋体" w:hAnsi="宋体"/>
                <w:color w:val="auto"/>
                <w:highlight w:val="none"/>
              </w:rPr>
            </w:pPr>
            <w:r>
              <w:rPr>
                <w:rFonts w:hint="eastAsia" w:ascii="宋体" w:hAnsi="宋体" w:cs="宋体"/>
                <w:color w:val="auto"/>
                <w:highlight w:val="none"/>
              </w:rPr>
              <w:t>采购文件技术要求</w:t>
            </w:r>
          </w:p>
        </w:tc>
        <w:tc>
          <w:tcPr>
            <w:tcW w:w="2630" w:type="dxa"/>
            <w:vAlign w:val="center"/>
          </w:tcPr>
          <w:p>
            <w:pPr>
              <w:topLinePunct/>
              <w:spacing w:line="360" w:lineRule="auto"/>
              <w:jc w:val="center"/>
              <w:rPr>
                <w:rFonts w:ascii="宋体" w:hAnsi="宋体"/>
                <w:color w:val="auto"/>
                <w:highlight w:val="none"/>
              </w:rPr>
            </w:pPr>
            <w:r>
              <w:rPr>
                <w:rFonts w:hint="eastAsia" w:ascii="宋体" w:hAnsi="宋体" w:cs="宋体"/>
                <w:color w:val="auto"/>
                <w:highlight w:val="none"/>
              </w:rPr>
              <w:t>投标文件响应情况</w:t>
            </w:r>
          </w:p>
        </w:tc>
        <w:tc>
          <w:tcPr>
            <w:tcW w:w="2030" w:type="dxa"/>
            <w:vAlign w:val="center"/>
          </w:tcPr>
          <w:p>
            <w:pPr>
              <w:topLinePunct/>
              <w:spacing w:line="360" w:lineRule="auto"/>
              <w:jc w:val="center"/>
              <w:rPr>
                <w:rFonts w:ascii="宋体" w:hAnsi="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highlight w:val="none"/>
              </w:rPr>
            </w:pPr>
            <w:r>
              <w:rPr>
                <w:rFonts w:ascii="宋体" w:hAnsi="宋体" w:cs="宋体"/>
                <w:b/>
                <w:bCs/>
                <w:color w:val="auto"/>
                <w:highlight w:val="none"/>
              </w:rPr>
              <w:t xml:space="preserve"> </w:t>
            </w:r>
          </w:p>
        </w:tc>
        <w:tc>
          <w:tcPr>
            <w:tcW w:w="2975" w:type="dxa"/>
            <w:vAlign w:val="center"/>
          </w:tcPr>
          <w:p>
            <w:pPr>
              <w:topLinePunct/>
              <w:spacing w:line="360" w:lineRule="auto"/>
              <w:jc w:val="center"/>
              <w:rPr>
                <w:rFonts w:ascii="宋体" w:hAnsi="宋体"/>
                <w:b/>
                <w:bCs/>
                <w:color w:val="auto"/>
                <w:highlight w:val="none"/>
              </w:rPr>
            </w:pPr>
          </w:p>
        </w:tc>
        <w:tc>
          <w:tcPr>
            <w:tcW w:w="2630" w:type="dxa"/>
            <w:vAlign w:val="center"/>
          </w:tcPr>
          <w:p>
            <w:pPr>
              <w:topLinePunct/>
              <w:spacing w:line="360" w:lineRule="auto"/>
              <w:jc w:val="center"/>
              <w:rPr>
                <w:rFonts w:ascii="宋体" w:hAnsi="宋体"/>
                <w:b/>
                <w:bCs/>
                <w:color w:val="auto"/>
                <w:highlight w:val="none"/>
              </w:rPr>
            </w:pPr>
          </w:p>
        </w:tc>
        <w:tc>
          <w:tcPr>
            <w:tcW w:w="2030" w:type="dxa"/>
            <w:vAlign w:val="center"/>
          </w:tcPr>
          <w:p>
            <w:pPr>
              <w:topLinePunct/>
              <w:spacing w:line="360" w:lineRule="auto"/>
              <w:jc w:val="center"/>
              <w:rPr>
                <w:rFonts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highlight w:val="none"/>
              </w:rPr>
            </w:pPr>
            <w:r>
              <w:rPr>
                <w:rFonts w:ascii="宋体" w:hAnsi="宋体" w:cs="宋体"/>
                <w:b/>
                <w:bCs/>
                <w:color w:val="auto"/>
                <w:highlight w:val="none"/>
              </w:rPr>
              <w:t xml:space="preserve"> </w:t>
            </w:r>
          </w:p>
        </w:tc>
        <w:tc>
          <w:tcPr>
            <w:tcW w:w="2975" w:type="dxa"/>
            <w:vAlign w:val="center"/>
          </w:tcPr>
          <w:p>
            <w:pPr>
              <w:topLinePunct/>
              <w:spacing w:line="360" w:lineRule="auto"/>
              <w:jc w:val="center"/>
              <w:rPr>
                <w:rFonts w:ascii="宋体" w:hAnsi="宋体"/>
                <w:b/>
                <w:bCs/>
                <w:color w:val="auto"/>
                <w:highlight w:val="none"/>
              </w:rPr>
            </w:pPr>
          </w:p>
        </w:tc>
        <w:tc>
          <w:tcPr>
            <w:tcW w:w="2630" w:type="dxa"/>
            <w:vAlign w:val="center"/>
          </w:tcPr>
          <w:p>
            <w:pPr>
              <w:topLinePunct/>
              <w:spacing w:line="360" w:lineRule="auto"/>
              <w:jc w:val="center"/>
              <w:rPr>
                <w:rFonts w:ascii="宋体" w:hAnsi="宋体"/>
                <w:b/>
                <w:bCs/>
                <w:color w:val="auto"/>
                <w:highlight w:val="none"/>
              </w:rPr>
            </w:pPr>
          </w:p>
        </w:tc>
        <w:tc>
          <w:tcPr>
            <w:tcW w:w="2030" w:type="dxa"/>
            <w:vAlign w:val="center"/>
          </w:tcPr>
          <w:p>
            <w:pPr>
              <w:topLinePunct/>
              <w:spacing w:line="360" w:lineRule="auto"/>
              <w:jc w:val="center"/>
              <w:rPr>
                <w:rFonts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highlight w:val="none"/>
              </w:rPr>
            </w:pPr>
            <w:r>
              <w:rPr>
                <w:rFonts w:ascii="宋体" w:hAnsi="宋体" w:cs="宋体"/>
                <w:b/>
                <w:bCs/>
                <w:color w:val="auto"/>
                <w:highlight w:val="none"/>
              </w:rPr>
              <w:t xml:space="preserve"> </w:t>
            </w:r>
          </w:p>
        </w:tc>
        <w:tc>
          <w:tcPr>
            <w:tcW w:w="2975" w:type="dxa"/>
            <w:vAlign w:val="center"/>
          </w:tcPr>
          <w:p>
            <w:pPr>
              <w:topLinePunct/>
              <w:spacing w:line="360" w:lineRule="auto"/>
              <w:jc w:val="center"/>
              <w:rPr>
                <w:rFonts w:ascii="宋体" w:hAnsi="宋体"/>
                <w:b/>
                <w:bCs/>
                <w:color w:val="auto"/>
                <w:highlight w:val="none"/>
              </w:rPr>
            </w:pPr>
          </w:p>
        </w:tc>
        <w:tc>
          <w:tcPr>
            <w:tcW w:w="2630" w:type="dxa"/>
            <w:vAlign w:val="center"/>
          </w:tcPr>
          <w:p>
            <w:pPr>
              <w:topLinePunct/>
              <w:spacing w:line="360" w:lineRule="auto"/>
              <w:jc w:val="center"/>
              <w:rPr>
                <w:rFonts w:ascii="宋体" w:hAnsi="宋体"/>
                <w:b/>
                <w:bCs/>
                <w:color w:val="auto"/>
                <w:highlight w:val="none"/>
              </w:rPr>
            </w:pPr>
          </w:p>
        </w:tc>
        <w:tc>
          <w:tcPr>
            <w:tcW w:w="2030" w:type="dxa"/>
            <w:vAlign w:val="center"/>
          </w:tcPr>
          <w:p>
            <w:pPr>
              <w:topLinePunct/>
              <w:spacing w:line="360" w:lineRule="auto"/>
              <w:jc w:val="center"/>
              <w:rPr>
                <w:rFonts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highlight w:val="none"/>
              </w:rPr>
            </w:pPr>
          </w:p>
        </w:tc>
        <w:tc>
          <w:tcPr>
            <w:tcW w:w="2975" w:type="dxa"/>
            <w:vAlign w:val="center"/>
          </w:tcPr>
          <w:p>
            <w:pPr>
              <w:topLinePunct/>
              <w:spacing w:line="360" w:lineRule="auto"/>
              <w:jc w:val="center"/>
              <w:rPr>
                <w:rFonts w:ascii="宋体" w:hAnsi="宋体"/>
                <w:b/>
                <w:bCs/>
                <w:color w:val="auto"/>
                <w:highlight w:val="none"/>
              </w:rPr>
            </w:pPr>
          </w:p>
        </w:tc>
        <w:tc>
          <w:tcPr>
            <w:tcW w:w="2630" w:type="dxa"/>
            <w:vAlign w:val="center"/>
          </w:tcPr>
          <w:p>
            <w:pPr>
              <w:topLinePunct/>
              <w:spacing w:line="360" w:lineRule="auto"/>
              <w:jc w:val="center"/>
              <w:rPr>
                <w:rFonts w:ascii="宋体" w:hAnsi="宋体"/>
                <w:b/>
                <w:bCs/>
                <w:color w:val="auto"/>
                <w:highlight w:val="none"/>
              </w:rPr>
            </w:pPr>
          </w:p>
        </w:tc>
        <w:tc>
          <w:tcPr>
            <w:tcW w:w="2030" w:type="dxa"/>
            <w:vAlign w:val="center"/>
          </w:tcPr>
          <w:p>
            <w:pPr>
              <w:topLinePunct/>
              <w:spacing w:line="360" w:lineRule="auto"/>
              <w:jc w:val="center"/>
              <w:rPr>
                <w:rFonts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highlight w:val="none"/>
              </w:rPr>
            </w:pPr>
          </w:p>
        </w:tc>
        <w:tc>
          <w:tcPr>
            <w:tcW w:w="2975" w:type="dxa"/>
            <w:vAlign w:val="center"/>
          </w:tcPr>
          <w:p>
            <w:pPr>
              <w:topLinePunct/>
              <w:spacing w:line="360" w:lineRule="auto"/>
              <w:jc w:val="center"/>
              <w:rPr>
                <w:rFonts w:ascii="宋体" w:hAnsi="宋体"/>
                <w:b/>
                <w:bCs/>
                <w:color w:val="auto"/>
                <w:highlight w:val="none"/>
              </w:rPr>
            </w:pPr>
          </w:p>
        </w:tc>
        <w:tc>
          <w:tcPr>
            <w:tcW w:w="2630" w:type="dxa"/>
            <w:vAlign w:val="center"/>
          </w:tcPr>
          <w:p>
            <w:pPr>
              <w:topLinePunct/>
              <w:spacing w:line="360" w:lineRule="auto"/>
              <w:jc w:val="center"/>
              <w:rPr>
                <w:rFonts w:ascii="宋体" w:hAnsi="宋体"/>
                <w:b/>
                <w:bCs/>
                <w:color w:val="auto"/>
                <w:highlight w:val="none"/>
              </w:rPr>
            </w:pPr>
          </w:p>
        </w:tc>
        <w:tc>
          <w:tcPr>
            <w:tcW w:w="2030" w:type="dxa"/>
            <w:vAlign w:val="center"/>
          </w:tcPr>
          <w:p>
            <w:pPr>
              <w:topLinePunct/>
              <w:spacing w:line="360" w:lineRule="auto"/>
              <w:jc w:val="center"/>
              <w:rPr>
                <w:rFonts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highlight w:val="none"/>
              </w:rPr>
            </w:pPr>
          </w:p>
        </w:tc>
        <w:tc>
          <w:tcPr>
            <w:tcW w:w="2975" w:type="dxa"/>
            <w:vAlign w:val="center"/>
          </w:tcPr>
          <w:p>
            <w:pPr>
              <w:topLinePunct/>
              <w:spacing w:line="360" w:lineRule="auto"/>
              <w:jc w:val="center"/>
              <w:rPr>
                <w:rFonts w:ascii="宋体" w:hAnsi="宋体"/>
                <w:b/>
                <w:bCs/>
                <w:color w:val="auto"/>
                <w:highlight w:val="none"/>
              </w:rPr>
            </w:pPr>
          </w:p>
        </w:tc>
        <w:tc>
          <w:tcPr>
            <w:tcW w:w="2630" w:type="dxa"/>
            <w:vAlign w:val="center"/>
          </w:tcPr>
          <w:p>
            <w:pPr>
              <w:topLinePunct/>
              <w:spacing w:line="360" w:lineRule="auto"/>
              <w:jc w:val="center"/>
              <w:rPr>
                <w:rFonts w:ascii="宋体" w:hAnsi="宋体"/>
                <w:b/>
                <w:bCs/>
                <w:color w:val="auto"/>
                <w:highlight w:val="none"/>
              </w:rPr>
            </w:pPr>
          </w:p>
        </w:tc>
        <w:tc>
          <w:tcPr>
            <w:tcW w:w="2030" w:type="dxa"/>
            <w:vAlign w:val="center"/>
          </w:tcPr>
          <w:p>
            <w:pPr>
              <w:topLinePunct/>
              <w:spacing w:line="360" w:lineRule="auto"/>
              <w:jc w:val="center"/>
              <w:rPr>
                <w:rFonts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highlight w:val="none"/>
              </w:rPr>
            </w:pPr>
          </w:p>
        </w:tc>
        <w:tc>
          <w:tcPr>
            <w:tcW w:w="2975" w:type="dxa"/>
            <w:vAlign w:val="center"/>
          </w:tcPr>
          <w:p>
            <w:pPr>
              <w:topLinePunct/>
              <w:spacing w:line="360" w:lineRule="auto"/>
              <w:jc w:val="center"/>
              <w:rPr>
                <w:rFonts w:ascii="宋体" w:hAnsi="宋体"/>
                <w:b/>
                <w:bCs/>
                <w:color w:val="auto"/>
                <w:highlight w:val="none"/>
              </w:rPr>
            </w:pPr>
          </w:p>
        </w:tc>
        <w:tc>
          <w:tcPr>
            <w:tcW w:w="2630" w:type="dxa"/>
            <w:vAlign w:val="center"/>
          </w:tcPr>
          <w:p>
            <w:pPr>
              <w:topLinePunct/>
              <w:spacing w:line="360" w:lineRule="auto"/>
              <w:jc w:val="center"/>
              <w:rPr>
                <w:rFonts w:ascii="宋体" w:hAnsi="宋体"/>
                <w:b/>
                <w:bCs/>
                <w:color w:val="auto"/>
                <w:highlight w:val="none"/>
              </w:rPr>
            </w:pPr>
          </w:p>
        </w:tc>
        <w:tc>
          <w:tcPr>
            <w:tcW w:w="2030" w:type="dxa"/>
            <w:vAlign w:val="center"/>
          </w:tcPr>
          <w:p>
            <w:pPr>
              <w:topLinePunct/>
              <w:spacing w:line="360" w:lineRule="auto"/>
              <w:jc w:val="center"/>
              <w:rPr>
                <w:rFonts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highlight w:val="none"/>
              </w:rPr>
            </w:pPr>
          </w:p>
        </w:tc>
        <w:tc>
          <w:tcPr>
            <w:tcW w:w="2975" w:type="dxa"/>
            <w:vAlign w:val="center"/>
          </w:tcPr>
          <w:p>
            <w:pPr>
              <w:topLinePunct/>
              <w:spacing w:line="360" w:lineRule="auto"/>
              <w:jc w:val="center"/>
              <w:rPr>
                <w:rFonts w:ascii="宋体" w:hAnsi="宋体"/>
                <w:b/>
                <w:bCs/>
                <w:color w:val="auto"/>
                <w:highlight w:val="none"/>
              </w:rPr>
            </w:pPr>
          </w:p>
        </w:tc>
        <w:tc>
          <w:tcPr>
            <w:tcW w:w="2630" w:type="dxa"/>
            <w:vAlign w:val="center"/>
          </w:tcPr>
          <w:p>
            <w:pPr>
              <w:topLinePunct/>
              <w:spacing w:line="360" w:lineRule="auto"/>
              <w:jc w:val="center"/>
              <w:rPr>
                <w:rFonts w:ascii="宋体" w:hAnsi="宋体"/>
                <w:b/>
                <w:bCs/>
                <w:color w:val="auto"/>
                <w:highlight w:val="none"/>
              </w:rPr>
            </w:pPr>
          </w:p>
        </w:tc>
        <w:tc>
          <w:tcPr>
            <w:tcW w:w="2030" w:type="dxa"/>
            <w:vAlign w:val="center"/>
          </w:tcPr>
          <w:p>
            <w:pPr>
              <w:topLinePunct/>
              <w:spacing w:line="360" w:lineRule="auto"/>
              <w:jc w:val="center"/>
              <w:rPr>
                <w:rFonts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highlight w:val="none"/>
              </w:rPr>
            </w:pPr>
          </w:p>
        </w:tc>
        <w:tc>
          <w:tcPr>
            <w:tcW w:w="2975" w:type="dxa"/>
            <w:vAlign w:val="center"/>
          </w:tcPr>
          <w:p>
            <w:pPr>
              <w:topLinePunct/>
              <w:spacing w:line="360" w:lineRule="auto"/>
              <w:jc w:val="center"/>
              <w:rPr>
                <w:rFonts w:ascii="宋体" w:hAnsi="宋体"/>
                <w:b/>
                <w:bCs/>
                <w:color w:val="auto"/>
                <w:highlight w:val="none"/>
              </w:rPr>
            </w:pPr>
          </w:p>
        </w:tc>
        <w:tc>
          <w:tcPr>
            <w:tcW w:w="2630" w:type="dxa"/>
            <w:vAlign w:val="center"/>
          </w:tcPr>
          <w:p>
            <w:pPr>
              <w:topLinePunct/>
              <w:spacing w:line="360" w:lineRule="auto"/>
              <w:jc w:val="center"/>
              <w:rPr>
                <w:rFonts w:ascii="宋体" w:hAnsi="宋体"/>
                <w:b/>
                <w:bCs/>
                <w:color w:val="auto"/>
                <w:highlight w:val="none"/>
              </w:rPr>
            </w:pPr>
          </w:p>
        </w:tc>
        <w:tc>
          <w:tcPr>
            <w:tcW w:w="2030" w:type="dxa"/>
            <w:vAlign w:val="center"/>
          </w:tcPr>
          <w:p>
            <w:pPr>
              <w:topLinePunct/>
              <w:spacing w:line="360" w:lineRule="auto"/>
              <w:jc w:val="center"/>
              <w:rPr>
                <w:rFonts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highlight w:val="none"/>
              </w:rPr>
            </w:pPr>
          </w:p>
        </w:tc>
        <w:tc>
          <w:tcPr>
            <w:tcW w:w="2975" w:type="dxa"/>
            <w:vAlign w:val="center"/>
          </w:tcPr>
          <w:p>
            <w:pPr>
              <w:topLinePunct/>
              <w:spacing w:line="360" w:lineRule="auto"/>
              <w:jc w:val="center"/>
              <w:rPr>
                <w:rFonts w:ascii="宋体" w:hAnsi="宋体"/>
                <w:b/>
                <w:bCs/>
                <w:color w:val="auto"/>
                <w:highlight w:val="none"/>
              </w:rPr>
            </w:pPr>
          </w:p>
        </w:tc>
        <w:tc>
          <w:tcPr>
            <w:tcW w:w="2630" w:type="dxa"/>
            <w:vAlign w:val="center"/>
          </w:tcPr>
          <w:p>
            <w:pPr>
              <w:topLinePunct/>
              <w:spacing w:line="360" w:lineRule="auto"/>
              <w:jc w:val="center"/>
              <w:rPr>
                <w:rFonts w:ascii="宋体" w:hAnsi="宋体"/>
                <w:b/>
                <w:bCs/>
                <w:color w:val="auto"/>
                <w:highlight w:val="none"/>
              </w:rPr>
            </w:pPr>
          </w:p>
        </w:tc>
        <w:tc>
          <w:tcPr>
            <w:tcW w:w="2030" w:type="dxa"/>
            <w:vAlign w:val="center"/>
          </w:tcPr>
          <w:p>
            <w:pPr>
              <w:topLinePunct/>
              <w:spacing w:line="360" w:lineRule="auto"/>
              <w:jc w:val="center"/>
              <w:rPr>
                <w:rFonts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highlight w:val="none"/>
              </w:rPr>
            </w:pPr>
          </w:p>
        </w:tc>
        <w:tc>
          <w:tcPr>
            <w:tcW w:w="2975" w:type="dxa"/>
            <w:vAlign w:val="center"/>
          </w:tcPr>
          <w:p>
            <w:pPr>
              <w:topLinePunct/>
              <w:spacing w:line="360" w:lineRule="auto"/>
              <w:jc w:val="center"/>
              <w:rPr>
                <w:rFonts w:ascii="宋体" w:hAnsi="宋体"/>
                <w:b/>
                <w:bCs/>
                <w:color w:val="auto"/>
                <w:highlight w:val="none"/>
              </w:rPr>
            </w:pPr>
          </w:p>
        </w:tc>
        <w:tc>
          <w:tcPr>
            <w:tcW w:w="2630" w:type="dxa"/>
            <w:vAlign w:val="center"/>
          </w:tcPr>
          <w:p>
            <w:pPr>
              <w:topLinePunct/>
              <w:spacing w:line="360" w:lineRule="auto"/>
              <w:jc w:val="center"/>
              <w:rPr>
                <w:rFonts w:ascii="宋体" w:hAnsi="宋体"/>
                <w:b/>
                <w:bCs/>
                <w:color w:val="auto"/>
                <w:highlight w:val="none"/>
              </w:rPr>
            </w:pPr>
          </w:p>
        </w:tc>
        <w:tc>
          <w:tcPr>
            <w:tcW w:w="2030" w:type="dxa"/>
            <w:vAlign w:val="center"/>
          </w:tcPr>
          <w:p>
            <w:pPr>
              <w:topLinePunct/>
              <w:spacing w:line="360" w:lineRule="auto"/>
              <w:jc w:val="center"/>
              <w:rPr>
                <w:rFonts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highlight w:val="none"/>
              </w:rPr>
            </w:pPr>
          </w:p>
        </w:tc>
        <w:tc>
          <w:tcPr>
            <w:tcW w:w="2975" w:type="dxa"/>
            <w:vAlign w:val="center"/>
          </w:tcPr>
          <w:p>
            <w:pPr>
              <w:topLinePunct/>
              <w:spacing w:line="360" w:lineRule="auto"/>
              <w:jc w:val="center"/>
              <w:rPr>
                <w:rFonts w:ascii="宋体" w:hAnsi="宋体"/>
                <w:b/>
                <w:bCs/>
                <w:color w:val="auto"/>
                <w:highlight w:val="none"/>
              </w:rPr>
            </w:pPr>
          </w:p>
        </w:tc>
        <w:tc>
          <w:tcPr>
            <w:tcW w:w="2630" w:type="dxa"/>
            <w:vAlign w:val="center"/>
          </w:tcPr>
          <w:p>
            <w:pPr>
              <w:topLinePunct/>
              <w:spacing w:line="360" w:lineRule="auto"/>
              <w:jc w:val="center"/>
              <w:rPr>
                <w:rFonts w:ascii="宋体" w:hAnsi="宋体"/>
                <w:b/>
                <w:bCs/>
                <w:color w:val="auto"/>
                <w:highlight w:val="none"/>
              </w:rPr>
            </w:pPr>
          </w:p>
        </w:tc>
        <w:tc>
          <w:tcPr>
            <w:tcW w:w="2030" w:type="dxa"/>
            <w:vAlign w:val="center"/>
          </w:tcPr>
          <w:p>
            <w:pPr>
              <w:topLinePunct/>
              <w:spacing w:line="360" w:lineRule="auto"/>
              <w:jc w:val="center"/>
              <w:rPr>
                <w:rFonts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highlight w:val="none"/>
              </w:rPr>
            </w:pPr>
          </w:p>
        </w:tc>
        <w:tc>
          <w:tcPr>
            <w:tcW w:w="2975" w:type="dxa"/>
            <w:vAlign w:val="center"/>
          </w:tcPr>
          <w:p>
            <w:pPr>
              <w:topLinePunct/>
              <w:spacing w:line="360" w:lineRule="auto"/>
              <w:jc w:val="center"/>
              <w:rPr>
                <w:rFonts w:ascii="宋体" w:hAnsi="宋体"/>
                <w:b/>
                <w:bCs/>
                <w:color w:val="auto"/>
                <w:highlight w:val="none"/>
              </w:rPr>
            </w:pPr>
          </w:p>
        </w:tc>
        <w:tc>
          <w:tcPr>
            <w:tcW w:w="2630" w:type="dxa"/>
            <w:vAlign w:val="center"/>
          </w:tcPr>
          <w:p>
            <w:pPr>
              <w:topLinePunct/>
              <w:spacing w:line="360" w:lineRule="auto"/>
              <w:jc w:val="center"/>
              <w:rPr>
                <w:rFonts w:ascii="宋体" w:hAnsi="宋体"/>
                <w:b/>
                <w:bCs/>
                <w:color w:val="auto"/>
                <w:highlight w:val="none"/>
              </w:rPr>
            </w:pPr>
          </w:p>
        </w:tc>
        <w:tc>
          <w:tcPr>
            <w:tcW w:w="2030" w:type="dxa"/>
            <w:vAlign w:val="center"/>
          </w:tcPr>
          <w:p>
            <w:pPr>
              <w:topLinePunct/>
              <w:spacing w:line="360" w:lineRule="auto"/>
              <w:jc w:val="center"/>
              <w:rPr>
                <w:rFonts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highlight w:val="none"/>
              </w:rPr>
            </w:pPr>
          </w:p>
        </w:tc>
        <w:tc>
          <w:tcPr>
            <w:tcW w:w="2975" w:type="dxa"/>
            <w:vAlign w:val="center"/>
          </w:tcPr>
          <w:p>
            <w:pPr>
              <w:topLinePunct/>
              <w:spacing w:line="360" w:lineRule="auto"/>
              <w:jc w:val="center"/>
              <w:rPr>
                <w:rFonts w:ascii="宋体" w:hAnsi="宋体"/>
                <w:b/>
                <w:bCs/>
                <w:color w:val="auto"/>
                <w:highlight w:val="none"/>
              </w:rPr>
            </w:pPr>
          </w:p>
        </w:tc>
        <w:tc>
          <w:tcPr>
            <w:tcW w:w="2630" w:type="dxa"/>
            <w:vAlign w:val="center"/>
          </w:tcPr>
          <w:p>
            <w:pPr>
              <w:topLinePunct/>
              <w:spacing w:line="360" w:lineRule="auto"/>
              <w:jc w:val="center"/>
              <w:rPr>
                <w:rFonts w:ascii="宋体" w:hAnsi="宋体"/>
                <w:b/>
                <w:bCs/>
                <w:color w:val="auto"/>
                <w:highlight w:val="none"/>
              </w:rPr>
            </w:pPr>
          </w:p>
        </w:tc>
        <w:tc>
          <w:tcPr>
            <w:tcW w:w="2030" w:type="dxa"/>
            <w:vAlign w:val="center"/>
          </w:tcPr>
          <w:p>
            <w:pPr>
              <w:topLinePunct/>
              <w:spacing w:line="360" w:lineRule="auto"/>
              <w:jc w:val="center"/>
              <w:rPr>
                <w:rFonts w:ascii="宋体" w:hAnsi="宋体"/>
                <w:b/>
                <w:bCs/>
                <w:color w:val="auto"/>
                <w:highlight w:val="none"/>
              </w:rPr>
            </w:pPr>
          </w:p>
        </w:tc>
      </w:tr>
    </w:tbl>
    <w:p>
      <w:pPr>
        <w:snapToGrid w:val="0"/>
        <w:spacing w:line="360" w:lineRule="auto"/>
        <w:rPr>
          <w:rFonts w:ascii="宋体" w:hAnsi="宋体"/>
          <w:color w:val="auto"/>
          <w:highlight w:val="none"/>
        </w:rPr>
      </w:pPr>
    </w:p>
    <w:p>
      <w:pPr>
        <w:spacing w:line="360" w:lineRule="auto"/>
        <w:ind w:right="25" w:rightChars="12"/>
        <w:rPr>
          <w:rFonts w:ascii="宋体" w:hAnsi="宋体"/>
          <w:color w:val="auto"/>
          <w:spacing w:val="-4"/>
          <w:highlight w:val="none"/>
        </w:rPr>
      </w:pPr>
      <w:r>
        <w:rPr>
          <w:rFonts w:hint="eastAsia" w:ascii="宋体" w:hAnsi="宋体" w:cs="宋体"/>
          <w:b/>
          <w:bCs/>
          <w:color w:val="auto"/>
          <w:highlight w:val="none"/>
        </w:rPr>
        <w:t>注：</w:t>
      </w:r>
      <w:r>
        <w:rPr>
          <w:rFonts w:ascii="宋体" w:hAnsi="宋体"/>
          <w:color w:val="auto"/>
          <w:spacing w:val="-4"/>
          <w:highlight w:val="none"/>
        </w:rPr>
        <w:t>1</w:t>
      </w:r>
      <w:r>
        <w:rPr>
          <w:rFonts w:hint="eastAsia" w:ascii="宋体" w:hAnsi="宋体" w:cs="宋体"/>
          <w:color w:val="auto"/>
          <w:spacing w:val="-4"/>
          <w:highlight w:val="none"/>
        </w:rPr>
        <w:t>、供应商所投产品如与采购文件要求的技术参数、规范及要求不一致，则需在上表偏离说明中注明。</w:t>
      </w:r>
    </w:p>
    <w:p>
      <w:pPr>
        <w:pStyle w:val="44"/>
        <w:widowControl w:val="0"/>
        <w:snapToGrid w:val="0"/>
        <w:spacing w:before="0" w:beforeAutospacing="0" w:after="120" w:afterAutospacing="0" w:line="360" w:lineRule="auto"/>
        <w:ind w:firstLine="301"/>
        <w:jc w:val="both"/>
        <w:rPr>
          <w:rFonts w:ascii="宋体" w:hAnsi="宋体"/>
          <w:color w:val="auto"/>
          <w:sz w:val="21"/>
          <w:szCs w:val="21"/>
          <w:highlight w:val="none"/>
        </w:rPr>
      </w:pPr>
      <w:r>
        <w:rPr>
          <w:rFonts w:hint="eastAsia" w:ascii="宋体" w:hAnsi="宋体" w:cs="宋体"/>
          <w:color w:val="auto"/>
          <w:spacing w:val="-4"/>
          <w:kern w:val="2"/>
          <w:sz w:val="21"/>
          <w:szCs w:val="21"/>
          <w:highlight w:val="none"/>
        </w:rPr>
        <w:t>供应商（盖章）：</w:t>
      </w:r>
    </w:p>
    <w:p>
      <w:pPr>
        <w:pStyle w:val="44"/>
        <w:widowControl w:val="0"/>
        <w:snapToGrid w:val="0"/>
        <w:spacing w:before="0" w:beforeAutospacing="0" w:after="120" w:afterAutospacing="0" w:line="360" w:lineRule="auto"/>
        <w:ind w:firstLine="301"/>
        <w:jc w:val="both"/>
        <w:rPr>
          <w:rFonts w:ascii="宋体" w:hAnsi="宋体"/>
          <w:color w:val="auto"/>
          <w:sz w:val="21"/>
          <w:szCs w:val="21"/>
          <w:highlight w:val="none"/>
        </w:rPr>
      </w:pPr>
      <w:r>
        <w:rPr>
          <w:rFonts w:hint="eastAsia" w:ascii="宋体" w:hAnsi="宋体" w:cs="宋体"/>
          <w:color w:val="auto"/>
          <w:spacing w:val="-4"/>
          <w:kern w:val="2"/>
          <w:sz w:val="21"/>
          <w:szCs w:val="21"/>
          <w:highlight w:val="none"/>
        </w:rPr>
        <w:t>法定代表或其授权代表：（签字或盖章）</w:t>
      </w:r>
    </w:p>
    <w:p>
      <w:pPr>
        <w:spacing w:line="360" w:lineRule="auto"/>
        <w:ind w:firstLine="315" w:firstLineChars="150"/>
        <w:rPr>
          <w:rFonts w:ascii="宋体" w:hAnsi="宋体"/>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p>
    <w:p>
      <w:pPr>
        <w:spacing w:line="360" w:lineRule="auto"/>
        <w:rPr>
          <w:rFonts w:ascii="宋体" w:hAnsi="宋体"/>
          <w:color w:val="auto"/>
          <w:highlight w:val="none"/>
        </w:rPr>
        <w:sectPr>
          <w:footerReference r:id="rId10" w:type="default"/>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left"/>
        <w:outlineLvl w:val="2"/>
        <w:rPr>
          <w:rFonts w:ascii="宋体" w:hAnsi="宋体" w:cs="RomanS"/>
          <w:b/>
          <w:color w:val="auto"/>
          <w:sz w:val="24"/>
          <w:szCs w:val="24"/>
          <w:highlight w:val="none"/>
        </w:rPr>
      </w:pPr>
      <w:r>
        <w:rPr>
          <w:rFonts w:hint="eastAsia" w:ascii="宋体" w:hAnsi="宋体" w:cs="RomanS"/>
          <w:b/>
          <w:color w:val="auto"/>
          <w:sz w:val="24"/>
          <w:szCs w:val="24"/>
          <w:highlight w:val="none"/>
          <w:lang w:val="en-US" w:eastAsia="zh-CN"/>
        </w:rPr>
        <w:t>5</w:t>
      </w:r>
      <w:r>
        <w:rPr>
          <w:rFonts w:hint="eastAsia" w:ascii="宋体" w:hAnsi="宋体" w:cs="RomanS"/>
          <w:b/>
          <w:color w:val="auto"/>
          <w:sz w:val="24"/>
          <w:szCs w:val="24"/>
          <w:highlight w:val="none"/>
        </w:rPr>
        <w:t>、法定代表人身份证明及授权委托书格式：</w:t>
      </w:r>
    </w:p>
    <w:p>
      <w:pPr>
        <w:spacing w:line="360" w:lineRule="auto"/>
        <w:rPr>
          <w:rFonts w:ascii="宋体" w:hAnsi="宋体"/>
          <w:color w:val="auto"/>
          <w:highlight w:val="none"/>
        </w:rPr>
      </w:pPr>
    </w:p>
    <w:p>
      <w:pPr>
        <w:spacing w:line="360" w:lineRule="auto"/>
        <w:rPr>
          <w:rFonts w:ascii="宋体" w:hAnsi="宋体"/>
          <w:color w:val="auto"/>
          <w:highlight w:val="none"/>
        </w:rPr>
      </w:pPr>
    </w:p>
    <w:p>
      <w:pPr>
        <w:snapToGrid w:val="0"/>
        <w:spacing w:before="120" w:beforeLines="50" w:after="50" w:line="360" w:lineRule="auto"/>
        <w:jc w:val="center"/>
        <w:rPr>
          <w:rFonts w:ascii="宋体" w:hAnsi="宋体"/>
          <w:b/>
          <w:bCs/>
          <w:color w:val="auto"/>
          <w:highlight w:val="none"/>
        </w:rPr>
      </w:pPr>
      <w:r>
        <w:rPr>
          <w:rFonts w:hint="eastAsia" w:ascii="宋体" w:hAnsi="宋体" w:cs="宋体"/>
          <w:b/>
          <w:bCs/>
          <w:color w:val="auto"/>
          <w:highlight w:val="none"/>
        </w:rPr>
        <w:t>法定代表人身份证明</w:t>
      </w:r>
    </w:p>
    <w:p>
      <w:pPr>
        <w:spacing w:line="360" w:lineRule="auto"/>
        <w:jc w:val="center"/>
        <w:rPr>
          <w:rFonts w:ascii="宋体" w:hAnsi="宋体"/>
          <w:b/>
          <w:bCs/>
          <w:color w:val="auto"/>
          <w:sz w:val="24"/>
          <w:szCs w:val="24"/>
          <w:highlight w:val="none"/>
        </w:rPr>
      </w:pPr>
      <w:r>
        <w:rPr>
          <w:rFonts w:hint="eastAsia" w:ascii="宋体" w:hAnsi="宋体" w:cs="宋体"/>
          <w:color w:val="auto"/>
          <w:sz w:val="24"/>
          <w:szCs w:val="24"/>
          <w:highlight w:val="none"/>
        </w:rPr>
        <w:t>（法定代表人不来投标的，此表不用）</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供应商名称：</w:t>
      </w:r>
      <w:r>
        <w:rPr>
          <w:rFonts w:ascii="宋体" w:hAnsi="宋体" w:cs="宋体"/>
          <w:color w:val="auto"/>
          <w:highlight w:val="none"/>
          <w:u w:val="single"/>
        </w:rPr>
        <w:t xml:space="preserve">                                      </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单位性质：</w:t>
      </w:r>
      <w:r>
        <w:rPr>
          <w:rFonts w:ascii="宋体" w:hAnsi="宋体" w:cs="宋体"/>
          <w:color w:val="auto"/>
          <w:highlight w:val="none"/>
          <w:u w:val="single"/>
        </w:rPr>
        <w:t xml:space="preserve">                                         </w:t>
      </w:r>
      <w:r>
        <w:rPr>
          <w:rFonts w:ascii="宋体" w:hAnsi="宋体" w:cs="宋体"/>
          <w:color w:val="auto"/>
          <w:highlight w:val="none"/>
        </w:rPr>
        <w:t xml:space="preserve"> </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地址：</w:t>
      </w:r>
      <w:r>
        <w:rPr>
          <w:rFonts w:ascii="宋体" w:hAnsi="宋体" w:cs="宋体"/>
          <w:color w:val="auto"/>
          <w:highlight w:val="none"/>
          <w:u w:val="single"/>
        </w:rPr>
        <w:t xml:space="preserve">                                              </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成立时间：</w:t>
      </w:r>
      <w:r>
        <w:rPr>
          <w:rFonts w:ascii="宋体" w:hAnsi="宋体" w:cs="宋体"/>
          <w:color w:val="auto"/>
          <w:highlight w:val="none"/>
          <w:u w:val="single"/>
        </w:rPr>
        <w:t xml:space="preserve">         </w:t>
      </w:r>
      <w:r>
        <w:rPr>
          <w:rFonts w:hint="eastAsia" w:ascii="宋体" w:hAnsi="宋体" w:cs="宋体"/>
          <w:color w:val="auto"/>
          <w:highlight w:val="none"/>
        </w:rPr>
        <w:t>年</w:t>
      </w:r>
      <w:r>
        <w:rPr>
          <w:rFonts w:ascii="宋体" w:hAnsi="宋体" w:cs="宋体"/>
          <w:color w:val="auto"/>
          <w:highlight w:val="none"/>
          <w:u w:val="single"/>
        </w:rPr>
        <w:t xml:space="preserve">       </w:t>
      </w:r>
      <w:r>
        <w:rPr>
          <w:rFonts w:hint="eastAsia" w:ascii="宋体" w:hAnsi="宋体" w:cs="宋体"/>
          <w:color w:val="auto"/>
          <w:highlight w:val="none"/>
        </w:rPr>
        <w:t>月</w:t>
      </w:r>
      <w:r>
        <w:rPr>
          <w:rFonts w:ascii="宋体" w:hAnsi="宋体" w:cs="宋体"/>
          <w:color w:val="auto"/>
          <w:highlight w:val="none"/>
          <w:u w:val="single"/>
        </w:rPr>
        <w:t xml:space="preserve">    </w:t>
      </w:r>
      <w:r>
        <w:rPr>
          <w:rFonts w:hint="eastAsia" w:ascii="宋体" w:hAnsi="宋体" w:cs="宋体"/>
          <w:color w:val="auto"/>
          <w:highlight w:val="none"/>
        </w:rPr>
        <w:t>＿日</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经营期限：</w:t>
      </w:r>
      <w:r>
        <w:rPr>
          <w:rFonts w:ascii="宋体" w:hAnsi="宋体" w:cs="宋体"/>
          <w:color w:val="auto"/>
          <w:highlight w:val="none"/>
          <w:u w:val="single"/>
        </w:rPr>
        <w:t xml:space="preserve">                                </w:t>
      </w:r>
      <w:r>
        <w:rPr>
          <w:rFonts w:ascii="宋体" w:hAnsi="宋体" w:cs="宋体"/>
          <w:color w:val="auto"/>
          <w:highlight w:val="none"/>
        </w:rPr>
        <w:t xml:space="preserve"> </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姓名：</w:t>
      </w:r>
      <w:r>
        <w:rPr>
          <w:rFonts w:ascii="宋体" w:hAnsi="宋体" w:cs="宋体"/>
          <w:color w:val="auto"/>
          <w:highlight w:val="none"/>
          <w:u w:val="single"/>
        </w:rPr>
        <w:t xml:space="preserve">       </w:t>
      </w:r>
      <w:r>
        <w:rPr>
          <w:rFonts w:hint="eastAsia" w:ascii="宋体" w:hAnsi="宋体" w:cs="宋体"/>
          <w:color w:val="auto"/>
          <w:highlight w:val="none"/>
        </w:rPr>
        <w:t>性别：</w:t>
      </w:r>
      <w:r>
        <w:rPr>
          <w:rFonts w:ascii="宋体" w:hAnsi="宋体" w:cs="宋体"/>
          <w:color w:val="auto"/>
          <w:highlight w:val="none"/>
          <w:u w:val="single"/>
        </w:rPr>
        <w:t xml:space="preserve">      </w:t>
      </w:r>
      <w:r>
        <w:rPr>
          <w:rFonts w:hint="eastAsia" w:ascii="宋体" w:hAnsi="宋体" w:cs="宋体"/>
          <w:color w:val="auto"/>
          <w:highlight w:val="none"/>
        </w:rPr>
        <w:t>年龄：</w:t>
      </w:r>
      <w:r>
        <w:rPr>
          <w:rFonts w:ascii="宋体" w:hAnsi="宋体" w:cs="宋体"/>
          <w:color w:val="auto"/>
          <w:highlight w:val="none"/>
          <w:u w:val="single"/>
        </w:rPr>
        <w:t xml:space="preserve">    </w:t>
      </w:r>
      <w:r>
        <w:rPr>
          <w:rFonts w:hint="eastAsia" w:ascii="宋体" w:hAnsi="宋体" w:cs="宋体"/>
          <w:color w:val="auto"/>
          <w:highlight w:val="none"/>
          <w:u w:val="single"/>
        </w:rPr>
        <w:t>周岁</w:t>
      </w:r>
      <w:r>
        <w:rPr>
          <w:rFonts w:ascii="宋体" w:hAnsi="宋体" w:cs="宋体"/>
          <w:color w:val="auto"/>
          <w:highlight w:val="none"/>
          <w:u w:val="single"/>
        </w:rPr>
        <w:t xml:space="preserve">  </w:t>
      </w:r>
      <w:r>
        <w:rPr>
          <w:rFonts w:hint="eastAsia" w:ascii="宋体" w:hAnsi="宋体" w:cs="宋体"/>
          <w:color w:val="auto"/>
          <w:highlight w:val="none"/>
        </w:rPr>
        <w:t>职务：</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ascii="宋体" w:hAnsi="宋体" w:cs="宋体"/>
          <w:color w:val="auto"/>
          <w:highlight w:val="none"/>
          <w:u w:val="single"/>
        </w:rPr>
        <w:t xml:space="preserve">  </w:t>
      </w:r>
    </w:p>
    <w:p>
      <w:pPr>
        <w:spacing w:line="360" w:lineRule="auto"/>
        <w:ind w:firstLine="420" w:firstLineChars="200"/>
        <w:rPr>
          <w:rFonts w:ascii="宋体" w:hAnsi="宋体"/>
          <w:color w:val="auto"/>
          <w:highlight w:val="none"/>
          <w:u w:val="single"/>
        </w:rPr>
      </w:pPr>
      <w:r>
        <w:rPr>
          <w:rFonts w:hint="eastAsia" w:ascii="宋体" w:hAnsi="宋体" w:cs="宋体"/>
          <w:color w:val="auto"/>
          <w:highlight w:val="none"/>
        </w:rPr>
        <w:t>身份证号码：</w:t>
      </w:r>
      <w:r>
        <w:rPr>
          <w:rFonts w:ascii="宋体" w:hAnsi="宋体" w:cs="宋体"/>
          <w:color w:val="auto"/>
          <w:highlight w:val="none"/>
          <w:u w:val="single"/>
        </w:rPr>
        <w:t xml:space="preserve">                   </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系</w:t>
      </w:r>
      <w:r>
        <w:rPr>
          <w:rFonts w:ascii="宋体" w:hAnsi="宋体" w:cs="宋体"/>
          <w:color w:val="auto"/>
          <w:highlight w:val="none"/>
          <w:u w:val="single"/>
        </w:rPr>
        <w:t xml:space="preserve">                                      </w:t>
      </w:r>
      <w:r>
        <w:rPr>
          <w:rFonts w:hint="eastAsia" w:ascii="宋体" w:hAnsi="宋体" w:cs="宋体"/>
          <w:color w:val="auto"/>
          <w:highlight w:val="none"/>
        </w:rPr>
        <w:t>（供应商名称）的法定代表人。</w:t>
      </w:r>
    </w:p>
    <w:p>
      <w:pPr>
        <w:spacing w:line="360" w:lineRule="auto"/>
        <w:ind w:firstLine="840" w:firstLineChars="400"/>
        <w:rPr>
          <w:rFonts w:ascii="宋体" w:hAnsi="宋体"/>
          <w:color w:val="auto"/>
          <w:highlight w:val="none"/>
        </w:rPr>
      </w:pPr>
      <w:r>
        <w:rPr>
          <w:rFonts w:hint="eastAsia" w:ascii="宋体" w:hAnsi="宋体" w:cs="宋体"/>
          <w:color w:val="auto"/>
          <w:highlight w:val="none"/>
        </w:rPr>
        <w:t>特此证明。</w:t>
      </w:r>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p>
    <w:p>
      <w:pPr>
        <w:wordWrap w:val="0"/>
        <w:spacing w:line="360" w:lineRule="auto"/>
        <w:jc w:val="right"/>
        <w:rPr>
          <w:rFonts w:ascii="宋体" w:hAnsi="宋体"/>
          <w:color w:val="auto"/>
          <w:highlight w:val="none"/>
        </w:rPr>
      </w:pPr>
      <w:r>
        <w:rPr>
          <w:rFonts w:hint="eastAsia" w:ascii="宋体" w:hAnsi="宋体" w:cs="宋体"/>
          <w:color w:val="auto"/>
          <w:highlight w:val="none"/>
        </w:rPr>
        <w:t>供应商：</w:t>
      </w:r>
      <w:r>
        <w:rPr>
          <w:rFonts w:ascii="宋体" w:hAnsi="宋体" w:cs="宋体"/>
          <w:color w:val="auto"/>
          <w:highlight w:val="none"/>
          <w:u w:val="single"/>
        </w:rPr>
        <w:t xml:space="preserve">                                </w:t>
      </w:r>
      <w:r>
        <w:rPr>
          <w:rFonts w:hint="eastAsia" w:ascii="宋体" w:hAnsi="宋体" w:cs="宋体"/>
          <w:color w:val="auto"/>
          <w:highlight w:val="none"/>
        </w:rPr>
        <w:t>（盖单位公章）</w:t>
      </w:r>
    </w:p>
    <w:p>
      <w:pPr>
        <w:spacing w:line="360" w:lineRule="auto"/>
        <w:ind w:firstLine="4515" w:firstLineChars="2150"/>
        <w:rPr>
          <w:rFonts w:ascii="宋体" w:hAnsi="宋体"/>
          <w:color w:val="auto"/>
          <w:highlight w:val="none"/>
          <w:u w:val="single"/>
        </w:rPr>
      </w:pPr>
    </w:p>
    <w:p>
      <w:pPr>
        <w:spacing w:line="360" w:lineRule="auto"/>
        <w:ind w:firstLine="3675" w:firstLineChars="1750"/>
        <w:rPr>
          <w:rFonts w:ascii="宋体" w:hAns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年</w:t>
      </w:r>
      <w:r>
        <w:rPr>
          <w:rFonts w:ascii="宋体" w:hAnsi="宋体" w:cs="宋体"/>
          <w:color w:val="auto"/>
          <w:highlight w:val="none"/>
          <w:u w:val="single"/>
        </w:rPr>
        <w:t xml:space="preserve">       </w:t>
      </w:r>
      <w:r>
        <w:rPr>
          <w:rFonts w:hint="eastAsia" w:ascii="宋体" w:hAnsi="宋体" w:cs="宋体"/>
          <w:color w:val="auto"/>
          <w:highlight w:val="none"/>
        </w:rPr>
        <w:t>月</w:t>
      </w:r>
      <w:r>
        <w:rPr>
          <w:rFonts w:ascii="宋体" w:hAnsi="宋体" w:cs="宋体"/>
          <w:color w:val="auto"/>
          <w:highlight w:val="none"/>
          <w:u w:val="single"/>
        </w:rPr>
        <w:t xml:space="preserve">        </w:t>
      </w:r>
      <w:r>
        <w:rPr>
          <w:rFonts w:hint="eastAsia" w:ascii="宋体" w:hAnsi="宋体" w:cs="宋体"/>
          <w:color w:val="auto"/>
          <w:highlight w:val="none"/>
        </w:rPr>
        <w:t>日</w:t>
      </w:r>
    </w:p>
    <w:p>
      <w:pPr>
        <w:spacing w:line="360" w:lineRule="auto"/>
        <w:rPr>
          <w:rFonts w:ascii="宋体" w:hAnsi="宋体"/>
          <w:b/>
          <w:bCs/>
          <w:color w:val="auto"/>
          <w:highlight w:val="none"/>
        </w:rPr>
      </w:pPr>
    </w:p>
    <w:p>
      <w:pPr>
        <w:spacing w:line="360" w:lineRule="auto"/>
        <w:rPr>
          <w:rFonts w:ascii="宋体" w:hAnsi="宋体"/>
          <w:b/>
          <w:bCs/>
          <w:color w:val="auto"/>
          <w:highlight w:val="none"/>
        </w:rPr>
      </w:pPr>
      <w:r>
        <w:rPr>
          <w:rFonts w:hint="eastAsia" w:ascii="宋体" w:hAnsi="宋体" w:cs="宋体"/>
          <w:b/>
          <w:bCs/>
          <w:color w:val="auto"/>
          <w:highlight w:val="none"/>
        </w:rPr>
        <w:t>附法定代表人身份证复印件（正反面）：</w:t>
      </w:r>
    </w:p>
    <w:p>
      <w:pPr>
        <w:spacing w:line="360" w:lineRule="auto"/>
        <w:jc w:val="left"/>
        <w:rPr>
          <w:rFonts w:ascii="宋体" w:hAnsi="宋体"/>
          <w:b/>
          <w:bCs/>
          <w:color w:val="auto"/>
          <w:sz w:val="32"/>
          <w:szCs w:val="32"/>
          <w:highlight w:val="none"/>
        </w:rPr>
      </w:pPr>
    </w:p>
    <w:p>
      <w:pPr>
        <w:spacing w:line="360" w:lineRule="auto"/>
        <w:jc w:val="left"/>
        <w:rPr>
          <w:rFonts w:ascii="宋体" w:hAnsi="宋体"/>
          <w:b/>
          <w:bCs/>
          <w:color w:val="auto"/>
          <w:sz w:val="32"/>
          <w:szCs w:val="32"/>
          <w:highlight w:val="none"/>
        </w:rPr>
      </w:pPr>
    </w:p>
    <w:p>
      <w:pPr>
        <w:spacing w:line="360" w:lineRule="auto"/>
        <w:jc w:val="center"/>
        <w:rPr>
          <w:rFonts w:ascii="宋体" w:hAnsi="宋体"/>
          <w:b/>
          <w:bCs/>
          <w:color w:val="auto"/>
          <w:sz w:val="24"/>
          <w:szCs w:val="24"/>
          <w:highlight w:val="none"/>
        </w:rPr>
      </w:pPr>
      <w:r>
        <w:rPr>
          <w:rFonts w:ascii="宋体" w:hAnsi="宋体"/>
          <w:b/>
          <w:bCs/>
          <w:color w:val="auto"/>
          <w:sz w:val="28"/>
          <w:szCs w:val="28"/>
          <w:highlight w:val="none"/>
        </w:rPr>
        <w:br w:type="page"/>
      </w:r>
      <w:r>
        <w:rPr>
          <w:rFonts w:hint="eastAsia" w:ascii="宋体" w:hAnsi="宋体" w:cs="宋体"/>
          <w:b/>
          <w:bCs/>
          <w:color w:val="auto"/>
          <w:sz w:val="24"/>
          <w:szCs w:val="24"/>
          <w:highlight w:val="none"/>
        </w:rPr>
        <w:t>法定代表人授权委托书</w:t>
      </w:r>
    </w:p>
    <w:p>
      <w:pPr>
        <w:spacing w:line="360" w:lineRule="auto"/>
        <w:jc w:val="center"/>
        <w:rPr>
          <w:rFonts w:ascii="宋体" w:hAnsi="宋体"/>
          <w:b/>
          <w:bCs/>
          <w:color w:val="auto"/>
          <w:sz w:val="32"/>
          <w:szCs w:val="32"/>
          <w:highlight w:val="none"/>
        </w:rPr>
      </w:pPr>
      <w:r>
        <w:rPr>
          <w:rFonts w:hint="eastAsia" w:ascii="宋体" w:hAnsi="宋体" w:cs="宋体"/>
          <w:color w:val="auto"/>
          <w:sz w:val="24"/>
          <w:szCs w:val="24"/>
          <w:highlight w:val="none"/>
        </w:rPr>
        <w:t>（法定代表人来投标的，此表不用）</w:t>
      </w:r>
    </w:p>
    <w:p>
      <w:pPr>
        <w:snapToGrid w:val="0"/>
        <w:spacing w:line="360" w:lineRule="auto"/>
        <w:rPr>
          <w:rFonts w:ascii="宋体" w:hAnsi="宋体"/>
          <w:color w:val="auto"/>
          <w:sz w:val="24"/>
          <w:szCs w:val="24"/>
          <w:highlight w:val="none"/>
        </w:rPr>
      </w:pPr>
    </w:p>
    <w:p>
      <w:pPr>
        <w:snapToGrid w:val="0"/>
        <w:spacing w:line="360" w:lineRule="auto"/>
        <w:rPr>
          <w:rFonts w:ascii="宋体" w:hAnsi="宋体"/>
          <w:color w:val="auto"/>
          <w:highlight w:val="none"/>
        </w:rPr>
      </w:pPr>
      <w:r>
        <w:rPr>
          <w:rFonts w:hint="eastAsia" w:ascii="宋体" w:hAnsi="宋体" w:cs="宋体"/>
          <w:color w:val="auto"/>
          <w:highlight w:val="none"/>
        </w:rPr>
        <w:t>致：</w:t>
      </w:r>
      <w:r>
        <w:rPr>
          <w:rFonts w:ascii="宋体" w:hAnsi="宋体" w:cs="宋体"/>
          <w:color w:val="auto"/>
          <w:highlight w:val="none"/>
          <w:u w:val="single"/>
        </w:rPr>
        <w:t xml:space="preserve">              </w:t>
      </w:r>
      <w:r>
        <w:rPr>
          <w:rFonts w:hint="eastAsia" w:ascii="宋体" w:hAnsi="宋体" w:cs="宋体"/>
          <w:color w:val="auto"/>
          <w:highlight w:val="none"/>
        </w:rPr>
        <w:t>（采购单位名称）</w:t>
      </w:r>
      <w:r>
        <w:rPr>
          <w:rFonts w:ascii="宋体" w:hAnsi="宋体" w:cs="宋体"/>
          <w:b/>
          <w:bCs/>
          <w:color w:val="auto"/>
          <w:highlight w:val="none"/>
        </w:rPr>
        <w:t xml:space="preserve"> </w:t>
      </w:r>
      <w:r>
        <w:rPr>
          <w:rFonts w:hint="eastAsia" w:ascii="宋体" w:hAnsi="宋体" w:cs="宋体"/>
          <w:color w:val="auto"/>
          <w:highlight w:val="none"/>
        </w:rPr>
        <w:t>：</w:t>
      </w:r>
    </w:p>
    <w:p>
      <w:pPr>
        <w:snapToGrid w:val="0"/>
        <w:spacing w:line="360" w:lineRule="auto"/>
        <w:ind w:firstLine="420" w:firstLineChars="200"/>
        <w:rPr>
          <w:rFonts w:ascii="宋体" w:hAnsi="宋体"/>
          <w:color w:val="auto"/>
          <w:highlight w:val="none"/>
          <w:u w:val="single"/>
        </w:rPr>
      </w:pPr>
      <w:r>
        <w:rPr>
          <w:rFonts w:hint="eastAsia" w:ascii="宋体" w:hAnsi="宋体" w:cs="宋体"/>
          <w:color w:val="auto"/>
          <w:highlight w:val="none"/>
        </w:rPr>
        <w:t>我</w:t>
      </w:r>
      <w:r>
        <w:rPr>
          <w:rFonts w:ascii="宋体" w:hAnsi="宋体" w:cs="宋体"/>
          <w:color w:val="auto"/>
          <w:highlight w:val="none"/>
          <w:u w:val="single"/>
        </w:rPr>
        <w:t xml:space="preserve">          </w:t>
      </w:r>
      <w:r>
        <w:rPr>
          <w:rFonts w:hint="eastAsia" w:ascii="宋体" w:hAnsi="宋体" w:cs="宋体"/>
          <w:color w:val="auto"/>
          <w:highlight w:val="none"/>
        </w:rPr>
        <w:t>（姓名）系</w:t>
      </w:r>
      <w:r>
        <w:rPr>
          <w:rFonts w:ascii="宋体" w:hAnsi="宋体" w:cs="宋体"/>
          <w:color w:val="auto"/>
          <w:highlight w:val="none"/>
          <w:u w:val="single"/>
        </w:rPr>
        <w:t xml:space="preserve">           </w:t>
      </w:r>
      <w:r>
        <w:rPr>
          <w:rFonts w:hint="eastAsia" w:ascii="宋体" w:hAnsi="宋体" w:cs="宋体"/>
          <w:color w:val="auto"/>
          <w:highlight w:val="none"/>
        </w:rPr>
        <w:t>（供应商名称）的法定代表人，现授权委托本单位在职职工</w:t>
      </w:r>
      <w:r>
        <w:rPr>
          <w:rFonts w:ascii="宋体" w:hAnsi="宋体" w:cs="宋体"/>
          <w:color w:val="auto"/>
          <w:highlight w:val="none"/>
        </w:rPr>
        <w:t xml:space="preserve"> </w:t>
      </w:r>
      <w:r>
        <w:rPr>
          <w:rFonts w:ascii="宋体" w:hAnsi="宋体" w:cs="宋体"/>
          <w:color w:val="auto"/>
          <w:highlight w:val="none"/>
          <w:u w:val="single"/>
        </w:rPr>
        <w:t xml:space="preserve">           </w:t>
      </w:r>
      <w:r>
        <w:rPr>
          <w:rFonts w:hint="eastAsia" w:ascii="宋体" w:hAnsi="宋体" w:cs="宋体"/>
          <w:color w:val="auto"/>
          <w:highlight w:val="none"/>
        </w:rPr>
        <w:t>（姓名）以我方的名义参加</w:t>
      </w:r>
      <w:r>
        <w:rPr>
          <w:rFonts w:ascii="宋体" w:hAnsi="宋体" w:cs="宋体"/>
          <w:color w:val="auto"/>
          <w:highlight w:val="none"/>
          <w:u w:val="single"/>
        </w:rPr>
        <w:t xml:space="preserve">                       </w:t>
      </w:r>
      <w:r>
        <w:rPr>
          <w:rFonts w:hint="eastAsia" w:ascii="宋体" w:hAnsi="宋体" w:cs="宋体"/>
          <w:color w:val="auto"/>
          <w:highlight w:val="none"/>
          <w:u w:val="single"/>
        </w:rPr>
        <w:t>政府采购</w:t>
      </w:r>
      <w:r>
        <w:rPr>
          <w:rFonts w:ascii="宋体" w:hAnsi="宋体" w:cs="宋体"/>
          <w:color w:val="auto"/>
          <w:highlight w:val="none"/>
          <w:u w:val="single"/>
        </w:rPr>
        <w:t xml:space="preserve"> </w:t>
      </w:r>
      <w:r>
        <w:rPr>
          <w:rFonts w:hint="eastAsia" w:ascii="宋体" w:hAnsi="宋体" w:cs="宋体"/>
          <w:color w:val="auto"/>
          <w:highlight w:val="none"/>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olor w:val="auto"/>
          <w:highlight w:val="none"/>
          <w:u w:val="single"/>
        </w:rPr>
      </w:pPr>
      <w:r>
        <w:rPr>
          <w:rFonts w:hint="eastAsia" w:ascii="宋体" w:hAnsi="宋体" w:cs="宋体"/>
          <w:color w:val="auto"/>
          <w:highlight w:val="none"/>
        </w:rPr>
        <w:t>我方对授权代表的签名事项负全部责任。</w:t>
      </w:r>
    </w:p>
    <w:p>
      <w:pPr>
        <w:snapToGrid w:val="0"/>
        <w:spacing w:line="360" w:lineRule="auto"/>
        <w:ind w:firstLine="420" w:firstLineChars="200"/>
        <w:rPr>
          <w:rFonts w:ascii="宋体" w:hAnsi="宋体"/>
          <w:color w:val="auto"/>
          <w:highlight w:val="none"/>
        </w:rPr>
      </w:pPr>
      <w:r>
        <w:rPr>
          <w:rFonts w:hint="eastAsia" w:ascii="宋体" w:hAnsi="宋体" w:cs="宋体"/>
          <w:color w:val="auto"/>
          <w:highlight w:val="none"/>
        </w:rPr>
        <w:t>在撤销授权的书面通知以前，本授权书一直有效。授权代表在授权书有效期内签署的所有文件不因授权的撤销而失效。</w:t>
      </w:r>
    </w:p>
    <w:p>
      <w:pPr>
        <w:snapToGrid w:val="0"/>
        <w:spacing w:line="360" w:lineRule="auto"/>
        <w:ind w:firstLine="480"/>
        <w:rPr>
          <w:rFonts w:ascii="宋体" w:hAnsi="宋体"/>
          <w:color w:val="auto"/>
          <w:highlight w:val="none"/>
        </w:rPr>
      </w:pPr>
      <w:r>
        <w:rPr>
          <w:rFonts w:hint="eastAsia" w:ascii="宋体" w:hAnsi="宋体" w:cs="宋体"/>
          <w:color w:val="auto"/>
          <w:highlight w:val="none"/>
        </w:rPr>
        <w:t>授权代表无转委托权，特此委托。</w:t>
      </w:r>
    </w:p>
    <w:p>
      <w:pPr>
        <w:snapToGrid w:val="0"/>
        <w:spacing w:line="360" w:lineRule="auto"/>
        <w:rPr>
          <w:rFonts w:ascii="宋体" w:hAnsi="宋体"/>
          <w:color w:val="auto"/>
          <w:highlight w:val="none"/>
        </w:rPr>
      </w:pPr>
    </w:p>
    <w:p>
      <w:pPr>
        <w:snapToGrid w:val="0"/>
        <w:spacing w:line="360" w:lineRule="auto"/>
        <w:rPr>
          <w:rFonts w:ascii="宋体" w:hAnsi="宋体"/>
          <w:color w:val="auto"/>
          <w:highlight w:val="none"/>
        </w:rPr>
      </w:pPr>
    </w:p>
    <w:p>
      <w:pPr>
        <w:snapToGrid w:val="0"/>
        <w:spacing w:line="360" w:lineRule="auto"/>
        <w:rPr>
          <w:rFonts w:ascii="宋体" w:hAnsi="宋体"/>
          <w:color w:val="auto"/>
          <w:highlight w:val="none"/>
          <w:u w:val="single"/>
        </w:rPr>
      </w:pPr>
      <w:r>
        <w:rPr>
          <w:rFonts w:hint="eastAsia" w:ascii="宋体" w:hAnsi="宋体" w:cs="宋体"/>
          <w:color w:val="auto"/>
          <w:highlight w:val="none"/>
        </w:rPr>
        <w:t>授权代表签名：</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rPr>
        <w:t>法定代表人签名：</w:t>
      </w:r>
      <w:r>
        <w:rPr>
          <w:rFonts w:ascii="宋体" w:hAnsi="宋体" w:cs="宋体"/>
          <w:color w:val="auto"/>
          <w:highlight w:val="none"/>
          <w:u w:val="single"/>
        </w:rPr>
        <w:t xml:space="preserve">          </w:t>
      </w:r>
    </w:p>
    <w:p>
      <w:pPr>
        <w:snapToGrid w:val="0"/>
        <w:spacing w:line="360" w:lineRule="auto"/>
        <w:ind w:firstLine="840" w:firstLineChars="400"/>
        <w:rPr>
          <w:rFonts w:ascii="宋体" w:hAnsi="宋体"/>
          <w:color w:val="auto"/>
          <w:highlight w:val="none"/>
        </w:rPr>
      </w:pPr>
      <w:r>
        <w:rPr>
          <w:rFonts w:hint="eastAsia" w:ascii="宋体" w:hAnsi="宋体" w:cs="宋体"/>
          <w:color w:val="auto"/>
          <w:highlight w:val="none"/>
        </w:rPr>
        <w:t>职务：</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rPr>
        <w:t>职务：</w:t>
      </w:r>
      <w:r>
        <w:rPr>
          <w:rFonts w:ascii="宋体" w:hAnsi="宋体" w:cs="宋体"/>
          <w:color w:val="auto"/>
          <w:highlight w:val="none"/>
          <w:u w:val="single"/>
        </w:rPr>
        <w:t xml:space="preserve">           </w:t>
      </w:r>
    </w:p>
    <w:p>
      <w:pPr>
        <w:snapToGrid w:val="0"/>
        <w:spacing w:line="360" w:lineRule="auto"/>
        <w:rPr>
          <w:rFonts w:ascii="宋体" w:hAnsi="宋体"/>
          <w:color w:val="auto"/>
          <w:highlight w:val="none"/>
        </w:rPr>
      </w:pPr>
      <w:r>
        <w:rPr>
          <w:rFonts w:hint="eastAsia" w:ascii="宋体" w:hAnsi="宋体" w:cs="宋体"/>
          <w:color w:val="auto"/>
          <w:highlight w:val="none"/>
        </w:rPr>
        <w:t>授权代表身份证号码：</w:t>
      </w:r>
      <w:r>
        <w:rPr>
          <w:rFonts w:ascii="宋体" w:hAnsi="宋体" w:cs="宋体"/>
          <w:color w:val="auto"/>
          <w:highlight w:val="none"/>
          <w:u w:val="single"/>
        </w:rPr>
        <w:t xml:space="preserve">                             </w:t>
      </w:r>
      <w:r>
        <w:rPr>
          <w:rFonts w:ascii="宋体" w:hAnsi="宋体" w:cs="宋体"/>
          <w:color w:val="auto"/>
          <w:highlight w:val="none"/>
        </w:rPr>
        <w:t xml:space="preserve"> </w:t>
      </w:r>
    </w:p>
    <w:p>
      <w:pPr>
        <w:snapToGrid w:val="0"/>
        <w:spacing w:line="360" w:lineRule="auto"/>
        <w:rPr>
          <w:rFonts w:ascii="宋体" w:hAnsi="宋体"/>
          <w:color w:val="auto"/>
          <w:highlight w:val="none"/>
        </w:rPr>
      </w:pPr>
      <w:r>
        <w:rPr>
          <w:rFonts w:ascii="宋体" w:hAnsi="宋体" w:cs="宋体"/>
          <w:color w:val="auto"/>
          <w:highlight w:val="none"/>
        </w:rPr>
        <w:t xml:space="preserve">                                    </w:t>
      </w:r>
    </w:p>
    <w:p>
      <w:pPr>
        <w:snapToGrid w:val="0"/>
        <w:spacing w:line="360" w:lineRule="auto"/>
        <w:rPr>
          <w:rFonts w:ascii="宋体" w:hAnsi="宋体"/>
          <w:color w:val="auto"/>
          <w:highlight w:val="none"/>
        </w:rPr>
      </w:pPr>
    </w:p>
    <w:p>
      <w:pPr>
        <w:snapToGrid w:val="0"/>
        <w:spacing w:line="360" w:lineRule="auto"/>
        <w:ind w:firstLine="4830" w:firstLineChars="2300"/>
        <w:rPr>
          <w:rFonts w:ascii="宋体" w:hAnsi="宋体"/>
          <w:color w:val="auto"/>
          <w:highlight w:val="none"/>
        </w:rPr>
      </w:pPr>
      <w:r>
        <w:rPr>
          <w:rFonts w:hint="eastAsia" w:ascii="宋体" w:hAnsi="宋体" w:cs="宋体"/>
          <w:color w:val="auto"/>
          <w:highlight w:val="none"/>
        </w:rPr>
        <w:t>供应商公章：</w:t>
      </w:r>
    </w:p>
    <w:p>
      <w:pPr>
        <w:snapToGrid w:val="0"/>
        <w:spacing w:line="360" w:lineRule="auto"/>
        <w:ind w:firstLine="4830" w:firstLineChars="2300"/>
        <w:rPr>
          <w:rFonts w:ascii="宋体" w:hAnsi="宋体"/>
          <w:color w:val="auto"/>
          <w:highlight w:val="none"/>
        </w:rPr>
      </w:pPr>
    </w:p>
    <w:p>
      <w:pPr>
        <w:snapToGrid w:val="0"/>
        <w:spacing w:line="360" w:lineRule="auto"/>
        <w:jc w:val="center"/>
        <w:rPr>
          <w:rFonts w:ascii="宋体" w:hAns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pPr>
        <w:spacing w:line="360" w:lineRule="auto"/>
        <w:rPr>
          <w:rFonts w:ascii="宋体" w:hAnsi="宋体"/>
          <w:b/>
          <w:bCs/>
          <w:color w:val="auto"/>
          <w:highlight w:val="none"/>
        </w:rPr>
      </w:pPr>
    </w:p>
    <w:p>
      <w:pPr>
        <w:spacing w:line="360" w:lineRule="auto"/>
        <w:rPr>
          <w:rFonts w:ascii="宋体" w:hAnsi="宋体"/>
          <w:b/>
          <w:bCs/>
          <w:color w:val="auto"/>
          <w:highlight w:val="none"/>
        </w:rPr>
      </w:pPr>
    </w:p>
    <w:p>
      <w:pPr>
        <w:snapToGrid w:val="0"/>
        <w:spacing w:before="50" w:after="50" w:line="360" w:lineRule="auto"/>
        <w:rPr>
          <w:rFonts w:ascii="宋体" w:hAnsi="宋体"/>
          <w:b/>
          <w:bCs/>
          <w:color w:val="auto"/>
          <w:highlight w:val="none"/>
        </w:rPr>
      </w:pPr>
      <w:bookmarkStart w:id="50" w:name="_Toc25910"/>
      <w:bookmarkStart w:id="51" w:name="_Toc15917"/>
      <w:r>
        <w:rPr>
          <w:rFonts w:hint="eastAsia" w:ascii="宋体" w:hAnsi="宋体" w:cs="宋体"/>
          <w:b/>
          <w:bCs/>
          <w:color w:val="auto"/>
          <w:highlight w:val="none"/>
        </w:rPr>
        <w:t>附：</w:t>
      </w:r>
      <w:r>
        <w:rPr>
          <w:rFonts w:ascii="宋体" w:hAnsi="宋体" w:cs="宋体"/>
          <w:b/>
          <w:bCs/>
          <w:color w:val="auto"/>
          <w:highlight w:val="none"/>
        </w:rPr>
        <w:t>1</w:t>
      </w:r>
      <w:r>
        <w:rPr>
          <w:rFonts w:hint="eastAsia" w:ascii="宋体" w:hAnsi="宋体" w:cs="宋体"/>
          <w:b/>
          <w:bCs/>
          <w:color w:val="auto"/>
          <w:highlight w:val="none"/>
        </w:rPr>
        <w:t>、法定代表人身份证复印件（正反面）</w:t>
      </w:r>
      <w:bookmarkEnd w:id="50"/>
      <w:bookmarkEnd w:id="51"/>
    </w:p>
    <w:p>
      <w:pPr>
        <w:snapToGrid w:val="0"/>
        <w:spacing w:before="50" w:after="50" w:line="360" w:lineRule="auto"/>
        <w:ind w:firstLine="422" w:firstLineChars="200"/>
        <w:rPr>
          <w:rFonts w:ascii="宋体" w:hAnsi="宋体"/>
          <w:b/>
          <w:bCs/>
          <w:color w:val="auto"/>
          <w:highlight w:val="none"/>
        </w:rPr>
      </w:pPr>
      <w:r>
        <w:rPr>
          <w:rFonts w:ascii="宋体" w:hAnsi="宋体" w:cs="宋体"/>
          <w:b/>
          <w:bCs/>
          <w:color w:val="auto"/>
          <w:highlight w:val="none"/>
        </w:rPr>
        <w:t>2</w:t>
      </w:r>
      <w:r>
        <w:rPr>
          <w:rFonts w:hint="eastAsia" w:ascii="宋体" w:hAnsi="宋体" w:cs="宋体"/>
          <w:b/>
          <w:bCs/>
          <w:color w:val="auto"/>
          <w:highlight w:val="none"/>
        </w:rPr>
        <w:t>、授权代表身份证复印件</w:t>
      </w:r>
      <w:r>
        <w:rPr>
          <w:rFonts w:ascii="宋体" w:hAnsi="宋体" w:cs="宋体"/>
          <w:b/>
          <w:bCs/>
          <w:color w:val="auto"/>
          <w:highlight w:val="none"/>
        </w:rPr>
        <w:t xml:space="preserve">  </w:t>
      </w:r>
      <w:r>
        <w:rPr>
          <w:rFonts w:hint="eastAsia" w:ascii="宋体" w:hAnsi="宋体" w:cs="宋体"/>
          <w:b/>
          <w:bCs/>
          <w:color w:val="auto"/>
          <w:highlight w:val="none"/>
        </w:rPr>
        <w:t>（正反面）</w:t>
      </w:r>
    </w:p>
    <w:p>
      <w:pPr>
        <w:spacing w:line="360" w:lineRule="auto"/>
        <w:jc w:val="left"/>
        <w:outlineLvl w:val="2"/>
        <w:rPr>
          <w:rFonts w:ascii="宋体" w:hAnsi="宋体" w:cs="RomanS"/>
          <w:b/>
          <w:color w:val="auto"/>
          <w:sz w:val="24"/>
          <w:szCs w:val="24"/>
          <w:highlight w:val="none"/>
        </w:rPr>
      </w:pPr>
      <w:r>
        <w:rPr>
          <w:rFonts w:ascii="宋体" w:hAnsi="宋体"/>
          <w:b/>
          <w:bCs/>
          <w:color w:val="auto"/>
          <w:highlight w:val="none"/>
        </w:rPr>
        <w:br w:type="page"/>
      </w:r>
      <w:r>
        <w:rPr>
          <w:rFonts w:hint="eastAsia" w:ascii="宋体" w:hAnsi="宋体" w:cs="RomanS"/>
          <w:b/>
          <w:color w:val="auto"/>
          <w:sz w:val="24"/>
          <w:szCs w:val="24"/>
          <w:highlight w:val="none"/>
          <w:lang w:val="en-US" w:eastAsia="zh-CN"/>
        </w:rPr>
        <w:t>6</w:t>
      </w:r>
      <w:r>
        <w:rPr>
          <w:rFonts w:hint="eastAsia" w:ascii="宋体" w:hAnsi="宋体" w:cs="RomanS"/>
          <w:b/>
          <w:color w:val="auto"/>
          <w:sz w:val="24"/>
          <w:szCs w:val="24"/>
          <w:highlight w:val="none"/>
        </w:rPr>
        <w:t>、供应商资格声明格式；</w:t>
      </w:r>
    </w:p>
    <w:p>
      <w:pPr>
        <w:pStyle w:val="44"/>
        <w:widowControl w:val="0"/>
        <w:spacing w:before="0" w:beforeAutospacing="0" w:after="0" w:afterAutospacing="0" w:line="360" w:lineRule="auto"/>
        <w:ind w:firstLine="301"/>
        <w:jc w:val="center"/>
        <w:rPr>
          <w:rFonts w:ascii="宋体" w:hAnsi="宋体"/>
          <w:b/>
          <w:bCs/>
          <w:color w:val="auto"/>
          <w:highlight w:val="none"/>
          <w:shd w:val="pct10" w:color="auto" w:fill="FFFFFF"/>
        </w:rPr>
      </w:pPr>
      <w:r>
        <w:rPr>
          <w:rFonts w:hint="eastAsia" w:ascii="宋体" w:hAnsi="宋体" w:cs="宋体"/>
          <w:b/>
          <w:bCs/>
          <w:color w:val="auto"/>
          <w:spacing w:val="-4"/>
          <w:kern w:val="2"/>
          <w:highlight w:val="none"/>
        </w:rPr>
        <w:t>供应商资格声明</w:t>
      </w:r>
    </w:p>
    <w:p>
      <w:pPr>
        <w:pStyle w:val="44"/>
        <w:widowControl w:val="0"/>
        <w:spacing w:before="0" w:beforeAutospacing="0" w:after="0" w:afterAutospacing="0" w:line="360" w:lineRule="auto"/>
        <w:ind w:firstLine="301"/>
        <w:jc w:val="both"/>
        <w:rPr>
          <w:rFonts w:ascii="宋体" w:hAnsi="宋体"/>
          <w:color w:val="auto"/>
          <w:sz w:val="21"/>
          <w:szCs w:val="21"/>
          <w:highlight w:val="none"/>
        </w:rPr>
      </w:pPr>
      <w:r>
        <w:rPr>
          <w:rFonts w:hint="eastAsia" w:ascii="宋体" w:hAnsi="宋体" w:cs="宋体"/>
          <w:color w:val="auto"/>
          <w:spacing w:val="-4"/>
          <w:kern w:val="2"/>
          <w:sz w:val="21"/>
          <w:szCs w:val="21"/>
          <w:highlight w:val="none"/>
        </w:rPr>
        <w:t>供应商：（公章）</w:t>
      </w:r>
      <w:r>
        <w:rPr>
          <w:rFonts w:ascii="宋体" w:hAnsi="宋体" w:cs="宋体"/>
          <w:color w:val="auto"/>
          <w:spacing w:val="-4"/>
          <w:kern w:val="2"/>
          <w:sz w:val="21"/>
          <w:szCs w:val="21"/>
          <w:highlight w:val="none"/>
        </w:rPr>
        <w:t xml:space="preserve">                                                        </w:t>
      </w:r>
      <w:r>
        <w:rPr>
          <w:rFonts w:hint="eastAsia" w:ascii="宋体" w:hAnsi="宋体" w:cs="宋体"/>
          <w:color w:val="auto"/>
          <w:spacing w:val="-4"/>
          <w:kern w:val="2"/>
          <w:sz w:val="21"/>
          <w:szCs w:val="21"/>
          <w:highlight w:val="none"/>
        </w:rPr>
        <w:t>日期：</w:t>
      </w:r>
    </w:p>
    <w:tbl>
      <w:tblPr>
        <w:tblStyle w:val="4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16"/>
        <w:gridCol w:w="290"/>
        <w:gridCol w:w="1271"/>
        <w:gridCol w:w="952"/>
        <w:gridCol w:w="327"/>
        <w:gridCol w:w="1010"/>
        <w:gridCol w:w="169"/>
        <w:gridCol w:w="331"/>
        <w:gridCol w:w="268"/>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highlight w:val="none"/>
              </w:rPr>
            </w:pPr>
            <w:r>
              <w:rPr>
                <w:rFonts w:hint="eastAsia" w:ascii="宋体" w:hAnsi="宋体" w:cs="宋体"/>
                <w:color w:val="auto"/>
                <w:highlight w:val="none"/>
              </w:rPr>
              <w:t>申请人名称</w:t>
            </w:r>
          </w:p>
        </w:tc>
        <w:tc>
          <w:tcPr>
            <w:tcW w:w="6864" w:type="dxa"/>
            <w:gridSpan w:val="10"/>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highlight w:val="none"/>
              </w:rPr>
            </w:pPr>
            <w:r>
              <w:rPr>
                <w:rFonts w:hint="eastAsia" w:ascii="宋体" w:hAnsi="宋体" w:cs="宋体"/>
                <w:color w:val="auto"/>
                <w:highlight w:val="none"/>
              </w:rPr>
              <w:t>注册地址</w:t>
            </w:r>
          </w:p>
        </w:tc>
        <w:tc>
          <w:tcPr>
            <w:tcW w:w="3429" w:type="dxa"/>
            <w:gridSpan w:val="4"/>
            <w:vAlign w:val="center"/>
          </w:tcPr>
          <w:p>
            <w:pPr>
              <w:spacing w:line="360" w:lineRule="auto"/>
              <w:jc w:val="center"/>
              <w:rPr>
                <w:rFonts w:ascii="宋体" w:hAnsi="宋体"/>
                <w:color w:val="auto"/>
                <w:highlight w:val="none"/>
              </w:rPr>
            </w:pPr>
          </w:p>
        </w:tc>
        <w:tc>
          <w:tcPr>
            <w:tcW w:w="1506" w:type="dxa"/>
            <w:gridSpan w:val="3"/>
            <w:vAlign w:val="center"/>
          </w:tcPr>
          <w:p>
            <w:pPr>
              <w:spacing w:line="360" w:lineRule="auto"/>
              <w:jc w:val="center"/>
              <w:rPr>
                <w:rFonts w:ascii="宋体" w:hAnsi="宋体"/>
                <w:color w:val="auto"/>
                <w:highlight w:val="none"/>
              </w:rPr>
            </w:pPr>
            <w:r>
              <w:rPr>
                <w:rFonts w:hint="eastAsia" w:ascii="宋体" w:hAnsi="宋体" w:cs="宋体"/>
                <w:color w:val="auto"/>
                <w:highlight w:val="none"/>
              </w:rPr>
              <w:t>邮政编码</w:t>
            </w:r>
          </w:p>
        </w:tc>
        <w:tc>
          <w:tcPr>
            <w:tcW w:w="1929" w:type="dxa"/>
            <w:gridSpan w:val="3"/>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restart"/>
            <w:vAlign w:val="center"/>
          </w:tcPr>
          <w:p>
            <w:pPr>
              <w:spacing w:line="360" w:lineRule="auto"/>
              <w:jc w:val="center"/>
              <w:rPr>
                <w:rFonts w:ascii="宋体" w:hAnsi="宋体"/>
                <w:color w:val="auto"/>
                <w:highlight w:val="none"/>
              </w:rPr>
            </w:pPr>
            <w:r>
              <w:rPr>
                <w:rFonts w:hint="eastAsia" w:ascii="宋体" w:hAnsi="宋体" w:cs="宋体"/>
                <w:color w:val="auto"/>
                <w:highlight w:val="none"/>
              </w:rPr>
              <w:t>联系方式</w:t>
            </w:r>
          </w:p>
        </w:tc>
        <w:tc>
          <w:tcPr>
            <w:tcW w:w="1206" w:type="dxa"/>
            <w:gridSpan w:val="2"/>
            <w:vAlign w:val="center"/>
          </w:tcPr>
          <w:p>
            <w:pPr>
              <w:spacing w:line="360" w:lineRule="auto"/>
              <w:jc w:val="center"/>
              <w:rPr>
                <w:rFonts w:ascii="宋体" w:hAnsi="宋体"/>
                <w:color w:val="auto"/>
                <w:highlight w:val="none"/>
              </w:rPr>
            </w:pPr>
            <w:r>
              <w:rPr>
                <w:rFonts w:hint="eastAsia" w:ascii="宋体" w:hAnsi="宋体" w:cs="宋体"/>
                <w:color w:val="auto"/>
                <w:highlight w:val="none"/>
              </w:rPr>
              <w:t>联系人</w:t>
            </w:r>
          </w:p>
        </w:tc>
        <w:tc>
          <w:tcPr>
            <w:tcW w:w="2223" w:type="dxa"/>
            <w:gridSpan w:val="2"/>
            <w:vAlign w:val="center"/>
          </w:tcPr>
          <w:p>
            <w:pPr>
              <w:spacing w:line="360" w:lineRule="auto"/>
              <w:jc w:val="center"/>
              <w:rPr>
                <w:rFonts w:ascii="宋体" w:hAnsi="宋体"/>
                <w:color w:val="auto"/>
                <w:highlight w:val="none"/>
              </w:rPr>
            </w:pPr>
          </w:p>
        </w:tc>
        <w:tc>
          <w:tcPr>
            <w:tcW w:w="1506" w:type="dxa"/>
            <w:gridSpan w:val="3"/>
            <w:vAlign w:val="center"/>
          </w:tcPr>
          <w:p>
            <w:pPr>
              <w:spacing w:line="360" w:lineRule="auto"/>
              <w:jc w:val="center"/>
              <w:rPr>
                <w:rFonts w:ascii="宋体" w:hAnsi="宋体"/>
                <w:color w:val="auto"/>
                <w:highlight w:val="none"/>
              </w:rPr>
            </w:pPr>
            <w:r>
              <w:rPr>
                <w:rFonts w:hint="eastAsia" w:ascii="宋体" w:hAnsi="宋体" w:cs="宋体"/>
                <w:color w:val="auto"/>
                <w:highlight w:val="none"/>
              </w:rPr>
              <w:t>电话</w:t>
            </w:r>
          </w:p>
        </w:tc>
        <w:tc>
          <w:tcPr>
            <w:tcW w:w="1929" w:type="dxa"/>
            <w:gridSpan w:val="3"/>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vAlign w:val="center"/>
          </w:tcPr>
          <w:p>
            <w:pPr>
              <w:spacing w:line="360" w:lineRule="auto"/>
              <w:jc w:val="center"/>
              <w:rPr>
                <w:rFonts w:ascii="宋体" w:hAnsi="宋体"/>
                <w:color w:val="auto"/>
                <w:highlight w:val="none"/>
              </w:rPr>
            </w:pPr>
          </w:p>
        </w:tc>
        <w:tc>
          <w:tcPr>
            <w:tcW w:w="1206" w:type="dxa"/>
            <w:gridSpan w:val="2"/>
            <w:vAlign w:val="center"/>
          </w:tcPr>
          <w:p>
            <w:pPr>
              <w:spacing w:line="360" w:lineRule="auto"/>
              <w:jc w:val="center"/>
              <w:rPr>
                <w:rFonts w:ascii="宋体" w:hAnsi="宋体"/>
                <w:color w:val="auto"/>
                <w:highlight w:val="none"/>
              </w:rPr>
            </w:pPr>
            <w:r>
              <w:rPr>
                <w:rFonts w:hint="eastAsia" w:ascii="宋体" w:hAnsi="宋体" w:cs="宋体"/>
                <w:color w:val="auto"/>
                <w:highlight w:val="none"/>
              </w:rPr>
              <w:t>传真</w:t>
            </w:r>
          </w:p>
        </w:tc>
        <w:tc>
          <w:tcPr>
            <w:tcW w:w="2223" w:type="dxa"/>
            <w:gridSpan w:val="2"/>
            <w:vAlign w:val="center"/>
          </w:tcPr>
          <w:p>
            <w:pPr>
              <w:spacing w:line="360" w:lineRule="auto"/>
              <w:jc w:val="center"/>
              <w:rPr>
                <w:rFonts w:ascii="宋体" w:hAnsi="宋体"/>
                <w:color w:val="auto"/>
                <w:highlight w:val="none"/>
              </w:rPr>
            </w:pPr>
          </w:p>
        </w:tc>
        <w:tc>
          <w:tcPr>
            <w:tcW w:w="1506" w:type="dxa"/>
            <w:gridSpan w:val="3"/>
            <w:vAlign w:val="center"/>
          </w:tcPr>
          <w:p>
            <w:pPr>
              <w:spacing w:line="360" w:lineRule="auto"/>
              <w:jc w:val="center"/>
              <w:rPr>
                <w:rFonts w:ascii="宋体" w:hAnsi="宋体"/>
                <w:color w:val="auto"/>
                <w:highlight w:val="none"/>
              </w:rPr>
            </w:pPr>
            <w:r>
              <w:rPr>
                <w:rFonts w:hint="eastAsia" w:ascii="宋体" w:hAnsi="宋体" w:cs="宋体"/>
                <w:color w:val="auto"/>
                <w:highlight w:val="none"/>
              </w:rPr>
              <w:t>网址</w:t>
            </w:r>
          </w:p>
        </w:tc>
        <w:tc>
          <w:tcPr>
            <w:tcW w:w="1929" w:type="dxa"/>
            <w:gridSpan w:val="3"/>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highlight w:val="none"/>
              </w:rPr>
            </w:pPr>
            <w:r>
              <w:rPr>
                <w:rFonts w:hint="eastAsia" w:ascii="宋体" w:hAnsi="宋体" w:cs="宋体"/>
                <w:color w:val="auto"/>
                <w:highlight w:val="none"/>
              </w:rPr>
              <w:t>组织结构</w:t>
            </w:r>
          </w:p>
        </w:tc>
        <w:tc>
          <w:tcPr>
            <w:tcW w:w="6864" w:type="dxa"/>
            <w:gridSpan w:val="10"/>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highlight w:val="none"/>
              </w:rPr>
            </w:pPr>
            <w:r>
              <w:rPr>
                <w:rFonts w:hint="eastAsia" w:ascii="宋体" w:hAnsi="宋体" w:cs="宋体"/>
                <w:color w:val="auto"/>
                <w:highlight w:val="none"/>
              </w:rPr>
              <w:t>法定代表人</w:t>
            </w:r>
          </w:p>
        </w:tc>
        <w:tc>
          <w:tcPr>
            <w:tcW w:w="916" w:type="dxa"/>
            <w:vAlign w:val="center"/>
          </w:tcPr>
          <w:p>
            <w:pPr>
              <w:spacing w:line="360" w:lineRule="auto"/>
              <w:jc w:val="center"/>
              <w:rPr>
                <w:rFonts w:ascii="宋体" w:hAnsi="宋体"/>
                <w:color w:val="auto"/>
                <w:highlight w:val="none"/>
              </w:rPr>
            </w:pPr>
            <w:r>
              <w:rPr>
                <w:rFonts w:hint="eastAsia" w:ascii="宋体" w:hAnsi="宋体" w:cs="宋体"/>
                <w:color w:val="auto"/>
                <w:highlight w:val="none"/>
              </w:rPr>
              <w:t>姓名</w:t>
            </w:r>
          </w:p>
        </w:tc>
        <w:tc>
          <w:tcPr>
            <w:tcW w:w="1561" w:type="dxa"/>
            <w:gridSpan w:val="2"/>
            <w:vAlign w:val="center"/>
          </w:tcPr>
          <w:p>
            <w:pPr>
              <w:spacing w:line="360" w:lineRule="auto"/>
              <w:jc w:val="center"/>
              <w:rPr>
                <w:rFonts w:ascii="宋体" w:hAnsi="宋体"/>
                <w:color w:val="auto"/>
                <w:highlight w:val="none"/>
              </w:rPr>
            </w:pPr>
          </w:p>
        </w:tc>
        <w:tc>
          <w:tcPr>
            <w:tcW w:w="1279" w:type="dxa"/>
            <w:gridSpan w:val="2"/>
            <w:vAlign w:val="center"/>
          </w:tcPr>
          <w:p>
            <w:pPr>
              <w:spacing w:line="360" w:lineRule="auto"/>
              <w:jc w:val="center"/>
              <w:rPr>
                <w:rFonts w:ascii="宋体" w:hAnsi="宋体"/>
                <w:color w:val="auto"/>
                <w:highlight w:val="none"/>
              </w:rPr>
            </w:pPr>
            <w:r>
              <w:rPr>
                <w:rFonts w:hint="eastAsia" w:ascii="宋体" w:hAnsi="宋体" w:cs="宋体"/>
                <w:color w:val="auto"/>
                <w:highlight w:val="none"/>
              </w:rPr>
              <w:t>技术职称</w:t>
            </w:r>
          </w:p>
        </w:tc>
        <w:tc>
          <w:tcPr>
            <w:tcW w:w="1010" w:type="dxa"/>
            <w:vAlign w:val="center"/>
          </w:tcPr>
          <w:p>
            <w:pPr>
              <w:spacing w:line="360" w:lineRule="auto"/>
              <w:jc w:val="center"/>
              <w:rPr>
                <w:rFonts w:ascii="宋体" w:hAnsi="宋体"/>
                <w:color w:val="auto"/>
                <w:highlight w:val="none"/>
              </w:rPr>
            </w:pPr>
          </w:p>
        </w:tc>
        <w:tc>
          <w:tcPr>
            <w:tcW w:w="768" w:type="dxa"/>
            <w:gridSpan w:val="3"/>
            <w:vAlign w:val="center"/>
          </w:tcPr>
          <w:p>
            <w:pPr>
              <w:spacing w:line="360" w:lineRule="auto"/>
              <w:jc w:val="center"/>
              <w:rPr>
                <w:rFonts w:ascii="宋体" w:hAnsi="宋体"/>
                <w:color w:val="auto"/>
                <w:highlight w:val="none"/>
              </w:rPr>
            </w:pPr>
            <w:r>
              <w:rPr>
                <w:rFonts w:hint="eastAsia" w:ascii="宋体" w:hAnsi="宋体" w:cs="宋体"/>
                <w:color w:val="auto"/>
                <w:highlight w:val="none"/>
              </w:rPr>
              <w:t>电话</w:t>
            </w:r>
          </w:p>
        </w:tc>
        <w:tc>
          <w:tcPr>
            <w:tcW w:w="1330"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highlight w:val="none"/>
              </w:rPr>
            </w:pPr>
            <w:r>
              <w:rPr>
                <w:rFonts w:hint="eastAsia" w:ascii="宋体" w:hAnsi="宋体" w:cs="宋体"/>
                <w:color w:val="auto"/>
                <w:highlight w:val="none"/>
              </w:rPr>
              <w:t>技术负责人</w:t>
            </w:r>
          </w:p>
        </w:tc>
        <w:tc>
          <w:tcPr>
            <w:tcW w:w="916" w:type="dxa"/>
            <w:vAlign w:val="center"/>
          </w:tcPr>
          <w:p>
            <w:pPr>
              <w:spacing w:line="360" w:lineRule="auto"/>
              <w:jc w:val="center"/>
              <w:rPr>
                <w:rFonts w:ascii="宋体" w:hAnsi="宋体"/>
                <w:color w:val="auto"/>
                <w:highlight w:val="none"/>
              </w:rPr>
            </w:pPr>
            <w:r>
              <w:rPr>
                <w:rFonts w:hint="eastAsia" w:ascii="宋体" w:hAnsi="宋体" w:cs="宋体"/>
                <w:color w:val="auto"/>
                <w:highlight w:val="none"/>
              </w:rPr>
              <w:t>姓名</w:t>
            </w:r>
          </w:p>
        </w:tc>
        <w:tc>
          <w:tcPr>
            <w:tcW w:w="1561" w:type="dxa"/>
            <w:gridSpan w:val="2"/>
            <w:vAlign w:val="center"/>
          </w:tcPr>
          <w:p>
            <w:pPr>
              <w:spacing w:line="360" w:lineRule="auto"/>
              <w:jc w:val="center"/>
              <w:rPr>
                <w:rFonts w:ascii="宋体" w:hAnsi="宋体"/>
                <w:color w:val="auto"/>
                <w:highlight w:val="none"/>
              </w:rPr>
            </w:pPr>
          </w:p>
        </w:tc>
        <w:tc>
          <w:tcPr>
            <w:tcW w:w="1279" w:type="dxa"/>
            <w:gridSpan w:val="2"/>
            <w:vAlign w:val="center"/>
          </w:tcPr>
          <w:p>
            <w:pPr>
              <w:spacing w:line="360" w:lineRule="auto"/>
              <w:jc w:val="center"/>
              <w:rPr>
                <w:rFonts w:ascii="宋体" w:hAnsi="宋体"/>
                <w:color w:val="auto"/>
                <w:highlight w:val="none"/>
              </w:rPr>
            </w:pPr>
            <w:r>
              <w:rPr>
                <w:rFonts w:hint="eastAsia" w:ascii="宋体" w:hAnsi="宋体" w:cs="宋体"/>
                <w:color w:val="auto"/>
                <w:highlight w:val="none"/>
              </w:rPr>
              <w:t>技术职称</w:t>
            </w:r>
          </w:p>
        </w:tc>
        <w:tc>
          <w:tcPr>
            <w:tcW w:w="1010" w:type="dxa"/>
            <w:vAlign w:val="center"/>
          </w:tcPr>
          <w:p>
            <w:pPr>
              <w:spacing w:line="360" w:lineRule="auto"/>
              <w:jc w:val="center"/>
              <w:rPr>
                <w:rFonts w:ascii="宋体" w:hAnsi="宋体"/>
                <w:color w:val="auto"/>
                <w:highlight w:val="none"/>
              </w:rPr>
            </w:pPr>
          </w:p>
        </w:tc>
        <w:tc>
          <w:tcPr>
            <w:tcW w:w="768" w:type="dxa"/>
            <w:gridSpan w:val="3"/>
            <w:vAlign w:val="center"/>
          </w:tcPr>
          <w:p>
            <w:pPr>
              <w:spacing w:line="360" w:lineRule="auto"/>
              <w:jc w:val="center"/>
              <w:rPr>
                <w:rFonts w:ascii="宋体" w:hAnsi="宋体"/>
                <w:color w:val="auto"/>
                <w:highlight w:val="none"/>
              </w:rPr>
            </w:pPr>
            <w:r>
              <w:rPr>
                <w:rFonts w:hint="eastAsia" w:ascii="宋体" w:hAnsi="宋体" w:cs="宋体"/>
                <w:color w:val="auto"/>
                <w:highlight w:val="none"/>
              </w:rPr>
              <w:t>电话</w:t>
            </w:r>
          </w:p>
        </w:tc>
        <w:tc>
          <w:tcPr>
            <w:tcW w:w="1330"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highlight w:val="none"/>
              </w:rPr>
            </w:pPr>
            <w:r>
              <w:rPr>
                <w:rFonts w:hint="eastAsia" w:ascii="宋体" w:hAnsi="宋体" w:cs="宋体"/>
                <w:color w:val="auto"/>
                <w:highlight w:val="none"/>
              </w:rPr>
              <w:t>成立时间</w:t>
            </w:r>
          </w:p>
        </w:tc>
        <w:tc>
          <w:tcPr>
            <w:tcW w:w="2477" w:type="dxa"/>
            <w:gridSpan w:val="3"/>
            <w:vAlign w:val="center"/>
          </w:tcPr>
          <w:p>
            <w:pPr>
              <w:spacing w:line="360" w:lineRule="auto"/>
              <w:jc w:val="center"/>
              <w:rPr>
                <w:rFonts w:ascii="宋体" w:hAnsi="宋体"/>
                <w:color w:val="auto"/>
                <w:highlight w:val="none"/>
              </w:rPr>
            </w:pPr>
          </w:p>
        </w:tc>
        <w:tc>
          <w:tcPr>
            <w:tcW w:w="4387" w:type="dxa"/>
            <w:gridSpan w:val="7"/>
            <w:vAlign w:val="center"/>
          </w:tcPr>
          <w:p>
            <w:pPr>
              <w:spacing w:line="360" w:lineRule="auto"/>
              <w:jc w:val="center"/>
              <w:rPr>
                <w:rFonts w:ascii="宋体" w:hAnsi="宋体"/>
                <w:color w:val="auto"/>
                <w:highlight w:val="none"/>
              </w:rPr>
            </w:pPr>
            <w:r>
              <w:rPr>
                <w:rFonts w:hint="eastAsia" w:ascii="宋体" w:hAnsi="宋体"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highlight w:val="none"/>
              </w:rPr>
            </w:pPr>
            <w:r>
              <w:rPr>
                <w:rFonts w:hint="eastAsia" w:ascii="宋体" w:hAnsi="宋体" w:cs="宋体"/>
                <w:color w:val="auto"/>
                <w:highlight w:val="none"/>
              </w:rPr>
              <w:t>企业资质等级</w:t>
            </w:r>
          </w:p>
        </w:tc>
        <w:tc>
          <w:tcPr>
            <w:tcW w:w="2477" w:type="dxa"/>
            <w:gridSpan w:val="3"/>
            <w:vAlign w:val="center"/>
          </w:tcPr>
          <w:p>
            <w:pPr>
              <w:spacing w:line="360" w:lineRule="auto"/>
              <w:jc w:val="center"/>
              <w:rPr>
                <w:rFonts w:ascii="宋体" w:hAnsi="宋体"/>
                <w:color w:val="auto"/>
                <w:highlight w:val="none"/>
              </w:rPr>
            </w:pPr>
          </w:p>
        </w:tc>
        <w:tc>
          <w:tcPr>
            <w:tcW w:w="952" w:type="dxa"/>
            <w:vMerge w:val="restart"/>
            <w:vAlign w:val="center"/>
          </w:tcPr>
          <w:p>
            <w:pPr>
              <w:spacing w:line="360" w:lineRule="auto"/>
              <w:rPr>
                <w:rFonts w:ascii="宋体" w:hAnsi="宋体"/>
                <w:color w:val="auto"/>
                <w:highlight w:val="none"/>
              </w:rPr>
            </w:pPr>
            <w:r>
              <w:rPr>
                <w:rFonts w:hint="eastAsia" w:ascii="宋体" w:hAnsi="宋体" w:cs="宋体"/>
                <w:color w:val="auto"/>
                <w:highlight w:val="none"/>
              </w:rPr>
              <w:t>其中技术人员：</w:t>
            </w:r>
            <w:r>
              <w:rPr>
                <w:rFonts w:ascii="宋体" w:hAnsi="宋体" w:cs="宋体"/>
                <w:color w:val="auto"/>
                <w:highlight w:val="none"/>
              </w:rPr>
              <w:t xml:space="preserve">   </w:t>
            </w:r>
            <w:r>
              <w:rPr>
                <w:rFonts w:hint="eastAsia" w:ascii="宋体" w:hAnsi="宋体" w:cs="宋体"/>
                <w:color w:val="auto"/>
                <w:highlight w:val="none"/>
              </w:rPr>
              <w:t>人</w:t>
            </w:r>
          </w:p>
        </w:tc>
        <w:tc>
          <w:tcPr>
            <w:tcW w:w="1837" w:type="dxa"/>
            <w:gridSpan w:val="4"/>
            <w:vAlign w:val="center"/>
          </w:tcPr>
          <w:p>
            <w:pPr>
              <w:spacing w:line="360" w:lineRule="auto"/>
              <w:jc w:val="center"/>
              <w:rPr>
                <w:rFonts w:ascii="宋体" w:hAnsi="宋体"/>
                <w:color w:val="auto"/>
                <w:highlight w:val="none"/>
              </w:rPr>
            </w:pPr>
            <w:r>
              <w:rPr>
                <w:rFonts w:hint="eastAsia" w:ascii="宋体" w:hAnsi="宋体" w:cs="宋体"/>
                <w:color w:val="auto"/>
                <w:highlight w:val="none"/>
              </w:rPr>
              <w:t>高级职称人员</w:t>
            </w:r>
          </w:p>
        </w:tc>
        <w:tc>
          <w:tcPr>
            <w:tcW w:w="1598" w:type="dxa"/>
            <w:gridSpan w:val="2"/>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highlight w:val="none"/>
              </w:rPr>
            </w:pPr>
            <w:r>
              <w:rPr>
                <w:rFonts w:hint="eastAsia" w:ascii="宋体" w:hAnsi="宋体" w:cs="宋体"/>
                <w:color w:val="auto"/>
                <w:highlight w:val="none"/>
              </w:rPr>
              <w:t>营业执照号</w:t>
            </w:r>
          </w:p>
        </w:tc>
        <w:tc>
          <w:tcPr>
            <w:tcW w:w="2477" w:type="dxa"/>
            <w:gridSpan w:val="3"/>
            <w:vAlign w:val="center"/>
          </w:tcPr>
          <w:p>
            <w:pPr>
              <w:spacing w:line="360" w:lineRule="auto"/>
              <w:jc w:val="center"/>
              <w:rPr>
                <w:rFonts w:ascii="宋体" w:hAnsi="宋体"/>
                <w:color w:val="auto"/>
                <w:highlight w:val="none"/>
              </w:rPr>
            </w:pPr>
          </w:p>
        </w:tc>
        <w:tc>
          <w:tcPr>
            <w:tcW w:w="952" w:type="dxa"/>
            <w:vMerge w:val="continue"/>
            <w:vAlign w:val="center"/>
          </w:tcPr>
          <w:p>
            <w:pPr>
              <w:spacing w:line="360" w:lineRule="auto"/>
              <w:jc w:val="center"/>
              <w:rPr>
                <w:rFonts w:ascii="宋体" w:hAnsi="宋体"/>
                <w:color w:val="auto"/>
                <w:highlight w:val="none"/>
              </w:rPr>
            </w:pPr>
          </w:p>
        </w:tc>
        <w:tc>
          <w:tcPr>
            <w:tcW w:w="1837" w:type="dxa"/>
            <w:gridSpan w:val="4"/>
            <w:vAlign w:val="center"/>
          </w:tcPr>
          <w:p>
            <w:pPr>
              <w:spacing w:line="360" w:lineRule="auto"/>
              <w:jc w:val="center"/>
              <w:rPr>
                <w:rFonts w:ascii="宋体" w:hAnsi="宋体"/>
                <w:color w:val="auto"/>
                <w:highlight w:val="none"/>
              </w:rPr>
            </w:pPr>
            <w:r>
              <w:rPr>
                <w:rFonts w:hint="eastAsia" w:ascii="宋体" w:hAnsi="宋体" w:cs="宋体"/>
                <w:color w:val="auto"/>
                <w:highlight w:val="none"/>
              </w:rPr>
              <w:t>中级职称人员</w:t>
            </w:r>
          </w:p>
        </w:tc>
        <w:tc>
          <w:tcPr>
            <w:tcW w:w="1598" w:type="dxa"/>
            <w:gridSpan w:val="2"/>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highlight w:val="none"/>
              </w:rPr>
            </w:pPr>
            <w:r>
              <w:rPr>
                <w:rFonts w:hint="eastAsia" w:ascii="宋体" w:hAnsi="宋体" w:cs="宋体"/>
                <w:color w:val="auto"/>
                <w:highlight w:val="none"/>
              </w:rPr>
              <w:t>注册资金</w:t>
            </w:r>
          </w:p>
        </w:tc>
        <w:tc>
          <w:tcPr>
            <w:tcW w:w="2477" w:type="dxa"/>
            <w:gridSpan w:val="3"/>
            <w:vAlign w:val="center"/>
          </w:tcPr>
          <w:p>
            <w:pPr>
              <w:spacing w:line="360" w:lineRule="auto"/>
              <w:jc w:val="center"/>
              <w:rPr>
                <w:rFonts w:ascii="宋体" w:hAnsi="宋体"/>
                <w:color w:val="auto"/>
                <w:highlight w:val="none"/>
              </w:rPr>
            </w:pPr>
          </w:p>
        </w:tc>
        <w:tc>
          <w:tcPr>
            <w:tcW w:w="952" w:type="dxa"/>
            <w:vMerge w:val="continue"/>
            <w:vAlign w:val="center"/>
          </w:tcPr>
          <w:p>
            <w:pPr>
              <w:spacing w:line="360" w:lineRule="auto"/>
              <w:jc w:val="center"/>
              <w:rPr>
                <w:rFonts w:ascii="宋体" w:hAnsi="宋体"/>
                <w:color w:val="auto"/>
                <w:highlight w:val="none"/>
              </w:rPr>
            </w:pPr>
          </w:p>
        </w:tc>
        <w:tc>
          <w:tcPr>
            <w:tcW w:w="1837" w:type="dxa"/>
            <w:gridSpan w:val="4"/>
            <w:vAlign w:val="center"/>
          </w:tcPr>
          <w:p>
            <w:pPr>
              <w:spacing w:line="360" w:lineRule="auto"/>
              <w:jc w:val="center"/>
              <w:rPr>
                <w:rFonts w:ascii="宋体" w:hAnsi="宋体"/>
                <w:color w:val="auto"/>
                <w:highlight w:val="none"/>
              </w:rPr>
            </w:pPr>
            <w:r>
              <w:rPr>
                <w:rFonts w:hint="eastAsia" w:ascii="宋体" w:hAnsi="宋体" w:cs="宋体"/>
                <w:color w:val="auto"/>
                <w:highlight w:val="none"/>
              </w:rPr>
              <w:t>初级职称人员</w:t>
            </w:r>
          </w:p>
        </w:tc>
        <w:tc>
          <w:tcPr>
            <w:tcW w:w="1598" w:type="dxa"/>
            <w:gridSpan w:val="2"/>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highlight w:val="none"/>
              </w:rPr>
            </w:pPr>
            <w:r>
              <w:rPr>
                <w:rFonts w:hint="eastAsia" w:ascii="宋体" w:hAnsi="宋体" w:cs="宋体"/>
                <w:color w:val="auto"/>
                <w:highlight w:val="none"/>
              </w:rPr>
              <w:t>开户银行</w:t>
            </w:r>
          </w:p>
        </w:tc>
        <w:tc>
          <w:tcPr>
            <w:tcW w:w="2477" w:type="dxa"/>
            <w:gridSpan w:val="3"/>
            <w:vAlign w:val="center"/>
          </w:tcPr>
          <w:p>
            <w:pPr>
              <w:spacing w:line="360" w:lineRule="auto"/>
              <w:jc w:val="center"/>
              <w:rPr>
                <w:rFonts w:ascii="宋体" w:hAnsi="宋体"/>
                <w:color w:val="auto"/>
                <w:highlight w:val="none"/>
              </w:rPr>
            </w:pPr>
          </w:p>
        </w:tc>
        <w:tc>
          <w:tcPr>
            <w:tcW w:w="952" w:type="dxa"/>
            <w:vMerge w:val="continue"/>
            <w:vAlign w:val="center"/>
          </w:tcPr>
          <w:p>
            <w:pPr>
              <w:spacing w:line="360" w:lineRule="auto"/>
              <w:jc w:val="center"/>
              <w:rPr>
                <w:rFonts w:ascii="宋体" w:hAnsi="宋体"/>
                <w:color w:val="auto"/>
                <w:highlight w:val="none"/>
              </w:rPr>
            </w:pPr>
          </w:p>
        </w:tc>
        <w:tc>
          <w:tcPr>
            <w:tcW w:w="1837" w:type="dxa"/>
            <w:gridSpan w:val="4"/>
            <w:vAlign w:val="center"/>
          </w:tcPr>
          <w:p>
            <w:pPr>
              <w:spacing w:line="360" w:lineRule="auto"/>
              <w:jc w:val="center"/>
              <w:rPr>
                <w:rFonts w:ascii="宋体" w:hAnsi="宋体"/>
                <w:color w:val="auto"/>
                <w:highlight w:val="none"/>
              </w:rPr>
            </w:pPr>
            <w:r>
              <w:rPr>
                <w:rFonts w:hint="eastAsia" w:ascii="宋体" w:hAnsi="宋体" w:cs="宋体"/>
                <w:color w:val="auto"/>
                <w:highlight w:val="none"/>
              </w:rPr>
              <w:t>其他技术人员</w:t>
            </w:r>
          </w:p>
        </w:tc>
        <w:tc>
          <w:tcPr>
            <w:tcW w:w="1598" w:type="dxa"/>
            <w:gridSpan w:val="2"/>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highlight w:val="none"/>
              </w:rPr>
            </w:pPr>
            <w:r>
              <w:rPr>
                <w:rFonts w:hint="eastAsia" w:ascii="宋体" w:hAnsi="宋体" w:cs="宋体"/>
                <w:color w:val="auto"/>
                <w:highlight w:val="none"/>
              </w:rPr>
              <w:t>账号</w:t>
            </w:r>
          </w:p>
        </w:tc>
        <w:tc>
          <w:tcPr>
            <w:tcW w:w="2477" w:type="dxa"/>
            <w:gridSpan w:val="3"/>
            <w:vAlign w:val="center"/>
          </w:tcPr>
          <w:p>
            <w:pPr>
              <w:spacing w:line="360" w:lineRule="auto"/>
              <w:jc w:val="center"/>
              <w:rPr>
                <w:rFonts w:ascii="宋体" w:hAnsi="宋体"/>
                <w:color w:val="auto"/>
                <w:highlight w:val="none"/>
              </w:rPr>
            </w:pPr>
          </w:p>
        </w:tc>
        <w:tc>
          <w:tcPr>
            <w:tcW w:w="952" w:type="dxa"/>
            <w:vMerge w:val="continue"/>
            <w:vAlign w:val="center"/>
          </w:tcPr>
          <w:p>
            <w:pPr>
              <w:spacing w:line="360" w:lineRule="auto"/>
              <w:jc w:val="center"/>
              <w:rPr>
                <w:rFonts w:ascii="宋体" w:hAnsi="宋体"/>
                <w:color w:val="auto"/>
                <w:highlight w:val="none"/>
              </w:rPr>
            </w:pPr>
          </w:p>
        </w:tc>
        <w:tc>
          <w:tcPr>
            <w:tcW w:w="1837" w:type="dxa"/>
            <w:gridSpan w:val="4"/>
            <w:vAlign w:val="center"/>
          </w:tcPr>
          <w:p>
            <w:pPr>
              <w:spacing w:line="360" w:lineRule="auto"/>
              <w:jc w:val="center"/>
              <w:rPr>
                <w:rFonts w:ascii="宋体" w:hAnsi="宋体"/>
                <w:color w:val="auto"/>
                <w:highlight w:val="none"/>
              </w:rPr>
            </w:pPr>
          </w:p>
        </w:tc>
        <w:tc>
          <w:tcPr>
            <w:tcW w:w="1598" w:type="dxa"/>
            <w:gridSpan w:val="2"/>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1664" w:type="dxa"/>
            <w:vAlign w:val="center"/>
          </w:tcPr>
          <w:p>
            <w:pPr>
              <w:spacing w:line="360" w:lineRule="auto"/>
              <w:jc w:val="center"/>
              <w:rPr>
                <w:rFonts w:ascii="宋体" w:hAnsi="宋体"/>
                <w:color w:val="auto"/>
                <w:highlight w:val="none"/>
              </w:rPr>
            </w:pPr>
            <w:r>
              <w:rPr>
                <w:rFonts w:hint="eastAsia" w:ascii="宋体" w:hAnsi="宋体" w:cs="宋体"/>
                <w:color w:val="auto"/>
                <w:highlight w:val="none"/>
              </w:rPr>
              <w:t>经营范围</w:t>
            </w:r>
          </w:p>
        </w:tc>
        <w:tc>
          <w:tcPr>
            <w:tcW w:w="6864" w:type="dxa"/>
            <w:gridSpan w:val="10"/>
            <w:vAlign w:val="center"/>
          </w:tcPr>
          <w:p>
            <w:pPr>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4" w:type="dxa"/>
            <w:vAlign w:val="center"/>
          </w:tcPr>
          <w:p>
            <w:pPr>
              <w:spacing w:line="360" w:lineRule="auto"/>
              <w:jc w:val="center"/>
              <w:rPr>
                <w:rFonts w:ascii="宋体" w:hAnsi="宋体"/>
                <w:color w:val="auto"/>
                <w:highlight w:val="none"/>
              </w:rPr>
            </w:pPr>
            <w:r>
              <w:rPr>
                <w:rFonts w:hint="eastAsia" w:ascii="宋体" w:hAnsi="宋体" w:cs="宋体"/>
                <w:color w:val="auto"/>
                <w:highlight w:val="none"/>
              </w:rPr>
              <w:t>备注</w:t>
            </w:r>
          </w:p>
        </w:tc>
        <w:tc>
          <w:tcPr>
            <w:tcW w:w="6864" w:type="dxa"/>
            <w:gridSpan w:val="10"/>
            <w:vAlign w:val="center"/>
          </w:tcPr>
          <w:p>
            <w:pPr>
              <w:spacing w:line="360" w:lineRule="auto"/>
              <w:jc w:val="center"/>
              <w:rPr>
                <w:rFonts w:ascii="宋体" w:hAnsi="宋体"/>
                <w:color w:val="auto"/>
                <w:highlight w:val="none"/>
              </w:rPr>
            </w:pPr>
          </w:p>
        </w:tc>
      </w:tr>
    </w:tbl>
    <w:p>
      <w:pPr>
        <w:widowControl/>
        <w:spacing w:line="360" w:lineRule="auto"/>
        <w:jc w:val="left"/>
        <w:rPr>
          <w:rFonts w:ascii="宋体" w:hAnsi="宋体"/>
          <w:color w:val="auto"/>
          <w:highlight w:val="none"/>
        </w:rPr>
      </w:pPr>
      <w:r>
        <w:rPr>
          <w:rFonts w:hint="eastAsia" w:ascii="宋体" w:hAnsi="宋体" w:cs="宋体"/>
          <w:color w:val="auto"/>
          <w:highlight w:val="none"/>
        </w:rPr>
        <w:t>注：</w:t>
      </w:r>
      <w:r>
        <w:rPr>
          <w:rFonts w:ascii="宋体" w:hAnsi="宋体" w:cs="宋体"/>
          <w:color w:val="auto"/>
          <w:highlight w:val="none"/>
        </w:rPr>
        <w:t xml:space="preserve">1. </w:t>
      </w:r>
      <w:r>
        <w:rPr>
          <w:rFonts w:hint="eastAsia" w:ascii="宋体" w:hAnsi="宋体" w:cs="宋体"/>
          <w:color w:val="auto"/>
          <w:highlight w:val="none"/>
        </w:rPr>
        <w:t>若内容较多，表内空格填不下，供应商可以加添附页。</w:t>
      </w:r>
    </w:p>
    <w:p>
      <w:pPr>
        <w:spacing w:line="360" w:lineRule="auto"/>
        <w:jc w:val="left"/>
        <w:outlineLvl w:val="2"/>
        <w:rPr>
          <w:rFonts w:hint="eastAsia" w:ascii="宋体" w:hAnsi="宋体" w:eastAsia="宋体" w:cs="宋体"/>
          <w:b/>
          <w:color w:val="auto"/>
          <w:kern w:val="0"/>
          <w:highlight w:val="none"/>
        </w:rPr>
      </w:pPr>
      <w:r>
        <w:rPr>
          <w:rFonts w:ascii="宋体" w:hAnsi="宋体"/>
          <w:b/>
          <w:bCs/>
          <w:color w:val="auto"/>
          <w:highlight w:val="none"/>
        </w:rPr>
        <w:br w:type="page"/>
      </w:r>
      <w:r>
        <w:rPr>
          <w:rFonts w:hint="eastAsia" w:ascii="宋体" w:hAnsi="宋体" w:cs="RomanS"/>
          <w:b/>
          <w:color w:val="auto"/>
          <w:sz w:val="24"/>
          <w:szCs w:val="24"/>
          <w:highlight w:val="none"/>
          <w:lang w:val="en-US" w:eastAsia="zh-CN"/>
        </w:rPr>
        <w:t>7</w:t>
      </w:r>
      <w:r>
        <w:rPr>
          <w:rFonts w:hint="eastAsia" w:ascii="宋体" w:hAnsi="宋体" w:eastAsia="宋体" w:cs="宋体"/>
          <w:b/>
          <w:color w:val="auto"/>
          <w:sz w:val="24"/>
          <w:szCs w:val="24"/>
          <w:highlight w:val="none"/>
        </w:rPr>
        <w:t>、拟投入人员配备表格式：</w:t>
      </w:r>
    </w:p>
    <w:p>
      <w:pPr>
        <w:widowControl/>
        <w:snapToGrid w:val="0"/>
        <w:spacing w:line="276" w:lineRule="auto"/>
        <w:jc w:val="center"/>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本项目拟投入人员配备汇总表</w:t>
      </w:r>
    </w:p>
    <w:p>
      <w:pPr>
        <w:jc w:val="left"/>
        <w:rPr>
          <w:rFonts w:hint="eastAsia" w:ascii="宋体" w:hAnsi="宋体" w:eastAsia="宋体" w:cs="宋体"/>
          <w:color w:val="auto"/>
          <w:w w:val="80"/>
          <w:szCs w:val="24"/>
          <w:highlight w:val="none"/>
        </w:rPr>
      </w:pPr>
    </w:p>
    <w:tbl>
      <w:tblPr>
        <w:tblStyle w:val="49"/>
        <w:tblW w:w="9639" w:type="dxa"/>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26"/>
        <w:gridCol w:w="1134"/>
        <w:gridCol w:w="567"/>
        <w:gridCol w:w="1559"/>
        <w:gridCol w:w="1417"/>
        <w:gridCol w:w="1276"/>
        <w:gridCol w:w="1276"/>
        <w:gridCol w:w="198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highlight w:val="none"/>
              </w:rPr>
            </w:pPr>
            <w:r>
              <w:rPr>
                <w:rFonts w:hint="eastAsia" w:ascii="宋体" w:hAnsi="宋体" w:eastAsia="宋体" w:cs="宋体"/>
                <w:color w:val="auto"/>
                <w:w w:val="80"/>
                <w:highlight w:val="none"/>
              </w:rPr>
              <w:t>序号</w:t>
            </w:r>
          </w:p>
        </w:tc>
        <w:tc>
          <w:tcPr>
            <w:tcW w:w="1134" w:type="dxa"/>
            <w:tcBorders>
              <w:top w:val="single" w:color="auto" w:sz="4"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highlight w:val="none"/>
              </w:rPr>
            </w:pPr>
            <w:r>
              <w:rPr>
                <w:rFonts w:hint="eastAsia" w:ascii="宋体" w:hAnsi="宋体" w:eastAsia="宋体" w:cs="宋体"/>
                <w:color w:val="auto"/>
                <w:w w:val="80"/>
                <w:highlight w:val="none"/>
              </w:rPr>
              <w:t>姓名</w:t>
            </w:r>
          </w:p>
        </w:tc>
        <w:tc>
          <w:tcPr>
            <w:tcW w:w="567" w:type="dxa"/>
            <w:tcBorders>
              <w:top w:val="single" w:color="auto" w:sz="4"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highlight w:val="none"/>
              </w:rPr>
            </w:pPr>
            <w:r>
              <w:rPr>
                <w:rFonts w:hint="eastAsia" w:ascii="宋体" w:hAnsi="宋体" w:eastAsia="宋体" w:cs="宋体"/>
                <w:color w:val="auto"/>
                <w:w w:val="80"/>
                <w:highlight w:val="none"/>
              </w:rPr>
              <w:t>性别</w:t>
            </w:r>
          </w:p>
        </w:tc>
        <w:tc>
          <w:tcPr>
            <w:tcW w:w="1559" w:type="dxa"/>
            <w:tcBorders>
              <w:top w:val="single" w:color="auto" w:sz="4"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highlight w:val="none"/>
              </w:rPr>
            </w:pPr>
            <w:r>
              <w:rPr>
                <w:rFonts w:hint="eastAsia" w:ascii="宋体" w:hAnsi="宋体" w:eastAsia="宋体" w:cs="宋体"/>
                <w:color w:val="auto"/>
                <w:w w:val="80"/>
                <w:highlight w:val="none"/>
              </w:rPr>
              <w:t>职称</w:t>
            </w:r>
          </w:p>
        </w:tc>
        <w:tc>
          <w:tcPr>
            <w:tcW w:w="1417" w:type="dxa"/>
            <w:tcBorders>
              <w:top w:val="single" w:color="auto" w:sz="4"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highlight w:val="none"/>
              </w:rPr>
            </w:pPr>
            <w:r>
              <w:rPr>
                <w:rFonts w:hint="eastAsia" w:ascii="宋体" w:hAnsi="宋体" w:eastAsia="宋体" w:cs="宋体"/>
                <w:color w:val="auto"/>
                <w:w w:val="80"/>
                <w:highlight w:val="none"/>
              </w:rPr>
              <w:t>专业</w:t>
            </w:r>
          </w:p>
        </w:tc>
        <w:tc>
          <w:tcPr>
            <w:tcW w:w="1276" w:type="dxa"/>
            <w:tcBorders>
              <w:top w:val="single" w:color="auto" w:sz="4"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highlight w:val="none"/>
              </w:rPr>
            </w:pPr>
            <w:r>
              <w:rPr>
                <w:rFonts w:hint="eastAsia" w:ascii="宋体" w:hAnsi="宋体" w:eastAsia="宋体" w:cs="宋体"/>
                <w:color w:val="auto"/>
                <w:w w:val="80"/>
                <w:highlight w:val="none"/>
              </w:rPr>
              <w:t>联系电话</w:t>
            </w:r>
          </w:p>
        </w:tc>
        <w:tc>
          <w:tcPr>
            <w:tcW w:w="1276" w:type="dxa"/>
            <w:tcBorders>
              <w:top w:val="single" w:color="auto" w:sz="4" w:space="0"/>
              <w:left w:val="single" w:color="auto" w:sz="2" w:space="0"/>
              <w:bottom w:val="single" w:color="auto" w:sz="4" w:space="0"/>
              <w:right w:val="single" w:color="auto" w:sz="2" w:space="0"/>
            </w:tcBorders>
            <w:tcMar>
              <w:top w:w="0" w:type="dxa"/>
              <w:left w:w="28" w:type="dxa"/>
              <w:bottom w:w="0" w:type="dxa"/>
              <w:right w:w="28" w:type="dxa"/>
            </w:tcMar>
            <w:vAlign w:val="center"/>
          </w:tcPr>
          <w:p>
            <w:pPr>
              <w:ind w:left="-68" w:right="-47"/>
              <w:jc w:val="center"/>
              <w:rPr>
                <w:rFonts w:hint="eastAsia" w:ascii="宋体" w:hAnsi="宋体" w:eastAsia="宋体" w:cs="宋体"/>
                <w:color w:val="auto"/>
                <w:w w:val="80"/>
                <w:highlight w:val="none"/>
              </w:rPr>
            </w:pPr>
            <w:r>
              <w:rPr>
                <w:rFonts w:hint="eastAsia" w:ascii="宋体" w:hAnsi="宋体" w:eastAsia="宋体" w:cs="宋体"/>
                <w:color w:val="auto"/>
                <w:w w:val="80"/>
                <w:highlight w:val="none"/>
              </w:rPr>
              <w:t>从事类似</w:t>
            </w:r>
          </w:p>
          <w:p>
            <w:pPr>
              <w:ind w:left="-68" w:right="-47"/>
              <w:jc w:val="center"/>
              <w:rPr>
                <w:rFonts w:hint="eastAsia" w:ascii="宋体" w:hAnsi="宋体" w:eastAsia="宋体" w:cs="宋体"/>
                <w:color w:val="auto"/>
                <w:w w:val="80"/>
                <w:highlight w:val="none"/>
              </w:rPr>
            </w:pPr>
            <w:r>
              <w:rPr>
                <w:rFonts w:hint="eastAsia" w:ascii="宋体" w:hAnsi="宋体" w:eastAsia="宋体" w:cs="宋体"/>
                <w:color w:val="auto"/>
                <w:w w:val="80"/>
                <w:highlight w:val="none"/>
              </w:rPr>
              <w:t>工作时间</w:t>
            </w:r>
          </w:p>
        </w:tc>
        <w:tc>
          <w:tcPr>
            <w:tcW w:w="1984" w:type="dxa"/>
            <w:tcBorders>
              <w:top w:val="single" w:color="auto" w:sz="4" w:space="0"/>
              <w:left w:val="single" w:color="auto" w:sz="2" w:space="0"/>
              <w:bottom w:val="single" w:color="auto" w:sz="4"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highlight w:val="none"/>
              </w:rPr>
            </w:pPr>
            <w:r>
              <w:rPr>
                <w:rFonts w:hint="eastAsia" w:ascii="宋体" w:hAnsi="宋体" w:eastAsia="宋体" w:cs="宋体"/>
                <w:color w:val="auto"/>
                <w:w w:val="80"/>
                <w:highlight w:val="none"/>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4"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134" w:type="dxa"/>
            <w:tcBorders>
              <w:top w:val="single" w:color="auto" w:sz="4"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567" w:type="dxa"/>
            <w:tcBorders>
              <w:top w:val="single" w:color="auto" w:sz="4"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559" w:type="dxa"/>
            <w:tcBorders>
              <w:top w:val="single" w:color="auto" w:sz="4"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417" w:type="dxa"/>
            <w:tcBorders>
              <w:top w:val="single" w:color="auto" w:sz="4"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4"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4"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984" w:type="dxa"/>
            <w:tcBorders>
              <w:top w:val="single" w:color="auto" w:sz="4"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984"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984"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984"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984"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984"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984"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984"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984"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984"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984"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984"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984"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134" w:type="dxa"/>
            <w:tcBorders>
              <w:top w:val="single" w:color="auto" w:sz="2"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567" w:type="dxa"/>
            <w:tcBorders>
              <w:top w:val="single" w:color="auto" w:sz="2"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559" w:type="dxa"/>
            <w:tcBorders>
              <w:top w:val="single" w:color="auto" w:sz="2"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417" w:type="dxa"/>
            <w:tcBorders>
              <w:top w:val="single" w:color="auto" w:sz="2"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276" w:type="dxa"/>
            <w:tcBorders>
              <w:top w:val="single" w:color="auto" w:sz="2"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c>
          <w:tcPr>
            <w:tcW w:w="1984" w:type="dxa"/>
            <w:tcBorders>
              <w:top w:val="single" w:color="auto" w:sz="2" w:space="0"/>
              <w:left w:val="single" w:color="auto" w:sz="2" w:space="0"/>
              <w:bottom w:val="single" w:color="auto" w:sz="4"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highlight w:val="none"/>
              </w:rPr>
            </w:pPr>
          </w:p>
        </w:tc>
      </w:tr>
    </w:tbl>
    <w:p>
      <w:pPr>
        <w:rPr>
          <w:rFonts w:hint="eastAsia" w:ascii="宋体" w:hAnsi="宋体" w:eastAsia="宋体" w:cs="宋体"/>
          <w:color w:val="auto"/>
          <w:highlight w:val="none"/>
        </w:rPr>
      </w:pPr>
    </w:p>
    <w:p>
      <w:pPr>
        <w:pStyle w:val="44"/>
        <w:widowControl w:val="0"/>
        <w:snapToGrid w:val="0"/>
        <w:spacing w:before="0" w:beforeAutospacing="0" w:after="0" w:afterAutospacing="0" w:line="360" w:lineRule="auto"/>
        <w:ind w:firstLine="301"/>
        <w:jc w:val="both"/>
        <w:rPr>
          <w:rFonts w:ascii="宋体" w:hAnsi="宋体"/>
          <w:color w:val="auto"/>
          <w:sz w:val="21"/>
          <w:szCs w:val="21"/>
          <w:highlight w:val="none"/>
        </w:rPr>
      </w:pPr>
      <w:r>
        <w:rPr>
          <w:rFonts w:hint="eastAsia" w:ascii="宋体" w:hAnsi="宋体" w:cs="宋体"/>
          <w:color w:val="auto"/>
          <w:spacing w:val="-4"/>
          <w:kern w:val="2"/>
          <w:sz w:val="21"/>
          <w:szCs w:val="21"/>
          <w:highlight w:val="none"/>
        </w:rPr>
        <w:t>供应商（盖章）：</w:t>
      </w:r>
    </w:p>
    <w:p>
      <w:pPr>
        <w:pStyle w:val="44"/>
        <w:widowControl w:val="0"/>
        <w:snapToGrid w:val="0"/>
        <w:spacing w:before="0" w:beforeAutospacing="0" w:after="0" w:afterAutospacing="0" w:line="360" w:lineRule="auto"/>
        <w:ind w:firstLine="301"/>
        <w:jc w:val="both"/>
        <w:rPr>
          <w:rFonts w:ascii="宋体" w:hAnsi="宋体"/>
          <w:color w:val="auto"/>
          <w:sz w:val="21"/>
          <w:szCs w:val="21"/>
          <w:highlight w:val="none"/>
        </w:rPr>
      </w:pPr>
      <w:r>
        <w:rPr>
          <w:rFonts w:hint="eastAsia" w:ascii="宋体" w:hAnsi="宋体" w:cs="宋体"/>
          <w:color w:val="auto"/>
          <w:spacing w:val="-4"/>
          <w:kern w:val="2"/>
          <w:sz w:val="21"/>
          <w:szCs w:val="21"/>
          <w:highlight w:val="none"/>
        </w:rPr>
        <w:t>法定代表或其授权代表：（签字或盖章）</w:t>
      </w:r>
    </w:p>
    <w:p>
      <w:pPr>
        <w:widowControl/>
        <w:spacing w:line="360" w:lineRule="auto"/>
        <w:jc w:val="left"/>
        <w:rPr>
          <w:rFonts w:ascii="宋体" w:hAns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p>
    <w:p>
      <w:pPr>
        <w:spacing w:line="360" w:lineRule="auto"/>
        <w:jc w:val="left"/>
        <w:outlineLvl w:val="2"/>
        <w:rPr>
          <w:rFonts w:ascii="宋体" w:hAnsi="宋体" w:cs="RomanS"/>
          <w:b/>
          <w:color w:val="auto"/>
          <w:sz w:val="24"/>
          <w:szCs w:val="24"/>
          <w:highlight w:val="none"/>
        </w:rPr>
      </w:pPr>
      <w:r>
        <w:rPr>
          <w:rFonts w:ascii="宋体" w:hAnsi="宋体"/>
          <w:b/>
          <w:bCs/>
          <w:color w:val="auto"/>
          <w:highlight w:val="none"/>
        </w:rPr>
        <w:br w:type="page"/>
      </w:r>
      <w:r>
        <w:rPr>
          <w:rFonts w:hint="eastAsia" w:ascii="宋体" w:hAnsi="宋体" w:cs="RomanS"/>
          <w:b/>
          <w:color w:val="auto"/>
          <w:sz w:val="24"/>
          <w:szCs w:val="24"/>
          <w:highlight w:val="none"/>
          <w:lang w:val="en-US" w:eastAsia="zh-CN"/>
        </w:rPr>
        <w:t>8</w:t>
      </w:r>
      <w:r>
        <w:rPr>
          <w:rFonts w:hint="eastAsia" w:ascii="宋体" w:hAnsi="宋体" w:cs="RomanS"/>
          <w:b/>
          <w:color w:val="auto"/>
          <w:sz w:val="24"/>
          <w:szCs w:val="24"/>
          <w:highlight w:val="none"/>
        </w:rPr>
        <w:t>、商务响应（偏离</w:t>
      </w:r>
      <w:r>
        <w:rPr>
          <w:rFonts w:ascii="宋体" w:hAnsi="宋体" w:cs="RomanS"/>
          <w:b/>
          <w:color w:val="auto"/>
          <w:sz w:val="24"/>
          <w:szCs w:val="24"/>
          <w:highlight w:val="none"/>
        </w:rPr>
        <w:t>)</w:t>
      </w:r>
      <w:r>
        <w:rPr>
          <w:rFonts w:hint="eastAsia" w:ascii="宋体" w:hAnsi="宋体" w:cs="RomanS"/>
          <w:b/>
          <w:color w:val="auto"/>
          <w:sz w:val="24"/>
          <w:szCs w:val="24"/>
          <w:highlight w:val="none"/>
        </w:rPr>
        <w:t>表格式；</w:t>
      </w:r>
    </w:p>
    <w:p>
      <w:pPr>
        <w:spacing w:line="360" w:lineRule="auto"/>
        <w:jc w:val="center"/>
        <w:rPr>
          <w:rFonts w:ascii="宋体" w:hAnsi="宋体"/>
          <w:b/>
          <w:bCs/>
          <w:color w:val="auto"/>
          <w:highlight w:val="none"/>
        </w:rPr>
      </w:pPr>
    </w:p>
    <w:p>
      <w:pPr>
        <w:spacing w:line="360" w:lineRule="auto"/>
        <w:jc w:val="center"/>
        <w:rPr>
          <w:rFonts w:ascii="宋体" w:hAnsi="宋体"/>
          <w:b/>
          <w:bCs/>
          <w:color w:val="auto"/>
          <w:sz w:val="24"/>
          <w:szCs w:val="24"/>
          <w:highlight w:val="none"/>
        </w:rPr>
      </w:pPr>
      <w:r>
        <w:rPr>
          <w:rFonts w:hint="eastAsia" w:ascii="宋体" w:hAnsi="宋体" w:cs="宋体"/>
          <w:b/>
          <w:bCs/>
          <w:color w:val="auto"/>
          <w:sz w:val="24"/>
          <w:szCs w:val="24"/>
          <w:highlight w:val="none"/>
        </w:rPr>
        <w:t>商务响应（偏离）表</w:t>
      </w:r>
    </w:p>
    <w:p>
      <w:pPr>
        <w:spacing w:line="360" w:lineRule="auto"/>
        <w:rPr>
          <w:rFonts w:ascii="宋体" w:hAnsi="宋体"/>
          <w:color w:val="auto"/>
          <w:highlight w:val="none"/>
        </w:rPr>
      </w:pPr>
      <w:r>
        <w:rPr>
          <w:rFonts w:hint="eastAsia" w:ascii="宋体" w:hAnsi="宋体" w:cs="宋体"/>
          <w:color w:val="auto"/>
          <w:highlight w:val="none"/>
        </w:rPr>
        <w:t>项目名称：</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rPr>
        <w:t>项目编号：</w:t>
      </w:r>
      <w:r>
        <w:rPr>
          <w:rFonts w:ascii="宋体" w:hAnsi="宋体" w:cs="宋体"/>
          <w:color w:val="auto"/>
          <w:highlight w:val="none"/>
          <w:u w:val="single"/>
        </w:rPr>
        <w:t xml:space="preserve">                   </w:t>
      </w:r>
    </w:p>
    <w:tbl>
      <w:tblPr>
        <w:tblStyle w:val="4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101"/>
        <w:gridCol w:w="2468"/>
        <w:gridCol w:w="247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highlight w:val="none"/>
              </w:rPr>
            </w:pPr>
            <w:r>
              <w:rPr>
                <w:rFonts w:hint="eastAsia" w:ascii="宋体" w:hAnsi="宋体" w:cs="宋体"/>
                <w:color w:val="auto"/>
                <w:highlight w:val="none"/>
              </w:rPr>
              <w:t>序号</w:t>
            </w:r>
          </w:p>
        </w:tc>
        <w:tc>
          <w:tcPr>
            <w:tcW w:w="2101" w:type="dxa"/>
            <w:vAlign w:val="center"/>
          </w:tcPr>
          <w:p>
            <w:pPr>
              <w:spacing w:line="360" w:lineRule="auto"/>
              <w:jc w:val="center"/>
              <w:rPr>
                <w:rFonts w:ascii="宋体" w:hAnsi="宋体"/>
                <w:color w:val="auto"/>
                <w:highlight w:val="none"/>
              </w:rPr>
            </w:pPr>
            <w:r>
              <w:rPr>
                <w:rFonts w:hint="eastAsia" w:ascii="宋体" w:hAnsi="宋体" w:cs="宋体"/>
                <w:color w:val="auto"/>
                <w:highlight w:val="none"/>
              </w:rPr>
              <w:t>名称</w:t>
            </w:r>
          </w:p>
        </w:tc>
        <w:tc>
          <w:tcPr>
            <w:tcW w:w="2468" w:type="dxa"/>
            <w:vAlign w:val="center"/>
          </w:tcPr>
          <w:p>
            <w:pPr>
              <w:spacing w:line="360" w:lineRule="auto"/>
              <w:jc w:val="center"/>
              <w:rPr>
                <w:rFonts w:ascii="宋体" w:hAnsi="宋体"/>
                <w:color w:val="auto"/>
                <w:highlight w:val="none"/>
              </w:rPr>
            </w:pPr>
            <w:r>
              <w:rPr>
                <w:rFonts w:hint="eastAsia" w:ascii="宋体" w:hAnsi="宋体" w:cs="宋体"/>
                <w:color w:val="auto"/>
                <w:highlight w:val="none"/>
              </w:rPr>
              <w:t>采购文件的商务条款</w:t>
            </w:r>
          </w:p>
        </w:tc>
        <w:tc>
          <w:tcPr>
            <w:tcW w:w="2470" w:type="dxa"/>
            <w:vAlign w:val="center"/>
          </w:tcPr>
          <w:p>
            <w:pPr>
              <w:spacing w:line="360" w:lineRule="auto"/>
              <w:jc w:val="center"/>
              <w:rPr>
                <w:rFonts w:ascii="宋体" w:hAnsi="宋体"/>
                <w:color w:val="auto"/>
                <w:highlight w:val="none"/>
              </w:rPr>
            </w:pPr>
            <w:r>
              <w:rPr>
                <w:rFonts w:hint="eastAsia" w:ascii="宋体" w:hAnsi="宋体" w:cs="宋体"/>
                <w:color w:val="auto"/>
                <w:highlight w:val="none"/>
              </w:rPr>
              <w:t>投标文件的商务条款</w:t>
            </w:r>
          </w:p>
        </w:tc>
        <w:tc>
          <w:tcPr>
            <w:tcW w:w="750" w:type="dxa"/>
            <w:vAlign w:val="center"/>
          </w:tcPr>
          <w:p>
            <w:pPr>
              <w:spacing w:line="360" w:lineRule="auto"/>
              <w:jc w:val="center"/>
              <w:rPr>
                <w:rFonts w:ascii="宋体" w:hAnsi="宋体"/>
                <w:color w:val="auto"/>
                <w:highlight w:val="none"/>
              </w:rPr>
            </w:pPr>
            <w:r>
              <w:rPr>
                <w:rFonts w:hint="eastAsia" w:ascii="宋体" w:hAnsi="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highlight w:val="none"/>
              </w:rPr>
            </w:pPr>
          </w:p>
        </w:tc>
        <w:tc>
          <w:tcPr>
            <w:tcW w:w="2101" w:type="dxa"/>
            <w:vAlign w:val="center"/>
          </w:tcPr>
          <w:p>
            <w:pPr>
              <w:spacing w:line="360" w:lineRule="auto"/>
              <w:jc w:val="center"/>
              <w:rPr>
                <w:rFonts w:ascii="宋体" w:hAnsi="宋体"/>
                <w:color w:val="auto"/>
                <w:highlight w:val="none"/>
              </w:rPr>
            </w:pPr>
          </w:p>
        </w:tc>
        <w:tc>
          <w:tcPr>
            <w:tcW w:w="2468" w:type="dxa"/>
            <w:vAlign w:val="center"/>
          </w:tcPr>
          <w:p>
            <w:pPr>
              <w:spacing w:line="360" w:lineRule="auto"/>
              <w:jc w:val="center"/>
              <w:rPr>
                <w:rFonts w:ascii="宋体" w:hAnsi="宋体"/>
                <w:color w:val="auto"/>
                <w:highlight w:val="none"/>
              </w:rPr>
            </w:pPr>
          </w:p>
        </w:tc>
        <w:tc>
          <w:tcPr>
            <w:tcW w:w="2470" w:type="dxa"/>
            <w:vAlign w:val="center"/>
          </w:tcPr>
          <w:p>
            <w:pPr>
              <w:spacing w:line="360" w:lineRule="auto"/>
              <w:jc w:val="center"/>
              <w:rPr>
                <w:rFonts w:ascii="宋体" w:hAnsi="宋体"/>
                <w:color w:val="auto"/>
                <w:highlight w:val="none"/>
              </w:rPr>
            </w:pPr>
          </w:p>
        </w:tc>
        <w:tc>
          <w:tcPr>
            <w:tcW w:w="750"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highlight w:val="none"/>
              </w:rPr>
            </w:pPr>
          </w:p>
        </w:tc>
        <w:tc>
          <w:tcPr>
            <w:tcW w:w="2101" w:type="dxa"/>
            <w:vAlign w:val="center"/>
          </w:tcPr>
          <w:p>
            <w:pPr>
              <w:spacing w:line="360" w:lineRule="auto"/>
              <w:jc w:val="center"/>
              <w:rPr>
                <w:rFonts w:ascii="宋体" w:hAnsi="宋体"/>
                <w:color w:val="auto"/>
                <w:highlight w:val="none"/>
              </w:rPr>
            </w:pPr>
          </w:p>
        </w:tc>
        <w:tc>
          <w:tcPr>
            <w:tcW w:w="2468" w:type="dxa"/>
            <w:vAlign w:val="center"/>
          </w:tcPr>
          <w:p>
            <w:pPr>
              <w:spacing w:line="360" w:lineRule="auto"/>
              <w:jc w:val="center"/>
              <w:rPr>
                <w:rFonts w:ascii="宋体" w:hAnsi="宋体"/>
                <w:color w:val="auto"/>
                <w:highlight w:val="none"/>
              </w:rPr>
            </w:pPr>
          </w:p>
        </w:tc>
        <w:tc>
          <w:tcPr>
            <w:tcW w:w="2470" w:type="dxa"/>
            <w:vAlign w:val="center"/>
          </w:tcPr>
          <w:p>
            <w:pPr>
              <w:spacing w:line="360" w:lineRule="auto"/>
              <w:jc w:val="center"/>
              <w:rPr>
                <w:rFonts w:ascii="宋体" w:hAnsi="宋体"/>
                <w:color w:val="auto"/>
                <w:highlight w:val="none"/>
              </w:rPr>
            </w:pPr>
          </w:p>
        </w:tc>
        <w:tc>
          <w:tcPr>
            <w:tcW w:w="750"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highlight w:val="none"/>
              </w:rPr>
            </w:pPr>
          </w:p>
        </w:tc>
        <w:tc>
          <w:tcPr>
            <w:tcW w:w="2101" w:type="dxa"/>
            <w:vAlign w:val="center"/>
          </w:tcPr>
          <w:p>
            <w:pPr>
              <w:spacing w:line="360" w:lineRule="auto"/>
              <w:jc w:val="center"/>
              <w:rPr>
                <w:rFonts w:ascii="宋体" w:hAnsi="宋体"/>
                <w:color w:val="auto"/>
                <w:highlight w:val="none"/>
              </w:rPr>
            </w:pPr>
          </w:p>
        </w:tc>
        <w:tc>
          <w:tcPr>
            <w:tcW w:w="2468" w:type="dxa"/>
            <w:vAlign w:val="center"/>
          </w:tcPr>
          <w:p>
            <w:pPr>
              <w:spacing w:line="360" w:lineRule="auto"/>
              <w:jc w:val="center"/>
              <w:rPr>
                <w:rFonts w:ascii="宋体" w:hAnsi="宋体"/>
                <w:color w:val="auto"/>
                <w:highlight w:val="none"/>
              </w:rPr>
            </w:pPr>
          </w:p>
        </w:tc>
        <w:tc>
          <w:tcPr>
            <w:tcW w:w="2470" w:type="dxa"/>
            <w:vAlign w:val="center"/>
          </w:tcPr>
          <w:p>
            <w:pPr>
              <w:spacing w:line="360" w:lineRule="auto"/>
              <w:jc w:val="center"/>
              <w:rPr>
                <w:rFonts w:ascii="宋体" w:hAnsi="宋体"/>
                <w:color w:val="auto"/>
                <w:highlight w:val="none"/>
              </w:rPr>
            </w:pPr>
          </w:p>
        </w:tc>
        <w:tc>
          <w:tcPr>
            <w:tcW w:w="750"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highlight w:val="none"/>
              </w:rPr>
            </w:pPr>
          </w:p>
        </w:tc>
        <w:tc>
          <w:tcPr>
            <w:tcW w:w="2101" w:type="dxa"/>
            <w:vAlign w:val="center"/>
          </w:tcPr>
          <w:p>
            <w:pPr>
              <w:spacing w:line="360" w:lineRule="auto"/>
              <w:jc w:val="center"/>
              <w:rPr>
                <w:rFonts w:ascii="宋体" w:hAnsi="宋体"/>
                <w:color w:val="auto"/>
                <w:highlight w:val="none"/>
              </w:rPr>
            </w:pPr>
          </w:p>
        </w:tc>
        <w:tc>
          <w:tcPr>
            <w:tcW w:w="2468" w:type="dxa"/>
            <w:vAlign w:val="center"/>
          </w:tcPr>
          <w:p>
            <w:pPr>
              <w:spacing w:line="360" w:lineRule="auto"/>
              <w:jc w:val="center"/>
              <w:rPr>
                <w:rFonts w:ascii="宋体" w:hAnsi="宋体"/>
                <w:color w:val="auto"/>
                <w:highlight w:val="none"/>
              </w:rPr>
            </w:pPr>
          </w:p>
        </w:tc>
        <w:tc>
          <w:tcPr>
            <w:tcW w:w="2470" w:type="dxa"/>
            <w:vAlign w:val="center"/>
          </w:tcPr>
          <w:p>
            <w:pPr>
              <w:spacing w:line="360" w:lineRule="auto"/>
              <w:jc w:val="center"/>
              <w:rPr>
                <w:rFonts w:ascii="宋体" w:hAnsi="宋体"/>
                <w:color w:val="auto"/>
                <w:highlight w:val="none"/>
              </w:rPr>
            </w:pPr>
          </w:p>
        </w:tc>
        <w:tc>
          <w:tcPr>
            <w:tcW w:w="750"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highlight w:val="none"/>
              </w:rPr>
            </w:pPr>
          </w:p>
        </w:tc>
        <w:tc>
          <w:tcPr>
            <w:tcW w:w="2101" w:type="dxa"/>
            <w:vAlign w:val="center"/>
          </w:tcPr>
          <w:p>
            <w:pPr>
              <w:spacing w:line="360" w:lineRule="auto"/>
              <w:jc w:val="center"/>
              <w:rPr>
                <w:rFonts w:ascii="宋体" w:hAnsi="宋体"/>
                <w:color w:val="auto"/>
                <w:highlight w:val="none"/>
              </w:rPr>
            </w:pPr>
          </w:p>
        </w:tc>
        <w:tc>
          <w:tcPr>
            <w:tcW w:w="2468" w:type="dxa"/>
            <w:vAlign w:val="center"/>
          </w:tcPr>
          <w:p>
            <w:pPr>
              <w:spacing w:line="360" w:lineRule="auto"/>
              <w:jc w:val="center"/>
              <w:rPr>
                <w:rFonts w:ascii="宋体" w:hAnsi="宋体"/>
                <w:color w:val="auto"/>
                <w:highlight w:val="none"/>
              </w:rPr>
            </w:pPr>
          </w:p>
        </w:tc>
        <w:tc>
          <w:tcPr>
            <w:tcW w:w="2470" w:type="dxa"/>
            <w:vAlign w:val="center"/>
          </w:tcPr>
          <w:p>
            <w:pPr>
              <w:spacing w:line="360" w:lineRule="auto"/>
              <w:jc w:val="center"/>
              <w:rPr>
                <w:rFonts w:ascii="宋体" w:hAnsi="宋体"/>
                <w:color w:val="auto"/>
                <w:highlight w:val="none"/>
              </w:rPr>
            </w:pPr>
          </w:p>
        </w:tc>
        <w:tc>
          <w:tcPr>
            <w:tcW w:w="750"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highlight w:val="none"/>
              </w:rPr>
            </w:pPr>
          </w:p>
        </w:tc>
        <w:tc>
          <w:tcPr>
            <w:tcW w:w="2101" w:type="dxa"/>
            <w:vAlign w:val="center"/>
          </w:tcPr>
          <w:p>
            <w:pPr>
              <w:spacing w:line="360" w:lineRule="auto"/>
              <w:jc w:val="center"/>
              <w:rPr>
                <w:rFonts w:ascii="宋体" w:hAnsi="宋体"/>
                <w:color w:val="auto"/>
                <w:highlight w:val="none"/>
              </w:rPr>
            </w:pPr>
          </w:p>
        </w:tc>
        <w:tc>
          <w:tcPr>
            <w:tcW w:w="2468" w:type="dxa"/>
            <w:vAlign w:val="center"/>
          </w:tcPr>
          <w:p>
            <w:pPr>
              <w:spacing w:line="360" w:lineRule="auto"/>
              <w:jc w:val="center"/>
              <w:rPr>
                <w:rFonts w:ascii="宋体" w:hAnsi="宋体"/>
                <w:color w:val="auto"/>
                <w:highlight w:val="none"/>
              </w:rPr>
            </w:pPr>
          </w:p>
        </w:tc>
        <w:tc>
          <w:tcPr>
            <w:tcW w:w="2470" w:type="dxa"/>
            <w:vAlign w:val="center"/>
          </w:tcPr>
          <w:p>
            <w:pPr>
              <w:spacing w:line="360" w:lineRule="auto"/>
              <w:jc w:val="center"/>
              <w:rPr>
                <w:rFonts w:ascii="宋体" w:hAnsi="宋体"/>
                <w:color w:val="auto"/>
                <w:highlight w:val="none"/>
              </w:rPr>
            </w:pPr>
          </w:p>
        </w:tc>
        <w:tc>
          <w:tcPr>
            <w:tcW w:w="750"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highlight w:val="none"/>
              </w:rPr>
            </w:pPr>
          </w:p>
        </w:tc>
        <w:tc>
          <w:tcPr>
            <w:tcW w:w="2101" w:type="dxa"/>
            <w:vAlign w:val="center"/>
          </w:tcPr>
          <w:p>
            <w:pPr>
              <w:spacing w:line="360" w:lineRule="auto"/>
              <w:jc w:val="center"/>
              <w:rPr>
                <w:rFonts w:ascii="宋体" w:hAnsi="宋体"/>
                <w:color w:val="auto"/>
                <w:highlight w:val="none"/>
              </w:rPr>
            </w:pPr>
          </w:p>
        </w:tc>
        <w:tc>
          <w:tcPr>
            <w:tcW w:w="2468" w:type="dxa"/>
            <w:vAlign w:val="center"/>
          </w:tcPr>
          <w:p>
            <w:pPr>
              <w:spacing w:line="360" w:lineRule="auto"/>
              <w:jc w:val="center"/>
              <w:rPr>
                <w:rFonts w:ascii="宋体" w:hAnsi="宋体"/>
                <w:color w:val="auto"/>
                <w:highlight w:val="none"/>
              </w:rPr>
            </w:pPr>
          </w:p>
        </w:tc>
        <w:tc>
          <w:tcPr>
            <w:tcW w:w="2470" w:type="dxa"/>
            <w:vAlign w:val="center"/>
          </w:tcPr>
          <w:p>
            <w:pPr>
              <w:spacing w:line="360" w:lineRule="auto"/>
              <w:jc w:val="center"/>
              <w:rPr>
                <w:rFonts w:ascii="宋体" w:hAnsi="宋体"/>
                <w:color w:val="auto"/>
                <w:highlight w:val="none"/>
              </w:rPr>
            </w:pPr>
          </w:p>
        </w:tc>
        <w:tc>
          <w:tcPr>
            <w:tcW w:w="750"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highlight w:val="none"/>
              </w:rPr>
            </w:pPr>
          </w:p>
        </w:tc>
        <w:tc>
          <w:tcPr>
            <w:tcW w:w="2101" w:type="dxa"/>
            <w:vAlign w:val="center"/>
          </w:tcPr>
          <w:p>
            <w:pPr>
              <w:spacing w:line="360" w:lineRule="auto"/>
              <w:jc w:val="center"/>
              <w:rPr>
                <w:rFonts w:ascii="宋体" w:hAnsi="宋体"/>
                <w:color w:val="auto"/>
                <w:highlight w:val="none"/>
              </w:rPr>
            </w:pPr>
          </w:p>
        </w:tc>
        <w:tc>
          <w:tcPr>
            <w:tcW w:w="2468" w:type="dxa"/>
            <w:vAlign w:val="center"/>
          </w:tcPr>
          <w:p>
            <w:pPr>
              <w:spacing w:line="360" w:lineRule="auto"/>
              <w:jc w:val="center"/>
              <w:rPr>
                <w:rFonts w:ascii="宋体" w:hAnsi="宋体"/>
                <w:color w:val="auto"/>
                <w:highlight w:val="none"/>
              </w:rPr>
            </w:pPr>
          </w:p>
        </w:tc>
        <w:tc>
          <w:tcPr>
            <w:tcW w:w="2470" w:type="dxa"/>
            <w:vAlign w:val="center"/>
          </w:tcPr>
          <w:p>
            <w:pPr>
              <w:spacing w:line="360" w:lineRule="auto"/>
              <w:jc w:val="center"/>
              <w:rPr>
                <w:rFonts w:ascii="宋体" w:hAnsi="宋体"/>
                <w:color w:val="auto"/>
                <w:highlight w:val="none"/>
              </w:rPr>
            </w:pPr>
          </w:p>
        </w:tc>
        <w:tc>
          <w:tcPr>
            <w:tcW w:w="750"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highlight w:val="none"/>
              </w:rPr>
            </w:pPr>
          </w:p>
        </w:tc>
        <w:tc>
          <w:tcPr>
            <w:tcW w:w="2101" w:type="dxa"/>
            <w:vAlign w:val="center"/>
          </w:tcPr>
          <w:p>
            <w:pPr>
              <w:spacing w:line="360" w:lineRule="auto"/>
              <w:jc w:val="center"/>
              <w:rPr>
                <w:rFonts w:ascii="宋体" w:hAnsi="宋体"/>
                <w:color w:val="auto"/>
                <w:highlight w:val="none"/>
              </w:rPr>
            </w:pPr>
          </w:p>
        </w:tc>
        <w:tc>
          <w:tcPr>
            <w:tcW w:w="2468" w:type="dxa"/>
            <w:vAlign w:val="center"/>
          </w:tcPr>
          <w:p>
            <w:pPr>
              <w:spacing w:line="360" w:lineRule="auto"/>
              <w:jc w:val="center"/>
              <w:rPr>
                <w:rFonts w:ascii="宋体" w:hAnsi="宋体"/>
                <w:color w:val="auto"/>
                <w:highlight w:val="none"/>
              </w:rPr>
            </w:pPr>
          </w:p>
        </w:tc>
        <w:tc>
          <w:tcPr>
            <w:tcW w:w="2470" w:type="dxa"/>
            <w:vAlign w:val="center"/>
          </w:tcPr>
          <w:p>
            <w:pPr>
              <w:spacing w:line="360" w:lineRule="auto"/>
              <w:jc w:val="center"/>
              <w:rPr>
                <w:rFonts w:ascii="宋体" w:hAnsi="宋体"/>
                <w:color w:val="auto"/>
                <w:highlight w:val="none"/>
              </w:rPr>
            </w:pPr>
          </w:p>
        </w:tc>
        <w:tc>
          <w:tcPr>
            <w:tcW w:w="750" w:type="dxa"/>
            <w:vAlign w:val="center"/>
          </w:tcPr>
          <w:p>
            <w:pPr>
              <w:spacing w:line="360" w:lineRule="auto"/>
              <w:jc w:val="center"/>
              <w:rPr>
                <w:rFonts w:ascii="宋体" w:hAnsi="宋体"/>
                <w:color w:val="auto"/>
                <w:highlight w:val="none"/>
              </w:rPr>
            </w:pPr>
          </w:p>
        </w:tc>
      </w:tr>
    </w:tbl>
    <w:p>
      <w:pPr>
        <w:spacing w:line="360" w:lineRule="auto"/>
        <w:rPr>
          <w:rFonts w:ascii="宋体" w:hAnsi="宋体"/>
          <w:b/>
          <w:bCs/>
          <w:color w:val="auto"/>
          <w:highlight w:val="none"/>
        </w:rPr>
      </w:pPr>
      <w:r>
        <w:rPr>
          <w:rFonts w:hint="eastAsia" w:ascii="宋体" w:hAnsi="宋体" w:cs="宋体"/>
          <w:b/>
          <w:bCs/>
          <w:color w:val="auto"/>
          <w:highlight w:val="none"/>
        </w:rPr>
        <w:t>注</w:t>
      </w:r>
      <w:r>
        <w:rPr>
          <w:rFonts w:ascii="宋体" w:hAnsi="宋体" w:cs="宋体"/>
          <w:b/>
          <w:bCs/>
          <w:color w:val="auto"/>
          <w:highlight w:val="none"/>
        </w:rPr>
        <w:t xml:space="preserve"> </w:t>
      </w:r>
      <w:r>
        <w:rPr>
          <w:rFonts w:hint="eastAsia" w:ascii="宋体" w:hAnsi="宋体" w:cs="宋体"/>
          <w:b/>
          <w:bCs/>
          <w:color w:val="auto"/>
          <w:highlight w:val="none"/>
        </w:rPr>
        <w:t>：供应商须针对第二章《采购需求》、商务要求表、第三章《</w:t>
      </w:r>
      <w:r>
        <w:rPr>
          <w:rFonts w:hint="eastAsia" w:ascii="宋体" w:hAnsi="宋体" w:cs="宋体"/>
          <w:b/>
          <w:bCs/>
          <w:color w:val="auto"/>
          <w:highlight w:val="none"/>
          <w:lang w:val="en-US" w:eastAsia="zh-CN"/>
        </w:rPr>
        <w:t>供应商</w:t>
      </w:r>
      <w:r>
        <w:rPr>
          <w:rFonts w:hint="eastAsia" w:ascii="宋体" w:hAnsi="宋体" w:cs="宋体"/>
          <w:b/>
          <w:bCs/>
          <w:color w:val="auto"/>
          <w:highlight w:val="none"/>
        </w:rPr>
        <w:t>须知》内容及其他采购文件中商务条款要求进行响应。</w:t>
      </w:r>
    </w:p>
    <w:p>
      <w:pPr>
        <w:pStyle w:val="44"/>
        <w:widowControl w:val="0"/>
        <w:snapToGrid w:val="0"/>
        <w:spacing w:before="0" w:beforeAutospacing="0" w:after="0" w:afterAutospacing="0" w:line="360" w:lineRule="auto"/>
        <w:ind w:firstLine="301"/>
        <w:jc w:val="both"/>
        <w:rPr>
          <w:rFonts w:ascii="宋体" w:hAnsi="宋体"/>
          <w:color w:val="auto"/>
          <w:sz w:val="21"/>
          <w:szCs w:val="21"/>
          <w:highlight w:val="none"/>
        </w:rPr>
      </w:pPr>
    </w:p>
    <w:p>
      <w:pPr>
        <w:pStyle w:val="44"/>
        <w:widowControl w:val="0"/>
        <w:snapToGrid w:val="0"/>
        <w:spacing w:before="0" w:beforeAutospacing="0" w:after="0" w:afterAutospacing="0" w:line="360" w:lineRule="auto"/>
        <w:ind w:firstLine="301"/>
        <w:jc w:val="both"/>
        <w:rPr>
          <w:rFonts w:ascii="宋体" w:hAnsi="宋体"/>
          <w:color w:val="auto"/>
          <w:sz w:val="21"/>
          <w:szCs w:val="21"/>
          <w:highlight w:val="none"/>
        </w:rPr>
      </w:pPr>
      <w:r>
        <w:rPr>
          <w:rFonts w:hint="eastAsia" w:ascii="宋体" w:hAnsi="宋体" w:cs="宋体"/>
          <w:color w:val="auto"/>
          <w:spacing w:val="-4"/>
          <w:kern w:val="2"/>
          <w:sz w:val="21"/>
          <w:szCs w:val="21"/>
          <w:highlight w:val="none"/>
        </w:rPr>
        <w:t>供应商（盖章）：</w:t>
      </w:r>
    </w:p>
    <w:p>
      <w:pPr>
        <w:pStyle w:val="44"/>
        <w:widowControl w:val="0"/>
        <w:snapToGrid w:val="0"/>
        <w:spacing w:before="0" w:beforeAutospacing="0" w:after="0" w:afterAutospacing="0" w:line="360" w:lineRule="auto"/>
        <w:ind w:firstLine="301"/>
        <w:jc w:val="both"/>
        <w:rPr>
          <w:rFonts w:ascii="宋体" w:hAnsi="宋体"/>
          <w:color w:val="auto"/>
          <w:sz w:val="21"/>
          <w:szCs w:val="21"/>
          <w:highlight w:val="none"/>
        </w:rPr>
      </w:pPr>
      <w:r>
        <w:rPr>
          <w:rFonts w:hint="eastAsia" w:ascii="宋体" w:hAnsi="宋体" w:cs="宋体"/>
          <w:color w:val="auto"/>
          <w:spacing w:val="-4"/>
          <w:kern w:val="2"/>
          <w:sz w:val="21"/>
          <w:szCs w:val="21"/>
          <w:highlight w:val="none"/>
        </w:rPr>
        <w:t>法定代表或其授权代表：（签字或盖章）</w:t>
      </w:r>
    </w:p>
    <w:p>
      <w:pPr>
        <w:widowControl/>
        <w:spacing w:line="360" w:lineRule="auto"/>
        <w:jc w:val="left"/>
        <w:rPr>
          <w:rFonts w:ascii="宋体" w:hAns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p>
    <w:p>
      <w:pPr>
        <w:spacing w:line="360" w:lineRule="auto"/>
        <w:rPr>
          <w:rFonts w:ascii="宋体" w:hAnsi="宋体"/>
          <w:color w:val="auto"/>
          <w:highlight w:val="none"/>
        </w:rPr>
      </w:pPr>
    </w:p>
    <w:p>
      <w:pPr>
        <w:spacing w:line="360" w:lineRule="auto"/>
        <w:rPr>
          <w:rFonts w:ascii="宋体" w:hAnsi="宋体"/>
          <w:color w:val="auto"/>
          <w:highlight w:val="none"/>
        </w:rPr>
      </w:pPr>
    </w:p>
    <w:p>
      <w:pPr>
        <w:widowControl/>
        <w:spacing w:line="360" w:lineRule="auto"/>
        <w:jc w:val="left"/>
        <w:rPr>
          <w:rFonts w:ascii="宋体" w:hAnsi="宋体"/>
          <w:color w:val="auto"/>
          <w:highlight w:val="none"/>
        </w:rPr>
      </w:pPr>
    </w:p>
    <w:p>
      <w:pPr>
        <w:spacing w:line="360" w:lineRule="auto"/>
        <w:rPr>
          <w:rFonts w:ascii="宋体" w:hAnsi="宋体"/>
          <w:color w:val="auto"/>
          <w:highlight w:val="none"/>
        </w:rPr>
      </w:pPr>
    </w:p>
    <w:p>
      <w:pPr>
        <w:widowControl/>
        <w:jc w:val="left"/>
        <w:rPr>
          <w:rFonts w:ascii="宋体" w:hAnsi="宋体"/>
          <w:color w:val="auto"/>
          <w:highlight w:val="none"/>
        </w:rPr>
        <w:sectPr>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ind w:firstLine="241" w:firstLineChars="100"/>
        <w:jc w:val="both"/>
        <w:rPr>
          <w:rFonts w:ascii="宋体" w:hAnsi="宋体"/>
          <w:b/>
          <w:color w:val="auto"/>
          <w:sz w:val="24"/>
          <w:szCs w:val="24"/>
          <w:highlight w:val="none"/>
        </w:rPr>
      </w:pPr>
      <w:r>
        <w:rPr>
          <w:rFonts w:hint="eastAsia" w:ascii="宋体" w:hAnsi="宋体"/>
          <w:b/>
          <w:color w:val="auto"/>
          <w:sz w:val="24"/>
          <w:szCs w:val="24"/>
          <w:highlight w:val="none"/>
          <w:lang w:val="en-US" w:eastAsia="zh-CN"/>
        </w:rPr>
        <w:t>9</w:t>
      </w:r>
      <w:r>
        <w:rPr>
          <w:rFonts w:hint="eastAsia" w:ascii="宋体" w:hAnsi="宋体" w:cs="宋体"/>
          <w:b/>
          <w:color w:val="auto"/>
          <w:sz w:val="24"/>
          <w:szCs w:val="24"/>
          <w:highlight w:val="none"/>
        </w:rPr>
        <w:t>、针对本项目第四章评分标准中的条款拟定完整投标方案（格式自拟）；</w:t>
      </w:r>
    </w:p>
    <w:p>
      <w:pPr>
        <w:spacing w:line="360" w:lineRule="auto"/>
        <w:rPr>
          <w:rFonts w:ascii="宋体" w:hAnsi="宋体"/>
          <w:b/>
          <w:color w:val="auto"/>
          <w:sz w:val="24"/>
          <w:szCs w:val="24"/>
          <w:highlight w:val="none"/>
        </w:rPr>
      </w:pPr>
    </w:p>
    <w:p>
      <w:pPr>
        <w:spacing w:line="360" w:lineRule="auto"/>
        <w:rPr>
          <w:rFonts w:ascii="宋体" w:hAnsi="宋体"/>
          <w:b/>
          <w:color w:val="auto"/>
          <w:sz w:val="24"/>
          <w:szCs w:val="24"/>
          <w:highlight w:val="none"/>
        </w:rPr>
      </w:pPr>
    </w:p>
    <w:p>
      <w:pPr>
        <w:spacing w:line="360" w:lineRule="auto"/>
        <w:ind w:firstLine="241" w:firstLineChars="100"/>
        <w:outlineLvl w:val="2"/>
        <w:rPr>
          <w:rFonts w:ascii="宋体" w:hAnsi="宋体"/>
          <w:b/>
          <w:color w:val="auto"/>
          <w:sz w:val="24"/>
          <w:szCs w:val="24"/>
          <w:highlight w:val="none"/>
        </w:rPr>
      </w:pPr>
      <w:r>
        <w:rPr>
          <w:rFonts w:hint="eastAsia" w:ascii="宋体" w:hAnsi="宋体"/>
          <w:b/>
          <w:color w:val="auto"/>
          <w:sz w:val="24"/>
          <w:szCs w:val="24"/>
          <w:highlight w:val="none"/>
          <w:lang w:val="en-US" w:eastAsia="zh-CN"/>
        </w:rPr>
        <w:t>10</w:t>
      </w:r>
      <w:r>
        <w:rPr>
          <w:rFonts w:hint="eastAsia" w:ascii="宋体" w:hAnsi="宋体" w:cs="宋体"/>
          <w:b/>
          <w:color w:val="auto"/>
          <w:sz w:val="24"/>
          <w:szCs w:val="24"/>
          <w:highlight w:val="none"/>
        </w:rPr>
        <w:t>、供应商认为需要提供的其它材料（格式自拟）；</w:t>
      </w:r>
    </w:p>
    <w:p>
      <w:pPr>
        <w:spacing w:line="360" w:lineRule="auto"/>
        <w:rPr>
          <w:rFonts w:ascii="宋体" w:hAnsi="宋体"/>
          <w:color w:val="auto"/>
          <w:highlight w:val="none"/>
        </w:rPr>
      </w:pPr>
    </w:p>
    <w:p>
      <w:pPr>
        <w:snapToGrid w:val="0"/>
        <w:spacing w:before="50" w:after="120" w:afterLines="50" w:line="360" w:lineRule="auto"/>
        <w:rPr>
          <w:rFonts w:ascii="宋体" w:hAnsi="宋体"/>
          <w:b/>
          <w:bCs/>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s="宋体"/>
          <w:b/>
          <w:color w:val="auto"/>
          <w:sz w:val="28"/>
          <w:szCs w:val="28"/>
          <w:highlight w:val="none"/>
        </w:rPr>
      </w:pPr>
      <w:r>
        <w:rPr>
          <w:rFonts w:ascii="宋体" w:hAnsi="宋体"/>
          <w:b/>
          <w:bCs/>
          <w:color w:val="auto"/>
          <w:highlight w:val="none"/>
        </w:rPr>
        <w:br w:type="page"/>
      </w:r>
      <w:r>
        <w:rPr>
          <w:rFonts w:hint="eastAsia" w:ascii="宋体" w:hAnsi="宋体"/>
          <w:b/>
          <w:bCs/>
          <w:color w:val="auto"/>
          <w:sz w:val="28"/>
          <w:szCs w:val="28"/>
          <w:highlight w:val="none"/>
        </w:rPr>
        <w:t>三、</w:t>
      </w:r>
      <w:r>
        <w:rPr>
          <w:rFonts w:hint="eastAsia" w:ascii="宋体" w:hAnsi="宋体" w:cs="宋体"/>
          <w:b/>
          <w:color w:val="auto"/>
          <w:sz w:val="28"/>
          <w:szCs w:val="28"/>
          <w:highlight w:val="none"/>
        </w:rPr>
        <w:t>报价文件格式</w:t>
      </w:r>
    </w:p>
    <w:p>
      <w:pPr>
        <w:snapToGrid w:val="0"/>
        <w:spacing w:before="120" w:beforeLines="50" w:after="50" w:line="360" w:lineRule="auto"/>
        <w:rPr>
          <w:rFonts w:ascii="宋体" w:hAns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报价文件的外包装封面格式（不可缺）：</w:t>
      </w:r>
    </w:p>
    <w:p>
      <w:pPr>
        <w:snapToGrid w:val="0"/>
        <w:spacing w:before="120" w:beforeLines="50" w:after="50" w:line="360" w:lineRule="auto"/>
        <w:jc w:val="center"/>
        <w:rPr>
          <w:rFonts w:ascii="宋体" w:hAnsi="宋体"/>
          <w:color w:val="auto"/>
          <w:highlight w:val="none"/>
        </w:rPr>
      </w:pPr>
      <w:r>
        <w:rPr>
          <w:rFonts w:hint="eastAsia" w:ascii="宋体" w:hAnsi="宋体" w:cs="宋体"/>
          <w:color w:val="auto"/>
          <w:highlight w:val="none"/>
        </w:rPr>
        <w:t>报价文件</w:t>
      </w:r>
    </w:p>
    <w:p>
      <w:pPr>
        <w:snapToGrid w:val="0"/>
        <w:spacing w:before="120" w:beforeLines="50" w:after="50" w:line="360" w:lineRule="auto"/>
        <w:ind w:firstLine="932" w:firstLineChars="444"/>
        <w:rPr>
          <w:rFonts w:ascii="宋体" w:hAnsi="宋体"/>
          <w:color w:val="auto"/>
          <w:highlight w:val="none"/>
        </w:rPr>
      </w:pPr>
      <w:r>
        <w:rPr>
          <w:rFonts w:hint="eastAsia" w:ascii="宋体" w:hAnsi="宋体" w:cs="宋体"/>
          <w:color w:val="auto"/>
          <w:highlight w:val="none"/>
        </w:rPr>
        <w:t>项目名称：</w:t>
      </w:r>
    </w:p>
    <w:p>
      <w:pPr>
        <w:snapToGrid w:val="0"/>
        <w:spacing w:before="120" w:beforeLines="50" w:after="50" w:line="360" w:lineRule="auto"/>
        <w:ind w:firstLine="932" w:firstLineChars="444"/>
        <w:rPr>
          <w:rFonts w:ascii="宋体" w:hAnsi="宋体"/>
          <w:color w:val="auto"/>
          <w:highlight w:val="none"/>
        </w:rPr>
      </w:pPr>
      <w:r>
        <w:rPr>
          <w:rFonts w:hint="eastAsia" w:ascii="宋体" w:hAnsi="宋体" w:cs="宋体"/>
          <w:color w:val="auto"/>
          <w:highlight w:val="none"/>
        </w:rPr>
        <w:t>项目编号：</w:t>
      </w:r>
      <w:r>
        <w:rPr>
          <w:rFonts w:ascii="宋体" w:hAnsi="宋体" w:cs="宋体"/>
          <w:color w:val="auto"/>
          <w:highlight w:val="none"/>
        </w:rPr>
        <w:t xml:space="preserve">   </w:t>
      </w:r>
    </w:p>
    <w:p>
      <w:pPr>
        <w:snapToGrid w:val="0"/>
        <w:spacing w:before="120" w:beforeLines="50" w:after="50" w:line="360" w:lineRule="auto"/>
        <w:ind w:firstLine="932" w:firstLineChars="444"/>
        <w:rPr>
          <w:rFonts w:ascii="宋体" w:hAnsi="宋体"/>
          <w:color w:val="auto"/>
          <w:highlight w:val="none"/>
        </w:rPr>
      </w:pPr>
    </w:p>
    <w:p>
      <w:pPr>
        <w:pStyle w:val="6"/>
        <w:snapToGrid w:val="0"/>
        <w:spacing w:before="50" w:after="50" w:line="360" w:lineRule="auto"/>
        <w:ind w:firstLine="1070" w:firstLineChars="444"/>
        <w:rPr>
          <w:rFonts w:ascii="宋体" w:hAnsi="宋体"/>
          <w:color w:val="auto"/>
          <w:highlight w:val="none"/>
        </w:rPr>
      </w:pPr>
      <w:r>
        <w:rPr>
          <w:rFonts w:ascii="宋体" w:hAnsi="宋体"/>
          <w:color w:val="auto"/>
          <w:highlight w:val="none"/>
        </w:rPr>
        <w:t>供应商名称：</w:t>
      </w:r>
    </w:p>
    <w:p>
      <w:pPr>
        <w:pStyle w:val="6"/>
        <w:snapToGrid w:val="0"/>
        <w:spacing w:before="50" w:after="50" w:line="360" w:lineRule="auto"/>
        <w:ind w:firstLine="1070" w:firstLineChars="444"/>
        <w:rPr>
          <w:rFonts w:ascii="宋体" w:hAnsi="宋体"/>
          <w:color w:val="auto"/>
          <w:highlight w:val="none"/>
        </w:rPr>
      </w:pPr>
      <w:r>
        <w:rPr>
          <w:rFonts w:ascii="宋体" w:hAnsi="宋体"/>
          <w:color w:val="auto"/>
          <w:highlight w:val="none"/>
        </w:rPr>
        <w:t>供应商地址：</w:t>
      </w:r>
    </w:p>
    <w:p>
      <w:pPr>
        <w:pStyle w:val="6"/>
        <w:snapToGrid w:val="0"/>
        <w:spacing w:before="50" w:after="50" w:line="360" w:lineRule="auto"/>
        <w:ind w:firstLine="1070" w:firstLineChars="444"/>
        <w:jc w:val="center"/>
        <w:rPr>
          <w:rFonts w:ascii="宋体" w:hAnsi="宋体"/>
          <w:color w:val="auto"/>
          <w:highlight w:val="none"/>
        </w:rPr>
      </w:pPr>
      <w:r>
        <w:rPr>
          <w:rFonts w:ascii="宋体" w:hAnsi="宋体"/>
          <w:color w:val="auto"/>
          <w:highlight w:val="none"/>
        </w:rPr>
        <w:t>开标时启封</w:t>
      </w:r>
    </w:p>
    <w:p>
      <w:pPr>
        <w:spacing w:line="360" w:lineRule="auto"/>
        <w:rPr>
          <w:rFonts w:ascii="宋体" w:hAnsi="宋体"/>
          <w:color w:val="auto"/>
          <w:highlight w:val="none"/>
        </w:rPr>
      </w:pPr>
      <w:r>
        <w:rPr>
          <w:rFonts w:ascii="宋体" w:hAnsi="宋体" w:cs="宋体"/>
          <w:color w:val="auto"/>
          <w:highlight w:val="none"/>
        </w:rPr>
        <w:t xml:space="preserve"> </w:t>
      </w:r>
      <w:r>
        <w:rPr>
          <w:rFonts w:ascii="宋体" w:hAnsi="宋体"/>
          <w:color w:val="auto"/>
          <w:highlight w:val="none"/>
        </w:rPr>
        <w:t xml:space="preserve">                                                               </w:t>
      </w:r>
      <w:r>
        <w:rPr>
          <w:rFonts w:hint="eastAsia" w:ascii="宋体" w:hAnsi="宋体" w:cs="宋体"/>
          <w:color w:val="auto"/>
          <w:highlight w:val="none"/>
        </w:rPr>
        <w:t>年</w:t>
      </w:r>
      <w:r>
        <w:rPr>
          <w:rFonts w:ascii="宋体" w:hAnsi="宋体"/>
          <w:color w:val="auto"/>
          <w:highlight w:val="none"/>
        </w:rPr>
        <w:t xml:space="preserve">  </w:t>
      </w:r>
      <w:r>
        <w:rPr>
          <w:rFonts w:hint="eastAsia" w:ascii="宋体" w:hAnsi="宋体" w:cs="宋体"/>
          <w:color w:val="auto"/>
          <w:highlight w:val="none"/>
        </w:rPr>
        <w:t>月</w:t>
      </w:r>
      <w:r>
        <w:rPr>
          <w:rFonts w:ascii="宋体" w:hAnsi="宋体"/>
          <w:color w:val="auto"/>
          <w:highlight w:val="none"/>
        </w:rPr>
        <w:t xml:space="preserve">  </w:t>
      </w:r>
      <w:r>
        <w:rPr>
          <w:rFonts w:hint="eastAsia" w:ascii="宋体" w:hAnsi="宋体" w:cs="宋体"/>
          <w:color w:val="auto"/>
          <w:highlight w:val="none"/>
        </w:rPr>
        <w:t>日</w:t>
      </w:r>
    </w:p>
    <w:p>
      <w:pPr>
        <w:spacing w:line="360" w:lineRule="auto"/>
        <w:rPr>
          <w:rFonts w:ascii="宋体" w:hAnsi="宋体"/>
          <w:color w:val="auto"/>
          <w:highlight w:val="none"/>
        </w:rPr>
      </w:pPr>
    </w:p>
    <w:p>
      <w:pPr>
        <w:snapToGrid w:val="0"/>
        <w:spacing w:before="120" w:beforeLines="50" w:after="50" w:line="360" w:lineRule="auto"/>
        <w:rPr>
          <w:rFonts w:ascii="宋体" w:hAnsi="宋体"/>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报价文件封面格式：</w:t>
      </w:r>
      <w:r>
        <w:rPr>
          <w:rFonts w:ascii="宋体" w:hAnsi="宋体" w:cs="宋体"/>
          <w:color w:val="auto"/>
          <w:sz w:val="24"/>
          <w:szCs w:val="24"/>
          <w:highlight w:val="none"/>
        </w:rPr>
        <w:t xml:space="preserve"> </w:t>
      </w:r>
    </w:p>
    <w:p>
      <w:pPr>
        <w:snapToGrid w:val="0"/>
        <w:spacing w:before="120" w:beforeLines="50" w:after="50" w:line="360" w:lineRule="auto"/>
        <w:rPr>
          <w:rFonts w:ascii="宋体" w:hAnsi="宋体"/>
          <w:b/>
          <w:bCs/>
          <w:color w:val="auto"/>
          <w:highlight w:val="none"/>
        </w:rPr>
      </w:pPr>
      <w:r>
        <w:rPr>
          <w:rFonts w:ascii="宋体" w:hAnsi="宋体" w:cs="宋体"/>
          <w:color w:val="auto"/>
          <w:highlight w:val="none"/>
        </w:rPr>
        <w:t xml:space="preserve">                                                    </w:t>
      </w:r>
      <w:r>
        <w:rPr>
          <w:rFonts w:hint="eastAsia" w:ascii="宋体" w:hAnsi="宋体" w:cs="宋体"/>
          <w:b/>
          <w:bCs/>
          <w:color w:val="auto"/>
          <w:highlight w:val="none"/>
        </w:rPr>
        <w:t>正本</w:t>
      </w:r>
      <w:r>
        <w:rPr>
          <w:rFonts w:ascii="宋体" w:hAnsi="宋体" w:cs="宋体"/>
          <w:b/>
          <w:bCs/>
          <w:color w:val="auto"/>
          <w:highlight w:val="none"/>
        </w:rPr>
        <w:t>/</w:t>
      </w:r>
      <w:r>
        <w:rPr>
          <w:rFonts w:hint="eastAsia" w:ascii="宋体" w:hAnsi="宋体" w:cs="宋体"/>
          <w:b/>
          <w:bCs/>
          <w:color w:val="auto"/>
          <w:highlight w:val="none"/>
        </w:rPr>
        <w:t>或副本</w:t>
      </w:r>
    </w:p>
    <w:p>
      <w:pPr>
        <w:snapToGrid w:val="0"/>
        <w:spacing w:before="120" w:beforeLines="50" w:after="50" w:line="360" w:lineRule="auto"/>
        <w:jc w:val="center"/>
        <w:rPr>
          <w:rFonts w:ascii="宋体" w:hAnsi="宋体"/>
          <w:color w:val="auto"/>
          <w:highlight w:val="none"/>
        </w:rPr>
      </w:pPr>
      <w:r>
        <w:rPr>
          <w:rFonts w:hint="eastAsia" w:ascii="宋体" w:hAnsi="宋体" w:cs="宋体"/>
          <w:color w:val="auto"/>
          <w:highlight w:val="none"/>
        </w:rPr>
        <w:t>报价</w:t>
      </w:r>
      <w:r>
        <w:rPr>
          <w:rFonts w:ascii="宋体" w:hAnsi="宋体" w:cs="宋体"/>
          <w:color w:val="auto"/>
          <w:highlight w:val="none"/>
        </w:rPr>
        <w:t xml:space="preserve"> </w:t>
      </w:r>
      <w:r>
        <w:rPr>
          <w:rFonts w:hint="eastAsia" w:ascii="宋体" w:hAnsi="宋体" w:cs="宋体"/>
          <w:color w:val="auto"/>
          <w:highlight w:val="none"/>
        </w:rPr>
        <w:t>文</w:t>
      </w:r>
      <w:r>
        <w:rPr>
          <w:rFonts w:ascii="宋体" w:hAnsi="宋体" w:cs="宋体"/>
          <w:color w:val="auto"/>
          <w:highlight w:val="none"/>
        </w:rPr>
        <w:t xml:space="preserve"> </w:t>
      </w:r>
      <w:r>
        <w:rPr>
          <w:rFonts w:hint="eastAsia" w:ascii="宋体" w:hAnsi="宋体" w:cs="宋体"/>
          <w:color w:val="auto"/>
          <w:highlight w:val="none"/>
        </w:rPr>
        <w:t>件</w:t>
      </w:r>
    </w:p>
    <w:p>
      <w:pPr>
        <w:snapToGrid w:val="0"/>
        <w:spacing w:before="120" w:beforeLines="50" w:after="50" w:line="360" w:lineRule="auto"/>
        <w:rPr>
          <w:rFonts w:ascii="宋体" w:hAns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项目名称：</w:t>
      </w:r>
      <w:r>
        <w:rPr>
          <w:rFonts w:ascii="宋体" w:hAnsi="宋体"/>
          <w:color w:val="auto"/>
          <w:highlight w:val="none"/>
        </w:rPr>
        <w:t xml:space="preserve"> </w:t>
      </w:r>
    </w:p>
    <w:p>
      <w:pPr>
        <w:snapToGrid w:val="0"/>
        <w:spacing w:before="120" w:beforeLines="50" w:after="50" w:line="360" w:lineRule="auto"/>
        <w:ind w:firstLine="504" w:firstLineChars="240"/>
        <w:rPr>
          <w:rFonts w:ascii="宋体" w:hAnsi="宋体"/>
          <w:color w:val="auto"/>
          <w:highlight w:val="none"/>
        </w:rPr>
      </w:pPr>
      <w:r>
        <w:rPr>
          <w:rFonts w:hint="eastAsia" w:ascii="宋体" w:hAnsi="宋体" w:cs="宋体"/>
          <w:color w:val="auto"/>
          <w:highlight w:val="none"/>
        </w:rPr>
        <w:t>项目编号：</w:t>
      </w:r>
      <w:r>
        <w:rPr>
          <w:rFonts w:ascii="宋体" w:hAnsi="宋体" w:cs="宋体"/>
          <w:color w:val="auto"/>
          <w:highlight w:val="none"/>
        </w:rPr>
        <w:t xml:space="preserve"> </w:t>
      </w:r>
    </w:p>
    <w:p>
      <w:pPr>
        <w:snapToGrid w:val="0"/>
        <w:spacing w:before="120" w:beforeLines="50" w:after="50" w:line="360" w:lineRule="auto"/>
        <w:ind w:firstLine="525" w:firstLineChars="250"/>
        <w:rPr>
          <w:rFonts w:ascii="宋体" w:hAnsi="宋体"/>
          <w:color w:val="auto"/>
          <w:highlight w:val="none"/>
        </w:rPr>
      </w:pPr>
    </w:p>
    <w:p>
      <w:pPr>
        <w:snapToGrid w:val="0"/>
        <w:spacing w:before="120" w:beforeLines="50" w:after="50" w:line="360" w:lineRule="auto"/>
        <w:ind w:firstLine="504" w:firstLineChars="240"/>
        <w:rPr>
          <w:rFonts w:ascii="宋体" w:hAnsi="宋体"/>
          <w:color w:val="auto"/>
          <w:highlight w:val="none"/>
        </w:rPr>
      </w:pPr>
      <w:r>
        <w:rPr>
          <w:rFonts w:hint="eastAsia" w:ascii="宋体" w:hAnsi="宋体" w:cs="宋体"/>
          <w:color w:val="auto"/>
          <w:highlight w:val="none"/>
        </w:rPr>
        <w:t>供应商名称：</w:t>
      </w:r>
    </w:p>
    <w:p>
      <w:pPr>
        <w:pStyle w:val="6"/>
        <w:snapToGrid w:val="0"/>
        <w:spacing w:before="50" w:after="50" w:line="360" w:lineRule="auto"/>
        <w:ind w:firstLine="578" w:firstLineChars="240"/>
        <w:rPr>
          <w:rFonts w:ascii="宋体" w:hAnsi="宋体"/>
          <w:color w:val="auto"/>
          <w:highlight w:val="none"/>
        </w:rPr>
      </w:pPr>
      <w:r>
        <w:rPr>
          <w:rFonts w:ascii="宋体" w:hAnsi="宋体"/>
          <w:color w:val="auto"/>
          <w:highlight w:val="none"/>
        </w:rPr>
        <w:t>供应商地址：</w:t>
      </w:r>
    </w:p>
    <w:p>
      <w:pPr>
        <w:pStyle w:val="25"/>
        <w:snapToGrid w:val="0"/>
        <w:spacing w:before="120" w:after="120" w:line="360" w:lineRule="auto"/>
        <w:jc w:val="center"/>
        <w:rPr>
          <w:rFonts w:hAnsi="宋体"/>
          <w:color w:val="auto"/>
          <w:highlight w:val="none"/>
        </w:rPr>
      </w:pPr>
      <w:r>
        <w:rPr>
          <w:rFonts w:hAnsi="宋体"/>
          <w:color w:val="auto"/>
          <w:highlight w:val="none"/>
        </w:rPr>
        <w:t xml:space="preserve">                                             </w:t>
      </w:r>
      <w:r>
        <w:rPr>
          <w:rFonts w:hint="eastAsia" w:hAnsi="宋体"/>
          <w:color w:val="auto"/>
          <w:highlight w:val="none"/>
        </w:rPr>
        <w:t>年</w:t>
      </w:r>
      <w:r>
        <w:rPr>
          <w:rFonts w:hAnsi="宋体"/>
          <w:color w:val="auto"/>
          <w:highlight w:val="none"/>
        </w:rPr>
        <w:t xml:space="preserve">  </w:t>
      </w:r>
      <w:r>
        <w:rPr>
          <w:rFonts w:hint="eastAsia" w:hAnsi="宋体"/>
          <w:color w:val="auto"/>
          <w:highlight w:val="none"/>
        </w:rPr>
        <w:t>月</w:t>
      </w:r>
      <w:r>
        <w:rPr>
          <w:rFonts w:hAnsi="宋体"/>
          <w:color w:val="auto"/>
          <w:highlight w:val="none"/>
        </w:rPr>
        <w:t xml:space="preserve">  </w:t>
      </w:r>
      <w:r>
        <w:rPr>
          <w:rFonts w:hint="eastAsia" w:hAnsi="宋体"/>
          <w:color w:val="auto"/>
          <w:highlight w:val="none"/>
        </w:rPr>
        <w:t>日</w:t>
      </w:r>
    </w:p>
    <w:p>
      <w:pPr>
        <w:spacing w:line="360" w:lineRule="auto"/>
        <w:rPr>
          <w:rFonts w:ascii="宋体" w:hAnsi="宋体"/>
          <w:b/>
          <w:bCs/>
          <w:color w:val="auto"/>
          <w:sz w:val="24"/>
          <w:szCs w:val="24"/>
          <w:highlight w:val="none"/>
        </w:rPr>
      </w:pPr>
      <w:r>
        <w:rPr>
          <w:rFonts w:ascii="宋体" w:hAnsi="宋体"/>
          <w:color w:val="auto"/>
          <w:highlight w:val="none"/>
        </w:rPr>
        <w:br w:type="page"/>
      </w:r>
      <w:r>
        <w:rPr>
          <w:rFonts w:ascii="宋体" w:hAnsi="宋体" w:cs="宋体"/>
          <w:color w:val="auto"/>
          <w:sz w:val="24"/>
          <w:szCs w:val="24"/>
          <w:highlight w:val="none"/>
        </w:rPr>
        <w:t>3.</w:t>
      </w:r>
      <w:r>
        <w:rPr>
          <w:rFonts w:hint="eastAsia" w:ascii="宋体" w:hAnsi="宋体" w:cs="宋体"/>
          <w:b/>
          <w:bCs/>
          <w:color w:val="auto"/>
          <w:sz w:val="24"/>
          <w:szCs w:val="24"/>
          <w:highlight w:val="none"/>
        </w:rPr>
        <w:t>报价文件：</w:t>
      </w:r>
    </w:p>
    <w:p>
      <w:pPr>
        <w:spacing w:line="360" w:lineRule="auto"/>
        <w:rPr>
          <w:rFonts w:hint="eastAsia" w:ascii="宋体" w:hAnsi="宋体"/>
          <w:color w:val="auto"/>
          <w:highlight w:val="none"/>
        </w:rPr>
      </w:pPr>
      <w:r>
        <w:rPr>
          <w:rFonts w:hint="default" w:ascii="宋体" w:hAnsi="宋体"/>
          <w:color w:val="auto"/>
          <w:highlight w:val="none"/>
          <w:lang w:val="en-US" w:eastAsia="zh-CN"/>
        </w:rPr>
        <w:t>1、</w:t>
      </w:r>
      <w:r>
        <w:rPr>
          <w:rFonts w:hint="eastAsia" w:ascii="宋体" w:hAnsi="宋体"/>
          <w:color w:val="auto"/>
          <w:highlight w:val="none"/>
        </w:rPr>
        <w:t>开标一览表（格式附后）；</w:t>
      </w:r>
    </w:p>
    <w:p>
      <w:pPr>
        <w:spacing w:line="360" w:lineRule="auto"/>
        <w:rPr>
          <w:rFonts w:hint="eastAsia" w:ascii="宋体" w:hAnsi="宋体"/>
          <w:color w:val="auto"/>
          <w:highlight w:val="none"/>
        </w:rPr>
      </w:pPr>
      <w:r>
        <w:rPr>
          <w:rFonts w:hint="default" w:ascii="宋体" w:hAnsi="宋体"/>
          <w:color w:val="auto"/>
          <w:highlight w:val="none"/>
          <w:lang w:val="en-US" w:eastAsia="zh-CN"/>
        </w:rPr>
        <w:t>2、</w:t>
      </w:r>
      <w:r>
        <w:rPr>
          <w:rFonts w:hint="eastAsia" w:ascii="宋体" w:hAnsi="宋体"/>
          <w:color w:val="auto"/>
          <w:highlight w:val="none"/>
          <w:lang w:eastAsia="zh-CN"/>
        </w:rPr>
        <w:t>投标分项报价表（</w:t>
      </w:r>
      <w:r>
        <w:rPr>
          <w:rFonts w:hint="eastAsia" w:ascii="宋体" w:hAnsi="宋体"/>
          <w:color w:val="auto"/>
          <w:highlight w:val="none"/>
          <w:lang w:val="en-US" w:eastAsia="zh-CN"/>
        </w:rPr>
        <w:t>格式自拟</w:t>
      </w:r>
      <w:r>
        <w:rPr>
          <w:rFonts w:hint="eastAsia" w:ascii="宋体" w:hAnsi="宋体"/>
          <w:color w:val="auto"/>
          <w:highlight w:val="none"/>
          <w:lang w:eastAsia="zh-CN"/>
        </w:rPr>
        <w:t>）</w:t>
      </w:r>
    </w:p>
    <w:p>
      <w:pPr>
        <w:spacing w:line="360" w:lineRule="auto"/>
        <w:rPr>
          <w:rFonts w:hint="eastAsia" w:ascii="宋体" w:hAnsi="宋体"/>
          <w:color w:val="auto"/>
          <w:highlight w:val="none"/>
        </w:rPr>
      </w:pPr>
      <w:r>
        <w:rPr>
          <w:rFonts w:hint="default" w:ascii="宋体" w:hAnsi="宋体"/>
          <w:color w:val="auto"/>
          <w:highlight w:val="none"/>
          <w:lang w:val="en-US" w:eastAsia="zh-CN"/>
        </w:rPr>
        <w:t>3、</w:t>
      </w:r>
      <w:r>
        <w:rPr>
          <w:rFonts w:hint="eastAsia" w:ascii="宋体" w:hAnsi="宋体"/>
          <w:color w:val="auto"/>
          <w:highlight w:val="none"/>
        </w:rPr>
        <w:t>供应商针对报价需要说明的其他文件和说明（格式自拟）</w:t>
      </w:r>
    </w:p>
    <w:p>
      <w:pPr>
        <w:spacing w:line="360" w:lineRule="auto"/>
        <w:rPr>
          <w:rFonts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ascii="宋体" w:hAnsi="宋体" w:cs="RomanS"/>
          <w:b/>
          <w:color w:val="auto"/>
          <w:sz w:val="24"/>
          <w:szCs w:val="24"/>
          <w:highlight w:val="none"/>
        </w:rPr>
      </w:pPr>
      <w:r>
        <w:rPr>
          <w:rFonts w:ascii="宋体" w:hAnsi="宋体"/>
          <w:b/>
          <w:bCs/>
          <w:color w:val="auto"/>
          <w:highlight w:val="none"/>
        </w:rPr>
        <w:br w:type="page"/>
      </w:r>
      <w:r>
        <w:rPr>
          <w:rFonts w:ascii="宋体" w:hAnsi="宋体" w:cs="RomanS"/>
          <w:b/>
          <w:color w:val="auto"/>
          <w:sz w:val="24"/>
          <w:szCs w:val="24"/>
          <w:highlight w:val="none"/>
        </w:rPr>
        <w:t>1</w:t>
      </w:r>
      <w:r>
        <w:rPr>
          <w:rFonts w:hint="eastAsia" w:ascii="宋体" w:hAnsi="宋体" w:cs="RomanS"/>
          <w:b/>
          <w:color w:val="auto"/>
          <w:sz w:val="24"/>
          <w:szCs w:val="24"/>
          <w:highlight w:val="none"/>
        </w:rPr>
        <w:t>、开标一览表格式</w:t>
      </w:r>
    </w:p>
    <w:p>
      <w:pPr>
        <w:snapToGrid w:val="0"/>
        <w:spacing w:before="50" w:after="50" w:line="360" w:lineRule="auto"/>
        <w:rPr>
          <w:rFonts w:ascii="宋体" w:hAnsi="宋体"/>
          <w:color w:val="auto"/>
          <w:highlight w:val="none"/>
          <w:u w:val="single"/>
        </w:rPr>
      </w:pPr>
    </w:p>
    <w:p>
      <w:pPr>
        <w:snapToGrid w:val="0"/>
        <w:spacing w:before="50" w:after="50"/>
        <w:jc w:val="center"/>
        <w:rPr>
          <w:rFonts w:ascii="宋体" w:hAnsi="宋体"/>
          <w:b/>
          <w:color w:val="auto"/>
          <w:szCs w:val="21"/>
          <w:highlight w:val="none"/>
        </w:rPr>
      </w:pPr>
      <w:bookmarkStart w:id="52" w:name="_Toc25084"/>
      <w:r>
        <w:rPr>
          <w:rFonts w:hint="eastAsia" w:ascii="宋体" w:hAnsi="宋体"/>
          <w:b/>
          <w:color w:val="auto"/>
          <w:szCs w:val="21"/>
          <w:highlight w:val="none"/>
        </w:rPr>
        <w:t>开标一览表</w:t>
      </w:r>
    </w:p>
    <w:p>
      <w:pPr>
        <w:spacing w:beforeLines="10" w:line="360" w:lineRule="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致：</w:t>
      </w:r>
      <w:r>
        <w:rPr>
          <w:rFonts w:hint="eastAsia" w:ascii="宋体" w:hAnsi="宋体" w:eastAsia="宋体" w:cs="宋体"/>
          <w:b/>
          <w:color w:val="auto"/>
          <w:sz w:val="22"/>
          <w:szCs w:val="22"/>
          <w:highlight w:val="none"/>
          <w:u w:val="single"/>
        </w:rPr>
        <w:t>（采购人）</w:t>
      </w:r>
    </w:p>
    <w:p>
      <w:pPr>
        <w:spacing w:beforeLines="10" w:line="360" w:lineRule="auto"/>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按你方采购文件要求，我们本投标文件签字方，谨此向你方发出要约如下：如你方接受本投标文件，我方承诺按照如下开标一览表的价格完成【项目名称：</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】实施。</w:t>
      </w:r>
    </w:p>
    <w:tbl>
      <w:tblPr>
        <w:tblStyle w:val="49"/>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811" w:type="dxa"/>
            <w:tcBorders>
              <w:top w:val="double" w:color="auto" w:sz="4" w:space="0"/>
              <w:left w:val="double" w:color="auto" w:sz="4" w:space="0"/>
              <w:bottom w:val="double" w:color="auto" w:sz="4" w:space="0"/>
            </w:tcBorders>
            <w:noWrap/>
            <w:vAlign w:val="center"/>
          </w:tcPr>
          <w:p>
            <w:pPr>
              <w:pStyle w:val="20"/>
              <w:widowControl/>
              <w:spacing w:line="400" w:lineRule="exact"/>
              <w:ind w:firstLine="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采购内容</w:t>
            </w:r>
          </w:p>
        </w:tc>
        <w:tc>
          <w:tcPr>
            <w:tcW w:w="7189" w:type="dxa"/>
            <w:tcBorders>
              <w:top w:val="double" w:color="auto" w:sz="4" w:space="0"/>
              <w:bottom w:val="double" w:color="auto" w:sz="4" w:space="0"/>
              <w:right w:val="double" w:color="auto" w:sz="4" w:space="0"/>
            </w:tcBorders>
            <w:noWrap/>
            <w:vAlign w:val="center"/>
          </w:tcPr>
          <w:p>
            <w:pPr>
              <w:pStyle w:val="20"/>
              <w:widowControl/>
              <w:spacing w:line="400" w:lineRule="exact"/>
              <w:ind w:firstLine="0"/>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投标</w:t>
            </w:r>
            <w:r>
              <w:rPr>
                <w:rFonts w:hint="eastAsia" w:ascii="宋体" w:hAnsi="宋体" w:eastAsia="宋体" w:cs="宋体"/>
                <w:b/>
                <w:bCs/>
                <w:color w:val="auto"/>
                <w:sz w:val="22"/>
                <w:szCs w:val="22"/>
                <w:highlight w:val="none"/>
                <w:lang w:val="en-US" w:eastAsia="zh-CN"/>
              </w:rPr>
              <w:t>总</w:t>
            </w:r>
            <w:r>
              <w:rPr>
                <w:rFonts w:hint="eastAsia" w:ascii="宋体" w:hAnsi="宋体" w:eastAsia="宋体" w:cs="宋体"/>
                <w:b/>
                <w:bCs/>
                <w:color w:val="auto"/>
                <w:sz w:val="22"/>
                <w:szCs w:val="22"/>
                <w:highlight w:val="none"/>
              </w:rPr>
              <w:t>报价</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元</w:t>
            </w:r>
            <w:r>
              <w:rPr>
                <w:rFonts w:hint="eastAsia" w:ascii="宋体" w:hAnsi="宋体" w:eastAsia="宋体" w:cs="宋体"/>
                <w:b/>
                <w:bCs/>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trPr>
        <w:tc>
          <w:tcPr>
            <w:tcW w:w="1811" w:type="dxa"/>
            <w:tcBorders>
              <w:top w:val="double" w:color="auto" w:sz="4" w:space="0"/>
              <w:left w:val="double" w:color="auto" w:sz="4" w:space="0"/>
              <w:bottom w:val="double" w:color="auto" w:sz="4" w:space="0"/>
            </w:tcBorders>
            <w:noWrap/>
            <w:vAlign w:val="center"/>
          </w:tcPr>
          <w:p>
            <w:pPr>
              <w:pStyle w:val="20"/>
              <w:widowControl/>
              <w:spacing w:line="400" w:lineRule="exact"/>
              <w:ind w:firstLine="0"/>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w:t>
            </w:r>
            <w:r>
              <w:rPr>
                <w:rFonts w:hint="eastAsia" w:ascii="宋体" w:hAnsi="宋体" w:eastAsia="宋体" w:cs="宋体"/>
                <w:b/>
                <w:bCs/>
                <w:color w:val="auto"/>
                <w:sz w:val="22"/>
                <w:szCs w:val="22"/>
                <w:highlight w:val="none"/>
                <w:lang w:val="en-US" w:eastAsia="zh-CN"/>
              </w:rPr>
              <w:t>总</w:t>
            </w:r>
            <w:r>
              <w:rPr>
                <w:rFonts w:hint="eastAsia" w:ascii="宋体" w:hAnsi="宋体" w:eastAsia="宋体" w:cs="宋体"/>
                <w:b/>
                <w:bCs/>
                <w:color w:val="auto"/>
                <w:sz w:val="22"/>
                <w:szCs w:val="22"/>
                <w:highlight w:val="none"/>
              </w:rPr>
              <w:t>报价</w:t>
            </w:r>
          </w:p>
        </w:tc>
        <w:tc>
          <w:tcPr>
            <w:tcW w:w="7189" w:type="dxa"/>
            <w:tcBorders>
              <w:top w:val="double" w:color="auto" w:sz="4" w:space="0"/>
              <w:bottom w:val="double" w:color="auto" w:sz="4" w:space="0"/>
              <w:right w:val="double" w:color="auto" w:sz="4" w:space="0"/>
            </w:tcBorders>
            <w:noWrap/>
            <w:vAlign w:val="center"/>
          </w:tcPr>
          <w:p>
            <w:pPr>
              <w:pStyle w:val="20"/>
              <w:widowControl/>
              <w:spacing w:line="400" w:lineRule="exact"/>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人民币 </w:t>
            </w:r>
            <w:r>
              <w:rPr>
                <w:rFonts w:hint="eastAsia" w:ascii="宋体" w:hAnsi="宋体" w:eastAsia="宋体" w:cs="宋体"/>
                <w:i/>
                <w:iCs/>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元</w:t>
            </w:r>
          </w:p>
          <w:p>
            <w:pPr>
              <w:pStyle w:val="20"/>
              <w:widowControl/>
              <w:spacing w:line="400" w:lineRule="exact"/>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1811" w:type="dxa"/>
            <w:tcBorders>
              <w:top w:val="double" w:color="auto" w:sz="4" w:space="0"/>
              <w:left w:val="double" w:color="auto" w:sz="4" w:space="0"/>
              <w:bottom w:val="double" w:color="auto" w:sz="4" w:space="0"/>
            </w:tcBorders>
            <w:noWrap/>
            <w:vAlign w:val="center"/>
          </w:tcPr>
          <w:p>
            <w:pPr>
              <w:pStyle w:val="20"/>
              <w:widowControl/>
              <w:spacing w:line="400" w:lineRule="exact"/>
              <w:ind w:firstLine="0"/>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服务期限</w:t>
            </w:r>
          </w:p>
        </w:tc>
        <w:tc>
          <w:tcPr>
            <w:tcW w:w="7189" w:type="dxa"/>
            <w:tcBorders>
              <w:top w:val="double" w:color="auto" w:sz="4" w:space="0"/>
              <w:bottom w:val="double" w:color="auto" w:sz="4" w:space="0"/>
              <w:right w:val="double" w:color="auto" w:sz="4" w:space="0"/>
            </w:tcBorders>
            <w:noWrap/>
            <w:vAlign w:val="center"/>
          </w:tcPr>
          <w:p>
            <w:pPr>
              <w:pStyle w:val="20"/>
              <w:widowControl/>
              <w:spacing w:line="400" w:lineRule="exact"/>
              <w:ind w:firstLine="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1811" w:type="dxa"/>
            <w:tcBorders>
              <w:top w:val="double" w:color="auto" w:sz="4" w:space="0"/>
              <w:left w:val="double" w:color="auto" w:sz="4" w:space="0"/>
            </w:tcBorders>
            <w:noWrap/>
            <w:vAlign w:val="center"/>
          </w:tcPr>
          <w:p>
            <w:pPr>
              <w:pStyle w:val="20"/>
              <w:widowControl/>
              <w:spacing w:line="400" w:lineRule="exact"/>
              <w:ind w:firstLine="0"/>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投标声明</w:t>
            </w:r>
          </w:p>
        </w:tc>
        <w:tc>
          <w:tcPr>
            <w:tcW w:w="7189" w:type="dxa"/>
            <w:tcBorders>
              <w:top w:val="double" w:color="auto" w:sz="4" w:space="0"/>
              <w:right w:val="double" w:color="auto" w:sz="4" w:space="0"/>
            </w:tcBorders>
            <w:noWrap/>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若无填“/”即可</w:t>
            </w:r>
          </w:p>
        </w:tc>
      </w:tr>
    </w:tbl>
    <w:p>
      <w:pPr>
        <w:pStyle w:val="20"/>
        <w:keepNext w:val="0"/>
        <w:keepLines w:val="0"/>
        <w:pageBreakBefore w:val="0"/>
        <w:widowControl/>
        <w:kinsoku/>
        <w:wordWrap/>
        <w:overflowPunct/>
        <w:topLinePunct w:val="0"/>
        <w:autoSpaceDE/>
        <w:autoSpaceDN/>
        <w:bidi w:val="0"/>
        <w:adjustRightInd/>
        <w:snapToGrid/>
        <w:spacing w:line="360" w:lineRule="auto"/>
        <w:ind w:firstLine="426" w:firstLineChars="200"/>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 1、报价一经涂改，应在涂改处加盖单位公章或者由法定代表人或授权代表签名或盖章，否则其投标作无效标处理。</w:t>
      </w:r>
    </w:p>
    <w:p>
      <w:pPr>
        <w:pStyle w:val="20"/>
        <w:keepNext w:val="0"/>
        <w:keepLines w:val="0"/>
        <w:pageBreakBefore w:val="0"/>
        <w:widowControl/>
        <w:kinsoku/>
        <w:wordWrap/>
        <w:overflowPunct/>
        <w:topLinePunct w:val="0"/>
        <w:autoSpaceDE/>
        <w:autoSpaceDN/>
        <w:bidi w:val="0"/>
        <w:adjustRightInd/>
        <w:snapToGrid/>
        <w:spacing w:line="360" w:lineRule="auto"/>
        <w:ind w:firstLine="851" w:firstLineChars="400"/>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2、投标报价是履行合同的最终价格，包含但不限于购买服务需交纳的所有税费及其他一切相关费用。投标人少报或漏报的工作量，采购人将视为已包含在投标总价中，并不予调整。</w:t>
      </w:r>
    </w:p>
    <w:p>
      <w:pPr>
        <w:pStyle w:val="20"/>
        <w:keepNext w:val="0"/>
        <w:keepLines w:val="0"/>
        <w:pageBreakBefore w:val="0"/>
        <w:widowControl/>
        <w:kinsoku/>
        <w:wordWrap/>
        <w:overflowPunct/>
        <w:topLinePunct w:val="0"/>
        <w:autoSpaceDE/>
        <w:autoSpaceDN/>
        <w:bidi w:val="0"/>
        <w:adjustRightInd/>
        <w:snapToGrid/>
        <w:spacing w:line="360" w:lineRule="auto"/>
        <w:ind w:firstLine="851" w:firstLineChars="400"/>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投标总价建议四舍五入保留至整数位。</w:t>
      </w:r>
    </w:p>
    <w:p>
      <w:pPr>
        <w:pStyle w:val="20"/>
        <w:widowControl/>
        <w:spacing w:line="360" w:lineRule="auto"/>
        <w:ind w:firstLine="5088" w:firstLineChars="2400"/>
        <w:jc w:val="left"/>
        <w:rPr>
          <w:rFonts w:hint="eastAsia" w:ascii="宋体" w:hAnsi="宋体" w:eastAsia="宋体" w:cs="宋体"/>
          <w:color w:val="auto"/>
          <w:sz w:val="22"/>
          <w:szCs w:val="22"/>
          <w:highlight w:val="none"/>
        </w:rPr>
      </w:pPr>
    </w:p>
    <w:p>
      <w:pPr>
        <w:pStyle w:val="20"/>
        <w:widowControl/>
        <w:spacing w:line="360" w:lineRule="auto"/>
        <w:ind w:left="0" w:leftChars="0"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供应商全称（盖公章）：</w:t>
      </w:r>
    </w:p>
    <w:p>
      <w:pPr>
        <w:pStyle w:val="20"/>
        <w:widowControl/>
        <w:spacing w:line="360" w:lineRule="auto"/>
        <w:ind w:left="0" w:leftChars="0"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法定代表人或其授权委托人（签名或印章）：</w:t>
      </w:r>
    </w:p>
    <w:p>
      <w:pPr>
        <w:spacing w:line="360" w:lineRule="auto"/>
        <w:ind w:right="18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年   月  日</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p>
    <w:bookmarkEnd w:id="52"/>
    <w:p>
      <w:pPr>
        <w:rPr>
          <w:rFonts w:hint="eastAsia" w:ascii="宋体" w:hAnsi="宋体"/>
          <w:b/>
          <w:bCs/>
          <w:color w:val="auto"/>
          <w:highlight w:val="none"/>
          <w:lang w:val="en-US" w:eastAsia="zh-CN"/>
        </w:rPr>
      </w:pPr>
      <w:r>
        <w:rPr>
          <w:rFonts w:hint="eastAsia" w:ascii="宋体" w:hAnsi="宋体"/>
          <w:b/>
          <w:bCs/>
          <w:color w:val="auto"/>
          <w:highlight w:val="none"/>
          <w:lang w:val="en-US" w:eastAsia="zh-CN"/>
        </w:rPr>
        <w:br w:type="page"/>
      </w:r>
    </w:p>
    <w:p>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outlineLvl w:val="2"/>
        <w:rPr>
          <w:rFonts w:hint="eastAsia" w:ascii="宋体" w:hAnsi="宋体" w:cs="宋体"/>
          <w:b/>
          <w:bCs/>
          <w:color w:val="auto"/>
          <w:highlight w:val="none"/>
          <w:lang w:eastAsia="zh-CN"/>
        </w:rPr>
      </w:pPr>
      <w:r>
        <w:rPr>
          <w:rFonts w:hint="eastAsia" w:ascii="宋体" w:hAnsi="宋体"/>
          <w:b/>
          <w:bCs/>
          <w:color w:val="auto"/>
          <w:highlight w:val="none"/>
          <w:lang w:val="en-US" w:eastAsia="zh-CN"/>
        </w:rPr>
        <w:t>2</w:t>
      </w:r>
      <w:r>
        <w:rPr>
          <w:rFonts w:hint="eastAsia" w:ascii="宋体" w:hAnsi="宋体" w:cs="宋体"/>
          <w:b/>
          <w:bCs/>
          <w:color w:val="auto"/>
          <w:highlight w:val="none"/>
        </w:rPr>
        <w:t>、</w:t>
      </w:r>
      <w:r>
        <w:rPr>
          <w:rFonts w:hint="eastAsia" w:ascii="宋体" w:hAnsi="宋体" w:cs="宋体"/>
          <w:b/>
          <w:bCs/>
          <w:color w:val="auto"/>
          <w:highlight w:val="none"/>
          <w:lang w:eastAsia="zh-CN"/>
        </w:rPr>
        <w:t>投标分项报价表（</w:t>
      </w:r>
      <w:r>
        <w:rPr>
          <w:rFonts w:hint="eastAsia" w:ascii="宋体" w:hAnsi="宋体" w:cs="宋体"/>
          <w:b/>
          <w:bCs/>
          <w:color w:val="auto"/>
          <w:highlight w:val="none"/>
          <w:lang w:val="en-US" w:eastAsia="zh-CN"/>
        </w:rPr>
        <w:t>格式自拟</w:t>
      </w:r>
      <w:r>
        <w:rPr>
          <w:rFonts w:hint="eastAsia" w:ascii="宋体" w:hAnsi="宋体" w:cs="宋体"/>
          <w:b/>
          <w:bCs/>
          <w:color w:val="auto"/>
          <w:highlight w:val="none"/>
          <w:lang w:eastAsia="zh-CN"/>
        </w:rPr>
        <w:t>）</w:t>
      </w:r>
    </w:p>
    <w:p>
      <w:pPr>
        <w:rPr>
          <w:rFonts w:hint="eastAsia" w:ascii="宋体" w:hAnsi="宋体" w:cs="宋体"/>
          <w:b/>
          <w:bCs/>
          <w:color w:val="auto"/>
          <w:highlight w:val="none"/>
          <w:lang w:eastAsia="zh-CN"/>
        </w:rPr>
      </w:pPr>
      <w:r>
        <w:rPr>
          <w:rFonts w:hint="eastAsia" w:ascii="宋体" w:hAnsi="宋体" w:cs="宋体"/>
          <w:b/>
          <w:bCs/>
          <w:color w:val="auto"/>
          <w:highlight w:val="none"/>
          <w:lang w:eastAsia="zh-CN"/>
        </w:rPr>
        <w:br w:type="page"/>
      </w:r>
    </w:p>
    <w:p>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outlineLvl w:val="2"/>
        <w:rPr>
          <w:rFonts w:ascii="宋体" w:hAnsi="宋体"/>
          <w:b/>
          <w:bCs/>
          <w:color w:val="auto"/>
          <w:highlight w:val="none"/>
        </w:rPr>
      </w:pPr>
      <w:r>
        <w:rPr>
          <w:rFonts w:hint="eastAsia" w:ascii="宋体" w:hAnsi="宋体" w:cs="宋体"/>
          <w:b/>
          <w:bCs/>
          <w:color w:val="auto"/>
          <w:highlight w:val="none"/>
          <w:lang w:val="en-US" w:eastAsia="zh-CN"/>
        </w:rPr>
        <w:t>3、</w:t>
      </w:r>
      <w:r>
        <w:rPr>
          <w:rFonts w:hint="eastAsia" w:ascii="宋体" w:hAnsi="宋体" w:cs="宋体"/>
          <w:b/>
          <w:bCs/>
          <w:color w:val="auto"/>
          <w:highlight w:val="none"/>
        </w:rPr>
        <w:t>供应商针对报价需要说明的其他文件和说明（格式自拟）；</w:t>
      </w:r>
    </w:p>
    <w:p>
      <w:pPr>
        <w:snapToGrid w:val="0"/>
        <w:spacing w:before="50" w:after="50" w:line="360" w:lineRule="auto"/>
        <w:rPr>
          <w:rFonts w:ascii="宋体" w:hAnsi="宋体"/>
          <w:color w:val="auto"/>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p>
    <w:p>
      <w:pPr>
        <w:rPr>
          <w:rFonts w:ascii="宋体" w:hAnsi="宋体"/>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s="宋体"/>
          <w:b/>
          <w:color w:val="auto"/>
          <w:sz w:val="28"/>
          <w:szCs w:val="28"/>
          <w:highlight w:val="none"/>
        </w:rPr>
      </w:pPr>
      <w:r>
        <w:rPr>
          <w:rFonts w:hint="eastAsia" w:ascii="宋体" w:hAnsi="宋体"/>
          <w:b/>
          <w:bCs/>
          <w:color w:val="auto"/>
          <w:sz w:val="28"/>
          <w:szCs w:val="28"/>
          <w:highlight w:val="none"/>
        </w:rPr>
        <w:t>四、电子</w:t>
      </w:r>
      <w:r>
        <w:rPr>
          <w:rFonts w:hint="eastAsia" w:ascii="宋体" w:hAnsi="宋体" w:cs="宋体"/>
          <w:b/>
          <w:color w:val="auto"/>
          <w:sz w:val="28"/>
          <w:szCs w:val="28"/>
          <w:highlight w:val="none"/>
        </w:rPr>
        <w:t>文件格式</w:t>
      </w:r>
    </w:p>
    <w:p>
      <w:pPr>
        <w:snapToGrid w:val="0"/>
        <w:spacing w:before="120" w:beforeLines="50" w:after="50" w:line="360" w:lineRule="auto"/>
        <w:rPr>
          <w:rFonts w:ascii="宋体" w:hAnsi="宋体" w:cs="宋体"/>
          <w:b/>
          <w:bCs/>
          <w:color w:val="auto"/>
          <w:sz w:val="24"/>
          <w:szCs w:val="24"/>
          <w:highlight w:val="none"/>
        </w:rPr>
      </w:pPr>
    </w:p>
    <w:p>
      <w:pPr>
        <w:snapToGrid w:val="0"/>
        <w:spacing w:before="120" w:beforeLines="50" w:after="50" w:line="360" w:lineRule="auto"/>
        <w:rPr>
          <w:rFonts w:ascii="宋体" w:hAns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电子文件的外包装封面格式（不可缺）：</w:t>
      </w:r>
    </w:p>
    <w:p>
      <w:pPr>
        <w:snapToGrid w:val="0"/>
        <w:spacing w:before="120" w:beforeLines="50" w:after="50" w:line="360" w:lineRule="auto"/>
        <w:ind w:firstLine="932" w:firstLineChars="444"/>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电子备份投标文件</w:t>
      </w:r>
    </w:p>
    <w:p>
      <w:pPr>
        <w:snapToGrid w:val="0"/>
        <w:spacing w:before="120" w:beforeLines="50" w:after="50" w:line="360" w:lineRule="auto"/>
        <w:ind w:firstLine="932" w:firstLineChars="444"/>
        <w:rPr>
          <w:rFonts w:ascii="宋体" w:hAnsi="宋体"/>
          <w:color w:val="auto"/>
          <w:highlight w:val="none"/>
        </w:rPr>
      </w:pPr>
      <w:r>
        <w:rPr>
          <w:rFonts w:hint="eastAsia" w:ascii="宋体" w:hAnsi="宋体" w:cs="宋体"/>
          <w:color w:val="auto"/>
          <w:highlight w:val="none"/>
        </w:rPr>
        <w:t>项目名称：</w:t>
      </w:r>
    </w:p>
    <w:p>
      <w:pPr>
        <w:snapToGrid w:val="0"/>
        <w:spacing w:before="120" w:beforeLines="50" w:after="50" w:line="360" w:lineRule="auto"/>
        <w:ind w:firstLine="932" w:firstLineChars="444"/>
        <w:rPr>
          <w:rFonts w:ascii="宋体" w:hAnsi="宋体"/>
          <w:color w:val="auto"/>
          <w:highlight w:val="none"/>
        </w:rPr>
      </w:pPr>
      <w:r>
        <w:rPr>
          <w:rFonts w:hint="eastAsia" w:ascii="宋体" w:hAnsi="宋体" w:cs="宋体"/>
          <w:color w:val="auto"/>
          <w:highlight w:val="none"/>
        </w:rPr>
        <w:t>项目编号：</w:t>
      </w:r>
      <w:r>
        <w:rPr>
          <w:rFonts w:ascii="宋体" w:hAnsi="宋体" w:cs="宋体"/>
          <w:color w:val="auto"/>
          <w:highlight w:val="none"/>
        </w:rPr>
        <w:t xml:space="preserve">   </w:t>
      </w:r>
    </w:p>
    <w:p>
      <w:pPr>
        <w:snapToGrid w:val="0"/>
        <w:spacing w:before="120" w:beforeLines="50" w:after="50" w:line="360" w:lineRule="auto"/>
        <w:ind w:firstLine="932" w:firstLineChars="444"/>
        <w:rPr>
          <w:rFonts w:hint="eastAsia" w:ascii="宋体" w:hAnsi="宋体" w:eastAsia="宋体"/>
          <w:color w:val="auto"/>
          <w:highlight w:val="none"/>
          <w:lang w:eastAsia="zh-CN"/>
        </w:rPr>
      </w:pPr>
      <w:r>
        <w:rPr>
          <w:rFonts w:hint="eastAsia" w:ascii="宋体" w:hAnsi="宋体" w:cs="宋体"/>
          <w:color w:val="auto"/>
          <w:highlight w:val="none"/>
          <w:lang w:val="en-US" w:eastAsia="zh-CN"/>
        </w:rPr>
        <w:t xml:space="preserve"> </w:t>
      </w:r>
    </w:p>
    <w:p>
      <w:pPr>
        <w:pStyle w:val="6"/>
        <w:snapToGrid w:val="0"/>
        <w:spacing w:before="50" w:after="50" w:line="360" w:lineRule="auto"/>
        <w:ind w:firstLine="1070" w:firstLineChars="444"/>
        <w:rPr>
          <w:rFonts w:ascii="宋体" w:hAnsi="宋体"/>
          <w:color w:val="auto"/>
          <w:highlight w:val="none"/>
        </w:rPr>
      </w:pPr>
      <w:r>
        <w:rPr>
          <w:rFonts w:ascii="宋体" w:hAnsi="宋体"/>
          <w:color w:val="auto"/>
          <w:highlight w:val="none"/>
        </w:rPr>
        <w:t>供应商名称：</w:t>
      </w:r>
    </w:p>
    <w:p>
      <w:pPr>
        <w:pStyle w:val="6"/>
        <w:snapToGrid w:val="0"/>
        <w:spacing w:before="50" w:after="50" w:line="360" w:lineRule="auto"/>
        <w:ind w:firstLine="1070" w:firstLineChars="444"/>
        <w:rPr>
          <w:rFonts w:ascii="宋体" w:hAnsi="宋体"/>
          <w:color w:val="auto"/>
          <w:highlight w:val="none"/>
        </w:rPr>
      </w:pPr>
      <w:r>
        <w:rPr>
          <w:rFonts w:ascii="宋体" w:hAnsi="宋体"/>
          <w:color w:val="auto"/>
          <w:highlight w:val="none"/>
        </w:rPr>
        <w:t>供应商地址：</w:t>
      </w:r>
    </w:p>
    <w:p>
      <w:pPr>
        <w:spacing w:line="288" w:lineRule="auto"/>
        <w:ind w:firstLine="490" w:firstLineChars="214"/>
        <w:jc w:val="left"/>
        <w:rPr>
          <w:rFonts w:hint="eastAsia" w:ascii="宋体" w:hAnsi="宋体" w:cs="宋体"/>
          <w:b/>
          <w:bCs/>
          <w:color w:val="auto"/>
          <w:spacing w:val="-6"/>
          <w:sz w:val="24"/>
          <w:szCs w:val="24"/>
          <w:highlight w:val="none"/>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bookmarkEnd w:id="27"/>
    <w:bookmarkEnd w:id="28"/>
    <w:p>
      <w:pPr>
        <w:rPr>
          <w:rFonts w:hint="default" w:ascii="宋体" w:hAnsi="宋体" w:eastAsia="宋体"/>
          <w:b/>
          <w:bCs/>
          <w:color w:val="auto"/>
          <w:sz w:val="28"/>
          <w:szCs w:val="28"/>
          <w:lang w:val="en-US" w:eastAsia="zh-CN"/>
        </w:rPr>
      </w:pPr>
      <w:r>
        <w:rPr>
          <w:rFonts w:hint="eastAsia" w:ascii="宋体" w:hAnsi="宋体"/>
          <w:b/>
          <w:bCs/>
          <w:color w:val="auto"/>
          <w:sz w:val="28"/>
          <w:szCs w:val="28"/>
          <w:lang w:val="en-US" w:eastAsia="zh-CN"/>
        </w:rPr>
        <w:t xml:space="preserve">   </w:t>
      </w:r>
    </w:p>
    <w:sectPr>
      <w:headerReference r:id="rId11" w:type="default"/>
      <w:footerReference r:id="rId12" w:type="default"/>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decorative"/>
    <w:pitch w:val="default"/>
    <w:sig w:usb0="E1002EFF" w:usb1="C000605B" w:usb2="00000029" w:usb3="00000000" w:csb0="200101FF" w:csb1="20280000"/>
  </w:font>
  <w:font w:name="Cambria">
    <w:panose1 w:val="02040503050406030204"/>
    <w:charset w:val="00"/>
    <w:family w:val="modern"/>
    <w:pitch w:val="default"/>
    <w:sig w:usb0="E00002FF" w:usb1="400004FF" w:usb2="00000000" w:usb3="00000000" w:csb0="2000019F" w:csb1="00000000"/>
  </w:font>
  <w:font w:name="PingFang SC">
    <w:altName w:val="宋体"/>
    <w:panose1 w:val="020B0400000000000000"/>
    <w:charset w:val="86"/>
    <w:family w:val="decorative"/>
    <w:pitch w:val="default"/>
    <w:sig w:usb0="00000000" w:usb1="00000000" w:usb2="00000017"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Microsoft YaHei UI">
    <w:altName w:val="宋体"/>
    <w:panose1 w:val="020B0503020204020204"/>
    <w:charset w:val="86"/>
    <w:family w:val="decorative"/>
    <w:pitch w:val="default"/>
    <w:sig w:usb0="00000000" w:usb1="00000000" w:usb2="00000016" w:usb3="00000000" w:csb0="0004001F" w:csb1="00000000"/>
  </w:font>
  <w:font w:name="Arial Unicode MS">
    <w:altName w:val="宋体"/>
    <w:panose1 w:val="020B0604020202020204"/>
    <w:charset w:val="86"/>
    <w:family w:val="decorative"/>
    <w:pitch w:val="default"/>
    <w:sig w:usb0="00000000" w:usb1="00000000" w:usb2="0000003F" w:usb3="00000000" w:csb0="603F01FF" w:csb1="FFFF0000"/>
  </w:font>
  <w:font w:name="Verdana">
    <w:panose1 w:val="020B0604030504040204"/>
    <w:charset w:val="00"/>
    <w:family w:val="decorative"/>
    <w:pitch w:val="default"/>
    <w:sig w:usb0="A10006FF" w:usb1="4000205B" w:usb2="00000010" w:usb3="00000000" w:csb0="2000019F" w:csb1="00000000"/>
  </w:font>
  <w:font w:name="Thorndale">
    <w:altName w:val="Segoe Print"/>
    <w:panose1 w:val="00000000000000000000"/>
    <w:charset w:val="00"/>
    <w:family w:val="modern"/>
    <w:pitch w:val="default"/>
    <w:sig w:usb0="00000000" w:usb1="00000000" w:usb2="00000000" w:usb3="00000000" w:csb0="00000001" w:csb1="00000000"/>
  </w:font>
  <w:font w:name="汉鼎简细圆">
    <w:altName w:val="宋体"/>
    <w:panose1 w:val="0201060900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Helvetica">
    <w:altName w:val="Arial"/>
    <w:panose1 w:val="020B0504020202030204"/>
    <w:charset w:val="00"/>
    <w:family w:val="decorative"/>
    <w:pitch w:val="default"/>
    <w:sig w:usb0="00000000" w:usb1="00000000" w:usb2="00000000" w:usb3="00000000" w:csb0="00000093" w:csb1="00000000"/>
  </w:font>
  <w:font w:name="微软雅黑 Light">
    <w:altName w:val="黑体"/>
    <w:panose1 w:val="020B0502040204020203"/>
    <w:charset w:val="86"/>
    <w:family w:val="decorative"/>
    <w:pitch w:val="default"/>
    <w:sig w:usb0="00000000" w:usb1="00000000" w:usb2="00000016" w:usb3="00000000" w:csb0="0004001F" w:csb1="00000000"/>
  </w:font>
  <w:font w:name="ヒラギノ角ゴ Pro W3">
    <w:altName w:val="MS UI Gothic"/>
    <w:panose1 w:val="020B0300000000000000"/>
    <w:charset w:val="80"/>
    <w:family w:val="modern"/>
    <w:pitch w:val="default"/>
    <w:sig w:usb0="00000000" w:usb1="00000000" w:usb2="00000012" w:usb3="00000000" w:csb0="0002000D" w:csb1="00000000"/>
  </w:font>
  <w:font w:name="仿宋">
    <w:panose1 w:val="02010609060101010101"/>
    <w:charset w:val="86"/>
    <w:family w:val="auto"/>
    <w:pitch w:val="default"/>
    <w:sig w:usb0="800002BF" w:usb1="38CF7CFA" w:usb2="00000016" w:usb3="00000000" w:csb0="00040001" w:csb1="00000000"/>
  </w:font>
  <w:font w:name="RomanS">
    <w:altName w:val="Vrinda"/>
    <w:panose1 w:val="02000400000000000000"/>
    <w:charset w:val="00"/>
    <w:family w:val="auto"/>
    <w:pitch w:val="default"/>
    <w:sig w:usb0="00000000" w:usb1="00000000" w:usb2="00000000" w:usb3="00000000" w:csb0="000001FF" w:csb1="00000000"/>
  </w:font>
  <w:font w:name="方正隶变简体">
    <w:altName w:val="宋体"/>
    <w:panose1 w:val="00000000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uto" w:vAnchor="margin" w:hAnchor="text" w:xAlign="left" w:yAlign="inline"/>
    </w:pPr>
  </w:p>
  <w:p>
    <w:pPr>
      <w:pStyle w:val="31"/>
      <w:framePr w:wrap="auto" w:vAnchor="margin" w:hAnchor="text" w:xAlign="left" w:yAlign="in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53"/>
      </w:rPr>
    </w:pPr>
    <w:r>
      <w:fldChar w:fldCharType="begin"/>
    </w:r>
    <w:r>
      <w:rPr>
        <w:rStyle w:val="53"/>
      </w:rPr>
      <w:instrText xml:space="preserve">PAGE  </w:instrTex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uto" w:vAnchor="margin" w:hAnchor="text" w:xAlign="left" w:yAlign="inline"/>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uto" w:vAnchor="margin" w:hAnchor="text" w:xAlign="left" w:yAlign="inline"/>
    </w:pPr>
  </w:p>
  <w:p>
    <w:pPr>
      <w:pStyle w:val="31"/>
      <w:framePr w:wrap="auto" w:vAnchor="margin" w:hAnchor="text" w:xAlign="left" w:yAlign="inli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uto" w:vAnchor="margin" w:hAnchor="text" w:xAlign="left" w:yAlign="inli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uto" w:vAnchor="margin" w:hAnchor="text" w:xAlign="left" w:yAlign="inline"/>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uto" w:vAnchor="margin" w:hAnchor="text" w:xAlign="left" w:yAlign="inline"/>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uto" w:vAnchor="margin" w:hAnchor="text" w:xAlign="left" w:yAlign="inline"/>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tabs>
        <w:tab w:val="right" w:pos="9813"/>
        <w:tab w:val="clear" w:pos="4153"/>
        <w:tab w:val="clear" w:pos="8306"/>
      </w:tabs>
      <w:spacing w:line="0" w:lineRule="atLeast"/>
      <w:ind w:left="-964" w:right="-970"/>
      <w:jc w:val="left"/>
      <w:rPr>
        <w:rFonts w:ascii="方正隶变简体" w:hAnsi="宋体" w:eastAsia="方正隶变简体" w:cs="宋体"/>
        <w:w w:val="80"/>
        <w:sz w:val="15"/>
        <w:szCs w:val="15"/>
      </w:rPr>
    </w:pPr>
    <w:r>
      <w:rPr>
        <w:rFonts w:hint="eastAsia" w:ascii="方正隶变简体" w:hAnsi="宋体" w:eastAsia="方正隶变简体" w:cs="宋体"/>
        <w:w w:val="80"/>
        <w:sz w:val="15"/>
        <w:szCs w:val="15"/>
      </w:rPr>
      <w:tab/>
    </w:r>
    <w:r>
      <w:rPr>
        <w:rFonts w:hint="eastAsia" w:ascii="方正隶变简体" w:hAnsi="宋体" w:eastAsia="方正隶变简体" w:cs="宋体"/>
        <w:w w:val="80"/>
        <w:sz w:val="15"/>
        <w:szCs w:val="15"/>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A5FD7"/>
    <w:multiLevelType w:val="singleLevel"/>
    <w:tmpl w:val="BF1A5FD7"/>
    <w:lvl w:ilvl="0" w:tentative="0">
      <w:start w:val="1"/>
      <w:numFmt w:val="chineseCounting"/>
      <w:suff w:val="nothing"/>
      <w:lvlText w:val="（%1）"/>
      <w:lvlJc w:val="left"/>
      <w:rPr>
        <w:rFonts w:hint="eastAsia"/>
      </w:rPr>
    </w:lvl>
  </w:abstractNum>
  <w:abstractNum w:abstractNumId="1">
    <w:nsid w:val="C2647CD0"/>
    <w:multiLevelType w:val="singleLevel"/>
    <w:tmpl w:val="C2647CD0"/>
    <w:lvl w:ilvl="0" w:tentative="0">
      <w:start w:val="1"/>
      <w:numFmt w:val="decimal"/>
      <w:suff w:val="nothing"/>
      <w:lvlText w:val="%1、"/>
      <w:lvlJc w:val="left"/>
      <w:pPr>
        <w:ind w:firstLine="403"/>
      </w:pPr>
      <w:rPr>
        <w:rFonts w:hint="default"/>
      </w:rPr>
    </w:lvl>
  </w:abstractNum>
  <w:abstractNum w:abstractNumId="2">
    <w:nsid w:val="066C4B76"/>
    <w:multiLevelType w:val="singleLevel"/>
    <w:tmpl w:val="066C4B76"/>
    <w:lvl w:ilvl="0" w:tentative="0">
      <w:start w:val="1"/>
      <w:numFmt w:val="decimal"/>
      <w:suff w:val="nothing"/>
      <w:lvlText w:val="%1、"/>
      <w:lvlJc w:val="left"/>
    </w:lvl>
  </w:abstractNum>
  <w:abstractNum w:abstractNumId="3">
    <w:nsid w:val="1FB509F3"/>
    <w:multiLevelType w:val="multilevel"/>
    <w:tmpl w:val="1FB509F3"/>
    <w:lvl w:ilvl="0" w:tentative="0">
      <w:start w:val="1"/>
      <w:numFmt w:val="decimal"/>
      <w:pStyle w:val="66"/>
      <w:lvlText w:val="%1、"/>
      <w:lvlJc w:val="left"/>
      <w:pPr>
        <w:tabs>
          <w:tab w:val="left" w:pos="306"/>
        </w:tabs>
        <w:ind w:left="306" w:hanging="360"/>
      </w:pPr>
      <w:rPr>
        <w:rFonts w:hint="eastAsia"/>
      </w:rPr>
    </w:lvl>
    <w:lvl w:ilvl="1" w:tentative="0">
      <w:start w:val="1"/>
      <w:numFmt w:val="lowerLetter"/>
      <w:lvlText w:val="%2)"/>
      <w:lvlJc w:val="left"/>
      <w:pPr>
        <w:tabs>
          <w:tab w:val="left" w:pos="366"/>
        </w:tabs>
        <w:ind w:left="366" w:hanging="420"/>
      </w:pPr>
    </w:lvl>
    <w:lvl w:ilvl="2" w:tentative="0">
      <w:start w:val="1"/>
      <w:numFmt w:val="lowerRoman"/>
      <w:lvlText w:val="%3."/>
      <w:lvlJc w:val="right"/>
      <w:pPr>
        <w:tabs>
          <w:tab w:val="left" w:pos="786"/>
        </w:tabs>
        <w:ind w:left="786" w:hanging="420"/>
      </w:pPr>
    </w:lvl>
    <w:lvl w:ilvl="3" w:tentative="0">
      <w:start w:val="1"/>
      <w:numFmt w:val="decimal"/>
      <w:lvlText w:val="%4."/>
      <w:lvlJc w:val="left"/>
      <w:pPr>
        <w:tabs>
          <w:tab w:val="left" w:pos="1206"/>
        </w:tabs>
        <w:ind w:left="1206" w:hanging="420"/>
      </w:pPr>
    </w:lvl>
    <w:lvl w:ilvl="4" w:tentative="0">
      <w:start w:val="1"/>
      <w:numFmt w:val="lowerLetter"/>
      <w:lvlText w:val="%5)"/>
      <w:lvlJc w:val="left"/>
      <w:pPr>
        <w:tabs>
          <w:tab w:val="left" w:pos="1626"/>
        </w:tabs>
        <w:ind w:left="1626" w:hanging="420"/>
      </w:pPr>
    </w:lvl>
    <w:lvl w:ilvl="5" w:tentative="0">
      <w:start w:val="1"/>
      <w:numFmt w:val="lowerRoman"/>
      <w:lvlText w:val="%6."/>
      <w:lvlJc w:val="right"/>
      <w:pPr>
        <w:tabs>
          <w:tab w:val="left" w:pos="2046"/>
        </w:tabs>
        <w:ind w:left="2046" w:hanging="420"/>
      </w:pPr>
    </w:lvl>
    <w:lvl w:ilvl="6" w:tentative="0">
      <w:start w:val="1"/>
      <w:numFmt w:val="decimal"/>
      <w:lvlText w:val="%7."/>
      <w:lvlJc w:val="left"/>
      <w:pPr>
        <w:tabs>
          <w:tab w:val="left" w:pos="2466"/>
        </w:tabs>
        <w:ind w:left="2466" w:hanging="420"/>
      </w:pPr>
    </w:lvl>
    <w:lvl w:ilvl="7" w:tentative="0">
      <w:start w:val="1"/>
      <w:numFmt w:val="lowerLetter"/>
      <w:lvlText w:val="%8)"/>
      <w:lvlJc w:val="left"/>
      <w:pPr>
        <w:tabs>
          <w:tab w:val="left" w:pos="2886"/>
        </w:tabs>
        <w:ind w:left="2886" w:hanging="420"/>
      </w:pPr>
    </w:lvl>
    <w:lvl w:ilvl="8" w:tentative="0">
      <w:start w:val="1"/>
      <w:numFmt w:val="lowerRoman"/>
      <w:lvlText w:val="%9."/>
      <w:lvlJc w:val="right"/>
      <w:pPr>
        <w:tabs>
          <w:tab w:val="left" w:pos="3306"/>
        </w:tabs>
        <w:ind w:left="3306" w:hanging="420"/>
      </w:pPr>
    </w:lvl>
  </w:abstractNum>
  <w:abstractNum w:abstractNumId="4">
    <w:nsid w:val="29D120CC"/>
    <w:multiLevelType w:val="singleLevel"/>
    <w:tmpl w:val="29D120CC"/>
    <w:lvl w:ilvl="0" w:tentative="0">
      <w:start w:val="1"/>
      <w:numFmt w:val="decimal"/>
      <w:suff w:val="nothing"/>
      <w:lvlText w:val="（%1）"/>
      <w:lvlJc w:val="left"/>
    </w:lvl>
  </w:abstractNum>
  <w:abstractNum w:abstractNumId="5">
    <w:nsid w:val="440E040F"/>
    <w:multiLevelType w:val="multilevel"/>
    <w:tmpl w:val="440E040F"/>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569D0A3C"/>
    <w:multiLevelType w:val="multilevel"/>
    <w:tmpl w:val="569D0A3C"/>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5868A0C1"/>
    <w:multiLevelType w:val="multilevel"/>
    <w:tmpl w:val="5868A0C1"/>
    <w:lvl w:ilvl="0" w:tentative="0">
      <w:start w:val="1"/>
      <w:numFmt w:val="decimal"/>
      <w:lvlText w:val="%1、"/>
      <w:lvlJc w:val="left"/>
      <w:pPr>
        <w:tabs>
          <w:tab w:val="left" w:pos="0"/>
        </w:tabs>
        <w:ind w:left="661" w:hanging="360"/>
      </w:pPr>
    </w:lvl>
    <w:lvl w:ilvl="1" w:tentative="0">
      <w:start w:val="1"/>
      <w:numFmt w:val="lowerLetter"/>
      <w:lvlText w:val="%2)"/>
      <w:lvlJc w:val="left"/>
      <w:pPr>
        <w:tabs>
          <w:tab w:val="left" w:pos="0"/>
        </w:tabs>
        <w:ind w:left="1141" w:hanging="420"/>
      </w:pPr>
    </w:lvl>
    <w:lvl w:ilvl="2" w:tentative="0">
      <w:start w:val="1"/>
      <w:numFmt w:val="lowerRoman"/>
      <w:lvlText w:val="%3."/>
      <w:lvlJc w:val="right"/>
      <w:pPr>
        <w:tabs>
          <w:tab w:val="left" w:pos="0"/>
        </w:tabs>
        <w:ind w:left="1561" w:hanging="420"/>
      </w:pPr>
    </w:lvl>
    <w:lvl w:ilvl="3" w:tentative="0">
      <w:start w:val="1"/>
      <w:numFmt w:val="decimal"/>
      <w:lvlText w:val="%4."/>
      <w:lvlJc w:val="left"/>
      <w:pPr>
        <w:tabs>
          <w:tab w:val="left" w:pos="0"/>
        </w:tabs>
        <w:ind w:left="1981" w:hanging="420"/>
      </w:pPr>
    </w:lvl>
    <w:lvl w:ilvl="4" w:tentative="0">
      <w:start w:val="1"/>
      <w:numFmt w:val="lowerLetter"/>
      <w:lvlText w:val="%5)"/>
      <w:lvlJc w:val="left"/>
      <w:pPr>
        <w:tabs>
          <w:tab w:val="left" w:pos="0"/>
        </w:tabs>
        <w:ind w:left="2401" w:hanging="420"/>
      </w:pPr>
    </w:lvl>
    <w:lvl w:ilvl="5" w:tentative="0">
      <w:start w:val="1"/>
      <w:numFmt w:val="lowerRoman"/>
      <w:lvlText w:val="%6."/>
      <w:lvlJc w:val="right"/>
      <w:pPr>
        <w:tabs>
          <w:tab w:val="left" w:pos="0"/>
        </w:tabs>
        <w:ind w:left="2821" w:hanging="420"/>
      </w:pPr>
    </w:lvl>
    <w:lvl w:ilvl="6" w:tentative="0">
      <w:start w:val="1"/>
      <w:numFmt w:val="decimal"/>
      <w:lvlText w:val="%7."/>
      <w:lvlJc w:val="left"/>
      <w:pPr>
        <w:tabs>
          <w:tab w:val="left" w:pos="0"/>
        </w:tabs>
        <w:ind w:left="3241" w:hanging="420"/>
      </w:pPr>
    </w:lvl>
    <w:lvl w:ilvl="7" w:tentative="0">
      <w:start w:val="1"/>
      <w:numFmt w:val="lowerLetter"/>
      <w:lvlText w:val="%8)"/>
      <w:lvlJc w:val="left"/>
      <w:pPr>
        <w:tabs>
          <w:tab w:val="left" w:pos="0"/>
        </w:tabs>
        <w:ind w:left="3661" w:hanging="420"/>
      </w:pPr>
    </w:lvl>
    <w:lvl w:ilvl="8" w:tentative="0">
      <w:start w:val="1"/>
      <w:numFmt w:val="lowerRoman"/>
      <w:lvlText w:val="%9."/>
      <w:lvlJc w:val="right"/>
      <w:pPr>
        <w:tabs>
          <w:tab w:val="left" w:pos="0"/>
        </w:tabs>
        <w:ind w:left="4081" w:hanging="420"/>
      </w:pPr>
    </w:lvl>
  </w:abstractNum>
  <w:abstractNum w:abstractNumId="8">
    <w:nsid w:val="589A2FD8"/>
    <w:multiLevelType w:val="singleLevel"/>
    <w:tmpl w:val="589A2FD8"/>
    <w:lvl w:ilvl="0" w:tentative="0">
      <w:start w:val="1"/>
      <w:numFmt w:val="decimal"/>
      <w:suff w:val="nothing"/>
      <w:lvlText w:val="（%1）"/>
      <w:lvlJc w:val="left"/>
    </w:lvl>
  </w:abstractNum>
  <w:abstractNum w:abstractNumId="9">
    <w:nsid w:val="5950E9B0"/>
    <w:multiLevelType w:val="singleLevel"/>
    <w:tmpl w:val="5950E9B0"/>
    <w:lvl w:ilvl="0" w:tentative="0">
      <w:start w:val="2"/>
      <w:numFmt w:val="decimal"/>
      <w:suff w:val="nothing"/>
      <w:lvlText w:val="%1、"/>
      <w:lvlJc w:val="left"/>
    </w:lvl>
  </w:abstractNum>
  <w:abstractNum w:abstractNumId="10">
    <w:nsid w:val="59E490A0"/>
    <w:multiLevelType w:val="singleLevel"/>
    <w:tmpl w:val="59E490A0"/>
    <w:lvl w:ilvl="0" w:tentative="0">
      <w:start w:val="1"/>
      <w:numFmt w:val="upperLetter"/>
      <w:lvlText w:val="%1."/>
      <w:lvlJc w:val="left"/>
      <w:pPr>
        <w:ind w:left="425" w:hanging="425"/>
      </w:pPr>
      <w:rPr>
        <w:rFonts w:hint="default"/>
      </w:rPr>
    </w:lvl>
  </w:abstractNum>
  <w:abstractNum w:abstractNumId="11">
    <w:nsid w:val="59E49691"/>
    <w:multiLevelType w:val="singleLevel"/>
    <w:tmpl w:val="59E49691"/>
    <w:lvl w:ilvl="0" w:tentative="0">
      <w:start w:val="1"/>
      <w:numFmt w:val="chineseCounting"/>
      <w:suff w:val="nothing"/>
      <w:lvlText w:val="%1、"/>
      <w:lvlJc w:val="left"/>
    </w:lvl>
  </w:abstractNum>
  <w:abstractNum w:abstractNumId="12">
    <w:nsid w:val="59E7124F"/>
    <w:multiLevelType w:val="singleLevel"/>
    <w:tmpl w:val="59E7124F"/>
    <w:lvl w:ilvl="0" w:tentative="0">
      <w:start w:val="1"/>
      <w:numFmt w:val="decimal"/>
      <w:suff w:val="nothing"/>
      <w:lvlText w:val="%1、"/>
      <w:lvlJc w:val="left"/>
      <w:pPr>
        <w:ind w:firstLine="403"/>
      </w:pPr>
      <w:rPr>
        <w:rFonts w:hint="default"/>
      </w:rPr>
    </w:lvl>
  </w:abstractNum>
  <w:abstractNum w:abstractNumId="13">
    <w:nsid w:val="59EF0CEE"/>
    <w:multiLevelType w:val="singleLevel"/>
    <w:tmpl w:val="59EF0CEE"/>
    <w:lvl w:ilvl="0" w:tentative="0">
      <w:start w:val="1"/>
      <w:numFmt w:val="decimal"/>
      <w:lvlText w:val="%1)"/>
      <w:lvlJc w:val="left"/>
      <w:pPr>
        <w:ind w:left="425" w:hanging="425"/>
      </w:pPr>
      <w:rPr>
        <w:rFonts w:hint="default"/>
      </w:rPr>
    </w:lvl>
  </w:abstractNum>
  <w:abstractNum w:abstractNumId="14">
    <w:nsid w:val="6E6C0369"/>
    <w:multiLevelType w:val="multilevel"/>
    <w:tmpl w:val="6E6C0369"/>
    <w:lvl w:ilvl="0" w:tentative="0">
      <w:start w:val="1"/>
      <w:numFmt w:val="decimal"/>
      <w:suff w:val="nothing"/>
      <w:lvlText w:val="%1、"/>
      <w:lvlJc w:val="left"/>
      <w:pPr>
        <w:ind w:firstLine="403"/>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12"/>
  </w:num>
  <w:num w:numId="8">
    <w:abstractNumId w:val="4"/>
  </w:num>
  <w:num w:numId="9">
    <w:abstractNumId w:val="9"/>
  </w:num>
  <w:num w:numId="10">
    <w:abstractNumId w:val="13"/>
  </w:num>
  <w:num w:numId="11">
    <w:abstractNumId w:val="11"/>
  </w:num>
  <w:num w:numId="12">
    <w:abstractNumId w:val="1"/>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ODFlYTk4ZmRmNzdlNGJiMzU0NTg1ZTc5MjUzODYxNGEifQ=="/>
    <w:docVar w:name="CurUserName" w:val="?????????¨¬????¡§???¡§???????????¡§???¡§????"/>
    <w:docVar w:name="DeleteMarces" w:val="False"/>
    <w:docVar w:name="DocName" w:val="0EF90D4B09DBFB9E4825742B0028ACBF_1.doc"/>
    <w:docVar w:name="haha" w:val="100"/>
    <w:docVar w:name="NewInfo" w:val="??2009??20&amp;;&amp;???????????¨¬????¡§???¡§????"/>
    <w:docVar w:name="OldInfo" w:val=" "/>
    <w:docVar w:name="SplitTool" w:val="False"/>
    <w:docVar w:name="TitleStr" w:val="???????????????¨¬??;????;"/>
    <w:docVar w:name="TrackMark" w:val="1"/>
  </w:docVars>
  <w:rsids>
    <w:rsidRoot w:val="00172A27"/>
    <w:rsid w:val="00000144"/>
    <w:rsid w:val="00000354"/>
    <w:rsid w:val="00001FA0"/>
    <w:rsid w:val="00005284"/>
    <w:rsid w:val="00006D8B"/>
    <w:rsid w:val="00007F70"/>
    <w:rsid w:val="00010BE8"/>
    <w:rsid w:val="00010F66"/>
    <w:rsid w:val="000116F7"/>
    <w:rsid w:val="00012500"/>
    <w:rsid w:val="00013671"/>
    <w:rsid w:val="0001407E"/>
    <w:rsid w:val="0001451C"/>
    <w:rsid w:val="00014B13"/>
    <w:rsid w:val="00014C2B"/>
    <w:rsid w:val="0001656E"/>
    <w:rsid w:val="000165E4"/>
    <w:rsid w:val="00016737"/>
    <w:rsid w:val="0001735A"/>
    <w:rsid w:val="00017829"/>
    <w:rsid w:val="00022158"/>
    <w:rsid w:val="00023FAB"/>
    <w:rsid w:val="000246FA"/>
    <w:rsid w:val="000252F1"/>
    <w:rsid w:val="00025E8F"/>
    <w:rsid w:val="00026DEC"/>
    <w:rsid w:val="00030304"/>
    <w:rsid w:val="00031CAC"/>
    <w:rsid w:val="000323E1"/>
    <w:rsid w:val="0003341F"/>
    <w:rsid w:val="00034591"/>
    <w:rsid w:val="00035095"/>
    <w:rsid w:val="00037599"/>
    <w:rsid w:val="00037634"/>
    <w:rsid w:val="00037A3B"/>
    <w:rsid w:val="00041A77"/>
    <w:rsid w:val="00043A07"/>
    <w:rsid w:val="00046054"/>
    <w:rsid w:val="000464E3"/>
    <w:rsid w:val="00047355"/>
    <w:rsid w:val="00047599"/>
    <w:rsid w:val="0004774D"/>
    <w:rsid w:val="00047BF0"/>
    <w:rsid w:val="00051763"/>
    <w:rsid w:val="00051BFA"/>
    <w:rsid w:val="00051F68"/>
    <w:rsid w:val="0005343E"/>
    <w:rsid w:val="00055395"/>
    <w:rsid w:val="0005596B"/>
    <w:rsid w:val="000615CF"/>
    <w:rsid w:val="00064599"/>
    <w:rsid w:val="00064DA2"/>
    <w:rsid w:val="00065CF8"/>
    <w:rsid w:val="00065DCF"/>
    <w:rsid w:val="00067A2C"/>
    <w:rsid w:val="00072F27"/>
    <w:rsid w:val="000739BD"/>
    <w:rsid w:val="00073B48"/>
    <w:rsid w:val="000757B4"/>
    <w:rsid w:val="00076162"/>
    <w:rsid w:val="00076AFF"/>
    <w:rsid w:val="00077E88"/>
    <w:rsid w:val="00080182"/>
    <w:rsid w:val="00080CE4"/>
    <w:rsid w:val="0008231A"/>
    <w:rsid w:val="00083476"/>
    <w:rsid w:val="00084B01"/>
    <w:rsid w:val="0008546D"/>
    <w:rsid w:val="0008741A"/>
    <w:rsid w:val="00090BC1"/>
    <w:rsid w:val="00090C5E"/>
    <w:rsid w:val="00093F8C"/>
    <w:rsid w:val="00095DC0"/>
    <w:rsid w:val="00096DFD"/>
    <w:rsid w:val="00097AA4"/>
    <w:rsid w:val="000A0676"/>
    <w:rsid w:val="000A12B8"/>
    <w:rsid w:val="000A2B21"/>
    <w:rsid w:val="000A30DC"/>
    <w:rsid w:val="000A383D"/>
    <w:rsid w:val="000A3E2A"/>
    <w:rsid w:val="000A450F"/>
    <w:rsid w:val="000A4ADD"/>
    <w:rsid w:val="000A4C51"/>
    <w:rsid w:val="000A5572"/>
    <w:rsid w:val="000A71C2"/>
    <w:rsid w:val="000B0585"/>
    <w:rsid w:val="000B0EE8"/>
    <w:rsid w:val="000B20AE"/>
    <w:rsid w:val="000B20E8"/>
    <w:rsid w:val="000B60CD"/>
    <w:rsid w:val="000B65F5"/>
    <w:rsid w:val="000B6F3C"/>
    <w:rsid w:val="000C0487"/>
    <w:rsid w:val="000C1AA9"/>
    <w:rsid w:val="000C446B"/>
    <w:rsid w:val="000C494B"/>
    <w:rsid w:val="000C4A22"/>
    <w:rsid w:val="000C4B0A"/>
    <w:rsid w:val="000C5368"/>
    <w:rsid w:val="000C54CF"/>
    <w:rsid w:val="000C5797"/>
    <w:rsid w:val="000C5F15"/>
    <w:rsid w:val="000C610A"/>
    <w:rsid w:val="000C6673"/>
    <w:rsid w:val="000C7C7D"/>
    <w:rsid w:val="000C7CEF"/>
    <w:rsid w:val="000D007A"/>
    <w:rsid w:val="000D007E"/>
    <w:rsid w:val="000D23E6"/>
    <w:rsid w:val="000D2736"/>
    <w:rsid w:val="000D2C2F"/>
    <w:rsid w:val="000D370E"/>
    <w:rsid w:val="000D440A"/>
    <w:rsid w:val="000D51FF"/>
    <w:rsid w:val="000D5811"/>
    <w:rsid w:val="000D6EFC"/>
    <w:rsid w:val="000D71E0"/>
    <w:rsid w:val="000D7345"/>
    <w:rsid w:val="000D7519"/>
    <w:rsid w:val="000D7D99"/>
    <w:rsid w:val="000E18E7"/>
    <w:rsid w:val="000E1B48"/>
    <w:rsid w:val="000E2535"/>
    <w:rsid w:val="000E2677"/>
    <w:rsid w:val="000E3437"/>
    <w:rsid w:val="000E6118"/>
    <w:rsid w:val="000E6D9F"/>
    <w:rsid w:val="000E72CC"/>
    <w:rsid w:val="000E786B"/>
    <w:rsid w:val="000E7FB4"/>
    <w:rsid w:val="000F0371"/>
    <w:rsid w:val="000F1ED5"/>
    <w:rsid w:val="000F359C"/>
    <w:rsid w:val="000F4B36"/>
    <w:rsid w:val="000F5E87"/>
    <w:rsid w:val="000F62C2"/>
    <w:rsid w:val="000F6C2B"/>
    <w:rsid w:val="00101EB5"/>
    <w:rsid w:val="0010208C"/>
    <w:rsid w:val="001036B3"/>
    <w:rsid w:val="00110167"/>
    <w:rsid w:val="0011038D"/>
    <w:rsid w:val="001106B2"/>
    <w:rsid w:val="00110714"/>
    <w:rsid w:val="00111859"/>
    <w:rsid w:val="00111986"/>
    <w:rsid w:val="001120C0"/>
    <w:rsid w:val="00112260"/>
    <w:rsid w:val="0011299C"/>
    <w:rsid w:val="001131E7"/>
    <w:rsid w:val="0011464B"/>
    <w:rsid w:val="001146B4"/>
    <w:rsid w:val="001149FE"/>
    <w:rsid w:val="00114EB1"/>
    <w:rsid w:val="001150E0"/>
    <w:rsid w:val="00117271"/>
    <w:rsid w:val="00121671"/>
    <w:rsid w:val="0012228A"/>
    <w:rsid w:val="00122EA7"/>
    <w:rsid w:val="001232DE"/>
    <w:rsid w:val="00123618"/>
    <w:rsid w:val="0012433A"/>
    <w:rsid w:val="00124A17"/>
    <w:rsid w:val="00124DF7"/>
    <w:rsid w:val="001250A0"/>
    <w:rsid w:val="0012573F"/>
    <w:rsid w:val="00126391"/>
    <w:rsid w:val="00126435"/>
    <w:rsid w:val="0012660A"/>
    <w:rsid w:val="00127265"/>
    <w:rsid w:val="00127885"/>
    <w:rsid w:val="0013032A"/>
    <w:rsid w:val="00130616"/>
    <w:rsid w:val="001314FF"/>
    <w:rsid w:val="00131A2F"/>
    <w:rsid w:val="00131E86"/>
    <w:rsid w:val="00132DF5"/>
    <w:rsid w:val="001336C6"/>
    <w:rsid w:val="0013527F"/>
    <w:rsid w:val="001360D6"/>
    <w:rsid w:val="00136260"/>
    <w:rsid w:val="00136540"/>
    <w:rsid w:val="0013698A"/>
    <w:rsid w:val="00137B3F"/>
    <w:rsid w:val="0014023B"/>
    <w:rsid w:val="00140296"/>
    <w:rsid w:val="0014056F"/>
    <w:rsid w:val="00141871"/>
    <w:rsid w:val="00143396"/>
    <w:rsid w:val="001441F8"/>
    <w:rsid w:val="00146701"/>
    <w:rsid w:val="00146729"/>
    <w:rsid w:val="001479E5"/>
    <w:rsid w:val="00150CD5"/>
    <w:rsid w:val="0015166E"/>
    <w:rsid w:val="001537E7"/>
    <w:rsid w:val="0015389C"/>
    <w:rsid w:val="0015471C"/>
    <w:rsid w:val="00154AE4"/>
    <w:rsid w:val="00155D32"/>
    <w:rsid w:val="00156BB2"/>
    <w:rsid w:val="00156DBB"/>
    <w:rsid w:val="00160D3B"/>
    <w:rsid w:val="0016152B"/>
    <w:rsid w:val="001621D5"/>
    <w:rsid w:val="00162EE3"/>
    <w:rsid w:val="0016386D"/>
    <w:rsid w:val="00164638"/>
    <w:rsid w:val="00165588"/>
    <w:rsid w:val="00165D64"/>
    <w:rsid w:val="00166898"/>
    <w:rsid w:val="00166C4F"/>
    <w:rsid w:val="00170337"/>
    <w:rsid w:val="0017049F"/>
    <w:rsid w:val="001705A8"/>
    <w:rsid w:val="00172A27"/>
    <w:rsid w:val="001732BF"/>
    <w:rsid w:val="00175EFD"/>
    <w:rsid w:val="00177421"/>
    <w:rsid w:val="0017752B"/>
    <w:rsid w:val="00177B49"/>
    <w:rsid w:val="00181C37"/>
    <w:rsid w:val="001834C6"/>
    <w:rsid w:val="001859CC"/>
    <w:rsid w:val="001860C6"/>
    <w:rsid w:val="00186F7C"/>
    <w:rsid w:val="00187D13"/>
    <w:rsid w:val="001918C4"/>
    <w:rsid w:val="00191990"/>
    <w:rsid w:val="00193050"/>
    <w:rsid w:val="0019348E"/>
    <w:rsid w:val="00193794"/>
    <w:rsid w:val="00194E14"/>
    <w:rsid w:val="001952EF"/>
    <w:rsid w:val="001957C9"/>
    <w:rsid w:val="00196FEE"/>
    <w:rsid w:val="00197394"/>
    <w:rsid w:val="001A03D0"/>
    <w:rsid w:val="001A0414"/>
    <w:rsid w:val="001A0992"/>
    <w:rsid w:val="001A3E91"/>
    <w:rsid w:val="001A591E"/>
    <w:rsid w:val="001A5E16"/>
    <w:rsid w:val="001A7420"/>
    <w:rsid w:val="001B18C6"/>
    <w:rsid w:val="001B290C"/>
    <w:rsid w:val="001B3602"/>
    <w:rsid w:val="001B3A0D"/>
    <w:rsid w:val="001B3F85"/>
    <w:rsid w:val="001B4163"/>
    <w:rsid w:val="001B6336"/>
    <w:rsid w:val="001B6E17"/>
    <w:rsid w:val="001B6F1A"/>
    <w:rsid w:val="001B7027"/>
    <w:rsid w:val="001B7381"/>
    <w:rsid w:val="001B7B8A"/>
    <w:rsid w:val="001B7DBF"/>
    <w:rsid w:val="001C0E18"/>
    <w:rsid w:val="001C3071"/>
    <w:rsid w:val="001C31FC"/>
    <w:rsid w:val="001C367C"/>
    <w:rsid w:val="001C3F46"/>
    <w:rsid w:val="001C5549"/>
    <w:rsid w:val="001C5860"/>
    <w:rsid w:val="001C67DD"/>
    <w:rsid w:val="001C6AE8"/>
    <w:rsid w:val="001C715F"/>
    <w:rsid w:val="001C7504"/>
    <w:rsid w:val="001C7A02"/>
    <w:rsid w:val="001D3B38"/>
    <w:rsid w:val="001D3DDB"/>
    <w:rsid w:val="001D6B94"/>
    <w:rsid w:val="001D6B97"/>
    <w:rsid w:val="001D782E"/>
    <w:rsid w:val="001E1340"/>
    <w:rsid w:val="001E1342"/>
    <w:rsid w:val="001E171A"/>
    <w:rsid w:val="001E1794"/>
    <w:rsid w:val="001E3A2C"/>
    <w:rsid w:val="001E3E8F"/>
    <w:rsid w:val="001E5D0A"/>
    <w:rsid w:val="001E6433"/>
    <w:rsid w:val="001E689F"/>
    <w:rsid w:val="001E73A9"/>
    <w:rsid w:val="001F0D4C"/>
    <w:rsid w:val="001F0D89"/>
    <w:rsid w:val="001F0DE5"/>
    <w:rsid w:val="001F124D"/>
    <w:rsid w:val="001F2B4F"/>
    <w:rsid w:val="001F5B24"/>
    <w:rsid w:val="00200DBA"/>
    <w:rsid w:val="00200F93"/>
    <w:rsid w:val="00202021"/>
    <w:rsid w:val="00202B8D"/>
    <w:rsid w:val="00205928"/>
    <w:rsid w:val="002068EB"/>
    <w:rsid w:val="00206D7C"/>
    <w:rsid w:val="00206F78"/>
    <w:rsid w:val="00210047"/>
    <w:rsid w:val="00210BD4"/>
    <w:rsid w:val="00211002"/>
    <w:rsid w:val="002112AB"/>
    <w:rsid w:val="002120EF"/>
    <w:rsid w:val="0021263C"/>
    <w:rsid w:val="00215FA6"/>
    <w:rsid w:val="00216796"/>
    <w:rsid w:val="00220E2A"/>
    <w:rsid w:val="002210FD"/>
    <w:rsid w:val="002218EE"/>
    <w:rsid w:val="00221C10"/>
    <w:rsid w:val="002222F2"/>
    <w:rsid w:val="00222503"/>
    <w:rsid w:val="0022497C"/>
    <w:rsid w:val="00224F62"/>
    <w:rsid w:val="00226AD6"/>
    <w:rsid w:val="00226C08"/>
    <w:rsid w:val="00227A1F"/>
    <w:rsid w:val="00230B94"/>
    <w:rsid w:val="00231D74"/>
    <w:rsid w:val="00231F2B"/>
    <w:rsid w:val="0023237D"/>
    <w:rsid w:val="002341A0"/>
    <w:rsid w:val="00235105"/>
    <w:rsid w:val="00236270"/>
    <w:rsid w:val="00236A0C"/>
    <w:rsid w:val="00237A1D"/>
    <w:rsid w:val="002408F2"/>
    <w:rsid w:val="0024137F"/>
    <w:rsid w:val="00241C88"/>
    <w:rsid w:val="00241EEC"/>
    <w:rsid w:val="0024266B"/>
    <w:rsid w:val="00243BD6"/>
    <w:rsid w:val="00243D55"/>
    <w:rsid w:val="00244D93"/>
    <w:rsid w:val="00246641"/>
    <w:rsid w:val="00250946"/>
    <w:rsid w:val="0025167D"/>
    <w:rsid w:val="00253C50"/>
    <w:rsid w:val="002546A3"/>
    <w:rsid w:val="00256289"/>
    <w:rsid w:val="0025639D"/>
    <w:rsid w:val="00256A12"/>
    <w:rsid w:val="00260C68"/>
    <w:rsid w:val="00260D0A"/>
    <w:rsid w:val="002615C1"/>
    <w:rsid w:val="002622F7"/>
    <w:rsid w:val="0026236A"/>
    <w:rsid w:val="0026247F"/>
    <w:rsid w:val="00263178"/>
    <w:rsid w:val="00263197"/>
    <w:rsid w:val="002637DC"/>
    <w:rsid w:val="00266510"/>
    <w:rsid w:val="00266B9C"/>
    <w:rsid w:val="00267B27"/>
    <w:rsid w:val="002709BA"/>
    <w:rsid w:val="0027209B"/>
    <w:rsid w:val="0027257B"/>
    <w:rsid w:val="002736AA"/>
    <w:rsid w:val="002741FA"/>
    <w:rsid w:val="00274CDA"/>
    <w:rsid w:val="0027559B"/>
    <w:rsid w:val="00275F5C"/>
    <w:rsid w:val="0027654F"/>
    <w:rsid w:val="0027698D"/>
    <w:rsid w:val="00276D64"/>
    <w:rsid w:val="00277C83"/>
    <w:rsid w:val="00280381"/>
    <w:rsid w:val="0028048E"/>
    <w:rsid w:val="00280B12"/>
    <w:rsid w:val="002829E8"/>
    <w:rsid w:val="00283253"/>
    <w:rsid w:val="00286A84"/>
    <w:rsid w:val="002912CF"/>
    <w:rsid w:val="00292223"/>
    <w:rsid w:val="00292CAD"/>
    <w:rsid w:val="00292FD9"/>
    <w:rsid w:val="00293BBA"/>
    <w:rsid w:val="00294378"/>
    <w:rsid w:val="002951E9"/>
    <w:rsid w:val="00296ECE"/>
    <w:rsid w:val="002A17BE"/>
    <w:rsid w:val="002A221A"/>
    <w:rsid w:val="002A3941"/>
    <w:rsid w:val="002A5901"/>
    <w:rsid w:val="002A68F1"/>
    <w:rsid w:val="002B1C83"/>
    <w:rsid w:val="002B1F93"/>
    <w:rsid w:val="002B23A0"/>
    <w:rsid w:val="002B291A"/>
    <w:rsid w:val="002B7086"/>
    <w:rsid w:val="002C0004"/>
    <w:rsid w:val="002C12E6"/>
    <w:rsid w:val="002C1F1E"/>
    <w:rsid w:val="002C3358"/>
    <w:rsid w:val="002C3B8A"/>
    <w:rsid w:val="002C3F2D"/>
    <w:rsid w:val="002C46FC"/>
    <w:rsid w:val="002C498A"/>
    <w:rsid w:val="002C4A47"/>
    <w:rsid w:val="002C5A6A"/>
    <w:rsid w:val="002C5E01"/>
    <w:rsid w:val="002C62DF"/>
    <w:rsid w:val="002C6F11"/>
    <w:rsid w:val="002C6F87"/>
    <w:rsid w:val="002C6FD0"/>
    <w:rsid w:val="002C770C"/>
    <w:rsid w:val="002D0420"/>
    <w:rsid w:val="002D2500"/>
    <w:rsid w:val="002D34AA"/>
    <w:rsid w:val="002D3A63"/>
    <w:rsid w:val="002D3C67"/>
    <w:rsid w:val="002D3CC6"/>
    <w:rsid w:val="002D7B59"/>
    <w:rsid w:val="002E0D44"/>
    <w:rsid w:val="002E1663"/>
    <w:rsid w:val="002E16D5"/>
    <w:rsid w:val="002E1B8A"/>
    <w:rsid w:val="002E2071"/>
    <w:rsid w:val="002E2CCF"/>
    <w:rsid w:val="002E5326"/>
    <w:rsid w:val="002E5572"/>
    <w:rsid w:val="002E73BA"/>
    <w:rsid w:val="002E7760"/>
    <w:rsid w:val="002F1441"/>
    <w:rsid w:val="002F1D26"/>
    <w:rsid w:val="002F2011"/>
    <w:rsid w:val="002F2979"/>
    <w:rsid w:val="002F3BDA"/>
    <w:rsid w:val="002F3F18"/>
    <w:rsid w:val="002F4EED"/>
    <w:rsid w:val="00300188"/>
    <w:rsid w:val="003001C6"/>
    <w:rsid w:val="00300C06"/>
    <w:rsid w:val="00300F07"/>
    <w:rsid w:val="00301B82"/>
    <w:rsid w:val="00301C13"/>
    <w:rsid w:val="00301D8E"/>
    <w:rsid w:val="00304084"/>
    <w:rsid w:val="00304416"/>
    <w:rsid w:val="00304CAD"/>
    <w:rsid w:val="003058D9"/>
    <w:rsid w:val="00306DF5"/>
    <w:rsid w:val="00306F8C"/>
    <w:rsid w:val="00306FB0"/>
    <w:rsid w:val="00307C71"/>
    <w:rsid w:val="003103C6"/>
    <w:rsid w:val="00311798"/>
    <w:rsid w:val="00311DC9"/>
    <w:rsid w:val="00311F25"/>
    <w:rsid w:val="00314B2F"/>
    <w:rsid w:val="0031740F"/>
    <w:rsid w:val="0032006C"/>
    <w:rsid w:val="00323A9F"/>
    <w:rsid w:val="00323EA8"/>
    <w:rsid w:val="00324371"/>
    <w:rsid w:val="00325118"/>
    <w:rsid w:val="00325AC1"/>
    <w:rsid w:val="003261B9"/>
    <w:rsid w:val="003330A4"/>
    <w:rsid w:val="00335938"/>
    <w:rsid w:val="00336456"/>
    <w:rsid w:val="0033729B"/>
    <w:rsid w:val="003415E6"/>
    <w:rsid w:val="00341F80"/>
    <w:rsid w:val="003429CA"/>
    <w:rsid w:val="00342DC7"/>
    <w:rsid w:val="0034556C"/>
    <w:rsid w:val="0034577C"/>
    <w:rsid w:val="0035604A"/>
    <w:rsid w:val="00356BF2"/>
    <w:rsid w:val="00360461"/>
    <w:rsid w:val="0036053E"/>
    <w:rsid w:val="00360D08"/>
    <w:rsid w:val="00360FC4"/>
    <w:rsid w:val="003623A7"/>
    <w:rsid w:val="00362DE0"/>
    <w:rsid w:val="00363F69"/>
    <w:rsid w:val="0036419E"/>
    <w:rsid w:val="003670BF"/>
    <w:rsid w:val="00370E3E"/>
    <w:rsid w:val="003714E3"/>
    <w:rsid w:val="00371EE7"/>
    <w:rsid w:val="00372593"/>
    <w:rsid w:val="0037377C"/>
    <w:rsid w:val="00374007"/>
    <w:rsid w:val="003766B5"/>
    <w:rsid w:val="00376921"/>
    <w:rsid w:val="0037748D"/>
    <w:rsid w:val="003806C1"/>
    <w:rsid w:val="003813D3"/>
    <w:rsid w:val="00381AAE"/>
    <w:rsid w:val="003842AA"/>
    <w:rsid w:val="003865AA"/>
    <w:rsid w:val="00386B6D"/>
    <w:rsid w:val="003910B8"/>
    <w:rsid w:val="00391A10"/>
    <w:rsid w:val="00391B33"/>
    <w:rsid w:val="00391BD6"/>
    <w:rsid w:val="00393574"/>
    <w:rsid w:val="00395AC3"/>
    <w:rsid w:val="00396906"/>
    <w:rsid w:val="003A148D"/>
    <w:rsid w:val="003A2576"/>
    <w:rsid w:val="003A264F"/>
    <w:rsid w:val="003A43B7"/>
    <w:rsid w:val="003A4486"/>
    <w:rsid w:val="003A5163"/>
    <w:rsid w:val="003A51DE"/>
    <w:rsid w:val="003A5D59"/>
    <w:rsid w:val="003A6EAB"/>
    <w:rsid w:val="003A7400"/>
    <w:rsid w:val="003A7C72"/>
    <w:rsid w:val="003B07EF"/>
    <w:rsid w:val="003B08D0"/>
    <w:rsid w:val="003B1726"/>
    <w:rsid w:val="003B42E4"/>
    <w:rsid w:val="003B4D8B"/>
    <w:rsid w:val="003B5A8E"/>
    <w:rsid w:val="003B614C"/>
    <w:rsid w:val="003C11C9"/>
    <w:rsid w:val="003C13B2"/>
    <w:rsid w:val="003C1D25"/>
    <w:rsid w:val="003C39F0"/>
    <w:rsid w:val="003C52CB"/>
    <w:rsid w:val="003C6250"/>
    <w:rsid w:val="003D170F"/>
    <w:rsid w:val="003D1CAB"/>
    <w:rsid w:val="003D2282"/>
    <w:rsid w:val="003D24AC"/>
    <w:rsid w:val="003D3DA4"/>
    <w:rsid w:val="003D4342"/>
    <w:rsid w:val="003D477B"/>
    <w:rsid w:val="003D6238"/>
    <w:rsid w:val="003D6253"/>
    <w:rsid w:val="003E0870"/>
    <w:rsid w:val="003E11D6"/>
    <w:rsid w:val="003E1482"/>
    <w:rsid w:val="003E2C6B"/>
    <w:rsid w:val="003E36D3"/>
    <w:rsid w:val="003E39D5"/>
    <w:rsid w:val="003E4690"/>
    <w:rsid w:val="003E5E0C"/>
    <w:rsid w:val="003F0804"/>
    <w:rsid w:val="003F0C2C"/>
    <w:rsid w:val="003F2911"/>
    <w:rsid w:val="003F3B35"/>
    <w:rsid w:val="003F40FC"/>
    <w:rsid w:val="003F41FF"/>
    <w:rsid w:val="003F5536"/>
    <w:rsid w:val="003F70A5"/>
    <w:rsid w:val="00400084"/>
    <w:rsid w:val="004001F0"/>
    <w:rsid w:val="00400389"/>
    <w:rsid w:val="00401E4E"/>
    <w:rsid w:val="00403731"/>
    <w:rsid w:val="00404B8C"/>
    <w:rsid w:val="00404FC4"/>
    <w:rsid w:val="004053B9"/>
    <w:rsid w:val="00405959"/>
    <w:rsid w:val="00410A75"/>
    <w:rsid w:val="0041132A"/>
    <w:rsid w:val="00413C2E"/>
    <w:rsid w:val="00413E38"/>
    <w:rsid w:val="004142B4"/>
    <w:rsid w:val="004159A5"/>
    <w:rsid w:val="00415E28"/>
    <w:rsid w:val="00417143"/>
    <w:rsid w:val="0041724E"/>
    <w:rsid w:val="00417AC5"/>
    <w:rsid w:val="004214ED"/>
    <w:rsid w:val="00422ACA"/>
    <w:rsid w:val="00422F8E"/>
    <w:rsid w:val="00426251"/>
    <w:rsid w:val="00427117"/>
    <w:rsid w:val="004276E6"/>
    <w:rsid w:val="00427BFE"/>
    <w:rsid w:val="00430E25"/>
    <w:rsid w:val="004317A9"/>
    <w:rsid w:val="004335EA"/>
    <w:rsid w:val="004350A1"/>
    <w:rsid w:val="00436655"/>
    <w:rsid w:val="004368E6"/>
    <w:rsid w:val="00436CFA"/>
    <w:rsid w:val="00440837"/>
    <w:rsid w:val="00440867"/>
    <w:rsid w:val="00441351"/>
    <w:rsid w:val="004428C9"/>
    <w:rsid w:val="0044394E"/>
    <w:rsid w:val="00443E7E"/>
    <w:rsid w:val="004458E5"/>
    <w:rsid w:val="00445EB5"/>
    <w:rsid w:val="004464BA"/>
    <w:rsid w:val="00447AAD"/>
    <w:rsid w:val="0045005B"/>
    <w:rsid w:val="0045009A"/>
    <w:rsid w:val="00453A83"/>
    <w:rsid w:val="00453FFB"/>
    <w:rsid w:val="004544F2"/>
    <w:rsid w:val="00454D84"/>
    <w:rsid w:val="00455465"/>
    <w:rsid w:val="0045554B"/>
    <w:rsid w:val="00457374"/>
    <w:rsid w:val="00457871"/>
    <w:rsid w:val="0046224F"/>
    <w:rsid w:val="0046251D"/>
    <w:rsid w:val="00462F78"/>
    <w:rsid w:val="004637AB"/>
    <w:rsid w:val="00463A08"/>
    <w:rsid w:val="00464585"/>
    <w:rsid w:val="0046650A"/>
    <w:rsid w:val="00466D92"/>
    <w:rsid w:val="00467C56"/>
    <w:rsid w:val="00467FE5"/>
    <w:rsid w:val="004735E6"/>
    <w:rsid w:val="00473D63"/>
    <w:rsid w:val="004741C5"/>
    <w:rsid w:val="0047428B"/>
    <w:rsid w:val="00474FA1"/>
    <w:rsid w:val="004754C5"/>
    <w:rsid w:val="004755EB"/>
    <w:rsid w:val="00475D09"/>
    <w:rsid w:val="004774D4"/>
    <w:rsid w:val="0048095A"/>
    <w:rsid w:val="0048131E"/>
    <w:rsid w:val="004813BA"/>
    <w:rsid w:val="004819A5"/>
    <w:rsid w:val="004833B1"/>
    <w:rsid w:val="0048409D"/>
    <w:rsid w:val="00485068"/>
    <w:rsid w:val="00485CEE"/>
    <w:rsid w:val="004862F7"/>
    <w:rsid w:val="00490FB5"/>
    <w:rsid w:val="004940A3"/>
    <w:rsid w:val="0049590D"/>
    <w:rsid w:val="00495B25"/>
    <w:rsid w:val="00496091"/>
    <w:rsid w:val="004969CA"/>
    <w:rsid w:val="00497845"/>
    <w:rsid w:val="00497C1B"/>
    <w:rsid w:val="004A069D"/>
    <w:rsid w:val="004A14A0"/>
    <w:rsid w:val="004A3B61"/>
    <w:rsid w:val="004A645C"/>
    <w:rsid w:val="004A724A"/>
    <w:rsid w:val="004B0005"/>
    <w:rsid w:val="004B1A14"/>
    <w:rsid w:val="004B1BEC"/>
    <w:rsid w:val="004B20F2"/>
    <w:rsid w:val="004B296C"/>
    <w:rsid w:val="004B39A9"/>
    <w:rsid w:val="004B616C"/>
    <w:rsid w:val="004B63DE"/>
    <w:rsid w:val="004B6BBE"/>
    <w:rsid w:val="004C0EF1"/>
    <w:rsid w:val="004C1BD3"/>
    <w:rsid w:val="004C2251"/>
    <w:rsid w:val="004C2660"/>
    <w:rsid w:val="004C2678"/>
    <w:rsid w:val="004C3499"/>
    <w:rsid w:val="004C518B"/>
    <w:rsid w:val="004C6216"/>
    <w:rsid w:val="004C705A"/>
    <w:rsid w:val="004D21F2"/>
    <w:rsid w:val="004D493D"/>
    <w:rsid w:val="004D5E07"/>
    <w:rsid w:val="004D5FD9"/>
    <w:rsid w:val="004D60EF"/>
    <w:rsid w:val="004E01C0"/>
    <w:rsid w:val="004E04BC"/>
    <w:rsid w:val="004E1FB4"/>
    <w:rsid w:val="004E2642"/>
    <w:rsid w:val="004E4CC5"/>
    <w:rsid w:val="004E60D1"/>
    <w:rsid w:val="004E62FC"/>
    <w:rsid w:val="004E6C27"/>
    <w:rsid w:val="004E7024"/>
    <w:rsid w:val="004E77F6"/>
    <w:rsid w:val="004F2B45"/>
    <w:rsid w:val="004F45BC"/>
    <w:rsid w:val="004F62BC"/>
    <w:rsid w:val="004F6971"/>
    <w:rsid w:val="004F7F09"/>
    <w:rsid w:val="0050094D"/>
    <w:rsid w:val="00501BA6"/>
    <w:rsid w:val="00501CDD"/>
    <w:rsid w:val="00501ECA"/>
    <w:rsid w:val="0050286E"/>
    <w:rsid w:val="00502FCA"/>
    <w:rsid w:val="00503408"/>
    <w:rsid w:val="00503FE6"/>
    <w:rsid w:val="005040E7"/>
    <w:rsid w:val="00505B3B"/>
    <w:rsid w:val="005064A5"/>
    <w:rsid w:val="00511A88"/>
    <w:rsid w:val="00511FEB"/>
    <w:rsid w:val="00512581"/>
    <w:rsid w:val="00513BE7"/>
    <w:rsid w:val="005144AE"/>
    <w:rsid w:val="005149F6"/>
    <w:rsid w:val="00515B6D"/>
    <w:rsid w:val="00515C5E"/>
    <w:rsid w:val="005211E0"/>
    <w:rsid w:val="00522264"/>
    <w:rsid w:val="00524ACE"/>
    <w:rsid w:val="005253FE"/>
    <w:rsid w:val="00527875"/>
    <w:rsid w:val="00531268"/>
    <w:rsid w:val="00531A87"/>
    <w:rsid w:val="00531A9D"/>
    <w:rsid w:val="005320B1"/>
    <w:rsid w:val="00532B51"/>
    <w:rsid w:val="0053491F"/>
    <w:rsid w:val="005349F7"/>
    <w:rsid w:val="00535A08"/>
    <w:rsid w:val="00537407"/>
    <w:rsid w:val="005379BB"/>
    <w:rsid w:val="005406DC"/>
    <w:rsid w:val="005407CB"/>
    <w:rsid w:val="00540B6E"/>
    <w:rsid w:val="005414A0"/>
    <w:rsid w:val="005423B5"/>
    <w:rsid w:val="00542924"/>
    <w:rsid w:val="00543289"/>
    <w:rsid w:val="005434CF"/>
    <w:rsid w:val="00543C28"/>
    <w:rsid w:val="005440ED"/>
    <w:rsid w:val="005468A0"/>
    <w:rsid w:val="00547201"/>
    <w:rsid w:val="005476C8"/>
    <w:rsid w:val="00547C06"/>
    <w:rsid w:val="00551288"/>
    <w:rsid w:val="00552C08"/>
    <w:rsid w:val="00552F20"/>
    <w:rsid w:val="005539AF"/>
    <w:rsid w:val="0055428F"/>
    <w:rsid w:val="00556F05"/>
    <w:rsid w:val="00560336"/>
    <w:rsid w:val="005637A7"/>
    <w:rsid w:val="0056393C"/>
    <w:rsid w:val="005646E2"/>
    <w:rsid w:val="00567D03"/>
    <w:rsid w:val="00571954"/>
    <w:rsid w:val="00573AED"/>
    <w:rsid w:val="00574100"/>
    <w:rsid w:val="00574FDE"/>
    <w:rsid w:val="0057549C"/>
    <w:rsid w:val="00575DCC"/>
    <w:rsid w:val="0057620D"/>
    <w:rsid w:val="00576A69"/>
    <w:rsid w:val="00576A87"/>
    <w:rsid w:val="00577076"/>
    <w:rsid w:val="0057775C"/>
    <w:rsid w:val="0058041C"/>
    <w:rsid w:val="005822FF"/>
    <w:rsid w:val="00590951"/>
    <w:rsid w:val="00591638"/>
    <w:rsid w:val="00591926"/>
    <w:rsid w:val="00592F35"/>
    <w:rsid w:val="00593217"/>
    <w:rsid w:val="0059397C"/>
    <w:rsid w:val="00594DC4"/>
    <w:rsid w:val="00596A58"/>
    <w:rsid w:val="00596E63"/>
    <w:rsid w:val="005A08C3"/>
    <w:rsid w:val="005A3F7B"/>
    <w:rsid w:val="005A6019"/>
    <w:rsid w:val="005A6238"/>
    <w:rsid w:val="005A6F50"/>
    <w:rsid w:val="005A7672"/>
    <w:rsid w:val="005A7E4C"/>
    <w:rsid w:val="005B1A47"/>
    <w:rsid w:val="005B3F9C"/>
    <w:rsid w:val="005B6233"/>
    <w:rsid w:val="005B6C2A"/>
    <w:rsid w:val="005C07C2"/>
    <w:rsid w:val="005C1202"/>
    <w:rsid w:val="005C131A"/>
    <w:rsid w:val="005C3784"/>
    <w:rsid w:val="005C384F"/>
    <w:rsid w:val="005C5224"/>
    <w:rsid w:val="005C66EA"/>
    <w:rsid w:val="005C6E90"/>
    <w:rsid w:val="005C7901"/>
    <w:rsid w:val="005D02EB"/>
    <w:rsid w:val="005D1188"/>
    <w:rsid w:val="005D22EE"/>
    <w:rsid w:val="005D2F91"/>
    <w:rsid w:val="005D3EB4"/>
    <w:rsid w:val="005D40F2"/>
    <w:rsid w:val="005D522D"/>
    <w:rsid w:val="005D5F7A"/>
    <w:rsid w:val="005D6346"/>
    <w:rsid w:val="005D6CE3"/>
    <w:rsid w:val="005D7F30"/>
    <w:rsid w:val="005E00E4"/>
    <w:rsid w:val="005E076C"/>
    <w:rsid w:val="005E2091"/>
    <w:rsid w:val="005E4004"/>
    <w:rsid w:val="005E427C"/>
    <w:rsid w:val="005E5629"/>
    <w:rsid w:val="005E6A69"/>
    <w:rsid w:val="005E7B15"/>
    <w:rsid w:val="005F03EF"/>
    <w:rsid w:val="005F2250"/>
    <w:rsid w:val="005F3873"/>
    <w:rsid w:val="005F3C89"/>
    <w:rsid w:val="005F51ED"/>
    <w:rsid w:val="005F56D2"/>
    <w:rsid w:val="005F6C93"/>
    <w:rsid w:val="005F6D24"/>
    <w:rsid w:val="005F7057"/>
    <w:rsid w:val="00602197"/>
    <w:rsid w:val="00604C87"/>
    <w:rsid w:val="0060613E"/>
    <w:rsid w:val="00606EF3"/>
    <w:rsid w:val="00607A27"/>
    <w:rsid w:val="00610F6A"/>
    <w:rsid w:val="0061184E"/>
    <w:rsid w:val="00611980"/>
    <w:rsid w:val="00612853"/>
    <w:rsid w:val="00613CBC"/>
    <w:rsid w:val="00613D3A"/>
    <w:rsid w:val="006148EF"/>
    <w:rsid w:val="0061494B"/>
    <w:rsid w:val="0061528B"/>
    <w:rsid w:val="0061528C"/>
    <w:rsid w:val="006154EC"/>
    <w:rsid w:val="006156BA"/>
    <w:rsid w:val="00616605"/>
    <w:rsid w:val="006167D7"/>
    <w:rsid w:val="00616889"/>
    <w:rsid w:val="00616BDC"/>
    <w:rsid w:val="006170AE"/>
    <w:rsid w:val="0062461D"/>
    <w:rsid w:val="0062473F"/>
    <w:rsid w:val="0062566A"/>
    <w:rsid w:val="006260FA"/>
    <w:rsid w:val="00626966"/>
    <w:rsid w:val="006275E8"/>
    <w:rsid w:val="00627D2D"/>
    <w:rsid w:val="00631E0E"/>
    <w:rsid w:val="006320E5"/>
    <w:rsid w:val="00634625"/>
    <w:rsid w:val="006367A2"/>
    <w:rsid w:val="00636A57"/>
    <w:rsid w:val="00636A95"/>
    <w:rsid w:val="006373A4"/>
    <w:rsid w:val="00637925"/>
    <w:rsid w:val="00637A2F"/>
    <w:rsid w:val="006409E8"/>
    <w:rsid w:val="006414ED"/>
    <w:rsid w:val="00642446"/>
    <w:rsid w:val="006439C5"/>
    <w:rsid w:val="00643EBC"/>
    <w:rsid w:val="0064457E"/>
    <w:rsid w:val="0064512A"/>
    <w:rsid w:val="0064649E"/>
    <w:rsid w:val="006471B7"/>
    <w:rsid w:val="0064749D"/>
    <w:rsid w:val="00647636"/>
    <w:rsid w:val="006510A4"/>
    <w:rsid w:val="006534E1"/>
    <w:rsid w:val="00653A65"/>
    <w:rsid w:val="00654854"/>
    <w:rsid w:val="00654995"/>
    <w:rsid w:val="006549BC"/>
    <w:rsid w:val="00654EC3"/>
    <w:rsid w:val="00655A7E"/>
    <w:rsid w:val="006565B3"/>
    <w:rsid w:val="006607D4"/>
    <w:rsid w:val="006609E4"/>
    <w:rsid w:val="00662446"/>
    <w:rsid w:val="00663759"/>
    <w:rsid w:val="00664A69"/>
    <w:rsid w:val="006650A1"/>
    <w:rsid w:val="00666B13"/>
    <w:rsid w:val="00670533"/>
    <w:rsid w:val="00671101"/>
    <w:rsid w:val="00671D39"/>
    <w:rsid w:val="006720FD"/>
    <w:rsid w:val="00672E84"/>
    <w:rsid w:val="006747E1"/>
    <w:rsid w:val="00677C6E"/>
    <w:rsid w:val="00677DE8"/>
    <w:rsid w:val="006808AF"/>
    <w:rsid w:val="006810A8"/>
    <w:rsid w:val="00681689"/>
    <w:rsid w:val="006819FF"/>
    <w:rsid w:val="0068352A"/>
    <w:rsid w:val="00684039"/>
    <w:rsid w:val="00684A31"/>
    <w:rsid w:val="00685568"/>
    <w:rsid w:val="00686D7B"/>
    <w:rsid w:val="006871BC"/>
    <w:rsid w:val="00687434"/>
    <w:rsid w:val="00687C5B"/>
    <w:rsid w:val="0069125E"/>
    <w:rsid w:val="00691A34"/>
    <w:rsid w:val="006940FF"/>
    <w:rsid w:val="0069593C"/>
    <w:rsid w:val="0069608C"/>
    <w:rsid w:val="00697BE3"/>
    <w:rsid w:val="006A00C8"/>
    <w:rsid w:val="006A0588"/>
    <w:rsid w:val="006A09FA"/>
    <w:rsid w:val="006A3C8D"/>
    <w:rsid w:val="006A5631"/>
    <w:rsid w:val="006A6650"/>
    <w:rsid w:val="006B06C6"/>
    <w:rsid w:val="006B1C09"/>
    <w:rsid w:val="006B3410"/>
    <w:rsid w:val="006B46EA"/>
    <w:rsid w:val="006B4A82"/>
    <w:rsid w:val="006B7058"/>
    <w:rsid w:val="006B74CC"/>
    <w:rsid w:val="006B7B5F"/>
    <w:rsid w:val="006B7F47"/>
    <w:rsid w:val="006C02C7"/>
    <w:rsid w:val="006C25A0"/>
    <w:rsid w:val="006C28BF"/>
    <w:rsid w:val="006C30A7"/>
    <w:rsid w:val="006C3D8E"/>
    <w:rsid w:val="006C4EFA"/>
    <w:rsid w:val="006C5533"/>
    <w:rsid w:val="006C5FEC"/>
    <w:rsid w:val="006D1060"/>
    <w:rsid w:val="006D41D2"/>
    <w:rsid w:val="006D43F9"/>
    <w:rsid w:val="006D4538"/>
    <w:rsid w:val="006D45D2"/>
    <w:rsid w:val="006D51EF"/>
    <w:rsid w:val="006D60E8"/>
    <w:rsid w:val="006D6371"/>
    <w:rsid w:val="006D6FEA"/>
    <w:rsid w:val="006D71B2"/>
    <w:rsid w:val="006D789B"/>
    <w:rsid w:val="006D790A"/>
    <w:rsid w:val="006E0F0B"/>
    <w:rsid w:val="006E2780"/>
    <w:rsid w:val="006E33E2"/>
    <w:rsid w:val="006E4D8B"/>
    <w:rsid w:val="006E7B0A"/>
    <w:rsid w:val="006F43DB"/>
    <w:rsid w:val="006F48F1"/>
    <w:rsid w:val="006F4EFA"/>
    <w:rsid w:val="006F557D"/>
    <w:rsid w:val="006F7238"/>
    <w:rsid w:val="006F7CC9"/>
    <w:rsid w:val="00700805"/>
    <w:rsid w:val="00701E8F"/>
    <w:rsid w:val="007021A8"/>
    <w:rsid w:val="00702733"/>
    <w:rsid w:val="00702991"/>
    <w:rsid w:val="00704109"/>
    <w:rsid w:val="0070423B"/>
    <w:rsid w:val="00704ADF"/>
    <w:rsid w:val="00704BC6"/>
    <w:rsid w:val="007070F3"/>
    <w:rsid w:val="007074D8"/>
    <w:rsid w:val="00707700"/>
    <w:rsid w:val="0071042D"/>
    <w:rsid w:val="007138EE"/>
    <w:rsid w:val="007158C7"/>
    <w:rsid w:val="007166C5"/>
    <w:rsid w:val="00716D8B"/>
    <w:rsid w:val="00720903"/>
    <w:rsid w:val="007215A0"/>
    <w:rsid w:val="00721858"/>
    <w:rsid w:val="00721ECE"/>
    <w:rsid w:val="0072415E"/>
    <w:rsid w:val="0072499B"/>
    <w:rsid w:val="007258A3"/>
    <w:rsid w:val="00725F53"/>
    <w:rsid w:val="0072616F"/>
    <w:rsid w:val="00726299"/>
    <w:rsid w:val="00726328"/>
    <w:rsid w:val="0073094D"/>
    <w:rsid w:val="00732AD7"/>
    <w:rsid w:val="00733726"/>
    <w:rsid w:val="00734635"/>
    <w:rsid w:val="00734C34"/>
    <w:rsid w:val="007363F4"/>
    <w:rsid w:val="00736542"/>
    <w:rsid w:val="00737D6A"/>
    <w:rsid w:val="00737EC7"/>
    <w:rsid w:val="00740B55"/>
    <w:rsid w:val="007410A1"/>
    <w:rsid w:val="00742BBA"/>
    <w:rsid w:val="007430ED"/>
    <w:rsid w:val="00744769"/>
    <w:rsid w:val="0074507A"/>
    <w:rsid w:val="00750093"/>
    <w:rsid w:val="00750EFC"/>
    <w:rsid w:val="00752048"/>
    <w:rsid w:val="00752192"/>
    <w:rsid w:val="007531DC"/>
    <w:rsid w:val="0075445B"/>
    <w:rsid w:val="007556D2"/>
    <w:rsid w:val="007558C0"/>
    <w:rsid w:val="00755A25"/>
    <w:rsid w:val="007622E7"/>
    <w:rsid w:val="00762413"/>
    <w:rsid w:val="00762465"/>
    <w:rsid w:val="00762AA6"/>
    <w:rsid w:val="00762E44"/>
    <w:rsid w:val="00763751"/>
    <w:rsid w:val="007642C8"/>
    <w:rsid w:val="007657C8"/>
    <w:rsid w:val="007661F9"/>
    <w:rsid w:val="0076620F"/>
    <w:rsid w:val="007664F1"/>
    <w:rsid w:val="00770167"/>
    <w:rsid w:val="00770D22"/>
    <w:rsid w:val="007713B6"/>
    <w:rsid w:val="00771FF0"/>
    <w:rsid w:val="00772D54"/>
    <w:rsid w:val="00773A93"/>
    <w:rsid w:val="00774A5B"/>
    <w:rsid w:val="007778CA"/>
    <w:rsid w:val="00781B89"/>
    <w:rsid w:val="00781ECE"/>
    <w:rsid w:val="00782ABB"/>
    <w:rsid w:val="0078316E"/>
    <w:rsid w:val="007836F8"/>
    <w:rsid w:val="0078455D"/>
    <w:rsid w:val="0078559D"/>
    <w:rsid w:val="00786B94"/>
    <w:rsid w:val="00786E45"/>
    <w:rsid w:val="0079193B"/>
    <w:rsid w:val="00791C23"/>
    <w:rsid w:val="007932E5"/>
    <w:rsid w:val="007932EA"/>
    <w:rsid w:val="007937A8"/>
    <w:rsid w:val="00794698"/>
    <w:rsid w:val="00794E6C"/>
    <w:rsid w:val="00795862"/>
    <w:rsid w:val="00795A68"/>
    <w:rsid w:val="00795C55"/>
    <w:rsid w:val="00797842"/>
    <w:rsid w:val="007A153C"/>
    <w:rsid w:val="007A255C"/>
    <w:rsid w:val="007A3E5C"/>
    <w:rsid w:val="007A5E9C"/>
    <w:rsid w:val="007A606D"/>
    <w:rsid w:val="007A77A4"/>
    <w:rsid w:val="007B2C36"/>
    <w:rsid w:val="007B39F7"/>
    <w:rsid w:val="007C147F"/>
    <w:rsid w:val="007C37FC"/>
    <w:rsid w:val="007C3883"/>
    <w:rsid w:val="007C390E"/>
    <w:rsid w:val="007C3C34"/>
    <w:rsid w:val="007C502D"/>
    <w:rsid w:val="007C619B"/>
    <w:rsid w:val="007C7BED"/>
    <w:rsid w:val="007C7DFF"/>
    <w:rsid w:val="007D04E8"/>
    <w:rsid w:val="007D1C8B"/>
    <w:rsid w:val="007D2656"/>
    <w:rsid w:val="007E0D66"/>
    <w:rsid w:val="007E1E75"/>
    <w:rsid w:val="007E25A6"/>
    <w:rsid w:val="007E33C3"/>
    <w:rsid w:val="007E3604"/>
    <w:rsid w:val="007E3E86"/>
    <w:rsid w:val="007E4D13"/>
    <w:rsid w:val="007E6CED"/>
    <w:rsid w:val="007E6F87"/>
    <w:rsid w:val="007E7C71"/>
    <w:rsid w:val="007F08DD"/>
    <w:rsid w:val="007F2430"/>
    <w:rsid w:val="007F5A13"/>
    <w:rsid w:val="007F5C22"/>
    <w:rsid w:val="007F7E47"/>
    <w:rsid w:val="008002DF"/>
    <w:rsid w:val="00800423"/>
    <w:rsid w:val="0080045D"/>
    <w:rsid w:val="00800868"/>
    <w:rsid w:val="00800C39"/>
    <w:rsid w:val="00802F00"/>
    <w:rsid w:val="00804521"/>
    <w:rsid w:val="00805383"/>
    <w:rsid w:val="0080556D"/>
    <w:rsid w:val="00806F80"/>
    <w:rsid w:val="008070EC"/>
    <w:rsid w:val="008105E8"/>
    <w:rsid w:val="008107D1"/>
    <w:rsid w:val="00811BFE"/>
    <w:rsid w:val="0081282B"/>
    <w:rsid w:val="00812C34"/>
    <w:rsid w:val="00814FC7"/>
    <w:rsid w:val="00815802"/>
    <w:rsid w:val="0081667F"/>
    <w:rsid w:val="008168BC"/>
    <w:rsid w:val="00817A3C"/>
    <w:rsid w:val="00817B56"/>
    <w:rsid w:val="008203B4"/>
    <w:rsid w:val="00820A6E"/>
    <w:rsid w:val="00820BD0"/>
    <w:rsid w:val="008210BE"/>
    <w:rsid w:val="00821A4E"/>
    <w:rsid w:val="008227BD"/>
    <w:rsid w:val="00822EFE"/>
    <w:rsid w:val="008255E9"/>
    <w:rsid w:val="0082774E"/>
    <w:rsid w:val="008278B5"/>
    <w:rsid w:val="00827BFA"/>
    <w:rsid w:val="008302D1"/>
    <w:rsid w:val="00833E75"/>
    <w:rsid w:val="00834A22"/>
    <w:rsid w:val="00835BD2"/>
    <w:rsid w:val="00835DD3"/>
    <w:rsid w:val="00836198"/>
    <w:rsid w:val="00836DD3"/>
    <w:rsid w:val="00840873"/>
    <w:rsid w:val="00840FA4"/>
    <w:rsid w:val="00843094"/>
    <w:rsid w:val="00843FF9"/>
    <w:rsid w:val="008464A0"/>
    <w:rsid w:val="00846ECC"/>
    <w:rsid w:val="0084730C"/>
    <w:rsid w:val="008474B4"/>
    <w:rsid w:val="00850260"/>
    <w:rsid w:val="00851139"/>
    <w:rsid w:val="00851357"/>
    <w:rsid w:val="00851A77"/>
    <w:rsid w:val="0085292B"/>
    <w:rsid w:val="00852AF8"/>
    <w:rsid w:val="00853693"/>
    <w:rsid w:val="0085411F"/>
    <w:rsid w:val="0085428A"/>
    <w:rsid w:val="008554B2"/>
    <w:rsid w:val="008570C6"/>
    <w:rsid w:val="00857D97"/>
    <w:rsid w:val="00860DDC"/>
    <w:rsid w:val="00861C7B"/>
    <w:rsid w:val="00862617"/>
    <w:rsid w:val="008630E1"/>
    <w:rsid w:val="0086475A"/>
    <w:rsid w:val="00867917"/>
    <w:rsid w:val="0087031D"/>
    <w:rsid w:val="008712E2"/>
    <w:rsid w:val="00872603"/>
    <w:rsid w:val="008731FC"/>
    <w:rsid w:val="008733CF"/>
    <w:rsid w:val="00873A58"/>
    <w:rsid w:val="00874C0D"/>
    <w:rsid w:val="008750C4"/>
    <w:rsid w:val="00875878"/>
    <w:rsid w:val="00875B3A"/>
    <w:rsid w:val="0087638C"/>
    <w:rsid w:val="008770C4"/>
    <w:rsid w:val="00877F52"/>
    <w:rsid w:val="008804C4"/>
    <w:rsid w:val="00880D0B"/>
    <w:rsid w:val="00881A17"/>
    <w:rsid w:val="0088219E"/>
    <w:rsid w:val="008825CD"/>
    <w:rsid w:val="00882CAA"/>
    <w:rsid w:val="008844D4"/>
    <w:rsid w:val="00884C77"/>
    <w:rsid w:val="008851BB"/>
    <w:rsid w:val="00885787"/>
    <w:rsid w:val="0088638A"/>
    <w:rsid w:val="008864FA"/>
    <w:rsid w:val="0088735F"/>
    <w:rsid w:val="00887976"/>
    <w:rsid w:val="00890463"/>
    <w:rsid w:val="00891211"/>
    <w:rsid w:val="008915DD"/>
    <w:rsid w:val="00891A7A"/>
    <w:rsid w:val="00892369"/>
    <w:rsid w:val="008925CD"/>
    <w:rsid w:val="00894A6D"/>
    <w:rsid w:val="00894BDB"/>
    <w:rsid w:val="00895CCF"/>
    <w:rsid w:val="008968D7"/>
    <w:rsid w:val="00896F8B"/>
    <w:rsid w:val="008A0184"/>
    <w:rsid w:val="008A22EA"/>
    <w:rsid w:val="008A35C4"/>
    <w:rsid w:val="008A5777"/>
    <w:rsid w:val="008A5A52"/>
    <w:rsid w:val="008A6931"/>
    <w:rsid w:val="008A6BD4"/>
    <w:rsid w:val="008B1202"/>
    <w:rsid w:val="008B1B75"/>
    <w:rsid w:val="008B3123"/>
    <w:rsid w:val="008B5B35"/>
    <w:rsid w:val="008B6047"/>
    <w:rsid w:val="008B71A6"/>
    <w:rsid w:val="008B74DF"/>
    <w:rsid w:val="008C080E"/>
    <w:rsid w:val="008C0F41"/>
    <w:rsid w:val="008C23C3"/>
    <w:rsid w:val="008C29E6"/>
    <w:rsid w:val="008C3339"/>
    <w:rsid w:val="008C40A0"/>
    <w:rsid w:val="008C4C5F"/>
    <w:rsid w:val="008C538C"/>
    <w:rsid w:val="008C5D6D"/>
    <w:rsid w:val="008C6361"/>
    <w:rsid w:val="008C69CC"/>
    <w:rsid w:val="008D4923"/>
    <w:rsid w:val="008D5582"/>
    <w:rsid w:val="008D590C"/>
    <w:rsid w:val="008D61F4"/>
    <w:rsid w:val="008D6ED1"/>
    <w:rsid w:val="008E00A7"/>
    <w:rsid w:val="008E25D8"/>
    <w:rsid w:val="008E25EC"/>
    <w:rsid w:val="008E3FEC"/>
    <w:rsid w:val="008E4DAF"/>
    <w:rsid w:val="008E4E0A"/>
    <w:rsid w:val="008E6B88"/>
    <w:rsid w:val="008E7354"/>
    <w:rsid w:val="008F359E"/>
    <w:rsid w:val="008F3923"/>
    <w:rsid w:val="008F4916"/>
    <w:rsid w:val="008F5BB5"/>
    <w:rsid w:val="008F7126"/>
    <w:rsid w:val="008F71C0"/>
    <w:rsid w:val="008F7B6C"/>
    <w:rsid w:val="0090043B"/>
    <w:rsid w:val="00901AA5"/>
    <w:rsid w:val="00901C66"/>
    <w:rsid w:val="00902EBD"/>
    <w:rsid w:val="0090379A"/>
    <w:rsid w:val="00905676"/>
    <w:rsid w:val="00906A36"/>
    <w:rsid w:val="009136F3"/>
    <w:rsid w:val="00914006"/>
    <w:rsid w:val="00916116"/>
    <w:rsid w:val="00917FD2"/>
    <w:rsid w:val="009209E6"/>
    <w:rsid w:val="00921720"/>
    <w:rsid w:val="0092377C"/>
    <w:rsid w:val="009237CD"/>
    <w:rsid w:val="0092605A"/>
    <w:rsid w:val="00926BAF"/>
    <w:rsid w:val="00930D82"/>
    <w:rsid w:val="0093475B"/>
    <w:rsid w:val="00934DEB"/>
    <w:rsid w:val="00936914"/>
    <w:rsid w:val="00937035"/>
    <w:rsid w:val="0094038F"/>
    <w:rsid w:val="00940D08"/>
    <w:rsid w:val="00940FA4"/>
    <w:rsid w:val="00943BC1"/>
    <w:rsid w:val="0094483C"/>
    <w:rsid w:val="00944CDE"/>
    <w:rsid w:val="0094592E"/>
    <w:rsid w:val="00946529"/>
    <w:rsid w:val="0095009F"/>
    <w:rsid w:val="00951CEC"/>
    <w:rsid w:val="009530C4"/>
    <w:rsid w:val="00953BB1"/>
    <w:rsid w:val="009548EB"/>
    <w:rsid w:val="009555AF"/>
    <w:rsid w:val="00955BF0"/>
    <w:rsid w:val="00955E5F"/>
    <w:rsid w:val="00955EAF"/>
    <w:rsid w:val="0095632B"/>
    <w:rsid w:val="009568A8"/>
    <w:rsid w:val="00957B69"/>
    <w:rsid w:val="00957D50"/>
    <w:rsid w:val="00960285"/>
    <w:rsid w:val="00962E70"/>
    <w:rsid w:val="00964311"/>
    <w:rsid w:val="009664DB"/>
    <w:rsid w:val="0097030B"/>
    <w:rsid w:val="00970FD3"/>
    <w:rsid w:val="00971845"/>
    <w:rsid w:val="00974F3E"/>
    <w:rsid w:val="00980815"/>
    <w:rsid w:val="00980950"/>
    <w:rsid w:val="00980C0F"/>
    <w:rsid w:val="009816F9"/>
    <w:rsid w:val="00982E40"/>
    <w:rsid w:val="00983726"/>
    <w:rsid w:val="00983FF7"/>
    <w:rsid w:val="00984337"/>
    <w:rsid w:val="0098526F"/>
    <w:rsid w:val="00985686"/>
    <w:rsid w:val="0098573B"/>
    <w:rsid w:val="00985E3B"/>
    <w:rsid w:val="00986537"/>
    <w:rsid w:val="00987641"/>
    <w:rsid w:val="00990654"/>
    <w:rsid w:val="00990E00"/>
    <w:rsid w:val="009912B1"/>
    <w:rsid w:val="0099186E"/>
    <w:rsid w:val="00993E8B"/>
    <w:rsid w:val="009943E0"/>
    <w:rsid w:val="009948B7"/>
    <w:rsid w:val="009948B9"/>
    <w:rsid w:val="00995735"/>
    <w:rsid w:val="009A0773"/>
    <w:rsid w:val="009A399F"/>
    <w:rsid w:val="009A752D"/>
    <w:rsid w:val="009B26B1"/>
    <w:rsid w:val="009B275D"/>
    <w:rsid w:val="009B2E99"/>
    <w:rsid w:val="009B4273"/>
    <w:rsid w:val="009B4C15"/>
    <w:rsid w:val="009B5199"/>
    <w:rsid w:val="009B54FA"/>
    <w:rsid w:val="009B609B"/>
    <w:rsid w:val="009B62A0"/>
    <w:rsid w:val="009B6680"/>
    <w:rsid w:val="009B68A7"/>
    <w:rsid w:val="009B6C96"/>
    <w:rsid w:val="009B73E8"/>
    <w:rsid w:val="009C0B04"/>
    <w:rsid w:val="009C2610"/>
    <w:rsid w:val="009C272D"/>
    <w:rsid w:val="009C2C93"/>
    <w:rsid w:val="009C2F79"/>
    <w:rsid w:val="009C5121"/>
    <w:rsid w:val="009C53F3"/>
    <w:rsid w:val="009C6733"/>
    <w:rsid w:val="009C6A34"/>
    <w:rsid w:val="009C7754"/>
    <w:rsid w:val="009C7D28"/>
    <w:rsid w:val="009D0C62"/>
    <w:rsid w:val="009D10A9"/>
    <w:rsid w:val="009D164B"/>
    <w:rsid w:val="009D21F1"/>
    <w:rsid w:val="009D3B75"/>
    <w:rsid w:val="009D3EAA"/>
    <w:rsid w:val="009D457B"/>
    <w:rsid w:val="009D5B32"/>
    <w:rsid w:val="009D5BA7"/>
    <w:rsid w:val="009D629B"/>
    <w:rsid w:val="009E0515"/>
    <w:rsid w:val="009E11F5"/>
    <w:rsid w:val="009E23DE"/>
    <w:rsid w:val="009E4B8C"/>
    <w:rsid w:val="009E5B1D"/>
    <w:rsid w:val="009E5EAC"/>
    <w:rsid w:val="009E7CE6"/>
    <w:rsid w:val="009F0387"/>
    <w:rsid w:val="009F1202"/>
    <w:rsid w:val="009F20A2"/>
    <w:rsid w:val="009F2183"/>
    <w:rsid w:val="009F226B"/>
    <w:rsid w:val="009F2710"/>
    <w:rsid w:val="009F4FE5"/>
    <w:rsid w:val="009F743C"/>
    <w:rsid w:val="009F782B"/>
    <w:rsid w:val="00A00118"/>
    <w:rsid w:val="00A0034C"/>
    <w:rsid w:val="00A00FBA"/>
    <w:rsid w:val="00A0152B"/>
    <w:rsid w:val="00A033AE"/>
    <w:rsid w:val="00A04432"/>
    <w:rsid w:val="00A04574"/>
    <w:rsid w:val="00A04D24"/>
    <w:rsid w:val="00A0549E"/>
    <w:rsid w:val="00A058BA"/>
    <w:rsid w:val="00A05D64"/>
    <w:rsid w:val="00A07B8C"/>
    <w:rsid w:val="00A10893"/>
    <w:rsid w:val="00A10900"/>
    <w:rsid w:val="00A135AA"/>
    <w:rsid w:val="00A13A6F"/>
    <w:rsid w:val="00A13F27"/>
    <w:rsid w:val="00A1420E"/>
    <w:rsid w:val="00A150D7"/>
    <w:rsid w:val="00A15888"/>
    <w:rsid w:val="00A1635B"/>
    <w:rsid w:val="00A20284"/>
    <w:rsid w:val="00A203A2"/>
    <w:rsid w:val="00A20DF7"/>
    <w:rsid w:val="00A22F52"/>
    <w:rsid w:val="00A241FA"/>
    <w:rsid w:val="00A25774"/>
    <w:rsid w:val="00A25AE4"/>
    <w:rsid w:val="00A2732C"/>
    <w:rsid w:val="00A27A3C"/>
    <w:rsid w:val="00A27FCC"/>
    <w:rsid w:val="00A30747"/>
    <w:rsid w:val="00A31AE3"/>
    <w:rsid w:val="00A32BC3"/>
    <w:rsid w:val="00A339F4"/>
    <w:rsid w:val="00A35857"/>
    <w:rsid w:val="00A35B7A"/>
    <w:rsid w:val="00A370D1"/>
    <w:rsid w:val="00A4017F"/>
    <w:rsid w:val="00A406FD"/>
    <w:rsid w:val="00A4295D"/>
    <w:rsid w:val="00A4441E"/>
    <w:rsid w:val="00A4581E"/>
    <w:rsid w:val="00A45AD7"/>
    <w:rsid w:val="00A47034"/>
    <w:rsid w:val="00A505B0"/>
    <w:rsid w:val="00A515D9"/>
    <w:rsid w:val="00A51D7E"/>
    <w:rsid w:val="00A526DE"/>
    <w:rsid w:val="00A53BB9"/>
    <w:rsid w:val="00A553CA"/>
    <w:rsid w:val="00A568A6"/>
    <w:rsid w:val="00A6041A"/>
    <w:rsid w:val="00A61A05"/>
    <w:rsid w:val="00A62CEE"/>
    <w:rsid w:val="00A639AD"/>
    <w:rsid w:val="00A64693"/>
    <w:rsid w:val="00A64759"/>
    <w:rsid w:val="00A64B57"/>
    <w:rsid w:val="00A6585B"/>
    <w:rsid w:val="00A700E7"/>
    <w:rsid w:val="00A7039B"/>
    <w:rsid w:val="00A71A57"/>
    <w:rsid w:val="00A74285"/>
    <w:rsid w:val="00A76113"/>
    <w:rsid w:val="00A767EA"/>
    <w:rsid w:val="00A8188D"/>
    <w:rsid w:val="00A843B5"/>
    <w:rsid w:val="00A85945"/>
    <w:rsid w:val="00A85F5A"/>
    <w:rsid w:val="00A86248"/>
    <w:rsid w:val="00A90015"/>
    <w:rsid w:val="00A91110"/>
    <w:rsid w:val="00A9159D"/>
    <w:rsid w:val="00A92192"/>
    <w:rsid w:val="00A92C13"/>
    <w:rsid w:val="00A96396"/>
    <w:rsid w:val="00A9668F"/>
    <w:rsid w:val="00AA06D3"/>
    <w:rsid w:val="00AA0C3A"/>
    <w:rsid w:val="00AA3962"/>
    <w:rsid w:val="00AA483A"/>
    <w:rsid w:val="00AA5329"/>
    <w:rsid w:val="00AA5A9A"/>
    <w:rsid w:val="00AA6EE9"/>
    <w:rsid w:val="00AA7388"/>
    <w:rsid w:val="00AB45CB"/>
    <w:rsid w:val="00AB48FC"/>
    <w:rsid w:val="00AB4BF9"/>
    <w:rsid w:val="00AC0390"/>
    <w:rsid w:val="00AC0D29"/>
    <w:rsid w:val="00AC1433"/>
    <w:rsid w:val="00AC1E08"/>
    <w:rsid w:val="00AC3071"/>
    <w:rsid w:val="00AC4138"/>
    <w:rsid w:val="00AC5215"/>
    <w:rsid w:val="00AC607C"/>
    <w:rsid w:val="00AC646A"/>
    <w:rsid w:val="00AC66C0"/>
    <w:rsid w:val="00AC6A78"/>
    <w:rsid w:val="00AC7021"/>
    <w:rsid w:val="00AC7315"/>
    <w:rsid w:val="00AD0049"/>
    <w:rsid w:val="00AD0613"/>
    <w:rsid w:val="00AD1389"/>
    <w:rsid w:val="00AD1AAC"/>
    <w:rsid w:val="00AD51C8"/>
    <w:rsid w:val="00AD5FB1"/>
    <w:rsid w:val="00AD60DB"/>
    <w:rsid w:val="00AD75D9"/>
    <w:rsid w:val="00AD7D61"/>
    <w:rsid w:val="00AE02C9"/>
    <w:rsid w:val="00AE1079"/>
    <w:rsid w:val="00AE136D"/>
    <w:rsid w:val="00AE221F"/>
    <w:rsid w:val="00AE2719"/>
    <w:rsid w:val="00AE45F2"/>
    <w:rsid w:val="00AE4B63"/>
    <w:rsid w:val="00AE57A8"/>
    <w:rsid w:val="00AE747F"/>
    <w:rsid w:val="00AF01A7"/>
    <w:rsid w:val="00AF06E5"/>
    <w:rsid w:val="00AF29E6"/>
    <w:rsid w:val="00AF30BF"/>
    <w:rsid w:val="00AF3B0F"/>
    <w:rsid w:val="00AF5B7A"/>
    <w:rsid w:val="00AF6632"/>
    <w:rsid w:val="00AF67C1"/>
    <w:rsid w:val="00B0074F"/>
    <w:rsid w:val="00B01056"/>
    <w:rsid w:val="00B01351"/>
    <w:rsid w:val="00B01CEE"/>
    <w:rsid w:val="00B01E45"/>
    <w:rsid w:val="00B0239F"/>
    <w:rsid w:val="00B03DE3"/>
    <w:rsid w:val="00B0426B"/>
    <w:rsid w:val="00B0443B"/>
    <w:rsid w:val="00B048B6"/>
    <w:rsid w:val="00B04F34"/>
    <w:rsid w:val="00B0550A"/>
    <w:rsid w:val="00B05843"/>
    <w:rsid w:val="00B07BFA"/>
    <w:rsid w:val="00B10D4E"/>
    <w:rsid w:val="00B11432"/>
    <w:rsid w:val="00B1154E"/>
    <w:rsid w:val="00B1167F"/>
    <w:rsid w:val="00B11830"/>
    <w:rsid w:val="00B15B78"/>
    <w:rsid w:val="00B203BB"/>
    <w:rsid w:val="00B203C9"/>
    <w:rsid w:val="00B212D4"/>
    <w:rsid w:val="00B21809"/>
    <w:rsid w:val="00B21BFB"/>
    <w:rsid w:val="00B21CE3"/>
    <w:rsid w:val="00B2224E"/>
    <w:rsid w:val="00B24585"/>
    <w:rsid w:val="00B253DA"/>
    <w:rsid w:val="00B256BC"/>
    <w:rsid w:val="00B25744"/>
    <w:rsid w:val="00B25CE1"/>
    <w:rsid w:val="00B25DB3"/>
    <w:rsid w:val="00B3033E"/>
    <w:rsid w:val="00B31196"/>
    <w:rsid w:val="00B3728F"/>
    <w:rsid w:val="00B37981"/>
    <w:rsid w:val="00B37ACE"/>
    <w:rsid w:val="00B37DEA"/>
    <w:rsid w:val="00B412C2"/>
    <w:rsid w:val="00B41383"/>
    <w:rsid w:val="00B4190A"/>
    <w:rsid w:val="00B426EC"/>
    <w:rsid w:val="00B42B17"/>
    <w:rsid w:val="00B44481"/>
    <w:rsid w:val="00B447C7"/>
    <w:rsid w:val="00B44EE6"/>
    <w:rsid w:val="00B45946"/>
    <w:rsid w:val="00B45AC2"/>
    <w:rsid w:val="00B46909"/>
    <w:rsid w:val="00B514A3"/>
    <w:rsid w:val="00B515AB"/>
    <w:rsid w:val="00B5202F"/>
    <w:rsid w:val="00B55274"/>
    <w:rsid w:val="00B569D4"/>
    <w:rsid w:val="00B57216"/>
    <w:rsid w:val="00B57454"/>
    <w:rsid w:val="00B57E80"/>
    <w:rsid w:val="00B60C7A"/>
    <w:rsid w:val="00B618B6"/>
    <w:rsid w:val="00B63F62"/>
    <w:rsid w:val="00B6675C"/>
    <w:rsid w:val="00B66F6C"/>
    <w:rsid w:val="00B7074E"/>
    <w:rsid w:val="00B7582B"/>
    <w:rsid w:val="00B75F39"/>
    <w:rsid w:val="00B7660A"/>
    <w:rsid w:val="00B77017"/>
    <w:rsid w:val="00B808AA"/>
    <w:rsid w:val="00B80D3E"/>
    <w:rsid w:val="00B81289"/>
    <w:rsid w:val="00B82947"/>
    <w:rsid w:val="00B82DB5"/>
    <w:rsid w:val="00B833E7"/>
    <w:rsid w:val="00B836DE"/>
    <w:rsid w:val="00B83A0F"/>
    <w:rsid w:val="00B8499D"/>
    <w:rsid w:val="00B87392"/>
    <w:rsid w:val="00B908A6"/>
    <w:rsid w:val="00B909D6"/>
    <w:rsid w:val="00B91C50"/>
    <w:rsid w:val="00B91EA6"/>
    <w:rsid w:val="00B92622"/>
    <w:rsid w:val="00B938A6"/>
    <w:rsid w:val="00B94609"/>
    <w:rsid w:val="00B95258"/>
    <w:rsid w:val="00B95BEE"/>
    <w:rsid w:val="00B965E3"/>
    <w:rsid w:val="00B97B69"/>
    <w:rsid w:val="00B97B91"/>
    <w:rsid w:val="00B97EB3"/>
    <w:rsid w:val="00B97F29"/>
    <w:rsid w:val="00BA0687"/>
    <w:rsid w:val="00BA0E49"/>
    <w:rsid w:val="00BA15B0"/>
    <w:rsid w:val="00BA1E0F"/>
    <w:rsid w:val="00BA2C9A"/>
    <w:rsid w:val="00BA4797"/>
    <w:rsid w:val="00BA5365"/>
    <w:rsid w:val="00BA6088"/>
    <w:rsid w:val="00BA68F0"/>
    <w:rsid w:val="00BA68F8"/>
    <w:rsid w:val="00BA7396"/>
    <w:rsid w:val="00BA7FBE"/>
    <w:rsid w:val="00BB0076"/>
    <w:rsid w:val="00BB042D"/>
    <w:rsid w:val="00BB05BA"/>
    <w:rsid w:val="00BB0DF5"/>
    <w:rsid w:val="00BB191B"/>
    <w:rsid w:val="00BB26C5"/>
    <w:rsid w:val="00BB2F78"/>
    <w:rsid w:val="00BB3807"/>
    <w:rsid w:val="00BB5226"/>
    <w:rsid w:val="00BB61BC"/>
    <w:rsid w:val="00BC1F8D"/>
    <w:rsid w:val="00BC2A64"/>
    <w:rsid w:val="00BC3D60"/>
    <w:rsid w:val="00BC4F35"/>
    <w:rsid w:val="00BC4F75"/>
    <w:rsid w:val="00BC63B6"/>
    <w:rsid w:val="00BC69BF"/>
    <w:rsid w:val="00BC6F6C"/>
    <w:rsid w:val="00BC74BD"/>
    <w:rsid w:val="00BD3941"/>
    <w:rsid w:val="00BD3AA0"/>
    <w:rsid w:val="00BD535B"/>
    <w:rsid w:val="00BD5556"/>
    <w:rsid w:val="00BD5F29"/>
    <w:rsid w:val="00BD6F82"/>
    <w:rsid w:val="00BD6FF4"/>
    <w:rsid w:val="00BD7B80"/>
    <w:rsid w:val="00BE080B"/>
    <w:rsid w:val="00BE0868"/>
    <w:rsid w:val="00BE349A"/>
    <w:rsid w:val="00BE414A"/>
    <w:rsid w:val="00BE4570"/>
    <w:rsid w:val="00BE5D0F"/>
    <w:rsid w:val="00BE63BD"/>
    <w:rsid w:val="00BE705C"/>
    <w:rsid w:val="00BF041D"/>
    <w:rsid w:val="00BF07C7"/>
    <w:rsid w:val="00BF0F02"/>
    <w:rsid w:val="00BF1428"/>
    <w:rsid w:val="00BF5373"/>
    <w:rsid w:val="00BF5655"/>
    <w:rsid w:val="00BF5861"/>
    <w:rsid w:val="00BF5CB5"/>
    <w:rsid w:val="00BF629C"/>
    <w:rsid w:val="00BF6965"/>
    <w:rsid w:val="00BF7B7A"/>
    <w:rsid w:val="00BF7F1E"/>
    <w:rsid w:val="00C002D2"/>
    <w:rsid w:val="00C014D5"/>
    <w:rsid w:val="00C02BB7"/>
    <w:rsid w:val="00C03222"/>
    <w:rsid w:val="00C04B07"/>
    <w:rsid w:val="00C05115"/>
    <w:rsid w:val="00C06751"/>
    <w:rsid w:val="00C07BE3"/>
    <w:rsid w:val="00C07E90"/>
    <w:rsid w:val="00C10526"/>
    <w:rsid w:val="00C10FCA"/>
    <w:rsid w:val="00C1140B"/>
    <w:rsid w:val="00C11483"/>
    <w:rsid w:val="00C13388"/>
    <w:rsid w:val="00C13B5F"/>
    <w:rsid w:val="00C159AF"/>
    <w:rsid w:val="00C16F6C"/>
    <w:rsid w:val="00C17176"/>
    <w:rsid w:val="00C2037A"/>
    <w:rsid w:val="00C2138B"/>
    <w:rsid w:val="00C21E11"/>
    <w:rsid w:val="00C24C66"/>
    <w:rsid w:val="00C2609E"/>
    <w:rsid w:val="00C31382"/>
    <w:rsid w:val="00C31AF8"/>
    <w:rsid w:val="00C344A8"/>
    <w:rsid w:val="00C34CD5"/>
    <w:rsid w:val="00C355F3"/>
    <w:rsid w:val="00C362CA"/>
    <w:rsid w:val="00C370BC"/>
    <w:rsid w:val="00C3791B"/>
    <w:rsid w:val="00C37ED0"/>
    <w:rsid w:val="00C40D88"/>
    <w:rsid w:val="00C433FA"/>
    <w:rsid w:val="00C436EA"/>
    <w:rsid w:val="00C45982"/>
    <w:rsid w:val="00C45B9D"/>
    <w:rsid w:val="00C45CD0"/>
    <w:rsid w:val="00C46D89"/>
    <w:rsid w:val="00C46ED8"/>
    <w:rsid w:val="00C46F92"/>
    <w:rsid w:val="00C46FA6"/>
    <w:rsid w:val="00C477E0"/>
    <w:rsid w:val="00C47C52"/>
    <w:rsid w:val="00C50A7F"/>
    <w:rsid w:val="00C53AA4"/>
    <w:rsid w:val="00C53D15"/>
    <w:rsid w:val="00C54482"/>
    <w:rsid w:val="00C5599C"/>
    <w:rsid w:val="00C55BA8"/>
    <w:rsid w:val="00C56749"/>
    <w:rsid w:val="00C5797D"/>
    <w:rsid w:val="00C57AB5"/>
    <w:rsid w:val="00C61236"/>
    <w:rsid w:val="00C624F4"/>
    <w:rsid w:val="00C62FD3"/>
    <w:rsid w:val="00C655EF"/>
    <w:rsid w:val="00C66CCD"/>
    <w:rsid w:val="00C66D82"/>
    <w:rsid w:val="00C66DA6"/>
    <w:rsid w:val="00C67A9F"/>
    <w:rsid w:val="00C67FD0"/>
    <w:rsid w:val="00C7064C"/>
    <w:rsid w:val="00C70C02"/>
    <w:rsid w:val="00C70F2F"/>
    <w:rsid w:val="00C711A5"/>
    <w:rsid w:val="00C71CB2"/>
    <w:rsid w:val="00C71EF9"/>
    <w:rsid w:val="00C728BE"/>
    <w:rsid w:val="00C73232"/>
    <w:rsid w:val="00C740AF"/>
    <w:rsid w:val="00C765A9"/>
    <w:rsid w:val="00C7722B"/>
    <w:rsid w:val="00C77A88"/>
    <w:rsid w:val="00C77BC7"/>
    <w:rsid w:val="00C83345"/>
    <w:rsid w:val="00C86977"/>
    <w:rsid w:val="00C915ED"/>
    <w:rsid w:val="00C91E57"/>
    <w:rsid w:val="00C92363"/>
    <w:rsid w:val="00C92D20"/>
    <w:rsid w:val="00C92EEF"/>
    <w:rsid w:val="00C9611E"/>
    <w:rsid w:val="00C96A00"/>
    <w:rsid w:val="00C96AE9"/>
    <w:rsid w:val="00CA13B9"/>
    <w:rsid w:val="00CA1C1B"/>
    <w:rsid w:val="00CA3357"/>
    <w:rsid w:val="00CA3AF1"/>
    <w:rsid w:val="00CA41EE"/>
    <w:rsid w:val="00CA4309"/>
    <w:rsid w:val="00CA51B5"/>
    <w:rsid w:val="00CA7930"/>
    <w:rsid w:val="00CB0B87"/>
    <w:rsid w:val="00CB347F"/>
    <w:rsid w:val="00CB3567"/>
    <w:rsid w:val="00CB3B05"/>
    <w:rsid w:val="00CB5450"/>
    <w:rsid w:val="00CB5EC5"/>
    <w:rsid w:val="00CB6092"/>
    <w:rsid w:val="00CB6C01"/>
    <w:rsid w:val="00CB6DC0"/>
    <w:rsid w:val="00CB7D92"/>
    <w:rsid w:val="00CC05B2"/>
    <w:rsid w:val="00CC069E"/>
    <w:rsid w:val="00CC0EED"/>
    <w:rsid w:val="00CC1B1A"/>
    <w:rsid w:val="00CC255D"/>
    <w:rsid w:val="00CC2681"/>
    <w:rsid w:val="00CC2F24"/>
    <w:rsid w:val="00CC3249"/>
    <w:rsid w:val="00CC35D2"/>
    <w:rsid w:val="00CC38B4"/>
    <w:rsid w:val="00CC461B"/>
    <w:rsid w:val="00CC52A1"/>
    <w:rsid w:val="00CC581B"/>
    <w:rsid w:val="00CC6591"/>
    <w:rsid w:val="00CC69B0"/>
    <w:rsid w:val="00CC6AE7"/>
    <w:rsid w:val="00CC727C"/>
    <w:rsid w:val="00CC7A33"/>
    <w:rsid w:val="00CD02D0"/>
    <w:rsid w:val="00CD084D"/>
    <w:rsid w:val="00CD0B8F"/>
    <w:rsid w:val="00CD3F6C"/>
    <w:rsid w:val="00CD51FD"/>
    <w:rsid w:val="00CD7A46"/>
    <w:rsid w:val="00CE084A"/>
    <w:rsid w:val="00CE2F2E"/>
    <w:rsid w:val="00CE3E23"/>
    <w:rsid w:val="00CE4095"/>
    <w:rsid w:val="00CE52F0"/>
    <w:rsid w:val="00CE53E5"/>
    <w:rsid w:val="00CE7423"/>
    <w:rsid w:val="00CF05AF"/>
    <w:rsid w:val="00CF4915"/>
    <w:rsid w:val="00CF50E1"/>
    <w:rsid w:val="00CF5DDC"/>
    <w:rsid w:val="00CF5DF1"/>
    <w:rsid w:val="00CF6AB7"/>
    <w:rsid w:val="00CF727E"/>
    <w:rsid w:val="00D01861"/>
    <w:rsid w:val="00D02156"/>
    <w:rsid w:val="00D02FD0"/>
    <w:rsid w:val="00D035DC"/>
    <w:rsid w:val="00D039E9"/>
    <w:rsid w:val="00D0413E"/>
    <w:rsid w:val="00D04243"/>
    <w:rsid w:val="00D046D5"/>
    <w:rsid w:val="00D04990"/>
    <w:rsid w:val="00D04D78"/>
    <w:rsid w:val="00D04DC7"/>
    <w:rsid w:val="00D0546F"/>
    <w:rsid w:val="00D05F37"/>
    <w:rsid w:val="00D07FE4"/>
    <w:rsid w:val="00D104F9"/>
    <w:rsid w:val="00D10F97"/>
    <w:rsid w:val="00D13FCF"/>
    <w:rsid w:val="00D1506F"/>
    <w:rsid w:val="00D164C3"/>
    <w:rsid w:val="00D17B28"/>
    <w:rsid w:val="00D2022E"/>
    <w:rsid w:val="00D2024E"/>
    <w:rsid w:val="00D20286"/>
    <w:rsid w:val="00D2034A"/>
    <w:rsid w:val="00D21977"/>
    <w:rsid w:val="00D22CC8"/>
    <w:rsid w:val="00D24BF1"/>
    <w:rsid w:val="00D25673"/>
    <w:rsid w:val="00D30C17"/>
    <w:rsid w:val="00D30F26"/>
    <w:rsid w:val="00D3185B"/>
    <w:rsid w:val="00D31949"/>
    <w:rsid w:val="00D34467"/>
    <w:rsid w:val="00D35BC4"/>
    <w:rsid w:val="00D37123"/>
    <w:rsid w:val="00D412CD"/>
    <w:rsid w:val="00D424D5"/>
    <w:rsid w:val="00D43523"/>
    <w:rsid w:val="00D4458A"/>
    <w:rsid w:val="00D44613"/>
    <w:rsid w:val="00D45870"/>
    <w:rsid w:val="00D45DF6"/>
    <w:rsid w:val="00D46293"/>
    <w:rsid w:val="00D47494"/>
    <w:rsid w:val="00D478FD"/>
    <w:rsid w:val="00D51BDA"/>
    <w:rsid w:val="00D5271F"/>
    <w:rsid w:val="00D52867"/>
    <w:rsid w:val="00D53E9B"/>
    <w:rsid w:val="00D5486F"/>
    <w:rsid w:val="00D550DC"/>
    <w:rsid w:val="00D555FF"/>
    <w:rsid w:val="00D625DC"/>
    <w:rsid w:val="00D64474"/>
    <w:rsid w:val="00D65673"/>
    <w:rsid w:val="00D66DA7"/>
    <w:rsid w:val="00D67379"/>
    <w:rsid w:val="00D71A62"/>
    <w:rsid w:val="00D727EB"/>
    <w:rsid w:val="00D72EC5"/>
    <w:rsid w:val="00D73423"/>
    <w:rsid w:val="00D736AF"/>
    <w:rsid w:val="00D73B78"/>
    <w:rsid w:val="00D77049"/>
    <w:rsid w:val="00D7776F"/>
    <w:rsid w:val="00D80989"/>
    <w:rsid w:val="00D80EE7"/>
    <w:rsid w:val="00D819EE"/>
    <w:rsid w:val="00D835B6"/>
    <w:rsid w:val="00D83E4A"/>
    <w:rsid w:val="00D85901"/>
    <w:rsid w:val="00D90439"/>
    <w:rsid w:val="00D90961"/>
    <w:rsid w:val="00D90BE9"/>
    <w:rsid w:val="00D96B4C"/>
    <w:rsid w:val="00DA0F86"/>
    <w:rsid w:val="00DA29D6"/>
    <w:rsid w:val="00DA303A"/>
    <w:rsid w:val="00DA487C"/>
    <w:rsid w:val="00DA4F58"/>
    <w:rsid w:val="00DA771D"/>
    <w:rsid w:val="00DB110A"/>
    <w:rsid w:val="00DB16D8"/>
    <w:rsid w:val="00DB2D8B"/>
    <w:rsid w:val="00DB385B"/>
    <w:rsid w:val="00DB541D"/>
    <w:rsid w:val="00DB5901"/>
    <w:rsid w:val="00DB5F94"/>
    <w:rsid w:val="00DB709B"/>
    <w:rsid w:val="00DC0E1E"/>
    <w:rsid w:val="00DC171F"/>
    <w:rsid w:val="00DC1D48"/>
    <w:rsid w:val="00DC1F8E"/>
    <w:rsid w:val="00DC56ED"/>
    <w:rsid w:val="00DC5B9B"/>
    <w:rsid w:val="00DC5E2C"/>
    <w:rsid w:val="00DC78F0"/>
    <w:rsid w:val="00DD3184"/>
    <w:rsid w:val="00DD3A95"/>
    <w:rsid w:val="00DD4B67"/>
    <w:rsid w:val="00DD606C"/>
    <w:rsid w:val="00DD6C11"/>
    <w:rsid w:val="00DD6ECE"/>
    <w:rsid w:val="00DE164F"/>
    <w:rsid w:val="00DE197A"/>
    <w:rsid w:val="00DE2C78"/>
    <w:rsid w:val="00DE4256"/>
    <w:rsid w:val="00DE6335"/>
    <w:rsid w:val="00DE74D8"/>
    <w:rsid w:val="00DF0E6B"/>
    <w:rsid w:val="00DF2A05"/>
    <w:rsid w:val="00DF42D0"/>
    <w:rsid w:val="00DF48CE"/>
    <w:rsid w:val="00DF72CD"/>
    <w:rsid w:val="00DF7400"/>
    <w:rsid w:val="00E01F42"/>
    <w:rsid w:val="00E02759"/>
    <w:rsid w:val="00E02B8F"/>
    <w:rsid w:val="00E02F6E"/>
    <w:rsid w:val="00E03D88"/>
    <w:rsid w:val="00E04FF7"/>
    <w:rsid w:val="00E05807"/>
    <w:rsid w:val="00E06447"/>
    <w:rsid w:val="00E078AC"/>
    <w:rsid w:val="00E118ED"/>
    <w:rsid w:val="00E12F12"/>
    <w:rsid w:val="00E132E8"/>
    <w:rsid w:val="00E14689"/>
    <w:rsid w:val="00E14DD8"/>
    <w:rsid w:val="00E1534C"/>
    <w:rsid w:val="00E15BD2"/>
    <w:rsid w:val="00E15CE3"/>
    <w:rsid w:val="00E20BF8"/>
    <w:rsid w:val="00E2141D"/>
    <w:rsid w:val="00E23569"/>
    <w:rsid w:val="00E23931"/>
    <w:rsid w:val="00E24496"/>
    <w:rsid w:val="00E26093"/>
    <w:rsid w:val="00E26F2F"/>
    <w:rsid w:val="00E300DB"/>
    <w:rsid w:val="00E30AA9"/>
    <w:rsid w:val="00E31058"/>
    <w:rsid w:val="00E311DB"/>
    <w:rsid w:val="00E33CB3"/>
    <w:rsid w:val="00E35F0D"/>
    <w:rsid w:val="00E36B38"/>
    <w:rsid w:val="00E4021F"/>
    <w:rsid w:val="00E412DE"/>
    <w:rsid w:val="00E418B6"/>
    <w:rsid w:val="00E42405"/>
    <w:rsid w:val="00E43222"/>
    <w:rsid w:val="00E43CE5"/>
    <w:rsid w:val="00E43F1E"/>
    <w:rsid w:val="00E442E7"/>
    <w:rsid w:val="00E44A2F"/>
    <w:rsid w:val="00E4596D"/>
    <w:rsid w:val="00E46818"/>
    <w:rsid w:val="00E47658"/>
    <w:rsid w:val="00E51728"/>
    <w:rsid w:val="00E528B1"/>
    <w:rsid w:val="00E5312A"/>
    <w:rsid w:val="00E53268"/>
    <w:rsid w:val="00E53BD9"/>
    <w:rsid w:val="00E54A5B"/>
    <w:rsid w:val="00E55440"/>
    <w:rsid w:val="00E56589"/>
    <w:rsid w:val="00E57166"/>
    <w:rsid w:val="00E60A1A"/>
    <w:rsid w:val="00E60BF4"/>
    <w:rsid w:val="00E61E37"/>
    <w:rsid w:val="00E64629"/>
    <w:rsid w:val="00E66709"/>
    <w:rsid w:val="00E67CC7"/>
    <w:rsid w:val="00E71CC5"/>
    <w:rsid w:val="00E726B7"/>
    <w:rsid w:val="00E72B2F"/>
    <w:rsid w:val="00E73780"/>
    <w:rsid w:val="00E73FAE"/>
    <w:rsid w:val="00E74634"/>
    <w:rsid w:val="00E748B1"/>
    <w:rsid w:val="00E7490C"/>
    <w:rsid w:val="00E756F4"/>
    <w:rsid w:val="00E76231"/>
    <w:rsid w:val="00E76C9C"/>
    <w:rsid w:val="00E7778B"/>
    <w:rsid w:val="00E779BC"/>
    <w:rsid w:val="00E815B8"/>
    <w:rsid w:val="00E81A6C"/>
    <w:rsid w:val="00E846B8"/>
    <w:rsid w:val="00E85392"/>
    <w:rsid w:val="00E86A2F"/>
    <w:rsid w:val="00E86D74"/>
    <w:rsid w:val="00E906CE"/>
    <w:rsid w:val="00E92A7F"/>
    <w:rsid w:val="00E92DB2"/>
    <w:rsid w:val="00E934F9"/>
    <w:rsid w:val="00E941AD"/>
    <w:rsid w:val="00E94609"/>
    <w:rsid w:val="00E97ADC"/>
    <w:rsid w:val="00E97B52"/>
    <w:rsid w:val="00EA037B"/>
    <w:rsid w:val="00EA06E1"/>
    <w:rsid w:val="00EA24F5"/>
    <w:rsid w:val="00EA262D"/>
    <w:rsid w:val="00EA2B30"/>
    <w:rsid w:val="00EA2C79"/>
    <w:rsid w:val="00EA2FE1"/>
    <w:rsid w:val="00EA4B92"/>
    <w:rsid w:val="00EA4D40"/>
    <w:rsid w:val="00EA58D0"/>
    <w:rsid w:val="00EA5D3F"/>
    <w:rsid w:val="00EA5E71"/>
    <w:rsid w:val="00EA6402"/>
    <w:rsid w:val="00EA7912"/>
    <w:rsid w:val="00EB008E"/>
    <w:rsid w:val="00EB00A1"/>
    <w:rsid w:val="00EB0470"/>
    <w:rsid w:val="00EB0542"/>
    <w:rsid w:val="00EB0A6E"/>
    <w:rsid w:val="00EB0DE0"/>
    <w:rsid w:val="00EB372C"/>
    <w:rsid w:val="00EB4A60"/>
    <w:rsid w:val="00EB7D49"/>
    <w:rsid w:val="00EC154B"/>
    <w:rsid w:val="00EC16FD"/>
    <w:rsid w:val="00EC2E53"/>
    <w:rsid w:val="00EC4AC5"/>
    <w:rsid w:val="00EC4AEE"/>
    <w:rsid w:val="00EC4D4F"/>
    <w:rsid w:val="00EC5546"/>
    <w:rsid w:val="00ED0514"/>
    <w:rsid w:val="00ED0C9C"/>
    <w:rsid w:val="00ED21FC"/>
    <w:rsid w:val="00ED2625"/>
    <w:rsid w:val="00ED3F8D"/>
    <w:rsid w:val="00ED4435"/>
    <w:rsid w:val="00ED4456"/>
    <w:rsid w:val="00ED4BBA"/>
    <w:rsid w:val="00ED4CAE"/>
    <w:rsid w:val="00ED5E8D"/>
    <w:rsid w:val="00ED626C"/>
    <w:rsid w:val="00ED6585"/>
    <w:rsid w:val="00ED6724"/>
    <w:rsid w:val="00EE07E1"/>
    <w:rsid w:val="00EE08D2"/>
    <w:rsid w:val="00EE141E"/>
    <w:rsid w:val="00EE3883"/>
    <w:rsid w:val="00EE3B6F"/>
    <w:rsid w:val="00EE3C7E"/>
    <w:rsid w:val="00EE3CDA"/>
    <w:rsid w:val="00EE4CBC"/>
    <w:rsid w:val="00EE6144"/>
    <w:rsid w:val="00EE7B17"/>
    <w:rsid w:val="00EF122D"/>
    <w:rsid w:val="00EF18A6"/>
    <w:rsid w:val="00EF1E03"/>
    <w:rsid w:val="00EF2A3D"/>
    <w:rsid w:val="00EF2FB6"/>
    <w:rsid w:val="00EF494A"/>
    <w:rsid w:val="00EF4A0F"/>
    <w:rsid w:val="00EF5BF1"/>
    <w:rsid w:val="00EF7B4E"/>
    <w:rsid w:val="00EF7D8B"/>
    <w:rsid w:val="00F00CC1"/>
    <w:rsid w:val="00F010F1"/>
    <w:rsid w:val="00F0155D"/>
    <w:rsid w:val="00F01BF0"/>
    <w:rsid w:val="00F01FCC"/>
    <w:rsid w:val="00F01FDB"/>
    <w:rsid w:val="00F0351E"/>
    <w:rsid w:val="00F03797"/>
    <w:rsid w:val="00F041BF"/>
    <w:rsid w:val="00F048CB"/>
    <w:rsid w:val="00F05B0F"/>
    <w:rsid w:val="00F065B3"/>
    <w:rsid w:val="00F11379"/>
    <w:rsid w:val="00F13183"/>
    <w:rsid w:val="00F14CB9"/>
    <w:rsid w:val="00F15312"/>
    <w:rsid w:val="00F15A2B"/>
    <w:rsid w:val="00F15DC9"/>
    <w:rsid w:val="00F15E18"/>
    <w:rsid w:val="00F16EDD"/>
    <w:rsid w:val="00F16F22"/>
    <w:rsid w:val="00F20431"/>
    <w:rsid w:val="00F20CF5"/>
    <w:rsid w:val="00F20E0A"/>
    <w:rsid w:val="00F22910"/>
    <w:rsid w:val="00F22F0C"/>
    <w:rsid w:val="00F2441A"/>
    <w:rsid w:val="00F24AAA"/>
    <w:rsid w:val="00F24B98"/>
    <w:rsid w:val="00F25B48"/>
    <w:rsid w:val="00F308E1"/>
    <w:rsid w:val="00F353CC"/>
    <w:rsid w:val="00F35B13"/>
    <w:rsid w:val="00F4053D"/>
    <w:rsid w:val="00F40CB1"/>
    <w:rsid w:val="00F41651"/>
    <w:rsid w:val="00F420CC"/>
    <w:rsid w:val="00F42E04"/>
    <w:rsid w:val="00F43016"/>
    <w:rsid w:val="00F43C32"/>
    <w:rsid w:val="00F4553B"/>
    <w:rsid w:val="00F45C97"/>
    <w:rsid w:val="00F46646"/>
    <w:rsid w:val="00F46B1F"/>
    <w:rsid w:val="00F470D8"/>
    <w:rsid w:val="00F47EA0"/>
    <w:rsid w:val="00F50719"/>
    <w:rsid w:val="00F51076"/>
    <w:rsid w:val="00F522A0"/>
    <w:rsid w:val="00F527D5"/>
    <w:rsid w:val="00F531DD"/>
    <w:rsid w:val="00F5389E"/>
    <w:rsid w:val="00F538E7"/>
    <w:rsid w:val="00F54410"/>
    <w:rsid w:val="00F544F5"/>
    <w:rsid w:val="00F56409"/>
    <w:rsid w:val="00F56CB5"/>
    <w:rsid w:val="00F573EA"/>
    <w:rsid w:val="00F60DD2"/>
    <w:rsid w:val="00F61249"/>
    <w:rsid w:val="00F62433"/>
    <w:rsid w:val="00F631F9"/>
    <w:rsid w:val="00F63538"/>
    <w:rsid w:val="00F63903"/>
    <w:rsid w:val="00F677AA"/>
    <w:rsid w:val="00F6792E"/>
    <w:rsid w:val="00F7048A"/>
    <w:rsid w:val="00F74C5B"/>
    <w:rsid w:val="00F75CE8"/>
    <w:rsid w:val="00F80EE4"/>
    <w:rsid w:val="00F829D3"/>
    <w:rsid w:val="00F82B94"/>
    <w:rsid w:val="00F83164"/>
    <w:rsid w:val="00F8466E"/>
    <w:rsid w:val="00F84980"/>
    <w:rsid w:val="00F86F52"/>
    <w:rsid w:val="00F870A5"/>
    <w:rsid w:val="00F87FA4"/>
    <w:rsid w:val="00F919BA"/>
    <w:rsid w:val="00F92065"/>
    <w:rsid w:val="00F96B22"/>
    <w:rsid w:val="00F97297"/>
    <w:rsid w:val="00F974EA"/>
    <w:rsid w:val="00F97D96"/>
    <w:rsid w:val="00FA1821"/>
    <w:rsid w:val="00FA262D"/>
    <w:rsid w:val="00FA3A7C"/>
    <w:rsid w:val="00FA4794"/>
    <w:rsid w:val="00FA69D6"/>
    <w:rsid w:val="00FA7051"/>
    <w:rsid w:val="00FA7C30"/>
    <w:rsid w:val="00FB072F"/>
    <w:rsid w:val="00FB0F4C"/>
    <w:rsid w:val="00FB16F8"/>
    <w:rsid w:val="00FB30EB"/>
    <w:rsid w:val="00FB47E4"/>
    <w:rsid w:val="00FB4A14"/>
    <w:rsid w:val="00FB73BE"/>
    <w:rsid w:val="00FB7F2D"/>
    <w:rsid w:val="00FB7FD9"/>
    <w:rsid w:val="00FC07E1"/>
    <w:rsid w:val="00FC254B"/>
    <w:rsid w:val="00FC5A8E"/>
    <w:rsid w:val="00FC7C9F"/>
    <w:rsid w:val="00FD0F29"/>
    <w:rsid w:val="00FD1767"/>
    <w:rsid w:val="00FD1E7D"/>
    <w:rsid w:val="00FD2DB3"/>
    <w:rsid w:val="00FD4D0E"/>
    <w:rsid w:val="00FD59C7"/>
    <w:rsid w:val="00FD69B7"/>
    <w:rsid w:val="00FD7CF6"/>
    <w:rsid w:val="00FD7D44"/>
    <w:rsid w:val="00FE06E7"/>
    <w:rsid w:val="00FE28D9"/>
    <w:rsid w:val="00FE4451"/>
    <w:rsid w:val="00FE5B47"/>
    <w:rsid w:val="00FE7F43"/>
    <w:rsid w:val="00FF01A6"/>
    <w:rsid w:val="00FF05D2"/>
    <w:rsid w:val="00FF0751"/>
    <w:rsid w:val="00FF0B8B"/>
    <w:rsid w:val="00FF0E9C"/>
    <w:rsid w:val="00FF1BB5"/>
    <w:rsid w:val="00FF2F66"/>
    <w:rsid w:val="00FF302D"/>
    <w:rsid w:val="00FF3606"/>
    <w:rsid w:val="00FF4403"/>
    <w:rsid w:val="00FF4700"/>
    <w:rsid w:val="00FF47A0"/>
    <w:rsid w:val="00FF4B40"/>
    <w:rsid w:val="00FF4DA9"/>
    <w:rsid w:val="00FF5657"/>
    <w:rsid w:val="00FF62E0"/>
    <w:rsid w:val="00FF6CB5"/>
    <w:rsid w:val="0110436A"/>
    <w:rsid w:val="01185884"/>
    <w:rsid w:val="0118700A"/>
    <w:rsid w:val="014A74D7"/>
    <w:rsid w:val="014B44B0"/>
    <w:rsid w:val="019E256E"/>
    <w:rsid w:val="01B82438"/>
    <w:rsid w:val="01BE3BEC"/>
    <w:rsid w:val="01C817A9"/>
    <w:rsid w:val="01C901A1"/>
    <w:rsid w:val="01D369B8"/>
    <w:rsid w:val="01DF526B"/>
    <w:rsid w:val="02297475"/>
    <w:rsid w:val="0243197A"/>
    <w:rsid w:val="02493723"/>
    <w:rsid w:val="02506A4F"/>
    <w:rsid w:val="025851CD"/>
    <w:rsid w:val="02A604E3"/>
    <w:rsid w:val="02DC5445"/>
    <w:rsid w:val="02E47D57"/>
    <w:rsid w:val="02F73DEE"/>
    <w:rsid w:val="03133961"/>
    <w:rsid w:val="031713E0"/>
    <w:rsid w:val="03240A58"/>
    <w:rsid w:val="03310B30"/>
    <w:rsid w:val="03496D4F"/>
    <w:rsid w:val="036C1D15"/>
    <w:rsid w:val="037E6520"/>
    <w:rsid w:val="037F079D"/>
    <w:rsid w:val="03921D3D"/>
    <w:rsid w:val="03AE7D50"/>
    <w:rsid w:val="03BA68C4"/>
    <w:rsid w:val="03C9092D"/>
    <w:rsid w:val="03CD7D80"/>
    <w:rsid w:val="03FD5F5F"/>
    <w:rsid w:val="04117BDE"/>
    <w:rsid w:val="041D1890"/>
    <w:rsid w:val="04482C58"/>
    <w:rsid w:val="04557C42"/>
    <w:rsid w:val="048B0495"/>
    <w:rsid w:val="04BF165D"/>
    <w:rsid w:val="04D36166"/>
    <w:rsid w:val="057F4926"/>
    <w:rsid w:val="05AC4F85"/>
    <w:rsid w:val="05CE667C"/>
    <w:rsid w:val="05DA5CCB"/>
    <w:rsid w:val="05DC0AF6"/>
    <w:rsid w:val="05E97064"/>
    <w:rsid w:val="05EA67BF"/>
    <w:rsid w:val="05EE6A6E"/>
    <w:rsid w:val="05F61946"/>
    <w:rsid w:val="05FD2D34"/>
    <w:rsid w:val="06045C3F"/>
    <w:rsid w:val="063728EC"/>
    <w:rsid w:val="06782196"/>
    <w:rsid w:val="06783C19"/>
    <w:rsid w:val="067D2AFB"/>
    <w:rsid w:val="06A63315"/>
    <w:rsid w:val="06DE286F"/>
    <w:rsid w:val="071B1559"/>
    <w:rsid w:val="072174D3"/>
    <w:rsid w:val="073B068E"/>
    <w:rsid w:val="07561A7D"/>
    <w:rsid w:val="07596363"/>
    <w:rsid w:val="078F494A"/>
    <w:rsid w:val="07972AF0"/>
    <w:rsid w:val="079D71B0"/>
    <w:rsid w:val="07B1542B"/>
    <w:rsid w:val="07B316B2"/>
    <w:rsid w:val="07E42131"/>
    <w:rsid w:val="07E97DA6"/>
    <w:rsid w:val="08033CE1"/>
    <w:rsid w:val="08065580"/>
    <w:rsid w:val="083245C7"/>
    <w:rsid w:val="08491EBA"/>
    <w:rsid w:val="085E53BC"/>
    <w:rsid w:val="086329D2"/>
    <w:rsid w:val="08B637D1"/>
    <w:rsid w:val="08BC3F3D"/>
    <w:rsid w:val="08C6682A"/>
    <w:rsid w:val="08EC15B2"/>
    <w:rsid w:val="09026019"/>
    <w:rsid w:val="09175198"/>
    <w:rsid w:val="0923469D"/>
    <w:rsid w:val="095B67B8"/>
    <w:rsid w:val="095C69F8"/>
    <w:rsid w:val="09627775"/>
    <w:rsid w:val="09687C9A"/>
    <w:rsid w:val="096D2A70"/>
    <w:rsid w:val="096D58B6"/>
    <w:rsid w:val="096F45C2"/>
    <w:rsid w:val="09790A16"/>
    <w:rsid w:val="09A43406"/>
    <w:rsid w:val="09B71D44"/>
    <w:rsid w:val="09E813E1"/>
    <w:rsid w:val="09F0056A"/>
    <w:rsid w:val="0A0A1357"/>
    <w:rsid w:val="0A31327C"/>
    <w:rsid w:val="0A3208AE"/>
    <w:rsid w:val="0A430A57"/>
    <w:rsid w:val="0A5C49DB"/>
    <w:rsid w:val="0A7A41D4"/>
    <w:rsid w:val="0AE70359"/>
    <w:rsid w:val="0B025D51"/>
    <w:rsid w:val="0B0559C0"/>
    <w:rsid w:val="0B4F695F"/>
    <w:rsid w:val="0B6B6669"/>
    <w:rsid w:val="0B760DD3"/>
    <w:rsid w:val="0B8E3978"/>
    <w:rsid w:val="0B92495D"/>
    <w:rsid w:val="0BAD4690"/>
    <w:rsid w:val="0BC11D5C"/>
    <w:rsid w:val="0BCD4493"/>
    <w:rsid w:val="0BD33014"/>
    <w:rsid w:val="0BD8172A"/>
    <w:rsid w:val="0BEC0A31"/>
    <w:rsid w:val="0BF00A22"/>
    <w:rsid w:val="0BFB1AE6"/>
    <w:rsid w:val="0C2F169B"/>
    <w:rsid w:val="0C33390F"/>
    <w:rsid w:val="0C4D4043"/>
    <w:rsid w:val="0C506914"/>
    <w:rsid w:val="0C6658E2"/>
    <w:rsid w:val="0C6C56FC"/>
    <w:rsid w:val="0C721EBB"/>
    <w:rsid w:val="0C8D09BE"/>
    <w:rsid w:val="0C9870EE"/>
    <w:rsid w:val="0CA5180B"/>
    <w:rsid w:val="0CB8153E"/>
    <w:rsid w:val="0CBE3A03"/>
    <w:rsid w:val="0CC16194"/>
    <w:rsid w:val="0CD04FA9"/>
    <w:rsid w:val="0CF53817"/>
    <w:rsid w:val="0D0278C9"/>
    <w:rsid w:val="0D234F10"/>
    <w:rsid w:val="0D3855D6"/>
    <w:rsid w:val="0D3D5F7B"/>
    <w:rsid w:val="0D412660"/>
    <w:rsid w:val="0D4570B1"/>
    <w:rsid w:val="0D5A0F10"/>
    <w:rsid w:val="0D5A536D"/>
    <w:rsid w:val="0D5B08B5"/>
    <w:rsid w:val="0D94208B"/>
    <w:rsid w:val="0D9C2C0E"/>
    <w:rsid w:val="0DA216EE"/>
    <w:rsid w:val="0DA3603A"/>
    <w:rsid w:val="0DB26E33"/>
    <w:rsid w:val="0DB67EA0"/>
    <w:rsid w:val="0DBA7538"/>
    <w:rsid w:val="0DF014BA"/>
    <w:rsid w:val="0E1F725C"/>
    <w:rsid w:val="0E1F739B"/>
    <w:rsid w:val="0E326F6D"/>
    <w:rsid w:val="0E337749"/>
    <w:rsid w:val="0E6926CF"/>
    <w:rsid w:val="0EB24EA8"/>
    <w:rsid w:val="0EB7760A"/>
    <w:rsid w:val="0EED1D3E"/>
    <w:rsid w:val="0EFB3542"/>
    <w:rsid w:val="0F2134AF"/>
    <w:rsid w:val="0F227D2C"/>
    <w:rsid w:val="0F356A6C"/>
    <w:rsid w:val="0F680110"/>
    <w:rsid w:val="0F6A7BA4"/>
    <w:rsid w:val="0F771D1D"/>
    <w:rsid w:val="0F7E460F"/>
    <w:rsid w:val="0F86797C"/>
    <w:rsid w:val="0F9E3EA7"/>
    <w:rsid w:val="0FB90973"/>
    <w:rsid w:val="0FC206E1"/>
    <w:rsid w:val="0FCA3EB4"/>
    <w:rsid w:val="0FD062DB"/>
    <w:rsid w:val="0FE10764"/>
    <w:rsid w:val="100E316B"/>
    <w:rsid w:val="10161957"/>
    <w:rsid w:val="101C7A12"/>
    <w:rsid w:val="101D5EE7"/>
    <w:rsid w:val="10201484"/>
    <w:rsid w:val="10440188"/>
    <w:rsid w:val="10632C60"/>
    <w:rsid w:val="106A4742"/>
    <w:rsid w:val="107434E1"/>
    <w:rsid w:val="10856228"/>
    <w:rsid w:val="109320E1"/>
    <w:rsid w:val="109A3F99"/>
    <w:rsid w:val="109C3BB9"/>
    <w:rsid w:val="10A669C1"/>
    <w:rsid w:val="10AD70E7"/>
    <w:rsid w:val="10EE5806"/>
    <w:rsid w:val="11314D8B"/>
    <w:rsid w:val="11357DBE"/>
    <w:rsid w:val="114B3FA0"/>
    <w:rsid w:val="1152056E"/>
    <w:rsid w:val="115B1D80"/>
    <w:rsid w:val="117E101B"/>
    <w:rsid w:val="118A175E"/>
    <w:rsid w:val="119E288D"/>
    <w:rsid w:val="11B2449C"/>
    <w:rsid w:val="11B63AD3"/>
    <w:rsid w:val="11BE557C"/>
    <w:rsid w:val="11D62B09"/>
    <w:rsid w:val="12243361"/>
    <w:rsid w:val="1232769D"/>
    <w:rsid w:val="12731F06"/>
    <w:rsid w:val="12802AFE"/>
    <w:rsid w:val="129B249A"/>
    <w:rsid w:val="12D8582E"/>
    <w:rsid w:val="12FD4A90"/>
    <w:rsid w:val="1304190F"/>
    <w:rsid w:val="131C06A6"/>
    <w:rsid w:val="13330D91"/>
    <w:rsid w:val="136931ED"/>
    <w:rsid w:val="13965E33"/>
    <w:rsid w:val="13C87F65"/>
    <w:rsid w:val="13CF299A"/>
    <w:rsid w:val="13D61DFA"/>
    <w:rsid w:val="13E26419"/>
    <w:rsid w:val="13E72709"/>
    <w:rsid w:val="13FE4A93"/>
    <w:rsid w:val="140D0032"/>
    <w:rsid w:val="14100946"/>
    <w:rsid w:val="141444E7"/>
    <w:rsid w:val="14152FE0"/>
    <w:rsid w:val="142546C1"/>
    <w:rsid w:val="142C2906"/>
    <w:rsid w:val="143E03B8"/>
    <w:rsid w:val="144D12D7"/>
    <w:rsid w:val="14604876"/>
    <w:rsid w:val="14707055"/>
    <w:rsid w:val="14F447DF"/>
    <w:rsid w:val="15007F5E"/>
    <w:rsid w:val="152754B3"/>
    <w:rsid w:val="15B674C2"/>
    <w:rsid w:val="15CE4D45"/>
    <w:rsid w:val="15DF29BC"/>
    <w:rsid w:val="15E30627"/>
    <w:rsid w:val="162E12E5"/>
    <w:rsid w:val="162E3F61"/>
    <w:rsid w:val="163B01E6"/>
    <w:rsid w:val="163C7355"/>
    <w:rsid w:val="1645026F"/>
    <w:rsid w:val="1651526D"/>
    <w:rsid w:val="166D5CDE"/>
    <w:rsid w:val="167C715B"/>
    <w:rsid w:val="1681694E"/>
    <w:rsid w:val="168C19F1"/>
    <w:rsid w:val="16A412D5"/>
    <w:rsid w:val="16C61B0D"/>
    <w:rsid w:val="16F03A89"/>
    <w:rsid w:val="170C559B"/>
    <w:rsid w:val="170E1F9A"/>
    <w:rsid w:val="171B2FF9"/>
    <w:rsid w:val="17226BDB"/>
    <w:rsid w:val="1729395D"/>
    <w:rsid w:val="172B030B"/>
    <w:rsid w:val="173D1BE9"/>
    <w:rsid w:val="17551128"/>
    <w:rsid w:val="175C4CD8"/>
    <w:rsid w:val="17615CB0"/>
    <w:rsid w:val="17763C8A"/>
    <w:rsid w:val="177C5BEA"/>
    <w:rsid w:val="17997A97"/>
    <w:rsid w:val="17CD5778"/>
    <w:rsid w:val="17D24F92"/>
    <w:rsid w:val="17F17FFD"/>
    <w:rsid w:val="1802516E"/>
    <w:rsid w:val="18296DEB"/>
    <w:rsid w:val="182D1DBC"/>
    <w:rsid w:val="183B1275"/>
    <w:rsid w:val="18426047"/>
    <w:rsid w:val="184D3DD6"/>
    <w:rsid w:val="184D584D"/>
    <w:rsid w:val="18776A0F"/>
    <w:rsid w:val="187D5C82"/>
    <w:rsid w:val="18A82A25"/>
    <w:rsid w:val="18AD10E5"/>
    <w:rsid w:val="18B00231"/>
    <w:rsid w:val="18E53C1E"/>
    <w:rsid w:val="18E77C6E"/>
    <w:rsid w:val="18FF5615"/>
    <w:rsid w:val="19036693"/>
    <w:rsid w:val="191D3F4F"/>
    <w:rsid w:val="19202ECA"/>
    <w:rsid w:val="192D2070"/>
    <w:rsid w:val="19466124"/>
    <w:rsid w:val="195C178A"/>
    <w:rsid w:val="19892919"/>
    <w:rsid w:val="199E7D0E"/>
    <w:rsid w:val="19AA7B4C"/>
    <w:rsid w:val="19B51EE9"/>
    <w:rsid w:val="19DB2E5E"/>
    <w:rsid w:val="19DC610D"/>
    <w:rsid w:val="19E2251A"/>
    <w:rsid w:val="19E74E15"/>
    <w:rsid w:val="1A1D0C33"/>
    <w:rsid w:val="1A2B6943"/>
    <w:rsid w:val="1A2E1092"/>
    <w:rsid w:val="1A582FDB"/>
    <w:rsid w:val="1A651E99"/>
    <w:rsid w:val="1A6D231A"/>
    <w:rsid w:val="1A764DE9"/>
    <w:rsid w:val="1A7F33BC"/>
    <w:rsid w:val="1A8E0A29"/>
    <w:rsid w:val="1A90461F"/>
    <w:rsid w:val="1A982ED8"/>
    <w:rsid w:val="1ABF39A0"/>
    <w:rsid w:val="1ACA3F3F"/>
    <w:rsid w:val="1AFD3BE3"/>
    <w:rsid w:val="1B2042F4"/>
    <w:rsid w:val="1B245FF1"/>
    <w:rsid w:val="1B301B61"/>
    <w:rsid w:val="1B352C67"/>
    <w:rsid w:val="1B41658F"/>
    <w:rsid w:val="1B494815"/>
    <w:rsid w:val="1B59537B"/>
    <w:rsid w:val="1B8879A4"/>
    <w:rsid w:val="1BA64F4E"/>
    <w:rsid w:val="1BC11A39"/>
    <w:rsid w:val="1BDA70D8"/>
    <w:rsid w:val="1BEA63B9"/>
    <w:rsid w:val="1C271EFB"/>
    <w:rsid w:val="1C502BB8"/>
    <w:rsid w:val="1C527B04"/>
    <w:rsid w:val="1C554C38"/>
    <w:rsid w:val="1C746A84"/>
    <w:rsid w:val="1C770061"/>
    <w:rsid w:val="1C7A67F1"/>
    <w:rsid w:val="1C8B17EA"/>
    <w:rsid w:val="1C8C6E3B"/>
    <w:rsid w:val="1C8D3D43"/>
    <w:rsid w:val="1C900322"/>
    <w:rsid w:val="1C9D3075"/>
    <w:rsid w:val="1CEE0E9A"/>
    <w:rsid w:val="1D1558B3"/>
    <w:rsid w:val="1D160C33"/>
    <w:rsid w:val="1D6256CF"/>
    <w:rsid w:val="1D7151AE"/>
    <w:rsid w:val="1D88273A"/>
    <w:rsid w:val="1D97205E"/>
    <w:rsid w:val="1DA3789A"/>
    <w:rsid w:val="1DD96757"/>
    <w:rsid w:val="1DF95513"/>
    <w:rsid w:val="1E2C58E8"/>
    <w:rsid w:val="1E373394"/>
    <w:rsid w:val="1E4105D1"/>
    <w:rsid w:val="1E641DBE"/>
    <w:rsid w:val="1E74103D"/>
    <w:rsid w:val="1E7A1582"/>
    <w:rsid w:val="1E88008F"/>
    <w:rsid w:val="1E8A793A"/>
    <w:rsid w:val="1EAD33CA"/>
    <w:rsid w:val="1EB4297E"/>
    <w:rsid w:val="1EBF224F"/>
    <w:rsid w:val="1EC304C6"/>
    <w:rsid w:val="1EC55804"/>
    <w:rsid w:val="1ED07820"/>
    <w:rsid w:val="1EDD2B2F"/>
    <w:rsid w:val="1EE266CC"/>
    <w:rsid w:val="1EFF135C"/>
    <w:rsid w:val="1F137797"/>
    <w:rsid w:val="1F1E74D3"/>
    <w:rsid w:val="1F204D21"/>
    <w:rsid w:val="1F2E5217"/>
    <w:rsid w:val="1F61498D"/>
    <w:rsid w:val="1F705CA9"/>
    <w:rsid w:val="1F810B93"/>
    <w:rsid w:val="1F8D41F1"/>
    <w:rsid w:val="1F9554F0"/>
    <w:rsid w:val="1F9B642E"/>
    <w:rsid w:val="1F9C6BF4"/>
    <w:rsid w:val="1FA47700"/>
    <w:rsid w:val="1FB02549"/>
    <w:rsid w:val="1FB90CE6"/>
    <w:rsid w:val="1FB97650"/>
    <w:rsid w:val="1FCB5486"/>
    <w:rsid w:val="2009346A"/>
    <w:rsid w:val="20132F24"/>
    <w:rsid w:val="201A65D3"/>
    <w:rsid w:val="20232ED0"/>
    <w:rsid w:val="202D1F21"/>
    <w:rsid w:val="204A02A8"/>
    <w:rsid w:val="205370F8"/>
    <w:rsid w:val="205D6298"/>
    <w:rsid w:val="207012A1"/>
    <w:rsid w:val="20712993"/>
    <w:rsid w:val="20733FA8"/>
    <w:rsid w:val="20775597"/>
    <w:rsid w:val="20B76E0E"/>
    <w:rsid w:val="20B9721B"/>
    <w:rsid w:val="20D03F0D"/>
    <w:rsid w:val="20D3169B"/>
    <w:rsid w:val="20DE66C2"/>
    <w:rsid w:val="20F00EE5"/>
    <w:rsid w:val="20FD531A"/>
    <w:rsid w:val="210B63AA"/>
    <w:rsid w:val="2115021B"/>
    <w:rsid w:val="21171BB7"/>
    <w:rsid w:val="211E0AAA"/>
    <w:rsid w:val="21260D15"/>
    <w:rsid w:val="21350F58"/>
    <w:rsid w:val="21353610"/>
    <w:rsid w:val="21386D4F"/>
    <w:rsid w:val="21442413"/>
    <w:rsid w:val="214468DC"/>
    <w:rsid w:val="214E6046"/>
    <w:rsid w:val="21577BE8"/>
    <w:rsid w:val="218B6DCA"/>
    <w:rsid w:val="21937A2C"/>
    <w:rsid w:val="21A34113"/>
    <w:rsid w:val="21C24486"/>
    <w:rsid w:val="21C619A6"/>
    <w:rsid w:val="21DD6C08"/>
    <w:rsid w:val="21E476E1"/>
    <w:rsid w:val="21E62978"/>
    <w:rsid w:val="222069F8"/>
    <w:rsid w:val="223850FE"/>
    <w:rsid w:val="224506A7"/>
    <w:rsid w:val="2249217F"/>
    <w:rsid w:val="2257002C"/>
    <w:rsid w:val="225D0766"/>
    <w:rsid w:val="22737767"/>
    <w:rsid w:val="227C295A"/>
    <w:rsid w:val="22863BDC"/>
    <w:rsid w:val="22A06796"/>
    <w:rsid w:val="22B9358F"/>
    <w:rsid w:val="22CA30F5"/>
    <w:rsid w:val="22D8458D"/>
    <w:rsid w:val="22FE0B82"/>
    <w:rsid w:val="230401A2"/>
    <w:rsid w:val="23091AA6"/>
    <w:rsid w:val="2318468D"/>
    <w:rsid w:val="231D6147"/>
    <w:rsid w:val="23287FD7"/>
    <w:rsid w:val="236478D2"/>
    <w:rsid w:val="239D20A6"/>
    <w:rsid w:val="23A70E5B"/>
    <w:rsid w:val="23B11CB9"/>
    <w:rsid w:val="24157E3C"/>
    <w:rsid w:val="2424040D"/>
    <w:rsid w:val="243C084F"/>
    <w:rsid w:val="245940F6"/>
    <w:rsid w:val="24604A28"/>
    <w:rsid w:val="246A1075"/>
    <w:rsid w:val="247D1D70"/>
    <w:rsid w:val="247E720D"/>
    <w:rsid w:val="247F3EA6"/>
    <w:rsid w:val="24822706"/>
    <w:rsid w:val="24C54EEC"/>
    <w:rsid w:val="24CC0D62"/>
    <w:rsid w:val="24E15D55"/>
    <w:rsid w:val="24FA75F1"/>
    <w:rsid w:val="24FF1B58"/>
    <w:rsid w:val="25051E14"/>
    <w:rsid w:val="250E5D48"/>
    <w:rsid w:val="25387269"/>
    <w:rsid w:val="2539469B"/>
    <w:rsid w:val="25624A32"/>
    <w:rsid w:val="256E1681"/>
    <w:rsid w:val="25755443"/>
    <w:rsid w:val="257B0B17"/>
    <w:rsid w:val="257E367E"/>
    <w:rsid w:val="26191C65"/>
    <w:rsid w:val="2628095E"/>
    <w:rsid w:val="26280FB8"/>
    <w:rsid w:val="2628642D"/>
    <w:rsid w:val="262B06D6"/>
    <w:rsid w:val="265511D9"/>
    <w:rsid w:val="265A7774"/>
    <w:rsid w:val="2663431E"/>
    <w:rsid w:val="266368E5"/>
    <w:rsid w:val="26662059"/>
    <w:rsid w:val="26B11081"/>
    <w:rsid w:val="26B80695"/>
    <w:rsid w:val="26D96B15"/>
    <w:rsid w:val="26DD1996"/>
    <w:rsid w:val="270B207A"/>
    <w:rsid w:val="273121C1"/>
    <w:rsid w:val="273A0705"/>
    <w:rsid w:val="27455C6D"/>
    <w:rsid w:val="2758717B"/>
    <w:rsid w:val="276A6636"/>
    <w:rsid w:val="27710141"/>
    <w:rsid w:val="277D0A66"/>
    <w:rsid w:val="27891287"/>
    <w:rsid w:val="279626B3"/>
    <w:rsid w:val="27A102BC"/>
    <w:rsid w:val="27B234DC"/>
    <w:rsid w:val="27CD4108"/>
    <w:rsid w:val="27DC6AB8"/>
    <w:rsid w:val="27E16B3B"/>
    <w:rsid w:val="27E64D5A"/>
    <w:rsid w:val="27EE11CB"/>
    <w:rsid w:val="27F06FB8"/>
    <w:rsid w:val="27F17212"/>
    <w:rsid w:val="27F24161"/>
    <w:rsid w:val="27F57262"/>
    <w:rsid w:val="28057FD6"/>
    <w:rsid w:val="280C6101"/>
    <w:rsid w:val="28100029"/>
    <w:rsid w:val="282E6781"/>
    <w:rsid w:val="28427CEE"/>
    <w:rsid w:val="28732366"/>
    <w:rsid w:val="287B18AD"/>
    <w:rsid w:val="28AA2CA9"/>
    <w:rsid w:val="28C8609B"/>
    <w:rsid w:val="28D74A9C"/>
    <w:rsid w:val="28F81ADB"/>
    <w:rsid w:val="28FE622B"/>
    <w:rsid w:val="28FF0771"/>
    <w:rsid w:val="293010D9"/>
    <w:rsid w:val="29403B3A"/>
    <w:rsid w:val="29542F25"/>
    <w:rsid w:val="299878F5"/>
    <w:rsid w:val="29C441C6"/>
    <w:rsid w:val="29D31D94"/>
    <w:rsid w:val="29ED4416"/>
    <w:rsid w:val="2A140D7B"/>
    <w:rsid w:val="2A146F4B"/>
    <w:rsid w:val="2A271F8F"/>
    <w:rsid w:val="2A527982"/>
    <w:rsid w:val="2A71191E"/>
    <w:rsid w:val="2A855102"/>
    <w:rsid w:val="2A88034A"/>
    <w:rsid w:val="2A92150F"/>
    <w:rsid w:val="2AC55B97"/>
    <w:rsid w:val="2ACF4678"/>
    <w:rsid w:val="2AD26C91"/>
    <w:rsid w:val="2B0648BA"/>
    <w:rsid w:val="2B1D22CA"/>
    <w:rsid w:val="2B1D41CE"/>
    <w:rsid w:val="2B437FFA"/>
    <w:rsid w:val="2B767AD4"/>
    <w:rsid w:val="2B9F5524"/>
    <w:rsid w:val="2BF34188"/>
    <w:rsid w:val="2C012EB7"/>
    <w:rsid w:val="2C215F55"/>
    <w:rsid w:val="2C640943"/>
    <w:rsid w:val="2C7843EE"/>
    <w:rsid w:val="2C9C770F"/>
    <w:rsid w:val="2CB067F1"/>
    <w:rsid w:val="2CB72727"/>
    <w:rsid w:val="2CC6452D"/>
    <w:rsid w:val="2CD178A3"/>
    <w:rsid w:val="2CF64CBC"/>
    <w:rsid w:val="2D157E8F"/>
    <w:rsid w:val="2D1F720B"/>
    <w:rsid w:val="2D202ABC"/>
    <w:rsid w:val="2D3E3630"/>
    <w:rsid w:val="2D552003"/>
    <w:rsid w:val="2D614C57"/>
    <w:rsid w:val="2D622C91"/>
    <w:rsid w:val="2D955669"/>
    <w:rsid w:val="2DA13E51"/>
    <w:rsid w:val="2DB96A6D"/>
    <w:rsid w:val="2DBF4A0C"/>
    <w:rsid w:val="2DD13796"/>
    <w:rsid w:val="2DD413DA"/>
    <w:rsid w:val="2E051D40"/>
    <w:rsid w:val="2E4C1FDE"/>
    <w:rsid w:val="2E673414"/>
    <w:rsid w:val="2E77635C"/>
    <w:rsid w:val="2E867D9D"/>
    <w:rsid w:val="2E927057"/>
    <w:rsid w:val="2EBB0C3E"/>
    <w:rsid w:val="2EC258E8"/>
    <w:rsid w:val="2EC95363"/>
    <w:rsid w:val="2EEF02AB"/>
    <w:rsid w:val="2F0F2631"/>
    <w:rsid w:val="2F26314B"/>
    <w:rsid w:val="2F2A7C22"/>
    <w:rsid w:val="2F500AAF"/>
    <w:rsid w:val="2F6A44C2"/>
    <w:rsid w:val="2F6A44E3"/>
    <w:rsid w:val="2F9A42DB"/>
    <w:rsid w:val="2F9D6123"/>
    <w:rsid w:val="2FCA3235"/>
    <w:rsid w:val="2FCD2745"/>
    <w:rsid w:val="2FFB2211"/>
    <w:rsid w:val="300E0AD2"/>
    <w:rsid w:val="3056178C"/>
    <w:rsid w:val="30742391"/>
    <w:rsid w:val="30B526D0"/>
    <w:rsid w:val="30E55B64"/>
    <w:rsid w:val="30E9636B"/>
    <w:rsid w:val="311872DF"/>
    <w:rsid w:val="311F7B72"/>
    <w:rsid w:val="31285C60"/>
    <w:rsid w:val="31554CFE"/>
    <w:rsid w:val="319C5DD0"/>
    <w:rsid w:val="31A877EF"/>
    <w:rsid w:val="31B25CAD"/>
    <w:rsid w:val="31C83BD1"/>
    <w:rsid w:val="31CA56EC"/>
    <w:rsid w:val="31E807FF"/>
    <w:rsid w:val="31F51F83"/>
    <w:rsid w:val="3240775C"/>
    <w:rsid w:val="32413897"/>
    <w:rsid w:val="3249782A"/>
    <w:rsid w:val="324E6B0D"/>
    <w:rsid w:val="32513718"/>
    <w:rsid w:val="328A4215"/>
    <w:rsid w:val="329F52B2"/>
    <w:rsid w:val="32A31D1F"/>
    <w:rsid w:val="32A83DE6"/>
    <w:rsid w:val="32C14228"/>
    <w:rsid w:val="32CE0AFB"/>
    <w:rsid w:val="32F522F5"/>
    <w:rsid w:val="33167B2E"/>
    <w:rsid w:val="3325212B"/>
    <w:rsid w:val="33416A7A"/>
    <w:rsid w:val="33552D94"/>
    <w:rsid w:val="336B6A5B"/>
    <w:rsid w:val="339F44D6"/>
    <w:rsid w:val="33AA2F26"/>
    <w:rsid w:val="33C63671"/>
    <w:rsid w:val="33C76C93"/>
    <w:rsid w:val="33D8239F"/>
    <w:rsid w:val="341F7608"/>
    <w:rsid w:val="342A6BD9"/>
    <w:rsid w:val="346F4329"/>
    <w:rsid w:val="347B0F20"/>
    <w:rsid w:val="348B1076"/>
    <w:rsid w:val="34C358D2"/>
    <w:rsid w:val="34CF679D"/>
    <w:rsid w:val="34EF09E7"/>
    <w:rsid w:val="35053205"/>
    <w:rsid w:val="35053D2D"/>
    <w:rsid w:val="350C48CF"/>
    <w:rsid w:val="35245592"/>
    <w:rsid w:val="352D1760"/>
    <w:rsid w:val="353B2E5F"/>
    <w:rsid w:val="35520901"/>
    <w:rsid w:val="355F7B01"/>
    <w:rsid w:val="35752395"/>
    <w:rsid w:val="3575771D"/>
    <w:rsid w:val="35C471AD"/>
    <w:rsid w:val="35C83CF1"/>
    <w:rsid w:val="35CF50D1"/>
    <w:rsid w:val="35D04439"/>
    <w:rsid w:val="3612382E"/>
    <w:rsid w:val="361E1B63"/>
    <w:rsid w:val="361F067A"/>
    <w:rsid w:val="36383276"/>
    <w:rsid w:val="363A1903"/>
    <w:rsid w:val="363E65C8"/>
    <w:rsid w:val="36475C5A"/>
    <w:rsid w:val="36756585"/>
    <w:rsid w:val="367C7B23"/>
    <w:rsid w:val="36AA5165"/>
    <w:rsid w:val="36C70800"/>
    <w:rsid w:val="36FF3227"/>
    <w:rsid w:val="37193FFD"/>
    <w:rsid w:val="37290979"/>
    <w:rsid w:val="372D6294"/>
    <w:rsid w:val="373F6235"/>
    <w:rsid w:val="374605FD"/>
    <w:rsid w:val="374E0A8B"/>
    <w:rsid w:val="376161AB"/>
    <w:rsid w:val="376D3B8F"/>
    <w:rsid w:val="37856D17"/>
    <w:rsid w:val="379444BF"/>
    <w:rsid w:val="37AD7642"/>
    <w:rsid w:val="37C0607C"/>
    <w:rsid w:val="37D01583"/>
    <w:rsid w:val="37F17CC3"/>
    <w:rsid w:val="380F777C"/>
    <w:rsid w:val="3851197A"/>
    <w:rsid w:val="386117B4"/>
    <w:rsid w:val="38866D16"/>
    <w:rsid w:val="38BD1879"/>
    <w:rsid w:val="38D55962"/>
    <w:rsid w:val="38D95F12"/>
    <w:rsid w:val="38DF7C5D"/>
    <w:rsid w:val="38E47B79"/>
    <w:rsid w:val="390B0172"/>
    <w:rsid w:val="39151EA0"/>
    <w:rsid w:val="39202096"/>
    <w:rsid w:val="392F679C"/>
    <w:rsid w:val="3935588B"/>
    <w:rsid w:val="39665C33"/>
    <w:rsid w:val="396D4D7E"/>
    <w:rsid w:val="3997782A"/>
    <w:rsid w:val="39A33A84"/>
    <w:rsid w:val="39D37D40"/>
    <w:rsid w:val="39DD0427"/>
    <w:rsid w:val="39DF785B"/>
    <w:rsid w:val="39E15381"/>
    <w:rsid w:val="39E26C1A"/>
    <w:rsid w:val="39E97980"/>
    <w:rsid w:val="3A32615C"/>
    <w:rsid w:val="3A5A0D4F"/>
    <w:rsid w:val="3A633444"/>
    <w:rsid w:val="3A6F724F"/>
    <w:rsid w:val="3A9979EF"/>
    <w:rsid w:val="3AA720B6"/>
    <w:rsid w:val="3AFA17A2"/>
    <w:rsid w:val="3B2230CC"/>
    <w:rsid w:val="3B291C1E"/>
    <w:rsid w:val="3B2B21FE"/>
    <w:rsid w:val="3B3108AB"/>
    <w:rsid w:val="3B3E4E4B"/>
    <w:rsid w:val="3B5D51A8"/>
    <w:rsid w:val="3B5F50F7"/>
    <w:rsid w:val="3B6B264B"/>
    <w:rsid w:val="3B7E2C9E"/>
    <w:rsid w:val="3B840969"/>
    <w:rsid w:val="3BAD19BD"/>
    <w:rsid w:val="3BC1400E"/>
    <w:rsid w:val="3C02012D"/>
    <w:rsid w:val="3C094BE8"/>
    <w:rsid w:val="3C5C41B2"/>
    <w:rsid w:val="3CA11EE1"/>
    <w:rsid w:val="3CAC52F3"/>
    <w:rsid w:val="3CB55330"/>
    <w:rsid w:val="3CBE3A60"/>
    <w:rsid w:val="3CD47F27"/>
    <w:rsid w:val="3CF11D7F"/>
    <w:rsid w:val="3D0F16D7"/>
    <w:rsid w:val="3D141FCD"/>
    <w:rsid w:val="3D150B33"/>
    <w:rsid w:val="3D1709BF"/>
    <w:rsid w:val="3D232155"/>
    <w:rsid w:val="3D255400"/>
    <w:rsid w:val="3D313721"/>
    <w:rsid w:val="3D31661F"/>
    <w:rsid w:val="3D4D3B15"/>
    <w:rsid w:val="3D532CD2"/>
    <w:rsid w:val="3D7A635A"/>
    <w:rsid w:val="3D7B030A"/>
    <w:rsid w:val="3D805D63"/>
    <w:rsid w:val="3D827249"/>
    <w:rsid w:val="3D9C3B29"/>
    <w:rsid w:val="3DA6700D"/>
    <w:rsid w:val="3DCA4FCE"/>
    <w:rsid w:val="3DE72B51"/>
    <w:rsid w:val="3DF03384"/>
    <w:rsid w:val="3DFD13AD"/>
    <w:rsid w:val="3E146F44"/>
    <w:rsid w:val="3E2716D1"/>
    <w:rsid w:val="3E2E18E1"/>
    <w:rsid w:val="3E395F69"/>
    <w:rsid w:val="3E3F18A2"/>
    <w:rsid w:val="3E7415F9"/>
    <w:rsid w:val="3E816D7C"/>
    <w:rsid w:val="3E9E7CE5"/>
    <w:rsid w:val="3ED24755"/>
    <w:rsid w:val="3EDC493F"/>
    <w:rsid w:val="3EEC03DD"/>
    <w:rsid w:val="3EF47DEA"/>
    <w:rsid w:val="3EF87848"/>
    <w:rsid w:val="3F0220A2"/>
    <w:rsid w:val="3F05789B"/>
    <w:rsid w:val="3F0A2124"/>
    <w:rsid w:val="3F1B4248"/>
    <w:rsid w:val="3F242EC8"/>
    <w:rsid w:val="3F2521B4"/>
    <w:rsid w:val="3F2A54AE"/>
    <w:rsid w:val="3F2E7738"/>
    <w:rsid w:val="3F8418FA"/>
    <w:rsid w:val="3FAD3E1E"/>
    <w:rsid w:val="3FAD67B7"/>
    <w:rsid w:val="3FE64C9C"/>
    <w:rsid w:val="3FEE6B80"/>
    <w:rsid w:val="4004626D"/>
    <w:rsid w:val="4019605B"/>
    <w:rsid w:val="401B6535"/>
    <w:rsid w:val="403A57EB"/>
    <w:rsid w:val="405608A3"/>
    <w:rsid w:val="405A41B2"/>
    <w:rsid w:val="4089219C"/>
    <w:rsid w:val="40C854ED"/>
    <w:rsid w:val="40E135F6"/>
    <w:rsid w:val="40E97984"/>
    <w:rsid w:val="40EA479E"/>
    <w:rsid w:val="41136411"/>
    <w:rsid w:val="411545F1"/>
    <w:rsid w:val="411F0DC1"/>
    <w:rsid w:val="41250F0D"/>
    <w:rsid w:val="41572AC9"/>
    <w:rsid w:val="4168158C"/>
    <w:rsid w:val="416B74F0"/>
    <w:rsid w:val="41734BC1"/>
    <w:rsid w:val="417D7D41"/>
    <w:rsid w:val="418200A8"/>
    <w:rsid w:val="41A5129D"/>
    <w:rsid w:val="41EF51B9"/>
    <w:rsid w:val="42073156"/>
    <w:rsid w:val="421E3FCF"/>
    <w:rsid w:val="422F7383"/>
    <w:rsid w:val="423746D8"/>
    <w:rsid w:val="423B1B0A"/>
    <w:rsid w:val="42A527C2"/>
    <w:rsid w:val="42AD04DB"/>
    <w:rsid w:val="42B05ED2"/>
    <w:rsid w:val="42B75819"/>
    <w:rsid w:val="42BA0E2E"/>
    <w:rsid w:val="42BD1EDB"/>
    <w:rsid w:val="42C0458F"/>
    <w:rsid w:val="42C92795"/>
    <w:rsid w:val="42CD6DEA"/>
    <w:rsid w:val="42DE0583"/>
    <w:rsid w:val="42E36276"/>
    <w:rsid w:val="430B78BF"/>
    <w:rsid w:val="431F58B9"/>
    <w:rsid w:val="43223412"/>
    <w:rsid w:val="437D2E7F"/>
    <w:rsid w:val="43895B83"/>
    <w:rsid w:val="439337D2"/>
    <w:rsid w:val="43AF77F3"/>
    <w:rsid w:val="43E56B1D"/>
    <w:rsid w:val="43E8104D"/>
    <w:rsid w:val="44093E03"/>
    <w:rsid w:val="44343E1B"/>
    <w:rsid w:val="44616D40"/>
    <w:rsid w:val="4475464F"/>
    <w:rsid w:val="44970113"/>
    <w:rsid w:val="44A57044"/>
    <w:rsid w:val="44A66BFA"/>
    <w:rsid w:val="44AF4653"/>
    <w:rsid w:val="44BF3304"/>
    <w:rsid w:val="44CB55AC"/>
    <w:rsid w:val="44E541E9"/>
    <w:rsid w:val="45052B5C"/>
    <w:rsid w:val="451C73F2"/>
    <w:rsid w:val="45327087"/>
    <w:rsid w:val="454C1A9B"/>
    <w:rsid w:val="455D088F"/>
    <w:rsid w:val="45747CD1"/>
    <w:rsid w:val="457F1089"/>
    <w:rsid w:val="4582623B"/>
    <w:rsid w:val="459F72F2"/>
    <w:rsid w:val="45A04342"/>
    <w:rsid w:val="45AC0291"/>
    <w:rsid w:val="45B724A6"/>
    <w:rsid w:val="45D96DF2"/>
    <w:rsid w:val="45E36925"/>
    <w:rsid w:val="45ED58EA"/>
    <w:rsid w:val="46066F4D"/>
    <w:rsid w:val="465102F1"/>
    <w:rsid w:val="46584C1D"/>
    <w:rsid w:val="466149A3"/>
    <w:rsid w:val="467D10C7"/>
    <w:rsid w:val="4693712A"/>
    <w:rsid w:val="46DA7D28"/>
    <w:rsid w:val="46E77205"/>
    <w:rsid w:val="46F02C93"/>
    <w:rsid w:val="47292D55"/>
    <w:rsid w:val="47411D05"/>
    <w:rsid w:val="475134CA"/>
    <w:rsid w:val="47705013"/>
    <w:rsid w:val="4772286B"/>
    <w:rsid w:val="4796382D"/>
    <w:rsid w:val="47C53528"/>
    <w:rsid w:val="47D27E0D"/>
    <w:rsid w:val="47D37B12"/>
    <w:rsid w:val="47D546A5"/>
    <w:rsid w:val="48036DFE"/>
    <w:rsid w:val="48281A08"/>
    <w:rsid w:val="483C7E74"/>
    <w:rsid w:val="48516769"/>
    <w:rsid w:val="487D2197"/>
    <w:rsid w:val="48880A81"/>
    <w:rsid w:val="48AB344C"/>
    <w:rsid w:val="48AD47CD"/>
    <w:rsid w:val="48CE47C2"/>
    <w:rsid w:val="48D52555"/>
    <w:rsid w:val="48DC7D87"/>
    <w:rsid w:val="48FA6CCC"/>
    <w:rsid w:val="492108C9"/>
    <w:rsid w:val="4922204C"/>
    <w:rsid w:val="49255277"/>
    <w:rsid w:val="492A70B2"/>
    <w:rsid w:val="4946464A"/>
    <w:rsid w:val="495B07E6"/>
    <w:rsid w:val="4975054B"/>
    <w:rsid w:val="497A4251"/>
    <w:rsid w:val="498F7CBF"/>
    <w:rsid w:val="499B37B3"/>
    <w:rsid w:val="49A61020"/>
    <w:rsid w:val="49B20AE8"/>
    <w:rsid w:val="4A0660EA"/>
    <w:rsid w:val="4A42092D"/>
    <w:rsid w:val="4A4A06A1"/>
    <w:rsid w:val="4A526C87"/>
    <w:rsid w:val="4A5676C5"/>
    <w:rsid w:val="4A5B00E3"/>
    <w:rsid w:val="4A665221"/>
    <w:rsid w:val="4A6D59F0"/>
    <w:rsid w:val="4A715B78"/>
    <w:rsid w:val="4AA20BDB"/>
    <w:rsid w:val="4AA541A9"/>
    <w:rsid w:val="4AAA1492"/>
    <w:rsid w:val="4ACE017E"/>
    <w:rsid w:val="4ACE54AE"/>
    <w:rsid w:val="4AD05479"/>
    <w:rsid w:val="4AE53D48"/>
    <w:rsid w:val="4AFB6C0B"/>
    <w:rsid w:val="4AFE43EA"/>
    <w:rsid w:val="4B133808"/>
    <w:rsid w:val="4B267A87"/>
    <w:rsid w:val="4B2D5284"/>
    <w:rsid w:val="4B3F3ABC"/>
    <w:rsid w:val="4B7A1F9C"/>
    <w:rsid w:val="4B8B2243"/>
    <w:rsid w:val="4B947C40"/>
    <w:rsid w:val="4BBC3CB2"/>
    <w:rsid w:val="4BC56273"/>
    <w:rsid w:val="4BC74442"/>
    <w:rsid w:val="4BE206DA"/>
    <w:rsid w:val="4C093E44"/>
    <w:rsid w:val="4C360F48"/>
    <w:rsid w:val="4C4B4DB2"/>
    <w:rsid w:val="4C655D9F"/>
    <w:rsid w:val="4C6A1A3C"/>
    <w:rsid w:val="4C711F6A"/>
    <w:rsid w:val="4C7E56E9"/>
    <w:rsid w:val="4C8030EF"/>
    <w:rsid w:val="4C9B5863"/>
    <w:rsid w:val="4CA84590"/>
    <w:rsid w:val="4CAB79A0"/>
    <w:rsid w:val="4CC97812"/>
    <w:rsid w:val="4CF44948"/>
    <w:rsid w:val="4D1F46E6"/>
    <w:rsid w:val="4D20220D"/>
    <w:rsid w:val="4D2A66FD"/>
    <w:rsid w:val="4D38620E"/>
    <w:rsid w:val="4D434842"/>
    <w:rsid w:val="4D522456"/>
    <w:rsid w:val="4D5A7950"/>
    <w:rsid w:val="4D6E33D6"/>
    <w:rsid w:val="4D7C1699"/>
    <w:rsid w:val="4DA445C5"/>
    <w:rsid w:val="4DAD3AA0"/>
    <w:rsid w:val="4DB21FD3"/>
    <w:rsid w:val="4DF44BF1"/>
    <w:rsid w:val="4DFD1C7D"/>
    <w:rsid w:val="4E1A570C"/>
    <w:rsid w:val="4E1F4272"/>
    <w:rsid w:val="4E1F7FC6"/>
    <w:rsid w:val="4E347D1E"/>
    <w:rsid w:val="4E3E47F4"/>
    <w:rsid w:val="4E5D7F63"/>
    <w:rsid w:val="4E74636C"/>
    <w:rsid w:val="4E813AF2"/>
    <w:rsid w:val="4E894B60"/>
    <w:rsid w:val="4E962980"/>
    <w:rsid w:val="4EC05153"/>
    <w:rsid w:val="4EC22BD5"/>
    <w:rsid w:val="4EE17761"/>
    <w:rsid w:val="4EE775B5"/>
    <w:rsid w:val="4EFB5D9D"/>
    <w:rsid w:val="4F03798E"/>
    <w:rsid w:val="4F06287A"/>
    <w:rsid w:val="4F10186F"/>
    <w:rsid w:val="4F210D0F"/>
    <w:rsid w:val="4F352C48"/>
    <w:rsid w:val="4F6B17DB"/>
    <w:rsid w:val="4F6E1457"/>
    <w:rsid w:val="4F7B5155"/>
    <w:rsid w:val="4F816B83"/>
    <w:rsid w:val="4F9347EE"/>
    <w:rsid w:val="4FB91E39"/>
    <w:rsid w:val="4FC3001D"/>
    <w:rsid w:val="4FC42F69"/>
    <w:rsid w:val="4FC82E13"/>
    <w:rsid w:val="4FF37A40"/>
    <w:rsid w:val="50225F1D"/>
    <w:rsid w:val="50445202"/>
    <w:rsid w:val="504E7494"/>
    <w:rsid w:val="505D518C"/>
    <w:rsid w:val="50771FBD"/>
    <w:rsid w:val="507C59AC"/>
    <w:rsid w:val="507C718F"/>
    <w:rsid w:val="5080735E"/>
    <w:rsid w:val="50816001"/>
    <w:rsid w:val="50836765"/>
    <w:rsid w:val="50916E2A"/>
    <w:rsid w:val="50A00ED4"/>
    <w:rsid w:val="50BA0024"/>
    <w:rsid w:val="50C04BB5"/>
    <w:rsid w:val="50C63E04"/>
    <w:rsid w:val="50CD2705"/>
    <w:rsid w:val="50D859BC"/>
    <w:rsid w:val="512F3F13"/>
    <w:rsid w:val="5130066B"/>
    <w:rsid w:val="5141194E"/>
    <w:rsid w:val="514F1A4E"/>
    <w:rsid w:val="51561834"/>
    <w:rsid w:val="51733C07"/>
    <w:rsid w:val="519F6749"/>
    <w:rsid w:val="51B36909"/>
    <w:rsid w:val="51F0207E"/>
    <w:rsid w:val="52167BE2"/>
    <w:rsid w:val="52276E3A"/>
    <w:rsid w:val="523857A6"/>
    <w:rsid w:val="524A14A4"/>
    <w:rsid w:val="52547BD7"/>
    <w:rsid w:val="525B6E2E"/>
    <w:rsid w:val="52C13B4A"/>
    <w:rsid w:val="52CA6EA2"/>
    <w:rsid w:val="52CC0C2F"/>
    <w:rsid w:val="52DE2E05"/>
    <w:rsid w:val="531F34FF"/>
    <w:rsid w:val="534C63BF"/>
    <w:rsid w:val="535B142E"/>
    <w:rsid w:val="535D1AC5"/>
    <w:rsid w:val="537779B8"/>
    <w:rsid w:val="537961D3"/>
    <w:rsid w:val="539C35EF"/>
    <w:rsid w:val="53A13997"/>
    <w:rsid w:val="53C82148"/>
    <w:rsid w:val="53D2168F"/>
    <w:rsid w:val="53D44D69"/>
    <w:rsid w:val="53D55A37"/>
    <w:rsid w:val="53D60ED1"/>
    <w:rsid w:val="53DE2A06"/>
    <w:rsid w:val="53E20C63"/>
    <w:rsid w:val="5406671B"/>
    <w:rsid w:val="541F3257"/>
    <w:rsid w:val="543201AE"/>
    <w:rsid w:val="543E02E6"/>
    <w:rsid w:val="54466248"/>
    <w:rsid w:val="544F658F"/>
    <w:rsid w:val="54677DD3"/>
    <w:rsid w:val="546926EB"/>
    <w:rsid w:val="548330D9"/>
    <w:rsid w:val="54907D6D"/>
    <w:rsid w:val="54B806E8"/>
    <w:rsid w:val="54CC6C83"/>
    <w:rsid w:val="55144405"/>
    <w:rsid w:val="55180A99"/>
    <w:rsid w:val="55277F49"/>
    <w:rsid w:val="552A46CD"/>
    <w:rsid w:val="555B0286"/>
    <w:rsid w:val="555C74F4"/>
    <w:rsid w:val="556539E7"/>
    <w:rsid w:val="559F1C11"/>
    <w:rsid w:val="55A16331"/>
    <w:rsid w:val="55A21A11"/>
    <w:rsid w:val="55AD26C6"/>
    <w:rsid w:val="55D03CD0"/>
    <w:rsid w:val="55D957B1"/>
    <w:rsid w:val="55EE2A09"/>
    <w:rsid w:val="55EF34B7"/>
    <w:rsid w:val="55F036C5"/>
    <w:rsid w:val="55FB3009"/>
    <w:rsid w:val="56200B5B"/>
    <w:rsid w:val="563F6BA4"/>
    <w:rsid w:val="5640539B"/>
    <w:rsid w:val="565A07BF"/>
    <w:rsid w:val="56601A79"/>
    <w:rsid w:val="566449A0"/>
    <w:rsid w:val="566A0124"/>
    <w:rsid w:val="56713FA8"/>
    <w:rsid w:val="56AB3A76"/>
    <w:rsid w:val="56C47577"/>
    <w:rsid w:val="56E00AAF"/>
    <w:rsid w:val="56E147BB"/>
    <w:rsid w:val="56E775E0"/>
    <w:rsid w:val="56EA179E"/>
    <w:rsid w:val="56EB092D"/>
    <w:rsid w:val="570E5CEB"/>
    <w:rsid w:val="57642601"/>
    <w:rsid w:val="5774647E"/>
    <w:rsid w:val="577D40EC"/>
    <w:rsid w:val="5781192F"/>
    <w:rsid w:val="57974D96"/>
    <w:rsid w:val="57A24BE7"/>
    <w:rsid w:val="57A255C3"/>
    <w:rsid w:val="57AE6BAB"/>
    <w:rsid w:val="57BC195E"/>
    <w:rsid w:val="57CF2865"/>
    <w:rsid w:val="57DB4580"/>
    <w:rsid w:val="57DF051F"/>
    <w:rsid w:val="57E33B65"/>
    <w:rsid w:val="580F3356"/>
    <w:rsid w:val="5810464C"/>
    <w:rsid w:val="581E2BD4"/>
    <w:rsid w:val="584819F7"/>
    <w:rsid w:val="584B6DF8"/>
    <w:rsid w:val="585977CD"/>
    <w:rsid w:val="585F008D"/>
    <w:rsid w:val="5864011F"/>
    <w:rsid w:val="586679C7"/>
    <w:rsid w:val="586E422A"/>
    <w:rsid w:val="58830527"/>
    <w:rsid w:val="58D74596"/>
    <w:rsid w:val="58E24B57"/>
    <w:rsid w:val="58E27CCB"/>
    <w:rsid w:val="59036C6A"/>
    <w:rsid w:val="591C0F3C"/>
    <w:rsid w:val="59272216"/>
    <w:rsid w:val="592F6B89"/>
    <w:rsid w:val="59386FFE"/>
    <w:rsid w:val="59401B59"/>
    <w:rsid w:val="59443750"/>
    <w:rsid w:val="594F1EAF"/>
    <w:rsid w:val="598529F9"/>
    <w:rsid w:val="598E2EF7"/>
    <w:rsid w:val="599108A2"/>
    <w:rsid w:val="59980475"/>
    <w:rsid w:val="59A25E5C"/>
    <w:rsid w:val="59D701A8"/>
    <w:rsid w:val="59E545C2"/>
    <w:rsid w:val="59EB0FF5"/>
    <w:rsid w:val="59F6358E"/>
    <w:rsid w:val="59FF9852"/>
    <w:rsid w:val="5A0A4028"/>
    <w:rsid w:val="5A29305D"/>
    <w:rsid w:val="5A2A3097"/>
    <w:rsid w:val="5A2B709A"/>
    <w:rsid w:val="5A3708FF"/>
    <w:rsid w:val="5A6B2D19"/>
    <w:rsid w:val="5A7D2A4C"/>
    <w:rsid w:val="5A8B453A"/>
    <w:rsid w:val="5AA530A7"/>
    <w:rsid w:val="5AA81CD6"/>
    <w:rsid w:val="5AAA44F0"/>
    <w:rsid w:val="5AC226A1"/>
    <w:rsid w:val="5AD6186D"/>
    <w:rsid w:val="5ADE4885"/>
    <w:rsid w:val="5AF102A0"/>
    <w:rsid w:val="5AF5ED01"/>
    <w:rsid w:val="5B0C0FAF"/>
    <w:rsid w:val="5B0F4666"/>
    <w:rsid w:val="5B100129"/>
    <w:rsid w:val="5B120859"/>
    <w:rsid w:val="5B1C20FA"/>
    <w:rsid w:val="5B4672DE"/>
    <w:rsid w:val="5B4B4BBA"/>
    <w:rsid w:val="5B7D6E6E"/>
    <w:rsid w:val="5B806924"/>
    <w:rsid w:val="5B8F4513"/>
    <w:rsid w:val="5BA43456"/>
    <w:rsid w:val="5BB02DD6"/>
    <w:rsid w:val="5BBB5033"/>
    <w:rsid w:val="5BBD57F6"/>
    <w:rsid w:val="5BCB6BAE"/>
    <w:rsid w:val="5BD00471"/>
    <w:rsid w:val="5BD13050"/>
    <w:rsid w:val="5BDE45E1"/>
    <w:rsid w:val="5BF53A31"/>
    <w:rsid w:val="5C0C20EB"/>
    <w:rsid w:val="5C1769D5"/>
    <w:rsid w:val="5C466E38"/>
    <w:rsid w:val="5C9E2EF4"/>
    <w:rsid w:val="5CA26F54"/>
    <w:rsid w:val="5CB73B4C"/>
    <w:rsid w:val="5CB828F9"/>
    <w:rsid w:val="5CB87D6C"/>
    <w:rsid w:val="5CBBBE1F"/>
    <w:rsid w:val="5CE71675"/>
    <w:rsid w:val="5CE7479C"/>
    <w:rsid w:val="5CF039A9"/>
    <w:rsid w:val="5CF1327E"/>
    <w:rsid w:val="5CF57E31"/>
    <w:rsid w:val="5CFF5179"/>
    <w:rsid w:val="5D301FF8"/>
    <w:rsid w:val="5D757DFB"/>
    <w:rsid w:val="5D914762"/>
    <w:rsid w:val="5D963BEF"/>
    <w:rsid w:val="5D973E25"/>
    <w:rsid w:val="5DA30A1C"/>
    <w:rsid w:val="5DB07150"/>
    <w:rsid w:val="5DD20996"/>
    <w:rsid w:val="5DEE11CB"/>
    <w:rsid w:val="5DF97FDD"/>
    <w:rsid w:val="5DFD7047"/>
    <w:rsid w:val="5DFD72E7"/>
    <w:rsid w:val="5E003128"/>
    <w:rsid w:val="5E005685"/>
    <w:rsid w:val="5E043F80"/>
    <w:rsid w:val="5E0526BE"/>
    <w:rsid w:val="5E221FB6"/>
    <w:rsid w:val="5E265CB2"/>
    <w:rsid w:val="5E280F21"/>
    <w:rsid w:val="5E5341F0"/>
    <w:rsid w:val="5ED065E8"/>
    <w:rsid w:val="5EF911C8"/>
    <w:rsid w:val="5F2E3977"/>
    <w:rsid w:val="5F3202A9"/>
    <w:rsid w:val="5F4F0E91"/>
    <w:rsid w:val="5F5877E3"/>
    <w:rsid w:val="5F634563"/>
    <w:rsid w:val="5F653251"/>
    <w:rsid w:val="5F8E0ED9"/>
    <w:rsid w:val="5FC80200"/>
    <w:rsid w:val="5FFF1F62"/>
    <w:rsid w:val="600037A9"/>
    <w:rsid w:val="6050652A"/>
    <w:rsid w:val="605F1A7E"/>
    <w:rsid w:val="60687CFB"/>
    <w:rsid w:val="6069246B"/>
    <w:rsid w:val="606E47A6"/>
    <w:rsid w:val="60791620"/>
    <w:rsid w:val="607D37A6"/>
    <w:rsid w:val="60841346"/>
    <w:rsid w:val="60995EF4"/>
    <w:rsid w:val="60A30D33"/>
    <w:rsid w:val="60A3550A"/>
    <w:rsid w:val="60E43825"/>
    <w:rsid w:val="6101586F"/>
    <w:rsid w:val="61134990"/>
    <w:rsid w:val="61181B60"/>
    <w:rsid w:val="611A575B"/>
    <w:rsid w:val="612F0AE6"/>
    <w:rsid w:val="61365606"/>
    <w:rsid w:val="615061C8"/>
    <w:rsid w:val="616620DD"/>
    <w:rsid w:val="617378F3"/>
    <w:rsid w:val="61781109"/>
    <w:rsid w:val="618446C0"/>
    <w:rsid w:val="61C3368E"/>
    <w:rsid w:val="61CB4A95"/>
    <w:rsid w:val="61D4073B"/>
    <w:rsid w:val="61F31BB2"/>
    <w:rsid w:val="61F3795B"/>
    <w:rsid w:val="62470300"/>
    <w:rsid w:val="627E08BA"/>
    <w:rsid w:val="62973242"/>
    <w:rsid w:val="629F138A"/>
    <w:rsid w:val="62A82C89"/>
    <w:rsid w:val="62A978DE"/>
    <w:rsid w:val="62AA7E35"/>
    <w:rsid w:val="62B424EC"/>
    <w:rsid w:val="62BD432E"/>
    <w:rsid w:val="62D45F18"/>
    <w:rsid w:val="630E48B7"/>
    <w:rsid w:val="631E0148"/>
    <w:rsid w:val="636B5B38"/>
    <w:rsid w:val="638E015A"/>
    <w:rsid w:val="63A25777"/>
    <w:rsid w:val="63AA7670"/>
    <w:rsid w:val="63AD1FEB"/>
    <w:rsid w:val="63D062E3"/>
    <w:rsid w:val="641066D8"/>
    <w:rsid w:val="643B166A"/>
    <w:rsid w:val="645477BC"/>
    <w:rsid w:val="647F0199"/>
    <w:rsid w:val="64861132"/>
    <w:rsid w:val="649D5BCA"/>
    <w:rsid w:val="64E738E4"/>
    <w:rsid w:val="65026998"/>
    <w:rsid w:val="651D5CF2"/>
    <w:rsid w:val="65385D9F"/>
    <w:rsid w:val="653B778C"/>
    <w:rsid w:val="655A40B6"/>
    <w:rsid w:val="655B169A"/>
    <w:rsid w:val="655B5CD0"/>
    <w:rsid w:val="658029A7"/>
    <w:rsid w:val="65BB2D24"/>
    <w:rsid w:val="65D26342"/>
    <w:rsid w:val="65DB0D35"/>
    <w:rsid w:val="65E20C70"/>
    <w:rsid w:val="65FB2C87"/>
    <w:rsid w:val="660D412C"/>
    <w:rsid w:val="661A384B"/>
    <w:rsid w:val="661B4FC5"/>
    <w:rsid w:val="66474AC3"/>
    <w:rsid w:val="66595ED1"/>
    <w:rsid w:val="665F1585"/>
    <w:rsid w:val="666A7CD2"/>
    <w:rsid w:val="667716ED"/>
    <w:rsid w:val="66916F1F"/>
    <w:rsid w:val="66973FB2"/>
    <w:rsid w:val="66AD4FFB"/>
    <w:rsid w:val="66B670AE"/>
    <w:rsid w:val="66BF4430"/>
    <w:rsid w:val="66DE6C7A"/>
    <w:rsid w:val="66F10D7F"/>
    <w:rsid w:val="66F82F15"/>
    <w:rsid w:val="670D02F1"/>
    <w:rsid w:val="67285CE2"/>
    <w:rsid w:val="6731096E"/>
    <w:rsid w:val="673A1062"/>
    <w:rsid w:val="67610534"/>
    <w:rsid w:val="679C4D53"/>
    <w:rsid w:val="67A06CE5"/>
    <w:rsid w:val="67BA3F12"/>
    <w:rsid w:val="67C44D33"/>
    <w:rsid w:val="67CB7E07"/>
    <w:rsid w:val="67F67F58"/>
    <w:rsid w:val="67F9269A"/>
    <w:rsid w:val="67FD1DAB"/>
    <w:rsid w:val="68026361"/>
    <w:rsid w:val="680E57FC"/>
    <w:rsid w:val="68177F3D"/>
    <w:rsid w:val="681C3B41"/>
    <w:rsid w:val="684A1920"/>
    <w:rsid w:val="685D7135"/>
    <w:rsid w:val="68805F3B"/>
    <w:rsid w:val="68A33B0C"/>
    <w:rsid w:val="68D67A46"/>
    <w:rsid w:val="68E1689C"/>
    <w:rsid w:val="68FC3DC4"/>
    <w:rsid w:val="68FE014C"/>
    <w:rsid w:val="690D5C22"/>
    <w:rsid w:val="691B2A1B"/>
    <w:rsid w:val="691B5B26"/>
    <w:rsid w:val="69442117"/>
    <w:rsid w:val="6952776B"/>
    <w:rsid w:val="69737ED4"/>
    <w:rsid w:val="69B10155"/>
    <w:rsid w:val="6A176D03"/>
    <w:rsid w:val="6A29556D"/>
    <w:rsid w:val="6A2C2A83"/>
    <w:rsid w:val="6A443A7A"/>
    <w:rsid w:val="6A45089F"/>
    <w:rsid w:val="6A77252D"/>
    <w:rsid w:val="6A9A2AD2"/>
    <w:rsid w:val="6AA11105"/>
    <w:rsid w:val="6AB348EA"/>
    <w:rsid w:val="6AD32748"/>
    <w:rsid w:val="6B26540A"/>
    <w:rsid w:val="6B287631"/>
    <w:rsid w:val="6B350296"/>
    <w:rsid w:val="6B371E8A"/>
    <w:rsid w:val="6B9D3B4D"/>
    <w:rsid w:val="6B9E1CE2"/>
    <w:rsid w:val="6BA73DCD"/>
    <w:rsid w:val="6BB938C1"/>
    <w:rsid w:val="6BD6520E"/>
    <w:rsid w:val="6BE45604"/>
    <w:rsid w:val="6C0B435C"/>
    <w:rsid w:val="6C323B43"/>
    <w:rsid w:val="6C5F1EBE"/>
    <w:rsid w:val="6C6E0E41"/>
    <w:rsid w:val="6C7F2147"/>
    <w:rsid w:val="6CA200F0"/>
    <w:rsid w:val="6CB85CD3"/>
    <w:rsid w:val="6CCE7137"/>
    <w:rsid w:val="6CD1784F"/>
    <w:rsid w:val="6CDC6569"/>
    <w:rsid w:val="6CF12217"/>
    <w:rsid w:val="6CF748E0"/>
    <w:rsid w:val="6CF96758"/>
    <w:rsid w:val="6D0C3BF9"/>
    <w:rsid w:val="6D0F24B6"/>
    <w:rsid w:val="6D153531"/>
    <w:rsid w:val="6D1E00BF"/>
    <w:rsid w:val="6D681477"/>
    <w:rsid w:val="6D755C92"/>
    <w:rsid w:val="6D9B526C"/>
    <w:rsid w:val="6DA967F9"/>
    <w:rsid w:val="6DBA30B1"/>
    <w:rsid w:val="6DC518B8"/>
    <w:rsid w:val="6DC90E3D"/>
    <w:rsid w:val="6DCD4A01"/>
    <w:rsid w:val="6DD83D4F"/>
    <w:rsid w:val="6DDC2DC1"/>
    <w:rsid w:val="6DDE33AA"/>
    <w:rsid w:val="6DDE782F"/>
    <w:rsid w:val="6DE05374"/>
    <w:rsid w:val="6DE35109"/>
    <w:rsid w:val="6DE36C13"/>
    <w:rsid w:val="6DF35305"/>
    <w:rsid w:val="6E121BA4"/>
    <w:rsid w:val="6E227C29"/>
    <w:rsid w:val="6E4E7F96"/>
    <w:rsid w:val="6E88450A"/>
    <w:rsid w:val="6EC97F03"/>
    <w:rsid w:val="6ECF3453"/>
    <w:rsid w:val="6EE82732"/>
    <w:rsid w:val="6F3C5945"/>
    <w:rsid w:val="6F44559B"/>
    <w:rsid w:val="6F4D1011"/>
    <w:rsid w:val="6F6D2C38"/>
    <w:rsid w:val="6F75902B"/>
    <w:rsid w:val="6F783A20"/>
    <w:rsid w:val="6F8907FB"/>
    <w:rsid w:val="6FA545E0"/>
    <w:rsid w:val="6FA70990"/>
    <w:rsid w:val="6FA762E8"/>
    <w:rsid w:val="6FA9276F"/>
    <w:rsid w:val="6FB018F1"/>
    <w:rsid w:val="6FD902CD"/>
    <w:rsid w:val="6FE612DA"/>
    <w:rsid w:val="7000409F"/>
    <w:rsid w:val="703936B3"/>
    <w:rsid w:val="70415371"/>
    <w:rsid w:val="704A58F0"/>
    <w:rsid w:val="704C0C74"/>
    <w:rsid w:val="705F0E66"/>
    <w:rsid w:val="70822713"/>
    <w:rsid w:val="709A5CAE"/>
    <w:rsid w:val="709D4CE3"/>
    <w:rsid w:val="70A02B99"/>
    <w:rsid w:val="70BA369D"/>
    <w:rsid w:val="70D613FE"/>
    <w:rsid w:val="70E0530A"/>
    <w:rsid w:val="710752DE"/>
    <w:rsid w:val="712437CA"/>
    <w:rsid w:val="713752AB"/>
    <w:rsid w:val="71584194"/>
    <w:rsid w:val="716B7A2C"/>
    <w:rsid w:val="71881FAB"/>
    <w:rsid w:val="71892F6C"/>
    <w:rsid w:val="71C1726B"/>
    <w:rsid w:val="71CD53D8"/>
    <w:rsid w:val="71E3257D"/>
    <w:rsid w:val="71E573FD"/>
    <w:rsid w:val="71E647E5"/>
    <w:rsid w:val="72165809"/>
    <w:rsid w:val="722124E0"/>
    <w:rsid w:val="724F29B6"/>
    <w:rsid w:val="726C3D6F"/>
    <w:rsid w:val="728260E0"/>
    <w:rsid w:val="728269FA"/>
    <w:rsid w:val="72864769"/>
    <w:rsid w:val="72956CCA"/>
    <w:rsid w:val="72A03324"/>
    <w:rsid w:val="72A52E5A"/>
    <w:rsid w:val="72B50B7E"/>
    <w:rsid w:val="72C35DD2"/>
    <w:rsid w:val="72C64B16"/>
    <w:rsid w:val="72F574DF"/>
    <w:rsid w:val="730056DE"/>
    <w:rsid w:val="730E4C5C"/>
    <w:rsid w:val="731F06ED"/>
    <w:rsid w:val="735106EB"/>
    <w:rsid w:val="73644B32"/>
    <w:rsid w:val="737E3665"/>
    <w:rsid w:val="739A00D1"/>
    <w:rsid w:val="73B21561"/>
    <w:rsid w:val="73B879FC"/>
    <w:rsid w:val="73B914FE"/>
    <w:rsid w:val="73C477C7"/>
    <w:rsid w:val="73D27B5E"/>
    <w:rsid w:val="73E85F2E"/>
    <w:rsid w:val="73EE0349"/>
    <w:rsid w:val="741A710E"/>
    <w:rsid w:val="742C1313"/>
    <w:rsid w:val="74576E13"/>
    <w:rsid w:val="74681C20"/>
    <w:rsid w:val="747A1FE1"/>
    <w:rsid w:val="74C62370"/>
    <w:rsid w:val="74CE23CA"/>
    <w:rsid w:val="74D844C5"/>
    <w:rsid w:val="74F04BFF"/>
    <w:rsid w:val="74F27030"/>
    <w:rsid w:val="74F84BA3"/>
    <w:rsid w:val="74FB517C"/>
    <w:rsid w:val="750A0940"/>
    <w:rsid w:val="75260627"/>
    <w:rsid w:val="753F02F3"/>
    <w:rsid w:val="755E4517"/>
    <w:rsid w:val="757F88E0"/>
    <w:rsid w:val="759166AD"/>
    <w:rsid w:val="75D11C98"/>
    <w:rsid w:val="75D7705D"/>
    <w:rsid w:val="75DC5427"/>
    <w:rsid w:val="75E30CF2"/>
    <w:rsid w:val="75F241D2"/>
    <w:rsid w:val="75FE0072"/>
    <w:rsid w:val="7601643A"/>
    <w:rsid w:val="76100D7A"/>
    <w:rsid w:val="763A2174"/>
    <w:rsid w:val="763A4D94"/>
    <w:rsid w:val="76463451"/>
    <w:rsid w:val="76515061"/>
    <w:rsid w:val="76562F78"/>
    <w:rsid w:val="76650B0D"/>
    <w:rsid w:val="76672608"/>
    <w:rsid w:val="766E641C"/>
    <w:rsid w:val="76B82BAD"/>
    <w:rsid w:val="76BE1C9B"/>
    <w:rsid w:val="76D76992"/>
    <w:rsid w:val="76E361C6"/>
    <w:rsid w:val="76F20DC4"/>
    <w:rsid w:val="76F27554"/>
    <w:rsid w:val="77034AF1"/>
    <w:rsid w:val="7799295E"/>
    <w:rsid w:val="77A71100"/>
    <w:rsid w:val="77AFD993"/>
    <w:rsid w:val="77B973A5"/>
    <w:rsid w:val="77C85736"/>
    <w:rsid w:val="77DE0B76"/>
    <w:rsid w:val="77E8619A"/>
    <w:rsid w:val="77F20C9D"/>
    <w:rsid w:val="77FF22B4"/>
    <w:rsid w:val="78096771"/>
    <w:rsid w:val="782317AD"/>
    <w:rsid w:val="78292927"/>
    <w:rsid w:val="782F4F2E"/>
    <w:rsid w:val="78342545"/>
    <w:rsid w:val="783E2103"/>
    <w:rsid w:val="785C5F2E"/>
    <w:rsid w:val="78A07BDA"/>
    <w:rsid w:val="78A84DB5"/>
    <w:rsid w:val="78C05C30"/>
    <w:rsid w:val="78CC5A01"/>
    <w:rsid w:val="78D202E0"/>
    <w:rsid w:val="78F20FC4"/>
    <w:rsid w:val="78F64892"/>
    <w:rsid w:val="79111BE0"/>
    <w:rsid w:val="79163448"/>
    <w:rsid w:val="791B4F7F"/>
    <w:rsid w:val="792202BB"/>
    <w:rsid w:val="79285902"/>
    <w:rsid w:val="79363CF8"/>
    <w:rsid w:val="79382508"/>
    <w:rsid w:val="79484D63"/>
    <w:rsid w:val="7949601C"/>
    <w:rsid w:val="79553EE0"/>
    <w:rsid w:val="79675C0F"/>
    <w:rsid w:val="7977040E"/>
    <w:rsid w:val="79850730"/>
    <w:rsid w:val="799706FE"/>
    <w:rsid w:val="79A47B9E"/>
    <w:rsid w:val="79A5144F"/>
    <w:rsid w:val="79D57D57"/>
    <w:rsid w:val="79DC68E3"/>
    <w:rsid w:val="79FC1788"/>
    <w:rsid w:val="7A0F4232"/>
    <w:rsid w:val="7A290882"/>
    <w:rsid w:val="7A293DDD"/>
    <w:rsid w:val="7A34081E"/>
    <w:rsid w:val="7A3C07BA"/>
    <w:rsid w:val="7A481AAB"/>
    <w:rsid w:val="7A543372"/>
    <w:rsid w:val="7A5F6280"/>
    <w:rsid w:val="7A6B0B1E"/>
    <w:rsid w:val="7A6D61E2"/>
    <w:rsid w:val="7A7061E8"/>
    <w:rsid w:val="7A797363"/>
    <w:rsid w:val="7A8377B3"/>
    <w:rsid w:val="7AC4313C"/>
    <w:rsid w:val="7AC747EA"/>
    <w:rsid w:val="7ACC722C"/>
    <w:rsid w:val="7AE47178"/>
    <w:rsid w:val="7AFF332D"/>
    <w:rsid w:val="7B044CE6"/>
    <w:rsid w:val="7B0930DD"/>
    <w:rsid w:val="7B2561A9"/>
    <w:rsid w:val="7B402060"/>
    <w:rsid w:val="7B4E1126"/>
    <w:rsid w:val="7B526CCC"/>
    <w:rsid w:val="7B540B5C"/>
    <w:rsid w:val="7B5E70A2"/>
    <w:rsid w:val="7B682D56"/>
    <w:rsid w:val="7B6F2FF9"/>
    <w:rsid w:val="7BA57FF3"/>
    <w:rsid w:val="7BA75723"/>
    <w:rsid w:val="7BAD52A5"/>
    <w:rsid w:val="7BAE706D"/>
    <w:rsid w:val="7BDF4740"/>
    <w:rsid w:val="7BE2448E"/>
    <w:rsid w:val="7BED32B4"/>
    <w:rsid w:val="7BF74863"/>
    <w:rsid w:val="7C072850"/>
    <w:rsid w:val="7C183F2B"/>
    <w:rsid w:val="7C211B08"/>
    <w:rsid w:val="7C286864"/>
    <w:rsid w:val="7C413482"/>
    <w:rsid w:val="7C430CD5"/>
    <w:rsid w:val="7C63789C"/>
    <w:rsid w:val="7C9B4091"/>
    <w:rsid w:val="7CA40D16"/>
    <w:rsid w:val="7CA7619E"/>
    <w:rsid w:val="7CAB5778"/>
    <w:rsid w:val="7CAC4E10"/>
    <w:rsid w:val="7CAC5507"/>
    <w:rsid w:val="7CCD455E"/>
    <w:rsid w:val="7CD079CC"/>
    <w:rsid w:val="7D0D5295"/>
    <w:rsid w:val="7D2D3A06"/>
    <w:rsid w:val="7D367CD9"/>
    <w:rsid w:val="7D377912"/>
    <w:rsid w:val="7D38239E"/>
    <w:rsid w:val="7D4A45B8"/>
    <w:rsid w:val="7D512DDC"/>
    <w:rsid w:val="7D5947FB"/>
    <w:rsid w:val="7D5B2778"/>
    <w:rsid w:val="7D5F4659"/>
    <w:rsid w:val="7D71206B"/>
    <w:rsid w:val="7D8201F6"/>
    <w:rsid w:val="7D8E2059"/>
    <w:rsid w:val="7DD272B5"/>
    <w:rsid w:val="7DDE1824"/>
    <w:rsid w:val="7DF03328"/>
    <w:rsid w:val="7DFD0EAF"/>
    <w:rsid w:val="7E01736D"/>
    <w:rsid w:val="7E1D5EE2"/>
    <w:rsid w:val="7E500696"/>
    <w:rsid w:val="7E5F1BE0"/>
    <w:rsid w:val="7E9E0C32"/>
    <w:rsid w:val="7EBD557D"/>
    <w:rsid w:val="7EC5456A"/>
    <w:rsid w:val="7ED438EA"/>
    <w:rsid w:val="7ED54355"/>
    <w:rsid w:val="7EE1097E"/>
    <w:rsid w:val="7EE22E7A"/>
    <w:rsid w:val="7EFC7B34"/>
    <w:rsid w:val="7F14789A"/>
    <w:rsid w:val="7F18226F"/>
    <w:rsid w:val="7F1D3622"/>
    <w:rsid w:val="7F2C4984"/>
    <w:rsid w:val="7F553F41"/>
    <w:rsid w:val="7F5C05D3"/>
    <w:rsid w:val="7F6A6C1A"/>
    <w:rsid w:val="7F802DFC"/>
    <w:rsid w:val="7FB35F8E"/>
    <w:rsid w:val="7FC90A41"/>
    <w:rsid w:val="7FCF7F3C"/>
    <w:rsid w:val="7FDF5434"/>
    <w:rsid w:val="7FE70A3C"/>
    <w:rsid w:val="7FFD3AE6"/>
    <w:rsid w:val="7FFE3729"/>
    <w:rsid w:val="9E38623D"/>
    <w:rsid w:val="BE4F013E"/>
    <w:rsid w:val="BFE6031A"/>
    <w:rsid w:val="CDD5C2DF"/>
    <w:rsid w:val="CF7A6A0E"/>
    <w:rsid w:val="D6ED52C0"/>
    <w:rsid w:val="DF9FE9E9"/>
    <w:rsid w:val="EBFB9443"/>
    <w:rsid w:val="F5F987D6"/>
    <w:rsid w:val="FD3FE17C"/>
    <w:rsid w:val="FEB1FB78"/>
    <w:rsid w:val="FF3B70E1"/>
    <w:rsid w:val="FF93E5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7"/>
    <w:autoRedefine/>
    <w:qFormat/>
    <w:uiPriority w:val="99"/>
    <w:pPr>
      <w:keepNext/>
      <w:keepLines/>
      <w:spacing w:before="340" w:after="330" w:line="576" w:lineRule="auto"/>
      <w:outlineLvl w:val="0"/>
    </w:pPr>
    <w:rPr>
      <w:rFonts w:ascii="Tahoma" w:hAnsi="Tahoma"/>
      <w:b/>
      <w:bCs/>
      <w:kern w:val="44"/>
      <w:sz w:val="44"/>
      <w:szCs w:val="44"/>
    </w:rPr>
  </w:style>
  <w:style w:type="paragraph" w:styleId="3">
    <w:name w:val="heading 2"/>
    <w:basedOn w:val="1"/>
    <w:next w:val="1"/>
    <w:link w:val="68"/>
    <w:autoRedefine/>
    <w:qFormat/>
    <w:uiPriority w:val="9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9"/>
    <w:autoRedefine/>
    <w:qFormat/>
    <w:uiPriority w:val="99"/>
    <w:pPr>
      <w:keepNext/>
      <w:keepLines/>
      <w:spacing w:before="260" w:after="260" w:line="416" w:lineRule="auto"/>
      <w:outlineLvl w:val="2"/>
    </w:pPr>
    <w:rPr>
      <w:b/>
      <w:bCs/>
      <w:sz w:val="32"/>
      <w:szCs w:val="32"/>
    </w:rPr>
  </w:style>
  <w:style w:type="paragraph" w:styleId="5">
    <w:name w:val="heading 4"/>
    <w:basedOn w:val="1"/>
    <w:next w:val="6"/>
    <w:link w:val="71"/>
    <w:autoRedefine/>
    <w:qFormat/>
    <w:uiPriority w:val="99"/>
    <w:pPr>
      <w:keepNext/>
      <w:keepLines/>
      <w:spacing w:before="280" w:after="290" w:line="372" w:lineRule="auto"/>
      <w:outlineLvl w:val="3"/>
    </w:pPr>
    <w:rPr>
      <w:rFonts w:ascii="Cambria" w:hAnsi="Cambria"/>
      <w:b/>
      <w:bCs/>
      <w:sz w:val="28"/>
      <w:szCs w:val="28"/>
    </w:rPr>
  </w:style>
  <w:style w:type="paragraph" w:styleId="7">
    <w:name w:val="heading 5"/>
    <w:basedOn w:val="1"/>
    <w:next w:val="1"/>
    <w:link w:val="72"/>
    <w:autoRedefine/>
    <w:qFormat/>
    <w:uiPriority w:val="99"/>
    <w:pPr>
      <w:keepNext/>
      <w:keepLines/>
      <w:spacing w:before="280" w:after="290" w:line="372" w:lineRule="auto"/>
      <w:outlineLvl w:val="4"/>
    </w:pPr>
    <w:rPr>
      <w:rFonts w:ascii="Tahoma" w:hAnsi="Tahoma"/>
      <w:b/>
      <w:bCs/>
      <w:sz w:val="20"/>
      <w:szCs w:val="20"/>
    </w:rPr>
  </w:style>
  <w:style w:type="paragraph" w:styleId="8">
    <w:name w:val="heading 6"/>
    <w:basedOn w:val="1"/>
    <w:next w:val="1"/>
    <w:link w:val="73"/>
    <w:autoRedefine/>
    <w:qFormat/>
    <w:uiPriority w:val="99"/>
    <w:pPr>
      <w:keepNext/>
      <w:keepLines/>
      <w:spacing w:before="240" w:after="64" w:line="317" w:lineRule="auto"/>
      <w:outlineLvl w:val="5"/>
    </w:pPr>
    <w:rPr>
      <w:rFonts w:ascii="Arial" w:hAnsi="Arial" w:eastAsia="黑体"/>
      <w:b/>
      <w:bCs/>
      <w:sz w:val="20"/>
      <w:szCs w:val="20"/>
    </w:rPr>
  </w:style>
  <w:style w:type="paragraph" w:styleId="9">
    <w:name w:val="heading 7"/>
    <w:basedOn w:val="1"/>
    <w:next w:val="1"/>
    <w:link w:val="74"/>
    <w:autoRedefine/>
    <w:qFormat/>
    <w:uiPriority w:val="0"/>
    <w:pPr>
      <w:keepNext/>
      <w:keepLines/>
      <w:spacing w:before="240" w:after="64" w:line="317" w:lineRule="auto"/>
      <w:outlineLvl w:val="6"/>
    </w:pPr>
    <w:rPr>
      <w:rFonts w:ascii="Tahoma" w:hAnsi="Tahoma"/>
      <w:b/>
      <w:bCs/>
      <w:sz w:val="20"/>
      <w:szCs w:val="20"/>
    </w:rPr>
  </w:style>
  <w:style w:type="paragraph" w:styleId="10">
    <w:name w:val="heading 8"/>
    <w:basedOn w:val="1"/>
    <w:next w:val="1"/>
    <w:link w:val="75"/>
    <w:autoRedefine/>
    <w:qFormat/>
    <w:uiPriority w:val="99"/>
    <w:pPr>
      <w:keepNext/>
      <w:keepLines/>
      <w:spacing w:before="240" w:after="64" w:line="317" w:lineRule="auto"/>
      <w:outlineLvl w:val="7"/>
    </w:pPr>
    <w:rPr>
      <w:rFonts w:ascii="Arial" w:hAnsi="Arial" w:eastAsia="黑体"/>
      <w:sz w:val="24"/>
      <w:szCs w:val="24"/>
    </w:rPr>
  </w:style>
  <w:style w:type="paragraph" w:styleId="11">
    <w:name w:val="heading 9"/>
    <w:basedOn w:val="1"/>
    <w:next w:val="1"/>
    <w:link w:val="76"/>
    <w:autoRedefine/>
    <w:qFormat/>
    <w:uiPriority w:val="99"/>
    <w:pPr>
      <w:keepNext/>
      <w:keepLines/>
      <w:spacing w:before="240" w:after="64" w:line="317" w:lineRule="auto"/>
      <w:outlineLvl w:val="8"/>
    </w:pPr>
    <w:rPr>
      <w:rFonts w:ascii="Arial" w:hAnsi="Arial" w:eastAsia="黑体"/>
      <w:sz w:val="20"/>
      <w:szCs w:val="20"/>
    </w:rPr>
  </w:style>
  <w:style w:type="character" w:default="1" w:styleId="51">
    <w:name w:val="Default Paragraph Font"/>
    <w:autoRedefine/>
    <w:unhideWhenUsed/>
    <w:qFormat/>
    <w:uiPriority w:val="1"/>
  </w:style>
  <w:style w:type="table" w:default="1" w:styleId="49">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link w:val="70"/>
    <w:autoRedefine/>
    <w:qFormat/>
    <w:uiPriority w:val="99"/>
    <w:pPr>
      <w:ind w:firstLine="420"/>
    </w:pPr>
    <w:rPr>
      <w:rFonts w:ascii="Tahoma" w:hAnsi="Tahoma"/>
      <w:b/>
      <w:bCs/>
      <w:sz w:val="24"/>
      <w:szCs w:val="24"/>
    </w:rPr>
  </w:style>
  <w:style w:type="paragraph" w:styleId="12">
    <w:name w:val="toc 7"/>
    <w:basedOn w:val="1"/>
    <w:next w:val="1"/>
    <w:autoRedefine/>
    <w:semiHidden/>
    <w:qFormat/>
    <w:uiPriority w:val="99"/>
    <w:pPr>
      <w:ind w:left="2520" w:leftChars="1200"/>
    </w:pPr>
  </w:style>
  <w:style w:type="paragraph" w:styleId="13">
    <w:name w:val="List Number"/>
    <w:basedOn w:val="1"/>
    <w:autoRedefine/>
    <w:qFormat/>
    <w:uiPriority w:val="99"/>
    <w:pPr>
      <w:widowControl/>
      <w:tabs>
        <w:tab w:val="left" w:pos="454"/>
        <w:tab w:val="left" w:pos="720"/>
      </w:tabs>
      <w:spacing w:afterLines="50"/>
      <w:ind w:left="454" w:hanging="284"/>
      <w:jc w:val="left"/>
    </w:pPr>
    <w:rPr>
      <w:kern w:val="0"/>
      <w:sz w:val="24"/>
      <w:szCs w:val="24"/>
    </w:rPr>
  </w:style>
  <w:style w:type="paragraph" w:styleId="14">
    <w:name w:val="caption"/>
    <w:basedOn w:val="1"/>
    <w:next w:val="1"/>
    <w:autoRedefine/>
    <w:qFormat/>
    <w:uiPriority w:val="99"/>
    <w:pPr>
      <w:spacing w:before="152" w:after="160"/>
    </w:pPr>
    <w:rPr>
      <w:rFonts w:ascii="Arial" w:hAnsi="Arial" w:eastAsia="黑体" w:cs="Arial"/>
      <w:sz w:val="20"/>
      <w:szCs w:val="20"/>
    </w:rPr>
  </w:style>
  <w:style w:type="paragraph" w:styleId="15">
    <w:name w:val="Document Map"/>
    <w:basedOn w:val="1"/>
    <w:link w:val="77"/>
    <w:autoRedefine/>
    <w:semiHidden/>
    <w:qFormat/>
    <w:uiPriority w:val="99"/>
    <w:pPr>
      <w:shd w:val="clear" w:color="auto" w:fill="000080"/>
    </w:pPr>
    <w:rPr>
      <w:rFonts w:ascii="宋体" w:hAnsi="宋体"/>
      <w:sz w:val="18"/>
      <w:szCs w:val="18"/>
    </w:rPr>
  </w:style>
  <w:style w:type="paragraph" w:styleId="16">
    <w:name w:val="toa heading"/>
    <w:basedOn w:val="1"/>
    <w:next w:val="1"/>
    <w:autoRedefine/>
    <w:qFormat/>
    <w:locked/>
    <w:uiPriority w:val="0"/>
    <w:pPr>
      <w:spacing w:before="120"/>
    </w:pPr>
    <w:rPr>
      <w:rFonts w:ascii="Arial" w:hAnsi="Arial" w:cs="Arial"/>
      <w:sz w:val="24"/>
    </w:rPr>
  </w:style>
  <w:style w:type="paragraph" w:styleId="17">
    <w:name w:val="annotation text"/>
    <w:basedOn w:val="1"/>
    <w:link w:val="78"/>
    <w:autoRedefine/>
    <w:qFormat/>
    <w:uiPriority w:val="99"/>
    <w:pPr>
      <w:jc w:val="left"/>
    </w:pPr>
    <w:rPr>
      <w:rFonts w:ascii="Tahoma" w:hAnsi="Tahoma"/>
      <w:sz w:val="24"/>
      <w:szCs w:val="24"/>
    </w:rPr>
  </w:style>
  <w:style w:type="paragraph" w:styleId="18">
    <w:name w:val="Body Text 3"/>
    <w:basedOn w:val="1"/>
    <w:link w:val="79"/>
    <w:autoRedefine/>
    <w:qFormat/>
    <w:uiPriority w:val="99"/>
    <w:pPr>
      <w:snapToGrid w:val="0"/>
      <w:spacing w:before="50" w:after="50"/>
    </w:pPr>
    <w:rPr>
      <w:rFonts w:ascii="Tahoma" w:hAnsi="Tahoma"/>
      <w:sz w:val="16"/>
      <w:szCs w:val="16"/>
    </w:rPr>
  </w:style>
  <w:style w:type="paragraph" w:styleId="19">
    <w:name w:val="Body Text"/>
    <w:basedOn w:val="1"/>
    <w:next w:val="1"/>
    <w:link w:val="80"/>
    <w:autoRedefine/>
    <w:qFormat/>
    <w:uiPriority w:val="99"/>
    <w:pPr>
      <w:spacing w:after="120"/>
    </w:pPr>
    <w:rPr>
      <w:rFonts w:ascii="Tahoma" w:hAnsi="Tahoma"/>
      <w:sz w:val="24"/>
      <w:szCs w:val="24"/>
    </w:rPr>
  </w:style>
  <w:style w:type="paragraph" w:styleId="20">
    <w:name w:val="Body Text Indent"/>
    <w:basedOn w:val="1"/>
    <w:next w:val="6"/>
    <w:link w:val="81"/>
    <w:autoRedefine/>
    <w:qFormat/>
    <w:uiPriority w:val="99"/>
    <w:pPr>
      <w:spacing w:line="200" w:lineRule="exact"/>
      <w:ind w:firstLine="301"/>
    </w:pPr>
    <w:rPr>
      <w:rFonts w:ascii="宋体" w:hAnsi="Courier New"/>
      <w:spacing w:val="-4"/>
      <w:sz w:val="20"/>
      <w:szCs w:val="20"/>
    </w:rPr>
  </w:style>
  <w:style w:type="paragraph" w:styleId="21">
    <w:name w:val="List Number 3"/>
    <w:basedOn w:val="1"/>
    <w:autoRedefine/>
    <w:qFormat/>
    <w:uiPriority w:val="99"/>
    <w:pPr>
      <w:tabs>
        <w:tab w:val="left" w:pos="1200"/>
      </w:tabs>
      <w:ind w:left="1200" w:hanging="360"/>
    </w:pPr>
  </w:style>
  <w:style w:type="paragraph" w:styleId="22">
    <w:name w:val="List 2"/>
    <w:basedOn w:val="1"/>
    <w:autoRedefine/>
    <w:qFormat/>
    <w:uiPriority w:val="99"/>
    <w:pPr>
      <w:ind w:left="100" w:leftChars="200" w:hanging="200" w:hangingChars="200"/>
    </w:pPr>
    <w:rPr>
      <w:sz w:val="28"/>
      <w:szCs w:val="28"/>
    </w:rPr>
  </w:style>
  <w:style w:type="paragraph" w:styleId="23">
    <w:name w:val="toc 5"/>
    <w:basedOn w:val="1"/>
    <w:next w:val="1"/>
    <w:autoRedefine/>
    <w:semiHidden/>
    <w:qFormat/>
    <w:uiPriority w:val="99"/>
    <w:pPr>
      <w:ind w:left="1680" w:leftChars="800"/>
    </w:pPr>
  </w:style>
  <w:style w:type="paragraph" w:styleId="24">
    <w:name w:val="toc 3"/>
    <w:basedOn w:val="1"/>
    <w:next w:val="1"/>
    <w:autoRedefine/>
    <w:semiHidden/>
    <w:qFormat/>
    <w:uiPriority w:val="99"/>
    <w:pPr>
      <w:ind w:left="840" w:leftChars="400"/>
    </w:pPr>
  </w:style>
  <w:style w:type="paragraph" w:styleId="25">
    <w:name w:val="Plain Text"/>
    <w:basedOn w:val="1"/>
    <w:next w:val="1"/>
    <w:link w:val="82"/>
    <w:autoRedefine/>
    <w:qFormat/>
    <w:uiPriority w:val="99"/>
    <w:pPr>
      <w:spacing w:beforeLines="50" w:afterLines="50" w:line="400" w:lineRule="exact"/>
    </w:pPr>
    <w:rPr>
      <w:rFonts w:ascii="宋体" w:hAnsi="Courier New"/>
    </w:rPr>
  </w:style>
  <w:style w:type="paragraph" w:styleId="26">
    <w:name w:val="toc 8"/>
    <w:basedOn w:val="1"/>
    <w:next w:val="1"/>
    <w:autoRedefine/>
    <w:semiHidden/>
    <w:qFormat/>
    <w:uiPriority w:val="99"/>
    <w:pPr>
      <w:ind w:left="2940" w:leftChars="1400"/>
    </w:pPr>
  </w:style>
  <w:style w:type="paragraph" w:styleId="27">
    <w:name w:val="Date"/>
    <w:basedOn w:val="1"/>
    <w:next w:val="1"/>
    <w:link w:val="83"/>
    <w:autoRedefine/>
    <w:qFormat/>
    <w:uiPriority w:val="99"/>
    <w:pPr>
      <w:ind w:left="2500" w:leftChars="2500"/>
    </w:pPr>
    <w:rPr>
      <w:rFonts w:ascii="黑体" w:hAnsi="宋体" w:eastAsia="黑体"/>
      <w:kern w:val="44"/>
      <w:position w:val="6"/>
      <w:sz w:val="20"/>
      <w:szCs w:val="20"/>
    </w:rPr>
  </w:style>
  <w:style w:type="paragraph" w:styleId="28">
    <w:name w:val="Body Text Indent 2"/>
    <w:basedOn w:val="1"/>
    <w:link w:val="84"/>
    <w:autoRedefine/>
    <w:qFormat/>
    <w:uiPriority w:val="99"/>
    <w:pPr>
      <w:snapToGrid w:val="0"/>
      <w:ind w:firstLine="542" w:firstLineChars="225"/>
    </w:pPr>
    <w:rPr>
      <w:rFonts w:ascii="Tahoma" w:hAnsi="Tahoma"/>
      <w:sz w:val="24"/>
      <w:szCs w:val="24"/>
    </w:rPr>
  </w:style>
  <w:style w:type="paragraph" w:styleId="29">
    <w:name w:val="endnote text"/>
    <w:basedOn w:val="1"/>
    <w:link w:val="85"/>
    <w:autoRedefine/>
    <w:semiHidden/>
    <w:qFormat/>
    <w:uiPriority w:val="99"/>
    <w:pPr>
      <w:snapToGrid w:val="0"/>
      <w:jc w:val="left"/>
    </w:pPr>
    <w:rPr>
      <w:sz w:val="24"/>
      <w:szCs w:val="24"/>
    </w:rPr>
  </w:style>
  <w:style w:type="paragraph" w:styleId="30">
    <w:name w:val="Balloon Text"/>
    <w:basedOn w:val="1"/>
    <w:link w:val="86"/>
    <w:autoRedefine/>
    <w:semiHidden/>
    <w:qFormat/>
    <w:uiPriority w:val="99"/>
    <w:rPr>
      <w:rFonts w:ascii="Tahoma" w:hAnsi="Tahoma"/>
      <w:sz w:val="18"/>
      <w:szCs w:val="18"/>
    </w:rPr>
  </w:style>
  <w:style w:type="paragraph" w:styleId="31">
    <w:name w:val="footer"/>
    <w:basedOn w:val="1"/>
    <w:link w:val="87"/>
    <w:autoRedefine/>
    <w:qFormat/>
    <w:uiPriority w:val="99"/>
    <w:pPr>
      <w:framePr w:wrap="around" w:vAnchor="text" w:hAnchor="margin" w:xAlign="center" w:y="1"/>
      <w:tabs>
        <w:tab w:val="center" w:pos="4153"/>
        <w:tab w:val="right" w:pos="8306"/>
      </w:tabs>
      <w:snapToGrid w:val="0"/>
      <w:jc w:val="left"/>
    </w:pPr>
    <w:rPr>
      <w:rFonts w:ascii="黑体" w:hAnsi="宋体" w:eastAsia="黑体"/>
      <w:kern w:val="0"/>
      <w:sz w:val="18"/>
      <w:szCs w:val="18"/>
    </w:rPr>
  </w:style>
  <w:style w:type="paragraph" w:styleId="32">
    <w:name w:val="header"/>
    <w:basedOn w:val="1"/>
    <w:link w:val="88"/>
    <w:autoRedefine/>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3">
    <w:name w:val="toc 1"/>
    <w:basedOn w:val="1"/>
    <w:next w:val="1"/>
    <w:autoRedefine/>
    <w:semiHidden/>
    <w:qFormat/>
    <w:uiPriority w:val="99"/>
  </w:style>
  <w:style w:type="paragraph" w:styleId="34">
    <w:name w:val="toc 4"/>
    <w:basedOn w:val="1"/>
    <w:next w:val="1"/>
    <w:autoRedefine/>
    <w:semiHidden/>
    <w:qFormat/>
    <w:uiPriority w:val="99"/>
    <w:pPr>
      <w:ind w:left="1260" w:leftChars="600"/>
    </w:pPr>
  </w:style>
  <w:style w:type="paragraph" w:styleId="35">
    <w:name w:val="Subtitle"/>
    <w:basedOn w:val="1"/>
    <w:next w:val="1"/>
    <w:link w:val="89"/>
    <w:autoRedefine/>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autoRedefine/>
    <w:qFormat/>
    <w:uiPriority w:val="99"/>
    <w:pPr>
      <w:ind w:left="200" w:hanging="200" w:hangingChars="200"/>
    </w:pPr>
    <w:rPr>
      <w:sz w:val="28"/>
      <w:szCs w:val="28"/>
    </w:rPr>
  </w:style>
  <w:style w:type="paragraph" w:styleId="37">
    <w:name w:val="footnote text"/>
    <w:basedOn w:val="1"/>
    <w:link w:val="90"/>
    <w:autoRedefine/>
    <w:semiHidden/>
    <w:qFormat/>
    <w:uiPriority w:val="99"/>
    <w:pPr>
      <w:snapToGrid w:val="0"/>
      <w:jc w:val="left"/>
    </w:pPr>
    <w:rPr>
      <w:sz w:val="18"/>
      <w:szCs w:val="18"/>
    </w:rPr>
  </w:style>
  <w:style w:type="paragraph" w:styleId="38">
    <w:name w:val="toc 6"/>
    <w:basedOn w:val="1"/>
    <w:next w:val="1"/>
    <w:autoRedefine/>
    <w:semiHidden/>
    <w:qFormat/>
    <w:uiPriority w:val="99"/>
    <w:pPr>
      <w:ind w:left="2100" w:leftChars="1000"/>
    </w:pPr>
  </w:style>
  <w:style w:type="paragraph" w:styleId="39">
    <w:name w:val="Body Text Indent 3"/>
    <w:basedOn w:val="1"/>
    <w:link w:val="91"/>
    <w:autoRedefine/>
    <w:qFormat/>
    <w:uiPriority w:val="99"/>
    <w:pPr>
      <w:snapToGrid w:val="0"/>
      <w:ind w:firstLine="480" w:firstLineChars="200"/>
      <w:jc w:val="left"/>
    </w:pPr>
    <w:rPr>
      <w:rFonts w:ascii="Tahoma" w:hAnsi="Tahoma"/>
      <w:sz w:val="16"/>
      <w:szCs w:val="16"/>
    </w:rPr>
  </w:style>
  <w:style w:type="paragraph" w:styleId="40">
    <w:name w:val="toc 2"/>
    <w:basedOn w:val="1"/>
    <w:next w:val="1"/>
    <w:autoRedefine/>
    <w:semiHidden/>
    <w:qFormat/>
    <w:uiPriority w:val="99"/>
    <w:pPr>
      <w:ind w:left="420" w:leftChars="200"/>
    </w:pPr>
  </w:style>
  <w:style w:type="paragraph" w:styleId="41">
    <w:name w:val="toc 9"/>
    <w:basedOn w:val="1"/>
    <w:next w:val="1"/>
    <w:autoRedefine/>
    <w:semiHidden/>
    <w:qFormat/>
    <w:uiPriority w:val="99"/>
    <w:pPr>
      <w:ind w:left="3360" w:leftChars="1600"/>
    </w:pPr>
  </w:style>
  <w:style w:type="paragraph" w:styleId="42">
    <w:name w:val="Body Text 2"/>
    <w:basedOn w:val="1"/>
    <w:link w:val="92"/>
    <w:autoRedefine/>
    <w:qFormat/>
    <w:uiPriority w:val="99"/>
    <w:pPr>
      <w:widowControl/>
      <w:snapToGrid w:val="0"/>
      <w:spacing w:before="50" w:afterLines="50" w:line="400" w:lineRule="exact"/>
      <w:jc w:val="left"/>
    </w:pPr>
    <w:rPr>
      <w:rFonts w:ascii="Tahoma" w:hAnsi="Tahoma"/>
      <w:spacing w:val="20"/>
      <w:sz w:val="24"/>
      <w:szCs w:val="24"/>
    </w:rPr>
  </w:style>
  <w:style w:type="paragraph" w:styleId="43">
    <w:name w:val="HTML Preformatted"/>
    <w:basedOn w:val="1"/>
    <w:link w:val="93"/>
    <w:autoRedefine/>
    <w:qFormat/>
    <w:uiPriority w:val="99"/>
    <w:rPr>
      <w:rFonts w:ascii="宋体" w:hAnsi="宋体"/>
      <w:kern w:val="0"/>
      <w:sz w:val="24"/>
      <w:szCs w:val="24"/>
    </w:rPr>
  </w:style>
  <w:style w:type="paragraph" w:styleId="44">
    <w:name w:val="Normal (Web)"/>
    <w:basedOn w:val="1"/>
    <w:autoRedefine/>
    <w:qFormat/>
    <w:uiPriority w:val="99"/>
    <w:pPr>
      <w:widowControl/>
      <w:spacing w:before="100" w:beforeAutospacing="1" w:after="100" w:afterAutospacing="1"/>
      <w:jc w:val="left"/>
    </w:pPr>
    <w:rPr>
      <w:kern w:val="0"/>
      <w:sz w:val="24"/>
      <w:szCs w:val="24"/>
    </w:rPr>
  </w:style>
  <w:style w:type="paragraph" w:styleId="45">
    <w:name w:val="Title"/>
    <w:basedOn w:val="1"/>
    <w:link w:val="94"/>
    <w:autoRedefine/>
    <w:qFormat/>
    <w:uiPriority w:val="99"/>
    <w:pPr>
      <w:spacing w:before="240" w:after="60"/>
      <w:jc w:val="center"/>
      <w:outlineLvl w:val="0"/>
    </w:pPr>
    <w:rPr>
      <w:rFonts w:ascii="Cambria" w:hAnsi="Cambria"/>
      <w:b/>
      <w:bCs/>
      <w:sz w:val="32"/>
      <w:szCs w:val="32"/>
    </w:rPr>
  </w:style>
  <w:style w:type="paragraph" w:styleId="46">
    <w:name w:val="annotation subject"/>
    <w:basedOn w:val="17"/>
    <w:next w:val="17"/>
    <w:link w:val="95"/>
    <w:autoRedefine/>
    <w:semiHidden/>
    <w:qFormat/>
    <w:uiPriority w:val="99"/>
    <w:rPr>
      <w:b/>
      <w:bCs/>
    </w:rPr>
  </w:style>
  <w:style w:type="paragraph" w:styleId="47">
    <w:name w:val="Body Text First Indent"/>
    <w:basedOn w:val="19"/>
    <w:next w:val="38"/>
    <w:link w:val="96"/>
    <w:autoRedefine/>
    <w:qFormat/>
    <w:uiPriority w:val="99"/>
    <w:pPr>
      <w:ind w:firstLine="420" w:firstLineChars="100"/>
    </w:pPr>
  </w:style>
  <w:style w:type="paragraph" w:styleId="48">
    <w:name w:val="Body Text First Indent 2"/>
    <w:basedOn w:val="20"/>
    <w:autoRedefine/>
    <w:unhideWhenUsed/>
    <w:qFormat/>
    <w:locked/>
    <w:uiPriority w:val="99"/>
    <w:pPr>
      <w:spacing w:after="120" w:line="240" w:lineRule="auto"/>
      <w:ind w:left="420" w:leftChars="200" w:firstLine="420" w:firstLineChars="200"/>
    </w:pPr>
    <w:rPr>
      <w:rFonts w:ascii="Times New Roman" w:hAnsi="Times New Roman"/>
      <w:spacing w:val="0"/>
      <w:sz w:val="21"/>
      <w:szCs w:val="24"/>
    </w:rPr>
  </w:style>
  <w:style w:type="table" w:styleId="50">
    <w:name w:val="Table Grid"/>
    <w:basedOn w:val="4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autoRedefine/>
    <w:qFormat/>
    <w:uiPriority w:val="99"/>
    <w:rPr>
      <w:b/>
      <w:bCs/>
    </w:rPr>
  </w:style>
  <w:style w:type="character" w:styleId="53">
    <w:name w:val="page number"/>
    <w:autoRedefine/>
    <w:qFormat/>
    <w:uiPriority w:val="99"/>
    <w:rPr>
      <w:rFonts w:ascii="Times New Roman" w:hAnsi="Times New Roman" w:cs="Times New Roman"/>
      <w:sz w:val="20"/>
      <w:szCs w:val="20"/>
    </w:rPr>
  </w:style>
  <w:style w:type="character" w:styleId="54">
    <w:name w:val="FollowedHyperlink"/>
    <w:autoRedefine/>
    <w:qFormat/>
    <w:uiPriority w:val="99"/>
    <w:rPr>
      <w:rFonts w:ascii="Tahoma" w:hAnsi="Tahoma" w:cs="Tahoma"/>
      <w:color w:val="auto"/>
      <w:sz w:val="20"/>
      <w:szCs w:val="20"/>
      <w:u w:val="none"/>
    </w:rPr>
  </w:style>
  <w:style w:type="character" w:styleId="55">
    <w:name w:val="Emphasis"/>
    <w:autoRedefine/>
    <w:qFormat/>
    <w:uiPriority w:val="99"/>
    <w:rPr>
      <w:rFonts w:ascii="Tahoma" w:hAnsi="Tahoma" w:cs="Tahoma"/>
      <w:sz w:val="20"/>
      <w:szCs w:val="20"/>
    </w:rPr>
  </w:style>
  <w:style w:type="character" w:styleId="56">
    <w:name w:val="HTML Definition"/>
    <w:autoRedefine/>
    <w:qFormat/>
    <w:uiPriority w:val="99"/>
    <w:rPr>
      <w:rFonts w:ascii="Tahoma" w:hAnsi="Tahoma" w:cs="Tahoma"/>
      <w:sz w:val="20"/>
      <w:szCs w:val="20"/>
    </w:rPr>
  </w:style>
  <w:style w:type="character" w:styleId="57">
    <w:name w:val="HTML Variable"/>
    <w:autoRedefine/>
    <w:qFormat/>
    <w:uiPriority w:val="99"/>
    <w:rPr>
      <w:rFonts w:ascii="Tahoma" w:hAnsi="Tahoma" w:cs="Tahoma"/>
      <w:sz w:val="20"/>
      <w:szCs w:val="20"/>
    </w:rPr>
  </w:style>
  <w:style w:type="character" w:styleId="58">
    <w:name w:val="Hyperlink"/>
    <w:autoRedefine/>
    <w:qFormat/>
    <w:uiPriority w:val="99"/>
    <w:rPr>
      <w:rFonts w:ascii="Tahoma" w:hAnsi="Tahoma" w:cs="Tahoma"/>
      <w:color w:val="auto"/>
      <w:sz w:val="20"/>
      <w:szCs w:val="20"/>
      <w:u w:val="none"/>
    </w:rPr>
  </w:style>
  <w:style w:type="character" w:styleId="59">
    <w:name w:val="HTML Code"/>
    <w:autoRedefine/>
    <w:qFormat/>
    <w:uiPriority w:val="99"/>
    <w:rPr>
      <w:rFonts w:ascii="PingFang SC" w:hAnsi="PingFang SC" w:eastAsia="PingFang SC" w:cs="PingFang SC"/>
      <w:sz w:val="20"/>
      <w:szCs w:val="20"/>
    </w:rPr>
  </w:style>
  <w:style w:type="character" w:styleId="60">
    <w:name w:val="annotation reference"/>
    <w:autoRedefine/>
    <w:semiHidden/>
    <w:qFormat/>
    <w:uiPriority w:val="99"/>
    <w:rPr>
      <w:sz w:val="21"/>
      <w:szCs w:val="21"/>
    </w:rPr>
  </w:style>
  <w:style w:type="character" w:styleId="61">
    <w:name w:val="HTML Cite"/>
    <w:autoRedefine/>
    <w:qFormat/>
    <w:uiPriority w:val="99"/>
    <w:rPr>
      <w:rFonts w:ascii="Tahoma" w:hAnsi="Tahoma" w:cs="Tahoma"/>
      <w:sz w:val="20"/>
      <w:szCs w:val="20"/>
    </w:rPr>
  </w:style>
  <w:style w:type="character" w:styleId="62">
    <w:name w:val="HTML Keyboard"/>
    <w:autoRedefine/>
    <w:qFormat/>
    <w:uiPriority w:val="99"/>
    <w:rPr>
      <w:rFonts w:ascii="PingFang SC" w:hAnsi="PingFang SC" w:eastAsia="PingFang SC" w:cs="PingFang SC"/>
      <w:sz w:val="20"/>
      <w:szCs w:val="20"/>
    </w:rPr>
  </w:style>
  <w:style w:type="character" w:styleId="63">
    <w:name w:val="HTML Sample"/>
    <w:autoRedefine/>
    <w:qFormat/>
    <w:uiPriority w:val="99"/>
    <w:rPr>
      <w:rFonts w:ascii="PingFang SC" w:hAnsi="PingFang SC" w:eastAsia="PingFang SC" w:cs="PingFang SC"/>
      <w:sz w:val="20"/>
      <w:szCs w:val="20"/>
    </w:rPr>
  </w:style>
  <w:style w:type="character" w:customStyle="1" w:styleId="64">
    <w:name w:val="标题 2 Char"/>
    <w:autoRedefine/>
    <w:qFormat/>
    <w:uiPriority w:val="99"/>
    <w:rPr>
      <w:rFonts w:ascii="Arial" w:hAnsi="Arial" w:eastAsia="黑体" w:cs="Arial"/>
      <w:b/>
      <w:bCs/>
      <w:kern w:val="2"/>
      <w:sz w:val="32"/>
      <w:szCs w:val="32"/>
      <w:lang w:val="en-US" w:eastAsia="zh-CN"/>
    </w:rPr>
  </w:style>
  <w:style w:type="character" w:customStyle="1" w:styleId="65">
    <w:name w:val="标题 1 字符"/>
    <w:link w:val="2"/>
    <w:autoRedefine/>
    <w:qFormat/>
    <w:uiPriority w:val="0"/>
    <w:rPr>
      <w:rFonts w:ascii="Times New Roman" w:hAnsi="Times New Roman" w:eastAsia="微软雅黑" w:cs="Times New Roman"/>
      <w:b/>
      <w:bCs/>
      <w:kern w:val="44"/>
      <w:sz w:val="30"/>
      <w:szCs w:val="44"/>
    </w:rPr>
  </w:style>
  <w:style w:type="paragraph" w:customStyle="1" w:styleId="66">
    <w:name w:val="正文1"/>
    <w:basedOn w:val="1"/>
    <w:next w:val="1"/>
    <w:autoRedefine/>
    <w:qFormat/>
    <w:uiPriority w:val="99"/>
    <w:pPr>
      <w:numPr>
        <w:ilvl w:val="0"/>
        <w:numId w:val="1"/>
      </w:numPr>
      <w:spacing w:line="360" w:lineRule="auto"/>
      <w:jc w:val="left"/>
    </w:pPr>
    <w:rPr>
      <w:rFonts w:ascii="宋体" w:hAnsi="宋体"/>
      <w:spacing w:val="4"/>
      <w:sz w:val="18"/>
      <w:szCs w:val="20"/>
    </w:rPr>
  </w:style>
  <w:style w:type="character" w:customStyle="1" w:styleId="67">
    <w:name w:val="标题 1 Char"/>
    <w:link w:val="2"/>
    <w:autoRedefine/>
    <w:qFormat/>
    <w:locked/>
    <w:uiPriority w:val="99"/>
    <w:rPr>
      <w:rFonts w:ascii="Tahoma" w:hAnsi="Tahoma" w:cs="Tahoma"/>
      <w:b/>
      <w:bCs/>
      <w:kern w:val="44"/>
      <w:sz w:val="44"/>
      <w:szCs w:val="44"/>
    </w:rPr>
  </w:style>
  <w:style w:type="character" w:customStyle="1" w:styleId="68">
    <w:name w:val="标题 2 Char1"/>
    <w:link w:val="3"/>
    <w:autoRedefine/>
    <w:qFormat/>
    <w:locked/>
    <w:uiPriority w:val="99"/>
    <w:rPr>
      <w:rFonts w:ascii="Arial" w:hAnsi="Arial" w:eastAsia="黑体" w:cs="Arial"/>
      <w:b/>
      <w:bCs/>
      <w:kern w:val="2"/>
      <w:sz w:val="32"/>
      <w:szCs w:val="32"/>
    </w:rPr>
  </w:style>
  <w:style w:type="character" w:customStyle="1" w:styleId="69">
    <w:name w:val="标题 3 Char"/>
    <w:link w:val="4"/>
    <w:autoRedefine/>
    <w:qFormat/>
    <w:locked/>
    <w:uiPriority w:val="99"/>
    <w:rPr>
      <w:b/>
      <w:bCs/>
      <w:kern w:val="2"/>
      <w:sz w:val="32"/>
      <w:szCs w:val="32"/>
    </w:rPr>
  </w:style>
  <w:style w:type="character" w:customStyle="1" w:styleId="70">
    <w:name w:val="正文缩进 Char"/>
    <w:link w:val="6"/>
    <w:autoRedefine/>
    <w:qFormat/>
    <w:locked/>
    <w:uiPriority w:val="99"/>
    <w:rPr>
      <w:rFonts w:ascii="Tahoma" w:hAnsi="Tahoma" w:cs="Tahoma"/>
      <w:b/>
      <w:bCs/>
      <w:kern w:val="2"/>
      <w:sz w:val="24"/>
      <w:szCs w:val="24"/>
    </w:rPr>
  </w:style>
  <w:style w:type="character" w:customStyle="1" w:styleId="71">
    <w:name w:val="标题 4 Char"/>
    <w:link w:val="5"/>
    <w:autoRedefine/>
    <w:qFormat/>
    <w:locked/>
    <w:uiPriority w:val="99"/>
    <w:rPr>
      <w:rFonts w:ascii="Cambria" w:hAnsi="Cambria" w:cs="Cambria"/>
      <w:b/>
      <w:bCs/>
      <w:kern w:val="2"/>
      <w:sz w:val="28"/>
      <w:szCs w:val="28"/>
    </w:rPr>
  </w:style>
  <w:style w:type="character" w:customStyle="1" w:styleId="72">
    <w:name w:val="标题 5 Char"/>
    <w:link w:val="7"/>
    <w:autoRedefine/>
    <w:qFormat/>
    <w:locked/>
    <w:uiPriority w:val="99"/>
    <w:rPr>
      <w:rFonts w:ascii="Tahoma" w:hAnsi="Tahoma" w:cs="Tahoma"/>
      <w:b/>
      <w:bCs/>
      <w:kern w:val="2"/>
      <w:sz w:val="20"/>
      <w:szCs w:val="20"/>
    </w:rPr>
  </w:style>
  <w:style w:type="character" w:customStyle="1" w:styleId="73">
    <w:name w:val="标题 6 Char"/>
    <w:link w:val="8"/>
    <w:autoRedefine/>
    <w:qFormat/>
    <w:locked/>
    <w:uiPriority w:val="99"/>
    <w:rPr>
      <w:rFonts w:ascii="Arial" w:hAnsi="Arial" w:eastAsia="黑体" w:cs="Arial"/>
      <w:b/>
      <w:bCs/>
      <w:kern w:val="2"/>
      <w:sz w:val="20"/>
      <w:szCs w:val="20"/>
    </w:rPr>
  </w:style>
  <w:style w:type="character" w:customStyle="1" w:styleId="74">
    <w:name w:val="标题 7 Char"/>
    <w:link w:val="9"/>
    <w:autoRedefine/>
    <w:qFormat/>
    <w:locked/>
    <w:uiPriority w:val="0"/>
    <w:rPr>
      <w:rFonts w:ascii="Tahoma" w:hAnsi="Tahoma" w:cs="Tahoma"/>
      <w:b/>
      <w:bCs/>
      <w:kern w:val="2"/>
      <w:sz w:val="20"/>
      <w:szCs w:val="20"/>
    </w:rPr>
  </w:style>
  <w:style w:type="character" w:customStyle="1" w:styleId="75">
    <w:name w:val="标题 8 Char"/>
    <w:link w:val="10"/>
    <w:autoRedefine/>
    <w:qFormat/>
    <w:locked/>
    <w:uiPriority w:val="99"/>
    <w:rPr>
      <w:rFonts w:ascii="Arial" w:hAnsi="Arial" w:eastAsia="黑体" w:cs="Arial"/>
      <w:kern w:val="2"/>
      <w:sz w:val="24"/>
      <w:szCs w:val="24"/>
    </w:rPr>
  </w:style>
  <w:style w:type="character" w:customStyle="1" w:styleId="76">
    <w:name w:val="标题 9 Char"/>
    <w:link w:val="11"/>
    <w:autoRedefine/>
    <w:qFormat/>
    <w:locked/>
    <w:uiPriority w:val="99"/>
    <w:rPr>
      <w:rFonts w:ascii="Arial" w:hAnsi="Arial" w:eastAsia="黑体" w:cs="Arial"/>
      <w:kern w:val="2"/>
      <w:sz w:val="20"/>
      <w:szCs w:val="20"/>
    </w:rPr>
  </w:style>
  <w:style w:type="character" w:customStyle="1" w:styleId="77">
    <w:name w:val="文档结构图 Char2"/>
    <w:link w:val="15"/>
    <w:autoRedefine/>
    <w:qFormat/>
    <w:locked/>
    <w:uiPriority w:val="99"/>
    <w:rPr>
      <w:rFonts w:ascii="宋体" w:hAnsi="宋体" w:eastAsia="宋体" w:cs="宋体"/>
      <w:kern w:val="2"/>
      <w:sz w:val="18"/>
      <w:szCs w:val="18"/>
    </w:rPr>
  </w:style>
  <w:style w:type="character" w:customStyle="1" w:styleId="78">
    <w:name w:val="批注文字 Char1"/>
    <w:link w:val="17"/>
    <w:autoRedefine/>
    <w:qFormat/>
    <w:locked/>
    <w:uiPriority w:val="99"/>
    <w:rPr>
      <w:rFonts w:ascii="Tahoma" w:hAnsi="Tahoma" w:cs="Tahoma"/>
      <w:kern w:val="2"/>
      <w:sz w:val="24"/>
      <w:szCs w:val="24"/>
    </w:rPr>
  </w:style>
  <w:style w:type="character" w:customStyle="1" w:styleId="79">
    <w:name w:val="正文文本 3 Char1"/>
    <w:link w:val="18"/>
    <w:autoRedefine/>
    <w:qFormat/>
    <w:locked/>
    <w:uiPriority w:val="99"/>
    <w:rPr>
      <w:rFonts w:ascii="Tahoma" w:hAnsi="Tahoma" w:cs="Tahoma"/>
      <w:kern w:val="2"/>
      <w:sz w:val="16"/>
      <w:szCs w:val="16"/>
    </w:rPr>
  </w:style>
  <w:style w:type="character" w:customStyle="1" w:styleId="80">
    <w:name w:val="正文文本 Char"/>
    <w:link w:val="19"/>
    <w:autoRedefine/>
    <w:qFormat/>
    <w:locked/>
    <w:uiPriority w:val="99"/>
    <w:rPr>
      <w:rFonts w:ascii="Tahoma" w:hAnsi="Tahoma" w:cs="Tahoma"/>
      <w:kern w:val="2"/>
      <w:sz w:val="24"/>
      <w:szCs w:val="24"/>
    </w:rPr>
  </w:style>
  <w:style w:type="character" w:customStyle="1" w:styleId="81">
    <w:name w:val="正文文本缩进 Char2"/>
    <w:link w:val="20"/>
    <w:autoRedefine/>
    <w:qFormat/>
    <w:locked/>
    <w:uiPriority w:val="99"/>
    <w:rPr>
      <w:rFonts w:ascii="宋体" w:hAnsi="Courier New" w:eastAsia="宋体" w:cs="宋体"/>
      <w:spacing w:val="-4"/>
      <w:kern w:val="2"/>
      <w:sz w:val="20"/>
      <w:szCs w:val="20"/>
    </w:rPr>
  </w:style>
  <w:style w:type="character" w:customStyle="1" w:styleId="82">
    <w:name w:val="纯文本 Char3"/>
    <w:link w:val="25"/>
    <w:autoRedefine/>
    <w:qFormat/>
    <w:locked/>
    <w:uiPriority w:val="99"/>
    <w:rPr>
      <w:rFonts w:ascii="宋体" w:hAnsi="Courier New" w:eastAsia="宋体" w:cs="宋体"/>
      <w:kern w:val="2"/>
      <w:sz w:val="21"/>
      <w:szCs w:val="21"/>
    </w:rPr>
  </w:style>
  <w:style w:type="character" w:customStyle="1" w:styleId="83">
    <w:name w:val="日期 Char"/>
    <w:link w:val="27"/>
    <w:autoRedefine/>
    <w:qFormat/>
    <w:locked/>
    <w:uiPriority w:val="99"/>
    <w:rPr>
      <w:rFonts w:ascii="黑体" w:hAnsi="宋体" w:eastAsia="黑体" w:cs="黑体"/>
      <w:kern w:val="44"/>
      <w:position w:val="6"/>
      <w:sz w:val="20"/>
      <w:szCs w:val="20"/>
    </w:rPr>
  </w:style>
  <w:style w:type="character" w:customStyle="1" w:styleId="84">
    <w:name w:val="正文文本缩进 2 Char1"/>
    <w:link w:val="28"/>
    <w:autoRedefine/>
    <w:qFormat/>
    <w:locked/>
    <w:uiPriority w:val="99"/>
    <w:rPr>
      <w:rFonts w:ascii="Tahoma" w:hAnsi="Tahoma" w:cs="Tahoma"/>
      <w:kern w:val="2"/>
      <w:sz w:val="24"/>
      <w:szCs w:val="24"/>
    </w:rPr>
  </w:style>
  <w:style w:type="character" w:customStyle="1" w:styleId="85">
    <w:name w:val="尾注文本 Char"/>
    <w:link w:val="29"/>
    <w:autoRedefine/>
    <w:qFormat/>
    <w:locked/>
    <w:uiPriority w:val="99"/>
    <w:rPr>
      <w:kern w:val="2"/>
      <w:sz w:val="24"/>
      <w:szCs w:val="24"/>
    </w:rPr>
  </w:style>
  <w:style w:type="character" w:customStyle="1" w:styleId="86">
    <w:name w:val="批注框文本 Char"/>
    <w:link w:val="30"/>
    <w:autoRedefine/>
    <w:qFormat/>
    <w:locked/>
    <w:uiPriority w:val="99"/>
    <w:rPr>
      <w:rFonts w:ascii="Tahoma" w:hAnsi="Tahoma" w:cs="Tahoma"/>
      <w:kern w:val="2"/>
      <w:sz w:val="18"/>
      <w:szCs w:val="18"/>
    </w:rPr>
  </w:style>
  <w:style w:type="character" w:customStyle="1" w:styleId="87">
    <w:name w:val="页脚 Char1"/>
    <w:link w:val="31"/>
    <w:autoRedefine/>
    <w:qFormat/>
    <w:locked/>
    <w:uiPriority w:val="99"/>
    <w:rPr>
      <w:rFonts w:ascii="黑体" w:hAnsi="宋体" w:eastAsia="黑体" w:cs="黑体"/>
      <w:sz w:val="18"/>
      <w:szCs w:val="18"/>
    </w:rPr>
  </w:style>
  <w:style w:type="character" w:customStyle="1" w:styleId="88">
    <w:name w:val="页眉 Char"/>
    <w:link w:val="32"/>
    <w:autoRedefine/>
    <w:qFormat/>
    <w:locked/>
    <w:uiPriority w:val="0"/>
    <w:rPr>
      <w:rFonts w:ascii="Tahoma" w:hAnsi="Tahoma" w:cs="Tahoma"/>
      <w:kern w:val="2"/>
      <w:sz w:val="18"/>
      <w:szCs w:val="18"/>
    </w:rPr>
  </w:style>
  <w:style w:type="character" w:customStyle="1" w:styleId="89">
    <w:name w:val="副标题 Char"/>
    <w:link w:val="35"/>
    <w:autoRedefine/>
    <w:qFormat/>
    <w:locked/>
    <w:uiPriority w:val="99"/>
    <w:rPr>
      <w:rFonts w:ascii="Cambria" w:hAnsi="Cambria" w:cs="Cambria"/>
      <w:b/>
      <w:bCs/>
      <w:kern w:val="28"/>
      <w:sz w:val="32"/>
      <w:szCs w:val="32"/>
    </w:rPr>
  </w:style>
  <w:style w:type="character" w:customStyle="1" w:styleId="90">
    <w:name w:val="脚注文本 Char"/>
    <w:link w:val="37"/>
    <w:autoRedefine/>
    <w:qFormat/>
    <w:locked/>
    <w:uiPriority w:val="99"/>
    <w:rPr>
      <w:kern w:val="2"/>
      <w:sz w:val="18"/>
      <w:szCs w:val="18"/>
    </w:rPr>
  </w:style>
  <w:style w:type="character" w:customStyle="1" w:styleId="91">
    <w:name w:val="正文文本缩进 3 Char"/>
    <w:link w:val="39"/>
    <w:autoRedefine/>
    <w:qFormat/>
    <w:locked/>
    <w:uiPriority w:val="99"/>
    <w:rPr>
      <w:rFonts w:ascii="Tahoma" w:hAnsi="Tahoma" w:cs="Tahoma"/>
      <w:kern w:val="2"/>
      <w:sz w:val="16"/>
      <w:szCs w:val="16"/>
    </w:rPr>
  </w:style>
  <w:style w:type="character" w:customStyle="1" w:styleId="92">
    <w:name w:val="正文文本 2 Char"/>
    <w:link w:val="42"/>
    <w:autoRedefine/>
    <w:qFormat/>
    <w:locked/>
    <w:uiPriority w:val="99"/>
    <w:rPr>
      <w:rFonts w:ascii="Tahoma" w:hAnsi="Tahoma" w:cs="Tahoma"/>
      <w:spacing w:val="20"/>
      <w:kern w:val="2"/>
      <w:sz w:val="24"/>
      <w:szCs w:val="24"/>
    </w:rPr>
  </w:style>
  <w:style w:type="character" w:customStyle="1" w:styleId="93">
    <w:name w:val="HTML 预设格式 Char"/>
    <w:link w:val="43"/>
    <w:autoRedefine/>
    <w:qFormat/>
    <w:locked/>
    <w:uiPriority w:val="99"/>
    <w:rPr>
      <w:rFonts w:ascii="宋体" w:hAnsi="宋体" w:eastAsia="宋体" w:cs="宋体"/>
      <w:sz w:val="24"/>
      <w:szCs w:val="24"/>
    </w:rPr>
  </w:style>
  <w:style w:type="character" w:customStyle="1" w:styleId="94">
    <w:name w:val="标题 Char1"/>
    <w:link w:val="45"/>
    <w:autoRedefine/>
    <w:qFormat/>
    <w:locked/>
    <w:uiPriority w:val="99"/>
    <w:rPr>
      <w:rFonts w:ascii="Cambria" w:hAnsi="Cambria" w:cs="Cambria"/>
      <w:b/>
      <w:bCs/>
      <w:kern w:val="2"/>
      <w:sz w:val="32"/>
      <w:szCs w:val="32"/>
    </w:rPr>
  </w:style>
  <w:style w:type="character" w:customStyle="1" w:styleId="95">
    <w:name w:val="批注主题 Char1"/>
    <w:link w:val="46"/>
    <w:autoRedefine/>
    <w:qFormat/>
    <w:locked/>
    <w:uiPriority w:val="99"/>
    <w:rPr>
      <w:rFonts w:ascii="Tahoma" w:hAnsi="Tahoma" w:cs="Tahoma"/>
      <w:b/>
      <w:bCs/>
      <w:kern w:val="2"/>
      <w:sz w:val="24"/>
      <w:szCs w:val="24"/>
    </w:rPr>
  </w:style>
  <w:style w:type="character" w:customStyle="1" w:styleId="96">
    <w:name w:val="正文首行缩进 Char"/>
    <w:link w:val="47"/>
    <w:autoRedefine/>
    <w:qFormat/>
    <w:locked/>
    <w:uiPriority w:val="99"/>
    <w:rPr>
      <w:rFonts w:ascii="Tahoma" w:hAnsi="Tahoma" w:cs="Tahoma"/>
      <w:kern w:val="2"/>
      <w:sz w:val="24"/>
      <w:szCs w:val="24"/>
    </w:rPr>
  </w:style>
  <w:style w:type="character" w:customStyle="1" w:styleId="97">
    <w:name w:val="标题 Char"/>
    <w:autoRedefine/>
    <w:qFormat/>
    <w:uiPriority w:val="99"/>
    <w:rPr>
      <w:rFonts w:ascii="Tahoma" w:hAnsi="Tahoma" w:cs="Tahoma"/>
      <w:b/>
      <w:bCs/>
      <w:sz w:val="20"/>
      <w:szCs w:val="20"/>
      <w:lang w:val="en-US"/>
    </w:rPr>
  </w:style>
  <w:style w:type="character" w:customStyle="1" w:styleId="98">
    <w:name w:val="del1"/>
    <w:autoRedefine/>
    <w:qFormat/>
    <w:uiPriority w:val="99"/>
    <w:rPr>
      <w:vanish/>
      <w:color w:val="auto"/>
      <w:sz w:val="18"/>
      <w:szCs w:val="18"/>
      <w:u w:val="single"/>
    </w:rPr>
  </w:style>
  <w:style w:type="character" w:customStyle="1" w:styleId="99">
    <w:name w:val="正文文本缩进 Char"/>
    <w:autoRedefine/>
    <w:qFormat/>
    <w:uiPriority w:val="99"/>
    <w:rPr>
      <w:rFonts w:ascii="Tahoma" w:hAnsi="Tahoma" w:cs="Tahoma"/>
      <w:kern w:val="2"/>
      <w:sz w:val="24"/>
      <w:szCs w:val="24"/>
    </w:rPr>
  </w:style>
  <w:style w:type="character" w:customStyle="1" w:styleId="100">
    <w:name w:val="m_51"/>
    <w:autoRedefine/>
    <w:qFormat/>
    <w:uiPriority w:val="99"/>
  </w:style>
  <w:style w:type="character" w:customStyle="1" w:styleId="101">
    <w:name w:val="font141"/>
    <w:autoRedefine/>
    <w:qFormat/>
    <w:uiPriority w:val="99"/>
    <w:rPr>
      <w:rFonts w:ascii="Tahoma" w:hAnsi="Tahoma" w:cs="Tahoma"/>
      <w:sz w:val="24"/>
      <w:szCs w:val="24"/>
    </w:rPr>
  </w:style>
  <w:style w:type="character" w:customStyle="1" w:styleId="102">
    <w:name w:val="e"/>
    <w:autoRedefine/>
    <w:qFormat/>
    <w:uiPriority w:val="99"/>
    <w:rPr>
      <w:rFonts w:ascii="Tahoma" w:hAnsi="Tahoma" w:cs="Tahoma"/>
      <w:b/>
      <w:bCs/>
      <w:sz w:val="24"/>
      <w:szCs w:val="24"/>
    </w:rPr>
  </w:style>
  <w:style w:type="character" w:customStyle="1" w:styleId="103">
    <w:name w:val="aa1"/>
    <w:autoRedefine/>
    <w:qFormat/>
    <w:uiPriority w:val="99"/>
    <w:rPr>
      <w:rFonts w:ascii="Tahoma" w:hAnsi="Tahoma" w:cs="Tahoma"/>
      <w:b/>
      <w:bCs/>
      <w:sz w:val="24"/>
      <w:szCs w:val="24"/>
    </w:rPr>
  </w:style>
  <w:style w:type="character" w:customStyle="1" w:styleId="104">
    <w:name w:val="tx_news9"/>
    <w:autoRedefine/>
    <w:qFormat/>
    <w:uiPriority w:val="99"/>
    <w:rPr>
      <w:rFonts w:ascii="Tahoma" w:hAnsi="Tahoma" w:cs="Tahoma"/>
      <w:b/>
      <w:bCs/>
      <w:sz w:val="24"/>
      <w:szCs w:val="24"/>
    </w:rPr>
  </w:style>
  <w:style w:type="character" w:customStyle="1" w:styleId="105">
    <w:name w:val="del"/>
    <w:autoRedefine/>
    <w:qFormat/>
    <w:uiPriority w:val="99"/>
    <w:rPr>
      <w:sz w:val="24"/>
      <w:szCs w:val="24"/>
    </w:rPr>
  </w:style>
  <w:style w:type="character" w:customStyle="1" w:styleId="106">
    <w:name w:val="icon-read"/>
    <w:autoRedefine/>
    <w:qFormat/>
    <w:uiPriority w:val="99"/>
    <w:rPr>
      <w:sz w:val="24"/>
      <w:szCs w:val="24"/>
    </w:rPr>
  </w:style>
  <w:style w:type="character" w:customStyle="1" w:styleId="107">
    <w:name w:val="纯文本 Char1"/>
    <w:autoRedefine/>
    <w:qFormat/>
    <w:uiPriority w:val="99"/>
    <w:rPr>
      <w:rFonts w:ascii="宋体" w:hAnsi="Courier New" w:eastAsia="宋体" w:cs="宋体"/>
      <w:kern w:val="2"/>
      <w:sz w:val="21"/>
      <w:szCs w:val="21"/>
      <w:lang w:val="en-US" w:eastAsia="zh-CN"/>
    </w:rPr>
  </w:style>
  <w:style w:type="character" w:customStyle="1" w:styleId="108">
    <w:name w:val="icon-play2"/>
    <w:autoRedefine/>
    <w:qFormat/>
    <w:uiPriority w:val="99"/>
    <w:rPr>
      <w:sz w:val="24"/>
      <w:szCs w:val="24"/>
    </w:rPr>
  </w:style>
  <w:style w:type="character" w:customStyle="1" w:styleId="109">
    <w:name w:val="纯文本 Char2"/>
    <w:autoRedefine/>
    <w:qFormat/>
    <w:uiPriority w:val="99"/>
    <w:rPr>
      <w:rFonts w:ascii="宋体" w:hAnsi="Courier New" w:eastAsia="宋体" w:cs="宋体"/>
      <w:kern w:val="2"/>
      <w:sz w:val="24"/>
      <w:szCs w:val="24"/>
    </w:rPr>
  </w:style>
  <w:style w:type="character" w:customStyle="1" w:styleId="110">
    <w:name w:val="apple-style-span"/>
    <w:autoRedefine/>
    <w:qFormat/>
    <w:uiPriority w:val="99"/>
    <w:rPr>
      <w:sz w:val="24"/>
      <w:szCs w:val="24"/>
    </w:rPr>
  </w:style>
  <w:style w:type="character" w:customStyle="1" w:styleId="111">
    <w:name w:val="icon-doc"/>
    <w:autoRedefine/>
    <w:qFormat/>
    <w:uiPriority w:val="99"/>
    <w:rPr>
      <w:sz w:val="24"/>
      <w:szCs w:val="24"/>
    </w:rPr>
  </w:style>
  <w:style w:type="character" w:customStyle="1" w:styleId="112">
    <w:name w:val="font71"/>
    <w:autoRedefine/>
    <w:qFormat/>
    <w:uiPriority w:val="99"/>
    <w:rPr>
      <w:rFonts w:ascii="宋体" w:hAnsi="宋体" w:eastAsia="宋体" w:cs="宋体"/>
      <w:b/>
      <w:bCs/>
      <w:color w:val="000000"/>
      <w:sz w:val="22"/>
      <w:szCs w:val="22"/>
      <w:u w:val="none"/>
    </w:rPr>
  </w:style>
  <w:style w:type="character" w:customStyle="1" w:styleId="113">
    <w:name w:val="Plain Text Char"/>
    <w:autoRedefine/>
    <w:qFormat/>
    <w:locked/>
    <w:uiPriority w:val="99"/>
    <w:rPr>
      <w:rFonts w:ascii="宋体" w:hAnsi="Courier New" w:eastAsia="宋体" w:cs="宋体"/>
      <w:sz w:val="20"/>
      <w:szCs w:val="20"/>
    </w:rPr>
  </w:style>
  <w:style w:type="character" w:customStyle="1" w:styleId="114">
    <w:name w:val="尾注文本 Char1"/>
    <w:autoRedefine/>
    <w:semiHidden/>
    <w:qFormat/>
    <w:uiPriority w:val="99"/>
    <w:rPr>
      <w:rFonts w:ascii="Tahoma" w:hAnsi="Tahoma" w:cs="Tahoma"/>
      <w:kern w:val="2"/>
      <w:sz w:val="24"/>
      <w:szCs w:val="24"/>
    </w:rPr>
  </w:style>
  <w:style w:type="character" w:customStyle="1" w:styleId="115">
    <w:name w:val="arr"/>
    <w:autoRedefine/>
    <w:qFormat/>
    <w:uiPriority w:val="99"/>
    <w:rPr>
      <w:sz w:val="24"/>
      <w:szCs w:val="24"/>
    </w:rPr>
  </w:style>
  <w:style w:type="character" w:customStyle="1" w:styleId="116">
    <w:name w:val="正 文 1 Char Char Char Char Char Char"/>
    <w:autoRedefine/>
    <w:qFormat/>
    <w:uiPriority w:val="0"/>
    <w:rPr>
      <w:rFonts w:ascii="宋体" w:hAnsi="Times New Roman" w:eastAsia="宋体" w:cs="Times New Roman"/>
      <w:kern w:val="0"/>
      <w:szCs w:val="20"/>
    </w:rPr>
  </w:style>
  <w:style w:type="character" w:customStyle="1" w:styleId="117">
    <w:name w:val="m_491"/>
    <w:autoRedefine/>
    <w:qFormat/>
    <w:uiPriority w:val="99"/>
  </w:style>
  <w:style w:type="character" w:customStyle="1" w:styleId="118">
    <w:name w:val="普通文字 Char Char1"/>
    <w:autoRedefine/>
    <w:qFormat/>
    <w:uiPriority w:val="99"/>
    <w:rPr>
      <w:rFonts w:ascii="宋体" w:hAnsi="Courier New" w:eastAsia="宋体" w:cs="宋体"/>
      <w:kern w:val="2"/>
      <w:sz w:val="24"/>
      <w:szCs w:val="24"/>
      <w:lang w:val="en-US" w:eastAsia="zh-CN"/>
    </w:rPr>
  </w:style>
  <w:style w:type="character" w:customStyle="1" w:styleId="119">
    <w:name w:val="文档结构图 Char1"/>
    <w:autoRedefine/>
    <w:qFormat/>
    <w:uiPriority w:val="99"/>
    <w:rPr>
      <w:rFonts w:ascii="宋体" w:hAnsi="宋体" w:eastAsia="宋体" w:cs="宋体"/>
      <w:kern w:val="2"/>
      <w:sz w:val="18"/>
      <w:szCs w:val="18"/>
    </w:rPr>
  </w:style>
  <w:style w:type="character" w:customStyle="1" w:styleId="120">
    <w:name w:val="sep2"/>
    <w:autoRedefine/>
    <w:qFormat/>
    <w:uiPriority w:val="99"/>
    <w:rPr>
      <w:vanish/>
      <w:sz w:val="24"/>
      <w:szCs w:val="24"/>
    </w:rPr>
  </w:style>
  <w:style w:type="character" w:customStyle="1" w:styleId="121">
    <w:name w:val="legend"/>
    <w:autoRedefine/>
    <w:qFormat/>
    <w:uiPriority w:val="99"/>
    <w:rPr>
      <w:rFonts w:ascii="Arial" w:hAnsi="Arial" w:cs="Arial"/>
      <w:b/>
      <w:bCs/>
      <w:color w:val="auto"/>
      <w:sz w:val="21"/>
      <w:szCs w:val="21"/>
      <w:shd w:val="clear" w:color="auto" w:fill="FFFFFF"/>
    </w:rPr>
  </w:style>
  <w:style w:type="character" w:customStyle="1" w:styleId="122">
    <w:name w:val="副标题 Char1"/>
    <w:autoRedefine/>
    <w:qFormat/>
    <w:uiPriority w:val="99"/>
    <w:rPr>
      <w:rFonts w:ascii="Cambria" w:hAnsi="Cambria" w:cs="Cambria"/>
      <w:b/>
      <w:bCs/>
      <w:kern w:val="28"/>
      <w:sz w:val="32"/>
      <w:szCs w:val="32"/>
    </w:rPr>
  </w:style>
  <w:style w:type="character" w:customStyle="1" w:styleId="123">
    <w:name w:val="HTML 预设格式 Char2"/>
    <w:autoRedefine/>
    <w:qFormat/>
    <w:uiPriority w:val="99"/>
    <w:rPr>
      <w:rFonts w:ascii="Courier New" w:hAnsi="Courier New" w:cs="Courier New"/>
      <w:kern w:val="2"/>
      <w:sz w:val="20"/>
      <w:szCs w:val="20"/>
    </w:rPr>
  </w:style>
  <w:style w:type="character" w:customStyle="1" w:styleId="124">
    <w:name w:val="样式3 Char"/>
    <w:autoRedefine/>
    <w:qFormat/>
    <w:uiPriority w:val="0"/>
    <w:rPr>
      <w:rFonts w:eastAsia="宋体"/>
      <w:kern w:val="2"/>
      <w:sz w:val="24"/>
      <w:szCs w:val="24"/>
      <w:lang w:val="en-US" w:eastAsia="zh-CN" w:bidi="ar-SA"/>
    </w:rPr>
  </w:style>
  <w:style w:type="character" w:customStyle="1" w:styleId="125">
    <w:name w:val="Char Char11"/>
    <w:autoRedefine/>
    <w:qFormat/>
    <w:locked/>
    <w:uiPriority w:val="99"/>
    <w:rPr>
      <w:rFonts w:ascii="宋体" w:hAnsi="Courier New" w:eastAsia="宋体" w:cs="宋体"/>
      <w:kern w:val="2"/>
      <w:sz w:val="21"/>
      <w:szCs w:val="21"/>
      <w:lang w:val="en-US" w:eastAsia="zh-CN"/>
    </w:rPr>
  </w:style>
  <w:style w:type="character" w:customStyle="1" w:styleId="126">
    <w:name w:val="font181"/>
    <w:autoRedefine/>
    <w:qFormat/>
    <w:uiPriority w:val="99"/>
    <w:rPr>
      <w:rFonts w:ascii="Times New Roman" w:hAnsi="Times New Roman" w:cs="Times New Roman"/>
      <w:b/>
      <w:bCs/>
      <w:color w:val="000000"/>
      <w:sz w:val="22"/>
      <w:szCs w:val="22"/>
      <w:u w:val="none"/>
    </w:rPr>
  </w:style>
  <w:style w:type="character" w:customStyle="1" w:styleId="127">
    <w:name w:val="font01"/>
    <w:autoRedefine/>
    <w:qFormat/>
    <w:uiPriority w:val="0"/>
    <w:rPr>
      <w:rFonts w:ascii="宋体" w:hAnsi="宋体" w:eastAsia="宋体" w:cs="宋体"/>
      <w:color w:val="000000"/>
      <w:sz w:val="20"/>
      <w:szCs w:val="20"/>
      <w:u w:val="none"/>
    </w:rPr>
  </w:style>
  <w:style w:type="character" w:customStyle="1" w:styleId="128">
    <w:name w:val="icon-down"/>
    <w:autoRedefine/>
    <w:qFormat/>
    <w:uiPriority w:val="99"/>
    <w:rPr>
      <w:sz w:val="24"/>
      <w:szCs w:val="24"/>
    </w:rPr>
  </w:style>
  <w:style w:type="character" w:customStyle="1" w:styleId="129">
    <w:name w:val="m_171"/>
    <w:autoRedefine/>
    <w:qFormat/>
    <w:uiPriority w:val="99"/>
  </w:style>
  <w:style w:type="character" w:customStyle="1" w:styleId="130">
    <w:name w:val="icon-read1"/>
    <w:autoRedefine/>
    <w:qFormat/>
    <w:uiPriority w:val="99"/>
    <w:rPr>
      <w:sz w:val="24"/>
      <w:szCs w:val="24"/>
    </w:rPr>
  </w:style>
  <w:style w:type="character" w:customStyle="1" w:styleId="131">
    <w:name w:val="纯文本 字符1"/>
    <w:autoRedefine/>
    <w:qFormat/>
    <w:uiPriority w:val="99"/>
    <w:rPr>
      <w:rFonts w:ascii="等线" w:hAnsi="Courier New" w:eastAsia="等线" w:cs="等线"/>
      <w:kern w:val="2"/>
      <w:sz w:val="24"/>
      <w:szCs w:val="24"/>
    </w:rPr>
  </w:style>
  <w:style w:type="character" w:customStyle="1" w:styleId="132">
    <w:name w:val="Char Char13"/>
    <w:autoRedefine/>
    <w:qFormat/>
    <w:uiPriority w:val="99"/>
    <w:rPr>
      <w:rFonts w:eastAsia="黑体"/>
      <w:snapToGrid/>
      <w:sz w:val="18"/>
      <w:szCs w:val="18"/>
      <w:lang w:val="en-US" w:eastAsia="zh-CN"/>
    </w:rPr>
  </w:style>
  <w:style w:type="character" w:customStyle="1" w:styleId="133">
    <w:name w:val="r21"/>
    <w:autoRedefine/>
    <w:qFormat/>
    <w:uiPriority w:val="99"/>
    <w:rPr>
      <w:rFonts w:ascii="Tahoma" w:hAnsi="Tahoma" w:cs="Tahoma"/>
      <w:b/>
      <w:bCs/>
      <w:color w:val="auto"/>
      <w:sz w:val="18"/>
      <w:szCs w:val="18"/>
      <w:u w:val="none"/>
    </w:rPr>
  </w:style>
  <w:style w:type="character" w:customStyle="1" w:styleId="134">
    <w:name w:val="text"/>
    <w:basedOn w:val="51"/>
    <w:autoRedefine/>
    <w:qFormat/>
    <w:uiPriority w:val="99"/>
  </w:style>
  <w:style w:type="character" w:customStyle="1" w:styleId="135">
    <w:name w:val="H2 Char"/>
    <w:autoRedefine/>
    <w:qFormat/>
    <w:uiPriority w:val="0"/>
    <w:rPr>
      <w:rFonts w:ascii="Cambria" w:hAnsi="Cambria" w:eastAsia="宋体" w:cs="Times New Roman"/>
      <w:b/>
      <w:bCs/>
      <w:sz w:val="32"/>
      <w:szCs w:val="32"/>
    </w:rPr>
  </w:style>
  <w:style w:type="character" w:customStyle="1" w:styleId="136">
    <w:name w:val="font51"/>
    <w:autoRedefine/>
    <w:qFormat/>
    <w:uiPriority w:val="99"/>
    <w:rPr>
      <w:rFonts w:ascii="宋体" w:hAnsi="宋体" w:eastAsia="宋体" w:cs="宋体"/>
      <w:color w:val="000000"/>
      <w:sz w:val="20"/>
      <w:szCs w:val="20"/>
      <w:u w:val="none"/>
    </w:rPr>
  </w:style>
  <w:style w:type="character" w:customStyle="1" w:styleId="137">
    <w:name w:val="font21"/>
    <w:autoRedefine/>
    <w:qFormat/>
    <w:uiPriority w:val="99"/>
    <w:rPr>
      <w:rFonts w:ascii="Times New Roman" w:hAnsi="Times New Roman" w:cs="Times New Roman"/>
      <w:b/>
      <w:bCs/>
      <w:color w:val="000000"/>
      <w:sz w:val="22"/>
      <w:szCs w:val="22"/>
      <w:u w:val="single"/>
    </w:rPr>
  </w:style>
  <w:style w:type="character" w:customStyle="1" w:styleId="138">
    <w:name w:val="icon-read2"/>
    <w:autoRedefine/>
    <w:qFormat/>
    <w:uiPriority w:val="99"/>
    <w:rPr>
      <w:sz w:val="24"/>
      <w:szCs w:val="24"/>
    </w:rPr>
  </w:style>
  <w:style w:type="character" w:customStyle="1" w:styleId="139">
    <w:name w:val="icon-game"/>
    <w:autoRedefine/>
    <w:qFormat/>
    <w:uiPriority w:val="99"/>
    <w:rPr>
      <w:sz w:val="24"/>
      <w:szCs w:val="24"/>
    </w:rPr>
  </w:style>
  <w:style w:type="character" w:customStyle="1" w:styleId="140">
    <w:name w:val="font41"/>
    <w:autoRedefine/>
    <w:qFormat/>
    <w:uiPriority w:val="99"/>
    <w:rPr>
      <w:rFonts w:ascii="Arial" w:hAnsi="Arial" w:cs="Arial"/>
      <w:color w:val="000000"/>
      <w:sz w:val="20"/>
      <w:szCs w:val="20"/>
      <w:u w:val="none"/>
    </w:rPr>
  </w:style>
  <w:style w:type="character" w:customStyle="1" w:styleId="141">
    <w:name w:val="样式5 Char Char"/>
    <w:link w:val="142"/>
    <w:autoRedefine/>
    <w:qFormat/>
    <w:uiPriority w:val="0"/>
    <w:rPr>
      <w:rFonts w:ascii="华文细黑" w:hAnsi="华文细黑" w:eastAsia="华文细黑" w:cs="华文细黑"/>
      <w:kern w:val="2"/>
      <w:sz w:val="24"/>
      <w:szCs w:val="24"/>
      <w:lang w:val="en-US" w:eastAsia="zh-CN" w:bidi="ar-SA"/>
    </w:rPr>
  </w:style>
  <w:style w:type="paragraph" w:customStyle="1" w:styleId="142">
    <w:name w:val="样式5"/>
    <w:basedOn w:val="1"/>
    <w:link w:val="141"/>
    <w:autoRedefine/>
    <w:qFormat/>
    <w:uiPriority w:val="0"/>
    <w:pPr>
      <w:spacing w:before="120" w:line="360" w:lineRule="auto"/>
      <w:ind w:firstLine="425" w:firstLineChars="177"/>
    </w:pPr>
    <w:rPr>
      <w:rFonts w:ascii="华文细黑" w:hAnsi="华文细黑" w:eastAsia="华文细黑" w:cs="华文细黑"/>
      <w:sz w:val="24"/>
      <w:szCs w:val="24"/>
    </w:rPr>
  </w:style>
  <w:style w:type="character" w:customStyle="1" w:styleId="143">
    <w:name w:val="icon-play1"/>
    <w:autoRedefine/>
    <w:qFormat/>
    <w:uiPriority w:val="99"/>
    <w:rPr>
      <w:sz w:val="24"/>
      <w:szCs w:val="24"/>
    </w:rPr>
  </w:style>
  <w:style w:type="character" w:customStyle="1" w:styleId="144">
    <w:name w:val="sep"/>
    <w:autoRedefine/>
    <w:qFormat/>
    <w:uiPriority w:val="99"/>
    <w:rPr>
      <w:vanish/>
      <w:sz w:val="24"/>
      <w:szCs w:val="24"/>
    </w:rPr>
  </w:style>
  <w:style w:type="character" w:customStyle="1" w:styleId="145">
    <w:name w:val="z21"/>
    <w:autoRedefine/>
    <w:qFormat/>
    <w:uiPriority w:val="99"/>
    <w:rPr>
      <w:rFonts w:ascii="Tahoma" w:hAnsi="Tahoma" w:cs="Tahoma"/>
      <w:color w:val="000000"/>
      <w:sz w:val="18"/>
      <w:szCs w:val="18"/>
    </w:rPr>
  </w:style>
  <w:style w:type="character" w:customStyle="1" w:styleId="146">
    <w:name w:val="kleintab"/>
    <w:autoRedefine/>
    <w:qFormat/>
    <w:uiPriority w:val="99"/>
    <w:rPr>
      <w:rFonts w:ascii="Tahoma" w:hAnsi="Tahoma" w:cs="Tahoma"/>
      <w:b/>
      <w:bCs/>
      <w:sz w:val="24"/>
      <w:szCs w:val="24"/>
    </w:rPr>
  </w:style>
  <w:style w:type="character" w:customStyle="1" w:styleId="147">
    <w:name w:val="页脚 Char"/>
    <w:autoRedefine/>
    <w:qFormat/>
    <w:uiPriority w:val="0"/>
    <w:rPr>
      <w:rFonts w:eastAsia="黑体"/>
      <w:snapToGrid/>
      <w:kern w:val="2"/>
      <w:sz w:val="18"/>
      <w:szCs w:val="18"/>
    </w:rPr>
  </w:style>
  <w:style w:type="character" w:customStyle="1" w:styleId="148">
    <w:name w:val="font112"/>
    <w:autoRedefine/>
    <w:qFormat/>
    <w:uiPriority w:val="99"/>
    <w:rPr>
      <w:rFonts w:ascii="宋体" w:hAnsi="宋体" w:eastAsia="宋体" w:cs="宋体"/>
      <w:b/>
      <w:bCs/>
      <w:color w:val="000000"/>
      <w:sz w:val="22"/>
      <w:szCs w:val="22"/>
      <w:u w:val="none"/>
    </w:rPr>
  </w:style>
  <w:style w:type="character" w:customStyle="1" w:styleId="149">
    <w:name w:val="font11"/>
    <w:autoRedefine/>
    <w:qFormat/>
    <w:uiPriority w:val="99"/>
    <w:rPr>
      <w:rFonts w:ascii="宋体" w:hAnsi="宋体" w:eastAsia="宋体" w:cs="宋体"/>
      <w:color w:val="000000"/>
      <w:sz w:val="18"/>
      <w:szCs w:val="18"/>
      <w:u w:val="none"/>
    </w:rPr>
  </w:style>
  <w:style w:type="character" w:customStyle="1" w:styleId="150">
    <w:name w:val="icon-play"/>
    <w:autoRedefine/>
    <w:qFormat/>
    <w:uiPriority w:val="99"/>
    <w:rPr>
      <w:sz w:val="24"/>
      <w:szCs w:val="24"/>
    </w:rPr>
  </w:style>
  <w:style w:type="character" w:customStyle="1" w:styleId="151">
    <w:name w:val="Char Char"/>
    <w:autoRedefine/>
    <w:qFormat/>
    <w:locked/>
    <w:uiPriority w:val="99"/>
    <w:rPr>
      <w:rFonts w:ascii="宋体" w:hAnsi="Courier New" w:eastAsia="宋体" w:cs="宋体"/>
      <w:kern w:val="2"/>
      <w:sz w:val="24"/>
      <w:szCs w:val="24"/>
      <w:lang w:val="en-US" w:eastAsia="zh-CN"/>
    </w:rPr>
  </w:style>
  <w:style w:type="character" w:customStyle="1" w:styleId="152">
    <w:name w:val="批注文字 Char"/>
    <w:autoRedefine/>
    <w:qFormat/>
    <w:uiPriority w:val="0"/>
    <w:rPr>
      <w:rFonts w:ascii="Tahoma" w:hAnsi="Tahoma" w:cs="Tahoma"/>
      <w:kern w:val="2"/>
      <w:sz w:val="20"/>
      <w:szCs w:val="20"/>
    </w:rPr>
  </w:style>
  <w:style w:type="character" w:customStyle="1" w:styleId="153">
    <w:name w:val="del2"/>
    <w:autoRedefine/>
    <w:qFormat/>
    <w:uiPriority w:val="99"/>
    <w:rPr>
      <w:vanish/>
      <w:sz w:val="24"/>
      <w:szCs w:val="24"/>
    </w:rPr>
  </w:style>
  <w:style w:type="character" w:customStyle="1" w:styleId="154">
    <w:name w:val="HTML 预设格式 Char1"/>
    <w:autoRedefine/>
    <w:qFormat/>
    <w:uiPriority w:val="99"/>
    <w:rPr>
      <w:rFonts w:ascii="Courier New" w:hAnsi="Courier New" w:cs="Courier New"/>
      <w:kern w:val="2"/>
      <w:sz w:val="20"/>
      <w:szCs w:val="20"/>
    </w:rPr>
  </w:style>
  <w:style w:type="character" w:customStyle="1" w:styleId="155">
    <w:name w:val="a41"/>
    <w:autoRedefine/>
    <w:qFormat/>
    <w:uiPriority w:val="99"/>
    <w:rPr>
      <w:rFonts w:ascii="Tahoma" w:hAnsi="Tahoma" w:cs="Tahoma"/>
      <w:color w:val="auto"/>
      <w:sz w:val="26"/>
      <w:szCs w:val="26"/>
    </w:rPr>
  </w:style>
  <w:style w:type="character" w:customStyle="1" w:styleId="156">
    <w:name w:val="样式 标题 1合同标题卷标题H1h1Level 1 Topic HeadingH11H12H111H13H1... Char Char"/>
    <w:autoRedefine/>
    <w:qFormat/>
    <w:uiPriority w:val="99"/>
    <w:rPr>
      <w:rFonts w:ascii="宋体" w:hAnsi="宋体" w:eastAsia="宋体" w:cs="宋体"/>
      <w:b/>
      <w:bCs/>
      <w:kern w:val="44"/>
      <w:sz w:val="44"/>
      <w:szCs w:val="44"/>
      <w:lang w:val="en-US" w:eastAsia="zh-CN"/>
    </w:rPr>
  </w:style>
  <w:style w:type="character" w:customStyle="1" w:styleId="157">
    <w:name w:val="icon-down4"/>
    <w:autoRedefine/>
    <w:qFormat/>
    <w:uiPriority w:val="99"/>
    <w:rPr>
      <w:sz w:val="24"/>
      <w:szCs w:val="24"/>
    </w:rPr>
  </w:style>
  <w:style w:type="character" w:customStyle="1" w:styleId="158">
    <w:name w:val="fontstrikethrough"/>
    <w:autoRedefine/>
    <w:qFormat/>
    <w:uiPriority w:val="99"/>
    <w:rPr>
      <w:rFonts w:ascii="Tahoma" w:hAnsi="Tahoma" w:cs="Tahoma"/>
      <w:strike/>
      <w:sz w:val="20"/>
      <w:szCs w:val="20"/>
    </w:rPr>
  </w:style>
  <w:style w:type="character" w:customStyle="1" w:styleId="159">
    <w:name w:val="font31"/>
    <w:autoRedefine/>
    <w:qFormat/>
    <w:uiPriority w:val="99"/>
    <w:rPr>
      <w:rFonts w:ascii="Arial" w:hAnsi="Arial" w:cs="Arial"/>
      <w:color w:val="FF0000"/>
      <w:sz w:val="20"/>
      <w:szCs w:val="20"/>
      <w:u w:val="none"/>
    </w:rPr>
  </w:style>
  <w:style w:type="character" w:customStyle="1" w:styleId="160">
    <w:name w:val="纯文本 Char"/>
    <w:autoRedefine/>
    <w:qFormat/>
    <w:uiPriority w:val="99"/>
    <w:rPr>
      <w:rFonts w:ascii="宋体" w:hAnsi="Courier New" w:eastAsia="宋体" w:cs="宋体"/>
      <w:kern w:val="2"/>
      <w:sz w:val="24"/>
      <w:szCs w:val="24"/>
      <w:lang w:val="en-US" w:eastAsia="zh-CN"/>
    </w:rPr>
  </w:style>
  <w:style w:type="character" w:customStyle="1" w:styleId="161">
    <w:name w:val="文档结构图 Char"/>
    <w:autoRedefine/>
    <w:qFormat/>
    <w:uiPriority w:val="99"/>
    <w:rPr>
      <w:rFonts w:ascii="Microsoft YaHei UI" w:hAnsi="Tahoma" w:eastAsia="Microsoft YaHei UI" w:cs="Microsoft YaHei UI"/>
      <w:kern w:val="2"/>
      <w:sz w:val="18"/>
      <w:szCs w:val="18"/>
    </w:rPr>
  </w:style>
  <w:style w:type="character" w:customStyle="1" w:styleId="162">
    <w:name w:val="m_391"/>
    <w:autoRedefine/>
    <w:qFormat/>
    <w:uiPriority w:val="99"/>
  </w:style>
  <w:style w:type="character" w:customStyle="1" w:styleId="163">
    <w:name w:val="Table Text Char Char Char Char"/>
    <w:autoRedefine/>
    <w:qFormat/>
    <w:uiPriority w:val="99"/>
    <w:rPr>
      <w:rFonts w:ascii="Arial" w:hAnsi="Arial" w:eastAsia="宋体" w:cs="Arial"/>
      <w:kern w:val="2"/>
      <w:sz w:val="18"/>
      <w:szCs w:val="18"/>
      <w:lang w:val="en-US" w:eastAsia="zh-CN"/>
    </w:rPr>
  </w:style>
  <w:style w:type="character" w:customStyle="1" w:styleId="164">
    <w:name w:val="正文文本 3 Char"/>
    <w:autoRedefine/>
    <w:qFormat/>
    <w:uiPriority w:val="99"/>
    <w:rPr>
      <w:rFonts w:ascii="Tahoma" w:hAnsi="Tahoma" w:cs="Tahoma"/>
      <w:kern w:val="2"/>
      <w:sz w:val="16"/>
      <w:szCs w:val="16"/>
    </w:rPr>
  </w:style>
  <w:style w:type="character" w:customStyle="1" w:styleId="165">
    <w:name w:val="icon-doc1"/>
    <w:autoRedefine/>
    <w:qFormat/>
    <w:uiPriority w:val="99"/>
    <w:rPr>
      <w:sz w:val="24"/>
      <w:szCs w:val="24"/>
    </w:rPr>
  </w:style>
  <w:style w:type="character" w:customStyle="1" w:styleId="166">
    <w:name w:val="List Paragraph Char"/>
    <w:link w:val="167"/>
    <w:autoRedefine/>
    <w:qFormat/>
    <w:locked/>
    <w:uiPriority w:val="99"/>
    <w:rPr>
      <w:rFonts w:ascii="Calibri" w:hAnsi="Calibri" w:cs="Calibri"/>
      <w:kern w:val="2"/>
      <w:sz w:val="22"/>
      <w:szCs w:val="22"/>
    </w:rPr>
  </w:style>
  <w:style w:type="paragraph" w:customStyle="1" w:styleId="167">
    <w:name w:val="列出段落11"/>
    <w:basedOn w:val="1"/>
    <w:link w:val="166"/>
    <w:autoRedefine/>
    <w:qFormat/>
    <w:uiPriority w:val="99"/>
    <w:pPr>
      <w:ind w:firstLine="420" w:firstLineChars="200"/>
    </w:pPr>
    <w:rPr>
      <w:sz w:val="22"/>
      <w:szCs w:val="22"/>
    </w:rPr>
  </w:style>
  <w:style w:type="character" w:customStyle="1" w:styleId="168">
    <w:name w:val="样式 标题 1合同标题卷标题H1h1Level 1 Topic HeadingH11H12H111H13H1... Char"/>
    <w:autoRedefine/>
    <w:qFormat/>
    <w:uiPriority w:val="99"/>
    <w:rPr>
      <w:rFonts w:ascii="宋体" w:hAnsi="宋体" w:eastAsia="宋体" w:cs="宋体"/>
      <w:b/>
      <w:bCs/>
      <w:kern w:val="44"/>
      <w:sz w:val="44"/>
      <w:szCs w:val="44"/>
      <w:lang w:val="en-US" w:eastAsia="zh-CN"/>
    </w:rPr>
  </w:style>
  <w:style w:type="character" w:customStyle="1" w:styleId="169">
    <w:name w:val="正常正文 Char"/>
    <w:link w:val="170"/>
    <w:autoRedefine/>
    <w:qFormat/>
    <w:uiPriority w:val="0"/>
    <w:rPr>
      <w:rFonts w:ascii="宋体" w:hAnsi="宋体"/>
      <w:color w:val="000000"/>
      <w:sz w:val="28"/>
      <w:szCs w:val="28"/>
      <w:lang w:bidi="ar-SA"/>
    </w:rPr>
  </w:style>
  <w:style w:type="paragraph" w:customStyle="1" w:styleId="170">
    <w:name w:val="正常正文"/>
    <w:basedOn w:val="1"/>
    <w:link w:val="169"/>
    <w:autoRedefine/>
    <w:qFormat/>
    <w:uiPriority w:val="0"/>
    <w:pPr>
      <w:widowControl/>
      <w:spacing w:line="440" w:lineRule="exact"/>
      <w:ind w:left="181" w:firstLine="560" w:firstLineChars="200"/>
    </w:pPr>
    <w:rPr>
      <w:rFonts w:ascii="宋体" w:hAnsi="宋体"/>
      <w:color w:val="000000"/>
      <w:kern w:val="0"/>
      <w:sz w:val="28"/>
      <w:szCs w:val="28"/>
    </w:rPr>
  </w:style>
  <w:style w:type="character" w:customStyle="1" w:styleId="171">
    <w:name w:val="fontheight2"/>
    <w:autoRedefine/>
    <w:qFormat/>
    <w:uiPriority w:val="99"/>
    <w:rPr>
      <w:rFonts w:ascii="Tahoma" w:hAnsi="Tahoma" w:cs="Tahoma"/>
      <w:sz w:val="20"/>
      <w:szCs w:val="20"/>
      <w:u w:val="none"/>
    </w:rPr>
  </w:style>
  <w:style w:type="character" w:customStyle="1" w:styleId="172">
    <w:name w:val="批注主题 Char"/>
    <w:autoRedefine/>
    <w:qFormat/>
    <w:uiPriority w:val="99"/>
    <w:rPr>
      <w:kern w:val="2"/>
      <w:sz w:val="24"/>
      <w:szCs w:val="24"/>
    </w:rPr>
  </w:style>
  <w:style w:type="character" w:customStyle="1" w:styleId="173">
    <w:name w:val="icon-down2"/>
    <w:autoRedefine/>
    <w:qFormat/>
    <w:uiPriority w:val="99"/>
    <w:rPr>
      <w:sz w:val="24"/>
      <w:szCs w:val="24"/>
    </w:rPr>
  </w:style>
  <w:style w:type="character" w:customStyle="1" w:styleId="174">
    <w:name w:val="msobooktitle"/>
    <w:autoRedefine/>
    <w:qFormat/>
    <w:uiPriority w:val="99"/>
    <w:rPr>
      <w:rFonts w:ascii="Tahoma" w:hAnsi="Tahoma" w:cs="Tahoma"/>
      <w:b/>
      <w:bCs/>
      <w:smallCaps/>
      <w:spacing w:val="5"/>
      <w:sz w:val="20"/>
      <w:szCs w:val="20"/>
    </w:rPr>
  </w:style>
  <w:style w:type="character" w:customStyle="1" w:styleId="175">
    <w:name w:val="icon-down1"/>
    <w:autoRedefine/>
    <w:qFormat/>
    <w:uiPriority w:val="99"/>
    <w:rPr>
      <w:sz w:val="24"/>
      <w:szCs w:val="24"/>
    </w:rPr>
  </w:style>
  <w:style w:type="character" w:customStyle="1" w:styleId="176">
    <w:name w:val="无间隔 Char"/>
    <w:link w:val="177"/>
    <w:autoRedefine/>
    <w:qFormat/>
    <w:locked/>
    <w:uiPriority w:val="99"/>
    <w:rPr>
      <w:kern w:val="2"/>
      <w:sz w:val="21"/>
      <w:szCs w:val="21"/>
      <w:lang w:val="en-US" w:eastAsia="zh-CN" w:bidi="ar-SA"/>
    </w:rPr>
  </w:style>
  <w:style w:type="paragraph" w:customStyle="1" w:styleId="177">
    <w:name w:val="无间隔1"/>
    <w:link w:val="176"/>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78">
    <w:name w:val="m_01"/>
    <w:autoRedefine/>
    <w:qFormat/>
    <w:uiPriority w:val="99"/>
  </w:style>
  <w:style w:type="character" w:customStyle="1" w:styleId="179">
    <w:name w:val="apple-converted-space"/>
    <w:autoRedefine/>
    <w:qFormat/>
    <w:uiPriority w:val="99"/>
    <w:rPr>
      <w:sz w:val="24"/>
      <w:szCs w:val="24"/>
    </w:rPr>
  </w:style>
  <w:style w:type="character" w:customStyle="1" w:styleId="180">
    <w:name w:val="正文文本缩进 字符1"/>
    <w:autoRedefine/>
    <w:qFormat/>
    <w:uiPriority w:val="99"/>
    <w:rPr>
      <w:rFonts w:ascii="Tahoma" w:hAnsi="Tahoma" w:cs="Tahoma"/>
      <w:kern w:val="2"/>
      <w:sz w:val="24"/>
      <w:szCs w:val="24"/>
    </w:rPr>
  </w:style>
  <w:style w:type="character" w:customStyle="1" w:styleId="181">
    <w:name w:val="页脚 字符1"/>
    <w:autoRedefine/>
    <w:qFormat/>
    <w:uiPriority w:val="99"/>
    <w:rPr>
      <w:rFonts w:ascii="Tahoma" w:hAnsi="Tahoma" w:cs="Tahoma"/>
      <w:kern w:val="2"/>
      <w:sz w:val="18"/>
      <w:szCs w:val="18"/>
    </w:rPr>
  </w:style>
  <w:style w:type="character" w:customStyle="1" w:styleId="182">
    <w:name w:val="icon-game1"/>
    <w:autoRedefine/>
    <w:qFormat/>
    <w:uiPriority w:val="99"/>
    <w:rPr>
      <w:sz w:val="24"/>
      <w:szCs w:val="24"/>
    </w:rPr>
  </w:style>
  <w:style w:type="character" w:customStyle="1" w:styleId="183">
    <w:name w:val="answer-title10"/>
    <w:basedOn w:val="51"/>
    <w:autoRedefine/>
    <w:qFormat/>
    <w:uiPriority w:val="99"/>
  </w:style>
  <w:style w:type="character" w:customStyle="1" w:styleId="184">
    <w:name w:val="页码1"/>
    <w:autoRedefine/>
    <w:qFormat/>
    <w:uiPriority w:val="99"/>
    <w:rPr>
      <w:rFonts w:ascii="Times New Roman" w:hAnsi="Tahoma" w:cs="Times New Roman"/>
      <w:b/>
      <w:bCs/>
      <w:sz w:val="24"/>
      <w:szCs w:val="24"/>
    </w:rPr>
  </w:style>
  <w:style w:type="character" w:customStyle="1" w:styleId="185">
    <w:name w:val="Char Char2"/>
    <w:autoRedefine/>
    <w:qFormat/>
    <w:uiPriority w:val="99"/>
    <w:rPr>
      <w:rFonts w:ascii="宋体" w:hAnsi="Courier New" w:eastAsia="宋体" w:cs="宋体"/>
      <w:kern w:val="2"/>
      <w:sz w:val="24"/>
      <w:szCs w:val="24"/>
      <w:lang w:val="en-US" w:eastAsia="zh-CN"/>
    </w:rPr>
  </w:style>
  <w:style w:type="character" w:customStyle="1" w:styleId="186">
    <w:name w:val="xl29 Char Char"/>
    <w:link w:val="187"/>
    <w:autoRedefine/>
    <w:qFormat/>
    <w:locked/>
    <w:uiPriority w:val="99"/>
    <w:rPr>
      <w:rFonts w:ascii="Arial Unicode MS" w:hAnsi="Arial Unicode MS" w:cs="Arial Unicode MS"/>
      <w:sz w:val="24"/>
      <w:szCs w:val="24"/>
    </w:rPr>
  </w:style>
  <w:style w:type="paragraph" w:customStyle="1" w:styleId="187">
    <w:name w:val="xl29"/>
    <w:basedOn w:val="1"/>
    <w:link w:val="186"/>
    <w:autoRedefine/>
    <w:qFormat/>
    <w:uiPriority w:val="99"/>
    <w:pPr>
      <w:widowControl/>
      <w:spacing w:before="100" w:beforeAutospacing="1" w:after="100" w:afterAutospacing="1"/>
      <w:jc w:val="center"/>
    </w:pPr>
    <w:rPr>
      <w:rFonts w:ascii="Arial Unicode MS" w:hAnsi="Arial Unicode MS"/>
      <w:kern w:val="0"/>
      <w:sz w:val="24"/>
      <w:szCs w:val="24"/>
    </w:rPr>
  </w:style>
  <w:style w:type="character" w:customStyle="1" w:styleId="188">
    <w:name w:val="layui-laypage-curr"/>
    <w:basedOn w:val="51"/>
    <w:autoRedefine/>
    <w:qFormat/>
    <w:uiPriority w:val="0"/>
  </w:style>
  <w:style w:type="character" w:customStyle="1" w:styleId="189">
    <w:name w:val="正文文本缩进 2 Char"/>
    <w:autoRedefine/>
    <w:qFormat/>
    <w:uiPriority w:val="99"/>
    <w:rPr>
      <w:rFonts w:ascii="Tahoma" w:hAnsi="Tahoma" w:cs="Tahoma"/>
      <w:kern w:val="2"/>
      <w:sz w:val="20"/>
      <w:szCs w:val="20"/>
    </w:rPr>
  </w:style>
  <w:style w:type="character" w:customStyle="1" w:styleId="190">
    <w:name w:val="en"/>
    <w:autoRedefine/>
    <w:qFormat/>
    <w:uiPriority w:val="99"/>
    <w:rPr>
      <w:rFonts w:ascii="Tahoma" w:hAnsi="Tahoma" w:cs="Tahoma"/>
      <w:b/>
      <w:bCs/>
      <w:sz w:val="24"/>
      <w:szCs w:val="24"/>
    </w:rPr>
  </w:style>
  <w:style w:type="character" w:customStyle="1" w:styleId="191">
    <w:name w:val="md1"/>
    <w:autoRedefine/>
    <w:qFormat/>
    <w:uiPriority w:val="99"/>
    <w:rPr>
      <w:rFonts w:ascii="Tahoma" w:hAnsi="Tahoma" w:cs="Tahoma"/>
      <w:sz w:val="21"/>
      <w:szCs w:val="21"/>
    </w:rPr>
  </w:style>
  <w:style w:type="character" w:customStyle="1" w:styleId="192">
    <w:name w:val="Char Char1"/>
    <w:link w:val="193"/>
    <w:autoRedefine/>
    <w:qFormat/>
    <w:locked/>
    <w:uiPriority w:val="99"/>
    <w:rPr>
      <w:rFonts w:ascii="Verdana" w:hAnsi="Verdana" w:cs="Verdana"/>
      <w:kern w:val="0"/>
      <w:sz w:val="20"/>
      <w:szCs w:val="20"/>
      <w:lang w:eastAsia="en-US"/>
    </w:rPr>
  </w:style>
  <w:style w:type="paragraph" w:customStyle="1" w:styleId="193">
    <w:name w:val="Char"/>
    <w:basedOn w:val="1"/>
    <w:link w:val="192"/>
    <w:autoRedefine/>
    <w:qFormat/>
    <w:uiPriority w:val="99"/>
    <w:pPr>
      <w:widowControl/>
      <w:spacing w:line="400" w:lineRule="exact"/>
      <w:jc w:val="center"/>
    </w:pPr>
    <w:rPr>
      <w:rFonts w:ascii="Verdana" w:hAnsi="Verdana"/>
      <w:kern w:val="0"/>
      <w:sz w:val="20"/>
      <w:szCs w:val="20"/>
      <w:lang w:eastAsia="en-US"/>
    </w:rPr>
  </w:style>
  <w:style w:type="character" w:customStyle="1" w:styleId="194">
    <w:name w:val="批注文字 字符1"/>
    <w:autoRedefine/>
    <w:qFormat/>
    <w:uiPriority w:val="99"/>
    <w:rPr>
      <w:rFonts w:ascii="Tahoma" w:hAnsi="Tahoma" w:cs="Tahoma"/>
      <w:kern w:val="2"/>
      <w:sz w:val="24"/>
      <w:szCs w:val="24"/>
    </w:rPr>
  </w:style>
  <w:style w:type="character" w:customStyle="1" w:styleId="195">
    <w:name w:val="标题 41"/>
    <w:basedOn w:val="51"/>
    <w:autoRedefine/>
    <w:qFormat/>
    <w:uiPriority w:val="99"/>
  </w:style>
  <w:style w:type="character" w:customStyle="1" w:styleId="196">
    <w:name w:val="medium_text1"/>
    <w:autoRedefine/>
    <w:qFormat/>
    <w:uiPriority w:val="99"/>
    <w:rPr>
      <w:rFonts w:ascii="Times New Roman" w:hAnsi="Times New Roman" w:cs="Times New Roman"/>
      <w:sz w:val="24"/>
      <w:szCs w:val="24"/>
    </w:rPr>
  </w:style>
  <w:style w:type="character" w:customStyle="1" w:styleId="197">
    <w:name w:val="脚注文本 Char1"/>
    <w:autoRedefine/>
    <w:semiHidden/>
    <w:qFormat/>
    <w:uiPriority w:val="99"/>
    <w:rPr>
      <w:rFonts w:ascii="Tahoma" w:hAnsi="Tahoma" w:cs="Tahoma"/>
      <w:kern w:val="2"/>
      <w:sz w:val="18"/>
      <w:szCs w:val="18"/>
    </w:rPr>
  </w:style>
  <w:style w:type="character" w:customStyle="1" w:styleId="198">
    <w:name w:val="fontborder"/>
    <w:autoRedefine/>
    <w:qFormat/>
    <w:uiPriority w:val="99"/>
    <w:rPr>
      <w:rFonts w:ascii="Tahoma" w:hAnsi="Tahoma" w:cs="Tahoma"/>
      <w:sz w:val="20"/>
      <w:szCs w:val="20"/>
      <w:bdr w:val="single" w:color="000000" w:sz="6" w:space="0"/>
    </w:rPr>
  </w:style>
  <w:style w:type="character" w:customStyle="1" w:styleId="199">
    <w:name w:val="c_title1"/>
    <w:autoRedefine/>
    <w:qFormat/>
    <w:uiPriority w:val="99"/>
    <w:rPr>
      <w:rFonts w:ascii="黑体" w:hAnsi="Tahoma" w:eastAsia="黑体" w:cs="黑体"/>
      <w:b/>
      <w:bCs/>
      <w:color w:val="auto"/>
      <w:sz w:val="30"/>
      <w:szCs w:val="30"/>
      <w:u w:val="none"/>
    </w:rPr>
  </w:style>
  <w:style w:type="character" w:customStyle="1" w:styleId="200">
    <w:name w:val="font132"/>
    <w:basedOn w:val="51"/>
    <w:autoRedefine/>
    <w:qFormat/>
    <w:uiPriority w:val="0"/>
    <w:rPr>
      <w:rFonts w:hint="eastAsia" w:ascii="宋体" w:hAnsi="宋体" w:eastAsia="宋体" w:cs="宋体"/>
      <w:color w:val="000000"/>
      <w:sz w:val="20"/>
      <w:szCs w:val="20"/>
      <w:u w:val="none"/>
    </w:rPr>
  </w:style>
  <w:style w:type="character" w:customStyle="1" w:styleId="201">
    <w:name w:val="font14zd"/>
    <w:autoRedefine/>
    <w:qFormat/>
    <w:uiPriority w:val="99"/>
  </w:style>
  <w:style w:type="character" w:customStyle="1" w:styleId="202">
    <w:name w:val="num10"/>
    <w:autoRedefine/>
    <w:qFormat/>
    <w:uiPriority w:val="99"/>
    <w:rPr>
      <w:rFonts w:ascii="Tahoma" w:hAnsi="Tahoma" w:cs="Tahoma"/>
      <w:b/>
      <w:bCs/>
      <w:color w:val="auto"/>
      <w:sz w:val="20"/>
      <w:szCs w:val="20"/>
    </w:rPr>
  </w:style>
  <w:style w:type="character" w:customStyle="1" w:styleId="203">
    <w:name w:val="正文文本缩进 Char1"/>
    <w:autoRedefine/>
    <w:qFormat/>
    <w:uiPriority w:val="99"/>
    <w:rPr>
      <w:rFonts w:ascii="宋体" w:hAnsi="Courier New" w:eastAsia="宋体" w:cs="宋体"/>
      <w:spacing w:val="-4"/>
      <w:kern w:val="2"/>
      <w:sz w:val="20"/>
      <w:szCs w:val="20"/>
    </w:rPr>
  </w:style>
  <w:style w:type="character" w:customStyle="1" w:styleId="204">
    <w:name w:val="标题 3 Char Char"/>
    <w:autoRedefine/>
    <w:qFormat/>
    <w:uiPriority w:val="0"/>
    <w:rPr>
      <w:rFonts w:ascii="Arial" w:hAnsi="宋体" w:eastAsia="宋体"/>
      <w:b/>
      <w:kern w:val="44"/>
      <w:sz w:val="24"/>
      <w:szCs w:val="24"/>
      <w:lang w:val="en-US" w:eastAsia="zh-CN" w:bidi="ar-SA"/>
    </w:rPr>
  </w:style>
  <w:style w:type="character" w:customStyle="1" w:styleId="205">
    <w:name w:val="num"/>
    <w:autoRedefine/>
    <w:qFormat/>
    <w:uiPriority w:val="99"/>
    <w:rPr>
      <w:rFonts w:ascii="Tahoma" w:hAnsi="Tahoma" w:cs="Tahoma"/>
      <w:b/>
      <w:bCs/>
      <w:color w:val="auto"/>
      <w:sz w:val="20"/>
      <w:szCs w:val="20"/>
    </w:rPr>
  </w:style>
  <w:style w:type="character" w:customStyle="1" w:styleId="206">
    <w:name w:val="news1"/>
    <w:autoRedefine/>
    <w:qFormat/>
    <w:uiPriority w:val="99"/>
    <w:rPr>
      <w:rFonts w:ascii="Tahoma" w:hAnsi="Tahoma" w:cs="Tahoma"/>
      <w:b/>
      <w:bCs/>
      <w:sz w:val="24"/>
      <w:szCs w:val="24"/>
    </w:rPr>
  </w:style>
  <w:style w:type="character" w:customStyle="1" w:styleId="207">
    <w:name w:val="icon-down3"/>
    <w:autoRedefine/>
    <w:qFormat/>
    <w:uiPriority w:val="99"/>
    <w:rPr>
      <w:sz w:val="24"/>
      <w:szCs w:val="24"/>
    </w:rPr>
  </w:style>
  <w:style w:type="character" w:customStyle="1" w:styleId="208">
    <w:name w:val="H5 Char"/>
    <w:autoRedefine/>
    <w:qFormat/>
    <w:uiPriority w:val="99"/>
    <w:rPr>
      <w:rFonts w:ascii="Tahoma" w:hAnsi="Tahoma" w:cs="Tahoma"/>
      <w:sz w:val="20"/>
      <w:szCs w:val="20"/>
    </w:rPr>
  </w:style>
  <w:style w:type="character" w:customStyle="1" w:styleId="209">
    <w:name w:val="Char Char12"/>
    <w:autoRedefine/>
    <w:qFormat/>
    <w:uiPriority w:val="99"/>
    <w:rPr>
      <w:rFonts w:ascii="宋体" w:hAnsi="Courier New" w:cs="宋体"/>
      <w:spacing w:val="-4"/>
      <w:kern w:val="2"/>
      <w:sz w:val="18"/>
      <w:szCs w:val="18"/>
    </w:rPr>
  </w:style>
  <w:style w:type="character" w:customStyle="1" w:styleId="210">
    <w:name w:val="样式 标题 4 Char Char"/>
    <w:link w:val="211"/>
    <w:autoRedefine/>
    <w:qFormat/>
    <w:uiPriority w:val="0"/>
    <w:rPr>
      <w:bCs/>
      <w:kern w:val="2"/>
      <w:sz w:val="24"/>
      <w:szCs w:val="24"/>
      <w:lang w:bidi="ar-SA"/>
    </w:rPr>
  </w:style>
  <w:style w:type="paragraph" w:customStyle="1" w:styleId="211">
    <w:name w:val="样式 标题 4"/>
    <w:basedOn w:val="1"/>
    <w:next w:val="1"/>
    <w:link w:val="210"/>
    <w:autoRedefine/>
    <w:qFormat/>
    <w:uiPriority w:val="0"/>
    <w:pPr>
      <w:tabs>
        <w:tab w:val="left" w:pos="1440"/>
      </w:tabs>
      <w:adjustRightInd w:val="0"/>
      <w:snapToGrid w:val="0"/>
      <w:spacing w:line="360" w:lineRule="auto"/>
    </w:pPr>
    <w:rPr>
      <w:bCs/>
      <w:sz w:val="24"/>
      <w:szCs w:val="24"/>
    </w:rPr>
  </w:style>
  <w:style w:type="character" w:customStyle="1" w:styleId="212">
    <w:name w:val="m_461"/>
    <w:autoRedefine/>
    <w:qFormat/>
    <w:uiPriority w:val="99"/>
  </w:style>
  <w:style w:type="character" w:customStyle="1" w:styleId="213">
    <w:name w:val="text1"/>
    <w:autoRedefine/>
    <w:qFormat/>
    <w:uiPriority w:val="99"/>
    <w:rPr>
      <w:rFonts w:ascii="Tahoma" w:hAnsi="Tahoma" w:cs="Tahoma"/>
      <w:color w:val="000000"/>
      <w:sz w:val="24"/>
      <w:szCs w:val="24"/>
    </w:rPr>
  </w:style>
  <w:style w:type="character" w:customStyle="1" w:styleId="214">
    <w:name w:val="release-day"/>
    <w:autoRedefine/>
    <w:qFormat/>
    <w:uiPriority w:val="99"/>
    <w:rPr>
      <w:rFonts w:ascii="Tahoma" w:hAnsi="Tahoma" w:cs="Tahoma"/>
      <w:sz w:val="20"/>
      <w:szCs w:val="20"/>
      <w:bdr w:val="single" w:color="auto" w:sz="6" w:space="0"/>
      <w:shd w:val="clear" w:color="auto" w:fill="auto"/>
    </w:rPr>
  </w:style>
  <w:style w:type="character" w:customStyle="1" w:styleId="215">
    <w:name w:val="answer-title12"/>
    <w:basedOn w:val="51"/>
    <w:autoRedefine/>
    <w:qFormat/>
    <w:uiPriority w:val="99"/>
  </w:style>
  <w:style w:type="paragraph" w:customStyle="1" w:styleId="216">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17">
    <w:name w:val="列出段落1"/>
    <w:basedOn w:val="1"/>
    <w:autoRedefine/>
    <w:qFormat/>
    <w:uiPriority w:val="99"/>
    <w:pPr>
      <w:ind w:firstLine="420" w:firstLineChars="200"/>
    </w:pPr>
    <w:rPr>
      <w:rFonts w:ascii="Calibri" w:hAnsi="Calibri" w:cs="Calibri"/>
    </w:rPr>
  </w:style>
  <w:style w:type="paragraph" w:customStyle="1" w:styleId="218">
    <w:name w:val="_Style 37"/>
    <w:basedOn w:val="1"/>
    <w:autoRedefine/>
    <w:qFormat/>
    <w:uiPriority w:val="99"/>
    <w:rPr>
      <w:sz w:val="24"/>
      <w:szCs w:val="24"/>
    </w:rPr>
  </w:style>
  <w:style w:type="paragraph" w:customStyle="1" w:styleId="219">
    <w:name w:val="Char Char Char Char"/>
    <w:basedOn w:val="1"/>
    <w:autoRedefine/>
    <w:qFormat/>
    <w:uiPriority w:val="99"/>
  </w:style>
  <w:style w:type="paragraph" w:customStyle="1" w:styleId="220">
    <w:name w:val="xl70"/>
    <w:basedOn w:val="1"/>
    <w:autoRedefine/>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21">
    <w:name w:val="默认段落字体 Para Char Char Char Char Char Char Char"/>
    <w:basedOn w:val="15"/>
    <w:autoRedefine/>
    <w:qFormat/>
    <w:uiPriority w:val="99"/>
    <w:pPr>
      <w:adjustRightInd w:val="0"/>
      <w:spacing w:line="436" w:lineRule="exact"/>
      <w:ind w:left="357"/>
      <w:jc w:val="left"/>
      <w:outlineLvl w:val="3"/>
    </w:pPr>
    <w:rPr>
      <w:rFonts w:ascii="Tahoma" w:hAnsi="Tahoma" w:cs="Tahoma"/>
      <w:b/>
      <w:bCs/>
      <w:sz w:val="24"/>
      <w:szCs w:val="24"/>
    </w:rPr>
  </w:style>
  <w:style w:type="paragraph" w:customStyle="1" w:styleId="222">
    <w:name w:val="地址内"/>
    <w:basedOn w:val="1"/>
    <w:autoRedefine/>
    <w:qFormat/>
    <w:uiPriority w:val="99"/>
  </w:style>
  <w:style w:type="paragraph" w:customStyle="1" w:styleId="223">
    <w:name w:val="正文2"/>
    <w:basedOn w:val="1"/>
    <w:autoRedefine/>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224">
    <w:name w:val="xl6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25">
    <w:name w:val="xl7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6">
    <w:name w:val="Char Char Char Char Char Char Char Char Char Char Char Char1 Char1"/>
    <w:basedOn w:val="15"/>
    <w:autoRedefine/>
    <w:qFormat/>
    <w:uiPriority w:val="99"/>
    <w:rPr>
      <w:rFonts w:ascii="Tahoma" w:hAnsi="Tahoma" w:cs="Tahoma"/>
      <w:sz w:val="24"/>
      <w:szCs w:val="24"/>
    </w:rPr>
  </w:style>
  <w:style w:type="paragraph" w:customStyle="1" w:styleId="227">
    <w:name w:val="Char11"/>
    <w:basedOn w:val="1"/>
    <w:autoRedefine/>
    <w:qFormat/>
    <w:uiPriority w:val="99"/>
    <w:rPr>
      <w:rFonts w:ascii="Tahoma" w:hAnsi="Tahoma" w:cs="Tahoma"/>
      <w:sz w:val="24"/>
      <w:szCs w:val="24"/>
    </w:rPr>
  </w:style>
  <w:style w:type="paragraph" w:customStyle="1" w:styleId="228">
    <w:name w:val="big"/>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2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30">
    <w:name w:val="Char3"/>
    <w:basedOn w:val="1"/>
    <w:autoRedefine/>
    <w:qFormat/>
    <w:uiPriority w:val="99"/>
  </w:style>
  <w:style w:type="paragraph" w:customStyle="1" w:styleId="231">
    <w:name w:val="方案正文"/>
    <w:basedOn w:val="1"/>
    <w:autoRedefine/>
    <w:qFormat/>
    <w:uiPriority w:val="99"/>
    <w:pPr>
      <w:spacing w:before="120" w:line="360" w:lineRule="auto"/>
      <w:ind w:firstLine="425" w:firstLineChars="177"/>
    </w:pPr>
    <w:rPr>
      <w:rFonts w:ascii="华文细黑" w:hAnsi="华文细黑" w:eastAsia="华文细黑" w:cs="华文细黑"/>
      <w:sz w:val="24"/>
      <w:szCs w:val="24"/>
    </w:rPr>
  </w:style>
  <w:style w:type="paragraph" w:customStyle="1" w:styleId="232">
    <w:name w:val="Normal Char"/>
    <w:basedOn w:val="1"/>
    <w:autoRedefine/>
    <w:qFormat/>
    <w:uiPriority w:val="99"/>
    <w:pPr>
      <w:suppressAutoHyphens/>
      <w:autoSpaceDE w:val="0"/>
      <w:jc w:val="left"/>
    </w:pPr>
    <w:rPr>
      <w:rFonts w:ascii="Thorndale" w:hAnsi="Thorndale" w:cs="Thorndale"/>
      <w:color w:val="000000"/>
      <w:kern w:val="0"/>
      <w:sz w:val="20"/>
      <w:szCs w:val="20"/>
      <w:lang w:val="hu-HU"/>
    </w:rPr>
  </w:style>
  <w:style w:type="paragraph" w:customStyle="1" w:styleId="233">
    <w:name w:val="文章正文"/>
    <w:basedOn w:val="1"/>
    <w:autoRedefine/>
    <w:qFormat/>
    <w:uiPriority w:val="99"/>
    <w:pPr>
      <w:spacing w:line="360" w:lineRule="auto"/>
      <w:ind w:firstLine="420"/>
    </w:pPr>
    <w:rPr>
      <w:sz w:val="24"/>
      <w:szCs w:val="24"/>
    </w:rPr>
  </w:style>
  <w:style w:type="paragraph" w:customStyle="1" w:styleId="234">
    <w:name w:val="_Style 231"/>
    <w:basedOn w:val="2"/>
    <w:next w:val="1"/>
    <w:autoRedefine/>
    <w:qFormat/>
    <w:uiPriority w:val="0"/>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235">
    <w:name w:val="正文－恩普"/>
    <w:basedOn w:val="6"/>
    <w:autoRedefine/>
    <w:qFormat/>
    <w:uiPriority w:val="99"/>
    <w:pPr>
      <w:widowControl/>
      <w:spacing w:line="360" w:lineRule="auto"/>
      <w:ind w:firstLine="480" w:firstLineChars="200"/>
      <w:jc w:val="left"/>
    </w:pPr>
    <w:rPr>
      <w:kern w:val="0"/>
    </w:rPr>
  </w:style>
  <w:style w:type="paragraph" w:customStyle="1" w:styleId="236">
    <w:name w:val="中文正文"/>
    <w:basedOn w:val="1"/>
    <w:autoRedefine/>
    <w:qFormat/>
    <w:uiPriority w:val="0"/>
    <w:pPr>
      <w:adjustRightInd w:val="0"/>
      <w:snapToGrid w:val="0"/>
      <w:spacing w:before="120" w:line="360" w:lineRule="auto"/>
      <w:ind w:left="1134"/>
      <w:jc w:val="left"/>
    </w:pPr>
    <w:rPr>
      <w:sz w:val="24"/>
      <w:szCs w:val="24"/>
    </w:rPr>
  </w:style>
  <w:style w:type="paragraph" w:customStyle="1" w:styleId="237">
    <w:name w:val="Titel2"/>
    <w:basedOn w:val="1"/>
    <w:autoRedefine/>
    <w:qFormat/>
    <w:uiPriority w:val="0"/>
    <w:pPr>
      <w:widowControl/>
      <w:jc w:val="center"/>
    </w:pPr>
    <w:rPr>
      <w:rFonts w:ascii="Arial" w:hAnsi="Arial" w:cs="Arial"/>
      <w:snapToGrid w:val="0"/>
      <w:kern w:val="0"/>
      <w:sz w:val="44"/>
      <w:szCs w:val="22"/>
    </w:rPr>
  </w:style>
  <w:style w:type="paragraph" w:customStyle="1" w:styleId="238">
    <w:name w:val="Table Paragraph"/>
    <w:basedOn w:val="1"/>
    <w:autoRedefine/>
    <w:qFormat/>
    <w:uiPriority w:val="0"/>
  </w:style>
  <w:style w:type="paragraph" w:customStyle="1" w:styleId="239">
    <w:name w:val="正文空2格  1."/>
    <w:basedOn w:val="1"/>
    <w:autoRedefine/>
    <w:qFormat/>
    <w:uiPriority w:val="0"/>
    <w:pPr>
      <w:ind w:firstLine="480" w:firstLineChars="200"/>
    </w:pPr>
    <w:rPr>
      <w:rFonts w:cs="宋体"/>
      <w:sz w:val="28"/>
      <w:szCs w:val="20"/>
    </w:rPr>
  </w:style>
  <w:style w:type="paragraph" w:customStyle="1" w:styleId="240">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41">
    <w:name w:val="一级条标题"/>
    <w:basedOn w:val="1"/>
    <w:next w:val="1"/>
    <w:autoRedefine/>
    <w:qFormat/>
    <w:uiPriority w:val="99"/>
    <w:pPr>
      <w:widowControl/>
      <w:tabs>
        <w:tab w:val="left" w:pos="1080"/>
      </w:tabs>
      <w:spacing w:beforeLines="50"/>
      <w:ind w:left="1080" w:hanging="360"/>
      <w:outlineLvl w:val="2"/>
    </w:pPr>
    <w:rPr>
      <w:rFonts w:ascii="黑体" w:eastAsia="黑体" w:cs="黑体"/>
      <w:kern w:val="0"/>
      <w:sz w:val="20"/>
      <w:szCs w:val="20"/>
    </w:rPr>
  </w:style>
  <w:style w:type="paragraph" w:customStyle="1" w:styleId="242">
    <w:name w:val="_Style 1"/>
    <w:basedOn w:val="1"/>
    <w:autoRedefine/>
    <w:qFormat/>
    <w:uiPriority w:val="99"/>
    <w:pPr>
      <w:ind w:firstLine="420" w:firstLineChars="200"/>
    </w:pPr>
    <w:rPr>
      <w:rFonts w:ascii="Calibri" w:hAnsi="Calibri" w:cs="Calibri"/>
    </w:rPr>
  </w:style>
  <w:style w:type="paragraph" w:customStyle="1" w:styleId="243">
    <w:name w:val="xl71"/>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44">
    <w:name w:val="样式 标题 1 + 两端对齐"/>
    <w:basedOn w:val="3"/>
    <w:next w:val="3"/>
    <w:autoRedefine/>
    <w:qFormat/>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245">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246">
    <w:name w:val="证文"/>
    <w:basedOn w:val="1"/>
    <w:autoRedefine/>
    <w:qFormat/>
    <w:uiPriority w:val="99"/>
    <w:pPr>
      <w:spacing w:line="360" w:lineRule="auto"/>
    </w:pPr>
    <w:rPr>
      <w:sz w:val="24"/>
      <w:szCs w:val="24"/>
    </w:rPr>
  </w:style>
  <w:style w:type="paragraph" w:customStyle="1" w:styleId="247">
    <w:name w:val="Char1"/>
    <w:basedOn w:val="1"/>
    <w:autoRedefine/>
    <w:qFormat/>
    <w:uiPriority w:val="99"/>
  </w:style>
  <w:style w:type="paragraph" w:customStyle="1" w:styleId="248">
    <w:name w:val="正文文本缩进1"/>
    <w:basedOn w:val="1"/>
    <w:autoRedefine/>
    <w:qFormat/>
    <w:uiPriority w:val="99"/>
    <w:pPr>
      <w:spacing w:line="200" w:lineRule="exact"/>
      <w:ind w:firstLine="301"/>
    </w:pPr>
    <w:rPr>
      <w:rFonts w:ascii="宋体" w:hAnsi="Courier New" w:cs="宋体"/>
      <w:spacing w:val="-4"/>
      <w:sz w:val="18"/>
      <w:szCs w:val="18"/>
    </w:rPr>
  </w:style>
  <w:style w:type="paragraph" w:customStyle="1" w:styleId="249">
    <w:name w:val="xl65"/>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0">
    <w:name w:val="Char Char Char Char Char Char Char Char Char Char Char Char"/>
    <w:basedOn w:val="1"/>
    <w:autoRedefine/>
    <w:qFormat/>
    <w:uiPriority w:val="99"/>
    <w:pPr>
      <w:widowControl/>
      <w:spacing w:after="160" w:line="240" w:lineRule="exact"/>
      <w:jc w:val="left"/>
    </w:pPr>
  </w:style>
  <w:style w:type="paragraph" w:customStyle="1" w:styleId="251">
    <w:name w:val="正文缩进2格"/>
    <w:basedOn w:val="1"/>
    <w:autoRedefine/>
    <w:qFormat/>
    <w:uiPriority w:val="99"/>
    <w:pPr>
      <w:spacing w:line="600" w:lineRule="exact"/>
      <w:ind w:firstLine="639" w:firstLineChars="206"/>
    </w:pPr>
    <w:rPr>
      <w:rFonts w:ascii="仿宋_GB2312" w:hAnsi="宋体" w:eastAsia="仿宋_GB2312" w:cs="仿宋_GB2312"/>
      <w:sz w:val="31"/>
      <w:szCs w:val="31"/>
    </w:rPr>
  </w:style>
  <w:style w:type="paragraph" w:customStyle="1" w:styleId="252">
    <w:name w:val="xl6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3">
    <w:name w:val="Char Char Char Char Char Char Char Char Char Char Char Char1 Char"/>
    <w:basedOn w:val="15"/>
    <w:autoRedefine/>
    <w:qFormat/>
    <w:uiPriority w:val="99"/>
    <w:rPr>
      <w:rFonts w:ascii="Tahoma" w:hAnsi="Tahoma" w:cs="Tahoma"/>
      <w:sz w:val="24"/>
      <w:szCs w:val="24"/>
    </w:rPr>
  </w:style>
  <w:style w:type="paragraph" w:customStyle="1" w:styleId="254">
    <w:name w:val="xl6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55">
    <w:name w:val="Char2"/>
    <w:basedOn w:val="1"/>
    <w:autoRedefine/>
    <w:qFormat/>
    <w:uiPriority w:val="99"/>
    <w:pPr>
      <w:tabs>
        <w:tab w:val="left" w:pos="1200"/>
        <w:tab w:val="left" w:pos="1800"/>
      </w:tabs>
      <w:ind w:left="1200" w:hanging="1110"/>
    </w:pPr>
    <w:rPr>
      <w:sz w:val="24"/>
      <w:szCs w:val="24"/>
    </w:rPr>
  </w:style>
  <w:style w:type="paragraph" w:customStyle="1" w:styleId="256">
    <w:name w:val="此正文"/>
    <w:basedOn w:val="1"/>
    <w:autoRedefine/>
    <w:qFormat/>
    <w:uiPriority w:val="99"/>
    <w:pPr>
      <w:spacing w:line="360" w:lineRule="auto"/>
      <w:ind w:firstLine="200" w:firstLineChars="200"/>
    </w:pPr>
    <w:rPr>
      <w:sz w:val="24"/>
      <w:szCs w:val="24"/>
    </w:rPr>
  </w:style>
  <w:style w:type="paragraph" w:customStyle="1" w:styleId="257">
    <w:name w:val="样式 lee3 + 段前: 0.5 行1"/>
    <w:basedOn w:val="1"/>
    <w:autoRedefine/>
    <w:qFormat/>
    <w:uiPriority w:val="0"/>
    <w:pPr>
      <w:widowControl/>
      <w:spacing w:before="156" w:beforeLines="50" w:line="360" w:lineRule="auto"/>
      <w:jc w:val="left"/>
      <w:outlineLvl w:val="2"/>
    </w:pPr>
    <w:rPr>
      <w:rFonts w:cs="宋体"/>
      <w:sz w:val="24"/>
      <w:szCs w:val="20"/>
    </w:rPr>
  </w:style>
  <w:style w:type="paragraph" w:customStyle="1" w:styleId="258">
    <w:name w:val="正文段"/>
    <w:basedOn w:val="1"/>
    <w:autoRedefine/>
    <w:qFormat/>
    <w:uiPriority w:val="99"/>
    <w:pPr>
      <w:widowControl/>
      <w:snapToGrid w:val="0"/>
      <w:spacing w:afterLines="50"/>
      <w:ind w:firstLine="200" w:firstLineChars="200"/>
    </w:pPr>
    <w:rPr>
      <w:kern w:val="0"/>
      <w:sz w:val="24"/>
      <w:szCs w:val="24"/>
    </w:rPr>
  </w:style>
  <w:style w:type="paragraph" w:customStyle="1" w:styleId="259">
    <w:name w:val="普通(网站)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60">
    <w:name w:val="xl24"/>
    <w:basedOn w:val="1"/>
    <w:autoRedefine/>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261">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2">
    <w:name w:val="xl66"/>
    <w:basedOn w:val="1"/>
    <w:autoRedefine/>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63">
    <w:name w:val="表内文字"/>
    <w:basedOn w:val="1"/>
    <w:autoRedefine/>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64">
    <w:name w:val="Char Char Char Char Char Char"/>
    <w:basedOn w:val="1"/>
    <w:autoRedefine/>
    <w:qFormat/>
    <w:uiPriority w:val="99"/>
    <w:pPr>
      <w:ind w:firstLine="200" w:firstLineChars="200"/>
    </w:pPr>
    <w:rPr>
      <w:rFonts w:ascii="Tahoma" w:hAnsi="Tahoma" w:cs="Tahoma"/>
      <w:sz w:val="24"/>
      <w:szCs w:val="24"/>
    </w:rPr>
  </w:style>
  <w:style w:type="paragraph" w:customStyle="1" w:styleId="265">
    <w:name w:val="样式1"/>
    <w:basedOn w:val="5"/>
    <w:autoRedefine/>
    <w:qFormat/>
    <w:uiPriority w:val="99"/>
  </w:style>
  <w:style w:type="paragraph" w:customStyle="1" w:styleId="266">
    <w:name w:val="Char Char Char1"/>
    <w:basedOn w:val="1"/>
    <w:autoRedefine/>
    <w:qFormat/>
    <w:uiPriority w:val="99"/>
  </w:style>
  <w:style w:type="paragraph" w:customStyle="1" w:styleId="267">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268">
    <w:name w:val="xl73"/>
    <w:basedOn w:val="1"/>
    <w:autoRedefine/>
    <w:qFormat/>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69">
    <w:name w:val="自由格式 A"/>
    <w:autoRedefine/>
    <w:qFormat/>
    <w:uiPriority w:val="99"/>
    <w:rPr>
      <w:rFonts w:ascii="Helvetica" w:hAnsi="Helvetica" w:eastAsia="ヒラギノ角ゴ Pro W3" w:cs="Helvetica"/>
      <w:color w:val="000000"/>
      <w:sz w:val="24"/>
      <w:szCs w:val="24"/>
      <w:lang w:val="en-US" w:eastAsia="zh-CN" w:bidi="ar-SA"/>
    </w:rPr>
  </w:style>
  <w:style w:type="paragraph" w:customStyle="1" w:styleId="270">
    <w:name w:val="List Paragraph"/>
    <w:basedOn w:val="1"/>
    <w:autoRedefine/>
    <w:qFormat/>
    <w:uiPriority w:val="99"/>
    <w:pPr>
      <w:ind w:firstLine="420" w:firstLineChars="200"/>
    </w:pPr>
  </w:style>
  <w:style w:type="paragraph" w:customStyle="1" w:styleId="271">
    <w:name w:val="xl6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72">
    <w:name w:val="TOC 标题1"/>
    <w:basedOn w:val="2"/>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73">
    <w:name w:val="xl7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74">
    <w:name w:val="Char12"/>
    <w:basedOn w:val="1"/>
    <w:autoRedefine/>
    <w:qFormat/>
    <w:uiPriority w:val="99"/>
    <w:rPr>
      <w:rFonts w:ascii="Tahoma" w:hAnsi="Tahoma" w:cs="Tahoma"/>
      <w:sz w:val="24"/>
      <w:szCs w:val="24"/>
    </w:rPr>
  </w:style>
  <w:style w:type="paragraph" w:customStyle="1" w:styleId="275">
    <w:name w:val="Char Char Char Char Char Char Char"/>
    <w:basedOn w:val="1"/>
    <w:autoRedefine/>
    <w:qFormat/>
    <w:uiPriority w:val="99"/>
    <w:rPr>
      <w:rFonts w:ascii="Tahoma" w:hAnsi="Tahoma" w:cs="Tahoma"/>
      <w:sz w:val="24"/>
      <w:szCs w:val="24"/>
    </w:rPr>
  </w:style>
  <w:style w:type="paragraph" w:customStyle="1" w:styleId="276">
    <w:name w:val="xl82"/>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77">
    <w:name w:val="xl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78">
    <w:name w:val="章标题"/>
    <w:basedOn w:val="1"/>
    <w:next w:val="1"/>
    <w:autoRedefine/>
    <w:qFormat/>
    <w:uiPriority w:val="99"/>
    <w:pPr>
      <w:widowControl/>
      <w:tabs>
        <w:tab w:val="left" w:pos="0"/>
      </w:tabs>
      <w:spacing w:beforeLines="100"/>
      <w:ind w:left="105"/>
      <w:outlineLvl w:val="1"/>
    </w:pPr>
    <w:rPr>
      <w:rFonts w:ascii="黑体" w:eastAsia="黑体" w:cs="黑体"/>
      <w:kern w:val="0"/>
      <w:sz w:val="20"/>
      <w:szCs w:val="20"/>
    </w:rPr>
  </w:style>
  <w:style w:type="paragraph" w:customStyle="1" w:styleId="279">
    <w:name w:val="_Style 79"/>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0">
    <w:name w:val="样式 标题 3 +1"/>
    <w:basedOn w:val="4"/>
    <w:autoRedefine/>
    <w:qFormat/>
    <w:uiPriority w:val="99"/>
    <w:pPr>
      <w:jc w:val="center"/>
    </w:pPr>
    <w:rPr>
      <w:rFonts w:ascii="Calibri" w:hAnsi="Calibri" w:cs="Calibri"/>
      <w:kern w:val="0"/>
      <w:sz w:val="28"/>
      <w:szCs w:val="28"/>
    </w:rPr>
  </w:style>
  <w:style w:type="paragraph" w:customStyle="1" w:styleId="281">
    <w:name w:val="文字"/>
    <w:basedOn w:val="1"/>
    <w:autoRedefine/>
    <w:qFormat/>
    <w:uiPriority w:val="0"/>
    <w:pPr>
      <w:spacing w:line="360" w:lineRule="auto"/>
      <w:ind w:firstLine="200" w:firstLineChars="200"/>
    </w:pPr>
    <w:rPr>
      <w:rFonts w:ascii="Arial Unicode MS" w:hAnsi="Arial Unicode MS"/>
      <w:sz w:val="24"/>
      <w:szCs w:val="20"/>
    </w:rPr>
  </w:style>
  <w:style w:type="paragraph" w:customStyle="1" w:styleId="282">
    <w:name w:val="列出段落2"/>
    <w:basedOn w:val="1"/>
    <w:autoRedefine/>
    <w:qFormat/>
    <w:uiPriority w:val="99"/>
    <w:pPr>
      <w:ind w:firstLine="420" w:firstLineChars="200"/>
    </w:pPr>
    <w:rPr>
      <w:rFonts w:ascii="Calibri" w:hAnsi="Calibri" w:cs="Calibri"/>
    </w:rPr>
  </w:style>
  <w:style w:type="paragraph" w:customStyle="1" w:styleId="283">
    <w:name w:val="p0"/>
    <w:basedOn w:val="1"/>
    <w:autoRedefine/>
    <w:qFormat/>
    <w:uiPriority w:val="99"/>
    <w:pPr>
      <w:widowControl/>
    </w:pPr>
    <w:rPr>
      <w:kern w:val="0"/>
    </w:rPr>
  </w:style>
  <w:style w:type="paragraph" w:customStyle="1" w:styleId="28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85">
    <w:name w:val="font6"/>
    <w:basedOn w:val="1"/>
    <w:autoRedefine/>
    <w:qFormat/>
    <w:uiPriority w:val="0"/>
    <w:pPr>
      <w:widowControl/>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86">
    <w:name w:val="样式 标题 3 +"/>
    <w:basedOn w:val="4"/>
    <w:autoRedefine/>
    <w:qFormat/>
    <w:uiPriority w:val="99"/>
    <w:pPr>
      <w:jc w:val="center"/>
    </w:pPr>
    <w:rPr>
      <w:rFonts w:ascii="Calibri" w:hAnsi="Calibri" w:cs="Calibri"/>
      <w:kern w:val="0"/>
      <w:sz w:val="28"/>
      <w:szCs w:val="28"/>
    </w:rPr>
  </w:style>
  <w:style w:type="paragraph" w:customStyle="1" w:styleId="287">
    <w:name w:val="xl75"/>
    <w:basedOn w:val="1"/>
    <w:autoRedefine/>
    <w:qFormat/>
    <w:uiPriority w:val="99"/>
    <w:pPr>
      <w:widowControl/>
      <w:pBdr>
        <w:left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88">
    <w:name w:val="1.1标题4"/>
    <w:basedOn w:val="1"/>
    <w:autoRedefine/>
    <w:qFormat/>
    <w:uiPriority w:val="0"/>
    <w:pPr>
      <w:tabs>
        <w:tab w:val="left" w:pos="-284"/>
      </w:tabs>
      <w:adjustRightInd w:val="0"/>
      <w:snapToGrid w:val="0"/>
      <w:spacing w:line="360" w:lineRule="auto"/>
      <w:ind w:left="-284" w:hanging="567"/>
      <w:outlineLvl w:val="1"/>
    </w:pPr>
    <w:rPr>
      <w:rFonts w:ascii="宋体"/>
      <w:sz w:val="24"/>
      <w:szCs w:val="28"/>
    </w:rPr>
  </w:style>
  <w:style w:type="paragraph" w:customStyle="1" w:styleId="289">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290">
    <w:name w:val="Char Char1 Char Char Char Char Char Char Char Char"/>
    <w:basedOn w:val="1"/>
    <w:autoRedefine/>
    <w:qFormat/>
    <w:uiPriority w:val="0"/>
    <w:pPr>
      <w:widowControl/>
      <w:spacing w:after="160" w:line="240" w:lineRule="exact"/>
      <w:jc w:val="left"/>
    </w:pPr>
    <w:rPr>
      <w:sz w:val="24"/>
      <w:szCs w:val="20"/>
    </w:rPr>
  </w:style>
  <w:style w:type="paragraph" w:customStyle="1" w:styleId="291">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2">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293">
    <w:name w:val="font7"/>
    <w:basedOn w:val="1"/>
    <w:autoRedefine/>
    <w:qFormat/>
    <w:uiPriority w:val="0"/>
    <w:pPr>
      <w:widowControl/>
      <w:spacing w:before="100" w:beforeAutospacing="1" w:after="100" w:afterAutospacing="1"/>
      <w:jc w:val="left"/>
    </w:pPr>
    <w:rPr>
      <w:rFonts w:ascii="Calibri" w:hAnsi="Calibri" w:cs="Calibri"/>
      <w:color w:val="000000"/>
      <w:kern w:val="0"/>
      <w:sz w:val="18"/>
      <w:szCs w:val="18"/>
    </w:rPr>
  </w:style>
  <w:style w:type="paragraph" w:customStyle="1" w:styleId="294">
    <w:name w:val="表格"/>
    <w:basedOn w:val="1"/>
    <w:autoRedefine/>
    <w:qFormat/>
    <w:uiPriority w:val="99"/>
    <w:pPr>
      <w:spacing w:line="320" w:lineRule="exact"/>
      <w:jc w:val="left"/>
    </w:pPr>
  </w:style>
  <w:style w:type="paragraph" w:customStyle="1" w:styleId="295">
    <w:name w:val="List Paragraph1"/>
    <w:basedOn w:val="1"/>
    <w:autoRedefine/>
    <w:qFormat/>
    <w:uiPriority w:val="0"/>
    <w:pPr>
      <w:ind w:firstLine="420" w:firstLineChars="200"/>
    </w:pPr>
    <w:rPr>
      <w:rFonts w:ascii="Times New Roman" w:hAnsi="Times New Roman" w:eastAsia="宋体" w:cs="Times New Roman"/>
    </w:rPr>
  </w:style>
  <w:style w:type="paragraph" w:styleId="296">
    <w:name w:val="No Spacing"/>
    <w:autoRedefine/>
    <w:qFormat/>
    <w:uiPriority w:val="1"/>
    <w:pPr>
      <w:widowControl w:val="0"/>
      <w:jc w:val="both"/>
    </w:pPr>
    <w:rPr>
      <w:rFonts w:ascii="仿宋_GB2312" w:hAnsi="Calibri" w:eastAsia="仿宋_GB2312" w:cs="Times New Roman"/>
      <w:kern w:val="2"/>
      <w:sz w:val="28"/>
      <w:szCs w:val="21"/>
      <w:lang w:val="en-US" w:eastAsia="zh-CN" w:bidi="ar-SA"/>
    </w:rPr>
  </w:style>
  <w:style w:type="table" w:customStyle="1" w:styleId="297">
    <w:name w:val="网格型1"/>
    <w:basedOn w:val="49"/>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
    <w:name w:val="网格型3"/>
    <w:basedOn w:val="49"/>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
    <w:name w:val="网格型2"/>
    <w:basedOn w:val="49"/>
    <w:autoRedefine/>
    <w:qFormat/>
    <w:uiPriority w:val="39"/>
    <w:rPr>
      <w:rFonts w:eastAsia="仿宋_GB2312"/>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65</Pages>
  <Words>36049</Words>
  <Characters>37220</Characters>
  <Lines>270</Lines>
  <Paragraphs>76</Paragraphs>
  <TotalTime>15</TotalTime>
  <ScaleCrop>false</ScaleCrop>
  <LinksUpToDate>false</LinksUpToDate>
  <CharactersWithSpaces>39828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2020-03-04T17:47:00Z</dcterms:created>
  <dc:creator>Administrator</dc:creator>
  <cp:lastModifiedBy>Hzjzdsdct</cp:lastModifiedBy>
  <cp:lastPrinted>2024-06-12T10:53:31Z</cp:lastPrinted>
  <dcterms:modified xsi:type="dcterms:W3CDTF">2024-06-12T10:59:08Z</dcterms:modified>
  <dc:title>宁海县大中山商务楼</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11430714640A4D89B34CCDB5722646F7_13</vt:lpwstr>
  </property>
</Properties>
</file>