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6CD0F9">
      <w:pPr>
        <w:spacing w:line="520" w:lineRule="exact"/>
        <w:jc w:val="center"/>
        <w:rPr>
          <w:rFonts w:hint="eastAsia" w:ascii="黑体" w:hAnsi="黑体" w:eastAsia="黑体" w:cs="黑体"/>
          <w:b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宋体" w:eastAsia="黑体" w:cs="Times New Roman"/>
          <w:b/>
          <w:color w:val="auto"/>
          <w:sz w:val="32"/>
          <w:szCs w:val="32"/>
          <w:lang w:val="en-US" w:eastAsia="zh-CN"/>
        </w:rPr>
        <w:t>镇海区文物保护点同义医院楼旧址装修改造工程</w:t>
      </w:r>
    </w:p>
    <w:p w14:paraId="1C3F6A5D">
      <w:pPr>
        <w:spacing w:line="520" w:lineRule="exact"/>
        <w:jc w:val="center"/>
        <w:rPr>
          <w:rFonts w:hint="default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工程量清单编制说明</w:t>
      </w:r>
    </w:p>
    <w:p w14:paraId="1A30E7D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before="157" w:beforeLines="50" w:after="157" w:afterLines="50" w:line="440" w:lineRule="exact"/>
        <w:ind w:left="0" w:leftChars="0" w:right="210" w:rightChars="100" w:firstLine="482" w:firstLineChars="200"/>
        <w:jc w:val="both"/>
        <w:textAlignment w:val="auto"/>
        <w:rPr>
          <w:rFonts w:hint="eastAsia" w:ascii="宋体" w:hAnsi="宋体" w:eastAsia="宋体" w:cs="宋体"/>
          <w:b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一、工程概况</w:t>
      </w:r>
    </w:p>
    <w:p w14:paraId="383A937C">
      <w:pPr>
        <w:spacing w:line="440" w:lineRule="exact"/>
        <w:ind w:right="6" w:firstLine="480" w:firstLineChars="200"/>
        <w:rPr>
          <w:rFonts w:hint="eastAsia" w:ascii="宋体" w:hAnsi="宋体" w:eastAsia="宋体" w:cs="宋体"/>
          <w:color w:val="00000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highlight w:val="none"/>
          <w:lang w:val="en-US" w:eastAsia="zh-CN"/>
        </w:rPr>
        <w:t>该工程由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宁波大学附属康宁医院</w:t>
      </w:r>
      <w:r>
        <w:rPr>
          <w:rFonts w:hint="eastAsia" w:ascii="宋体" w:hAnsi="宋体" w:eastAsia="宋体" w:cs="宋体"/>
          <w:color w:val="000000"/>
          <w:sz w:val="24"/>
          <w:highlight w:val="none"/>
          <w:lang w:val="en-US" w:eastAsia="zh-CN"/>
        </w:rPr>
        <w:t>负责建设，</w:t>
      </w:r>
      <w:r>
        <w:rPr>
          <w:rFonts w:hint="eastAsia" w:ascii="宋体" w:hAnsi="宋体" w:cs="宋体"/>
          <w:color w:val="000000"/>
          <w:sz w:val="24"/>
          <w:highlight w:val="none"/>
          <w:lang w:val="en-US" w:eastAsia="zh-CN"/>
        </w:rPr>
        <w:t>浙江华展研究设计院股份</w:t>
      </w:r>
      <w:r>
        <w:rPr>
          <w:rFonts w:hint="eastAsia" w:ascii="宋体" w:hAnsi="宋体" w:eastAsia="宋体" w:cs="宋体"/>
          <w:color w:val="000000"/>
          <w:sz w:val="24"/>
          <w:highlight w:val="none"/>
          <w:lang w:val="en-US" w:eastAsia="zh-CN"/>
        </w:rPr>
        <w:t>有限公司负责设计。工程位于宁波大学附属康宁医院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庄市院区</w:t>
      </w:r>
      <w:r>
        <w:rPr>
          <w:rFonts w:hint="eastAsia" w:ascii="宋体" w:hAnsi="宋体" w:eastAsia="宋体" w:cs="宋体"/>
          <w:color w:val="000000"/>
          <w:sz w:val="24"/>
          <w:highlight w:val="none"/>
          <w:lang w:val="en-US" w:eastAsia="zh-CN"/>
        </w:rPr>
        <w:t>内，总建筑面积约1200平方米，主要建设内容为</w:t>
      </w:r>
      <w:r>
        <w:rPr>
          <w:rFonts w:hint="eastAsia" w:ascii="宋体" w:hAnsi="宋体" w:eastAsia="宋体" w:cs="宋体"/>
          <w:strike w:val="0"/>
          <w:dstrike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同义医院楼</w:t>
      </w:r>
      <w:r>
        <w:rPr>
          <w:rFonts w:hint="eastAsia" w:ascii="宋体" w:hAnsi="宋体" w:cs="宋体"/>
          <w:strike w:val="0"/>
          <w:dstrike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室内装修</w:t>
      </w:r>
      <w:r>
        <w:rPr>
          <w:rFonts w:hint="eastAsia" w:ascii="宋体" w:hAnsi="宋体" w:eastAsia="宋体" w:cs="宋体"/>
          <w:strike w:val="0"/>
          <w:dstrike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改造、</w:t>
      </w:r>
      <w:r>
        <w:rPr>
          <w:rFonts w:hint="eastAsia" w:ascii="宋体" w:hAnsi="宋体" w:cs="宋体"/>
          <w:strike w:val="0"/>
          <w:dstrike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厢房外立面改造</w:t>
      </w:r>
      <w:r>
        <w:rPr>
          <w:rFonts w:hint="eastAsia" w:ascii="宋体" w:hAnsi="宋体" w:eastAsia="宋体" w:cs="宋体"/>
          <w:color w:val="000000"/>
          <w:sz w:val="24"/>
          <w:highlight w:val="none"/>
          <w:lang w:val="en-US" w:eastAsia="zh-CN"/>
        </w:rPr>
        <w:t>。</w:t>
      </w:r>
    </w:p>
    <w:p w14:paraId="1D39F59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before="157" w:beforeLines="50" w:after="157" w:afterLines="50" w:line="440" w:lineRule="exact"/>
        <w:ind w:left="0" w:leftChars="0" w:right="210" w:rightChars="100" w:firstLine="482" w:firstLineChars="200"/>
        <w:jc w:val="both"/>
        <w:textAlignment w:val="auto"/>
        <w:rPr>
          <w:rFonts w:hint="default" w:ascii="宋体" w:hAnsi="宋体" w:eastAsia="宋体" w:cs="宋体"/>
          <w:b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二、编制范围</w:t>
      </w:r>
    </w:p>
    <w:p w14:paraId="50C7B6B7">
      <w:pPr>
        <w:keepNext w:val="0"/>
        <w:keepLines w:val="0"/>
        <w:pageBreakBefore w:val="0"/>
        <w:widowControl w:val="0"/>
        <w:tabs>
          <w:tab w:val="left" w:pos="28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hint="default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strike w:val="0"/>
          <w:dstrike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同义医院楼</w:t>
      </w:r>
      <w:r>
        <w:rPr>
          <w:rFonts w:hint="eastAsia" w:ascii="宋体" w:hAnsi="宋体" w:cs="宋体"/>
          <w:strike w:val="0"/>
          <w:dstrike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室内楼地面、天棚、墙面及厢房外立面改造</w:t>
      </w:r>
      <w:r>
        <w:rPr>
          <w:rFonts w:hint="eastAsia" w:ascii="宋体" w:hAnsi="宋体" w:eastAsia="宋体" w:cs="宋体"/>
          <w:strike w:val="0"/>
          <w:dstrike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 w14:paraId="36C23C3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before="157" w:beforeLines="50" w:after="157" w:afterLines="50" w:line="440" w:lineRule="exact"/>
        <w:ind w:left="0" w:leftChars="0" w:right="210" w:rightChars="100" w:firstLine="482" w:firstLineChars="200"/>
        <w:jc w:val="both"/>
        <w:textAlignment w:val="auto"/>
        <w:rPr>
          <w:rFonts w:hint="eastAsia" w:ascii="宋体" w:hAnsi="宋体" w:eastAsia="宋体" w:cs="宋体"/>
          <w:b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三、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  <w:lang w:val="en-US" w:eastAsia="zh-CN"/>
        </w:rPr>
        <w:t>编制依据</w:t>
      </w:r>
    </w:p>
    <w:p w14:paraId="3A227B41">
      <w:pPr>
        <w:numPr>
          <w:ilvl w:val="0"/>
          <w:numId w:val="1"/>
        </w:numPr>
        <w:spacing w:line="360" w:lineRule="auto"/>
        <w:ind w:left="-60" w:leftChars="0" w:firstLine="480" w:firstLineChars="0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由</w:t>
      </w:r>
      <w:r>
        <w:rPr>
          <w:rFonts w:hint="eastAsia" w:ascii="宋体" w:hAnsi="宋体" w:cs="宋体"/>
          <w:color w:val="000000"/>
          <w:sz w:val="24"/>
          <w:highlight w:val="none"/>
          <w:lang w:val="en-US" w:eastAsia="zh-CN"/>
        </w:rPr>
        <w:t>浙江华展研究设计院股份</w:t>
      </w:r>
      <w:r>
        <w:rPr>
          <w:rFonts w:hint="eastAsia" w:ascii="宋体" w:hAnsi="宋体" w:eastAsia="宋体" w:cs="宋体"/>
          <w:color w:val="000000"/>
          <w:sz w:val="24"/>
          <w:highlight w:val="none"/>
          <w:lang w:val="en-US" w:eastAsia="zh-CN"/>
        </w:rPr>
        <w:t>有限公司</w:t>
      </w:r>
      <w:r>
        <w:rPr>
          <w:rFonts w:hint="eastAsia" w:ascii="宋体" w:hAnsi="宋体" w:cs="宋体"/>
          <w:color w:val="000000"/>
          <w:sz w:val="24"/>
          <w:highlight w:val="none"/>
          <w:lang w:val="en-US" w:eastAsia="zh-CN"/>
        </w:rPr>
        <w:t>设计</w:t>
      </w:r>
      <w:r>
        <w:rPr>
          <w:rFonts w:hint="eastAsia" w:ascii="宋体" w:hAnsi="宋体" w:eastAsia="宋体" w:cs="宋体"/>
          <w:color w:val="auto"/>
          <w:sz w:val="24"/>
        </w:rPr>
        <w:t>的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镇海区文物保护点同义医院旧址装修改造工程施工图纸（含装修、安装等工程）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；</w:t>
      </w:r>
    </w:p>
    <w:p w14:paraId="545B5E6E">
      <w:pPr>
        <w:numPr>
          <w:ilvl w:val="0"/>
          <w:numId w:val="1"/>
        </w:numPr>
        <w:spacing w:line="360" w:lineRule="auto"/>
        <w:ind w:left="-60" w:leftChars="0" w:firstLine="480" w:firstLineChars="0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《建设工程工程量清单计价规范》（GB 50500-2013）；</w:t>
      </w:r>
    </w:p>
    <w:p w14:paraId="17B2DC69">
      <w:pPr>
        <w:numPr>
          <w:ilvl w:val="0"/>
          <w:numId w:val="1"/>
        </w:numPr>
        <w:spacing w:line="360" w:lineRule="auto"/>
        <w:ind w:left="-60" w:leftChars="0" w:firstLine="480" w:firstLineChars="0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《房屋建筑与装饰工程工程量计算规范》（GB 50854-2013）；</w:t>
      </w:r>
    </w:p>
    <w:p w14:paraId="10D004E6">
      <w:pPr>
        <w:numPr>
          <w:ilvl w:val="0"/>
          <w:numId w:val="1"/>
        </w:numPr>
        <w:spacing w:line="360" w:lineRule="auto"/>
        <w:ind w:left="-60" w:leftChars="0" w:firstLine="480" w:firstLineChars="0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规费：根据浙建建﹝2018﹞61号文件，按各专业工程费率的30%计取；</w:t>
      </w:r>
    </w:p>
    <w:p w14:paraId="7923C1FD">
      <w:pPr>
        <w:numPr>
          <w:ilvl w:val="0"/>
          <w:numId w:val="1"/>
        </w:numPr>
        <w:spacing w:line="360" w:lineRule="auto"/>
        <w:ind w:left="-60" w:leftChars="0" w:firstLine="480" w:firstLineChars="0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税金：根据浙建建发〔2019〕92号文件，按9%计取；</w:t>
      </w:r>
    </w:p>
    <w:p w14:paraId="0BCF2BF2">
      <w:pPr>
        <w:numPr>
          <w:ilvl w:val="0"/>
          <w:numId w:val="1"/>
        </w:numPr>
        <w:spacing w:line="360" w:lineRule="auto"/>
        <w:ind w:left="-60" w:leftChars="0" w:firstLine="480" w:firstLineChars="0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编制方法采用国标工程量清单综合单价法，按一般计税方法计税。</w:t>
      </w:r>
    </w:p>
    <w:p w14:paraId="1D52436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before="157" w:beforeLines="50" w:after="157" w:afterLines="50" w:line="440" w:lineRule="exact"/>
        <w:ind w:leftChars="200" w:right="0" w:rightChars="0"/>
        <w:jc w:val="both"/>
        <w:textAlignment w:val="auto"/>
        <w:rPr>
          <w:rFonts w:hint="eastAsia" w:ascii="宋体" w:hAnsi="宋体" w:eastAsia="宋体" w:cs="宋体"/>
          <w:b/>
          <w:bCs/>
          <w:color w:val="00000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highlight w:val="none"/>
          <w:lang w:val="en-US" w:eastAsia="zh-CN"/>
        </w:rPr>
        <w:t>四、编制说明</w:t>
      </w:r>
    </w:p>
    <w:p w14:paraId="15791AF9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pacing w:before="157" w:beforeLines="50" w:after="157" w:afterLines="50" w:line="440" w:lineRule="exact"/>
        <w:ind w:left="0" w:leftChars="0" w:right="210" w:rightChars="100" w:firstLine="482" w:firstLineChars="200"/>
        <w:jc w:val="both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单独装饰工程</w:t>
      </w:r>
    </w:p>
    <w:p w14:paraId="6407D62C">
      <w:pPr>
        <w:numPr>
          <w:ilvl w:val="0"/>
          <w:numId w:val="3"/>
        </w:numPr>
        <w:spacing w:line="360" w:lineRule="auto"/>
        <w:ind w:left="-60" w:leftChars="0" w:firstLine="480" w:firstLineChars="0"/>
        <w:rPr>
          <w:rFonts w:hint="default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本工程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垂直运输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费用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由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投标人根据自身施工能力、施工环境、施工工期等因素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报价时综合考虑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，工程量清单按项包干，结算不作调整。</w:t>
      </w:r>
    </w:p>
    <w:p w14:paraId="0784FF3C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40" w:lineRule="exact"/>
        <w:ind w:left="0" w:leftChars="0" w:right="210" w:rightChars="100" w:firstLine="482" w:firstLineChars="200"/>
        <w:jc w:val="both"/>
        <w:textAlignment w:val="auto"/>
        <w:rPr>
          <w:rFonts w:hint="default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（二）安装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val="en-US" w:eastAsia="zh-CN"/>
        </w:rPr>
        <w:t>工程</w:t>
      </w:r>
    </w:p>
    <w:p w14:paraId="42D50463">
      <w:pPr>
        <w:numPr>
          <w:ilvl w:val="0"/>
          <w:numId w:val="4"/>
        </w:numPr>
        <w:spacing w:line="360" w:lineRule="auto"/>
        <w:ind w:left="-60" w:leftChars="0" w:firstLine="480" w:firstLineChars="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吊顶内的配管皆按明敷考虑；</w:t>
      </w:r>
    </w:p>
    <w:p w14:paraId="574CD2E9">
      <w:pPr>
        <w:numPr>
          <w:ilvl w:val="0"/>
          <w:numId w:val="4"/>
        </w:numPr>
        <w:spacing w:line="360" w:lineRule="auto"/>
        <w:ind w:left="-60" w:leftChars="0" w:firstLine="480" w:firstLineChars="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消防电主线部分考虑从动物房引出，管线长度按每根30m预估考虑；</w:t>
      </w:r>
    </w:p>
    <w:p w14:paraId="4F9EF4C8">
      <w:pPr>
        <w:numPr>
          <w:ilvl w:val="0"/>
          <w:numId w:val="4"/>
        </w:numPr>
        <w:spacing w:line="360" w:lineRule="auto"/>
        <w:ind w:left="-60" w:leftChars="0" w:firstLine="480" w:firstLineChars="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引入配电箱1-AP、1-ATE主电缆，利用原有电源，本次暂不考虑；</w:t>
      </w:r>
    </w:p>
    <w:p w14:paraId="380ECFCA">
      <w:pPr>
        <w:numPr>
          <w:ilvl w:val="0"/>
          <w:numId w:val="4"/>
        </w:numPr>
        <w:spacing w:line="360" w:lineRule="auto"/>
        <w:ind w:left="-60" w:leftChars="0" w:firstLine="480" w:firstLineChars="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1*LSZH-CAT6六类网线考虑穿JDG20的配管计入，2*LSZH-CAT6六类网线考虑穿JDG25的配管记入；</w:t>
      </w:r>
    </w:p>
    <w:p w14:paraId="076D0DD9">
      <w:pPr>
        <w:numPr>
          <w:ilvl w:val="0"/>
          <w:numId w:val="4"/>
        </w:numPr>
        <w:spacing w:line="360" w:lineRule="auto"/>
        <w:ind w:left="-60" w:leftChars="0" w:firstLine="480" w:firstLineChars="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引入消防端子箱的主线暂按从动物房的电井接出考虑；</w:t>
      </w:r>
    </w:p>
    <w:p w14:paraId="53401ACB">
      <w:pPr>
        <w:numPr>
          <w:ilvl w:val="0"/>
          <w:numId w:val="4"/>
        </w:numPr>
        <w:spacing w:line="360" w:lineRule="auto"/>
        <w:ind w:left="-60" w:leftChars="0" w:firstLine="480" w:firstLineChars="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弱电前端设备皆布置在动物房，管线皆按从动物房接出考虑；</w:t>
      </w:r>
    </w:p>
    <w:p w14:paraId="4D30F2C7">
      <w:pPr>
        <w:numPr>
          <w:ilvl w:val="0"/>
          <w:numId w:val="4"/>
        </w:numPr>
        <w:spacing w:line="360" w:lineRule="auto"/>
        <w:ind w:left="-60" w:leftChars="0" w:firstLine="480" w:firstLineChars="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吊顶内的水平给水管道采用外包20mm厚的橡塑管壳进行防结露保温；</w:t>
      </w:r>
    </w:p>
    <w:p w14:paraId="25EDE0FC">
      <w:pPr>
        <w:numPr>
          <w:ilvl w:val="0"/>
          <w:numId w:val="4"/>
        </w:numPr>
        <w:spacing w:line="360" w:lineRule="auto"/>
        <w:ind w:left="-60" w:leftChars="0" w:firstLine="480" w:firstLineChars="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二层走廊灯具以及房间顶灯均按名国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民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吸顶灯考虑；</w:t>
      </w:r>
    </w:p>
    <w:p w14:paraId="3A0DB52E">
      <w:pPr>
        <w:numPr>
          <w:ilvl w:val="0"/>
          <w:numId w:val="4"/>
        </w:numPr>
        <w:spacing w:line="360" w:lineRule="auto"/>
        <w:ind w:left="-60" w:leftChars="0" w:firstLine="480" w:firstLineChars="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智能化工程考虑预留一层19个房间的点位管线，WDZ-CAT6 UTP线缆按暂估1000m考虑，铜芯多股绝缘电线RVV-3*1.5按暂估500m考虑，PVC25的电线管按暂估950m考虑计入本工程；</w:t>
      </w:r>
    </w:p>
    <w:p w14:paraId="61B4888F">
      <w:pPr>
        <w:numPr>
          <w:ilvl w:val="0"/>
          <w:numId w:val="4"/>
        </w:numPr>
        <w:spacing w:line="360" w:lineRule="auto"/>
        <w:ind w:left="-60" w:leftChars="0" w:firstLine="480" w:firstLineChars="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消火栓主管道从动物房接出，除平面图上绘制的管道外，暂预估50m的DN100的镀锌钢管接至动物房，配管按埋地敷设考虑。</w:t>
      </w:r>
    </w:p>
    <w:p w14:paraId="34970794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before="157" w:beforeLines="50" w:after="157" w:afterLines="50" w:line="440" w:lineRule="exact"/>
        <w:ind w:left="0" w:leftChars="0" w:right="0" w:firstLine="482" w:firstLineChars="200"/>
        <w:jc w:val="both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  <w:lang w:val="en-US" w:eastAsia="zh-CN"/>
        </w:rPr>
        <w:t>六、其他项目</w:t>
      </w:r>
    </w:p>
    <w:p w14:paraId="1B268A4A">
      <w:pPr>
        <w:pStyle w:val="2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（一）专业工程暂估价</w:t>
      </w:r>
    </w:p>
    <w:tbl>
      <w:tblPr>
        <w:tblStyle w:val="9"/>
        <w:tblW w:w="5002" w:type="pct"/>
        <w:jc w:val="center"/>
        <w:tblBorders>
          <w:top w:val="single" w:color="auto" w:sz="4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1712"/>
        <w:gridCol w:w="699"/>
        <w:gridCol w:w="795"/>
        <w:gridCol w:w="1999"/>
        <w:gridCol w:w="1373"/>
        <w:gridCol w:w="1207"/>
      </w:tblGrid>
      <w:tr w14:paraId="18FE13C0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tblHeader/>
          <w:jc w:val="center"/>
        </w:trPr>
        <w:tc>
          <w:tcPr>
            <w:tcW w:w="3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AE198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10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B2A79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</w:rPr>
              <w:t>名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</w:rPr>
              <w:t>称</w:t>
            </w:r>
          </w:p>
        </w:tc>
        <w:tc>
          <w:tcPr>
            <w:tcW w:w="4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2D539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</w:rPr>
              <w:t xml:space="preserve">单位 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485FD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</w:rPr>
              <w:t>数量</w:t>
            </w:r>
          </w:p>
        </w:tc>
        <w:tc>
          <w:tcPr>
            <w:tcW w:w="12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89A34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除税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</w:rPr>
              <w:t>单价（元）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33F3D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</w:rPr>
              <w:t>小计（元）</w:t>
            </w: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77A5B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</w:rPr>
              <w:t>备注</w:t>
            </w:r>
          </w:p>
        </w:tc>
      </w:tr>
      <w:tr w14:paraId="46F4F074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3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15DACF4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10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0D65FD2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智慧消防</w:t>
            </w:r>
          </w:p>
        </w:tc>
        <w:tc>
          <w:tcPr>
            <w:tcW w:w="4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3C9E50C"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项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0D14E52"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12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4D122DA"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7000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2864A37"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7000</w:t>
            </w: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DA31B34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专业工程暂估价</w:t>
            </w:r>
          </w:p>
        </w:tc>
      </w:tr>
      <w:tr w14:paraId="2DE0E325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6517C4C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2</w:t>
            </w:r>
          </w:p>
        </w:tc>
        <w:tc>
          <w:tcPr>
            <w:tcW w:w="10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FA7AB17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  <w:highlight w:val="none"/>
              </w:rPr>
              <w:t>税金</w:t>
            </w:r>
          </w:p>
        </w:tc>
        <w:tc>
          <w:tcPr>
            <w:tcW w:w="209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3A03090">
            <w:pPr>
              <w:pStyle w:val="21"/>
              <w:keepNext w:val="0"/>
              <w:keepLines w:val="0"/>
              <w:pageBreakBefore w:val="0"/>
              <w:widowControl/>
              <w:tabs>
                <w:tab w:val="left" w:pos="133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eastAsia="zh-CN"/>
              </w:rPr>
              <w:tab/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9%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D2BA9DF">
            <w:pPr>
              <w:pStyle w:val="21"/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630</w:t>
            </w: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4C458C6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409B219E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3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83AE98B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3</w:t>
            </w:r>
          </w:p>
        </w:tc>
        <w:tc>
          <w:tcPr>
            <w:tcW w:w="10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C67C545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合计</w:t>
            </w:r>
          </w:p>
        </w:tc>
        <w:tc>
          <w:tcPr>
            <w:tcW w:w="209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E9EFEC6">
            <w:pPr>
              <w:pStyle w:val="21"/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（1+2）</w:t>
            </w:r>
            <w:bookmarkStart w:id="0" w:name="_GoBack"/>
            <w:bookmarkEnd w:id="0"/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C58D680">
            <w:pPr>
              <w:pStyle w:val="21"/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7630</w:t>
            </w: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6DC58CC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</w:tbl>
    <w:p w14:paraId="580AF1FB"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pacing w:before="157" w:beforeLines="50" w:after="157" w:afterLines="50" w:line="440" w:lineRule="exact"/>
        <w:ind w:right="0" w:rightChars="0" w:firstLine="482" w:firstLineChars="200"/>
        <w:jc w:val="both"/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kern w:val="2"/>
          <w:sz w:val="24"/>
          <w:szCs w:val="24"/>
          <w:lang w:val="en-US" w:eastAsia="zh-CN" w:bidi="ar-SA"/>
        </w:rPr>
        <w:t>七、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其他</w:t>
      </w:r>
    </w:p>
    <w:p w14:paraId="5B98FE19"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pacing w:before="157" w:beforeLines="50" w:after="157" w:afterLines="50" w:line="440" w:lineRule="exact"/>
        <w:ind w:right="0" w:rightChars="0" w:firstLine="480" w:firstLineChars="200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（一）主要材料、设备品牌选定表</w:t>
      </w:r>
    </w:p>
    <w:tbl>
      <w:tblPr>
        <w:tblStyle w:val="9"/>
        <w:tblpPr w:leftFromText="180" w:rightFromText="180" w:vertAnchor="text" w:horzAnchor="page" w:tblpX="1244" w:tblpY="611"/>
        <w:tblOverlap w:val="never"/>
        <w:tblW w:w="988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2820"/>
        <w:gridCol w:w="4545"/>
        <w:gridCol w:w="1440"/>
      </w:tblGrid>
      <w:tr w14:paraId="7577ED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9885" w:type="dxa"/>
            <w:gridSpan w:val="4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2F4D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镇海区文物保护点同义医院旧址装修工程材料品牌表</w:t>
            </w:r>
          </w:p>
        </w:tc>
      </w:tr>
      <w:tr w14:paraId="50FF5D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51BE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序号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E0FB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材料名称</w:t>
            </w:r>
          </w:p>
        </w:tc>
        <w:tc>
          <w:tcPr>
            <w:tcW w:w="4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3957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参考品牌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3544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备注</w:t>
            </w:r>
          </w:p>
        </w:tc>
      </w:tr>
      <w:tr w14:paraId="0A21C4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23D85E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一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E92AD8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土建装修工程</w:t>
            </w:r>
          </w:p>
        </w:tc>
        <w:tc>
          <w:tcPr>
            <w:tcW w:w="4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D6241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9A139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</w:tr>
      <w:tr w14:paraId="0F20AC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10A84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1E8891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防水材料</w:t>
            </w:r>
          </w:p>
        </w:tc>
        <w:tc>
          <w:tcPr>
            <w:tcW w:w="4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B9826B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东方雨虹、科顺、金筑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210596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</w:tr>
      <w:tr w14:paraId="385B8B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8B3875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2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32810D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瓷砖</w:t>
            </w:r>
          </w:p>
        </w:tc>
        <w:tc>
          <w:tcPr>
            <w:tcW w:w="4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2AF2D9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冠珠、马可波罗、能强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BE7CC3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</w:tr>
      <w:tr w14:paraId="4F59C8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8FB444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3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DBAF94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石膏板及轻钢龙骨</w:t>
            </w:r>
          </w:p>
        </w:tc>
        <w:tc>
          <w:tcPr>
            <w:tcW w:w="4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7BB707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龙牌、可耐福、杰科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EA008C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</w:tr>
      <w:tr w14:paraId="544298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FA92E0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4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7FD035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矿棉板</w:t>
            </w:r>
          </w:p>
        </w:tc>
        <w:tc>
          <w:tcPr>
            <w:tcW w:w="4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7BA64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龙牌、爱孚、杰科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89EF34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</w:tr>
      <w:tr w14:paraId="2A48D9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0C8B5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5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C1EA7C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无机涂料</w:t>
            </w:r>
          </w:p>
        </w:tc>
        <w:tc>
          <w:tcPr>
            <w:tcW w:w="4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DD47A8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华润、多乐士、立邦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9FC705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</w:tr>
      <w:tr w14:paraId="05B3F6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F251B4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6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83E6D7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乳胶漆</w:t>
            </w:r>
          </w:p>
        </w:tc>
        <w:tc>
          <w:tcPr>
            <w:tcW w:w="4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0D6BD0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华润、多乐士、立邦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971128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</w:tr>
      <w:tr w14:paraId="5E33C9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EE8707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7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05FBFD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铝扣板</w:t>
            </w:r>
          </w:p>
        </w:tc>
        <w:tc>
          <w:tcPr>
            <w:tcW w:w="4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E8612C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奥普、友邦、欧陆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0C1F6F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</w:tr>
      <w:tr w14:paraId="12F3AA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FF6A73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8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9E56A0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卫生间隔断</w:t>
            </w:r>
          </w:p>
        </w:tc>
        <w:tc>
          <w:tcPr>
            <w:tcW w:w="4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A3F820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宁波韵格、湖州赛茵、佛山山母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5FB3EB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</w:tr>
      <w:tr w14:paraId="5F7107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744C6F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二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C930E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安装工程</w:t>
            </w:r>
          </w:p>
        </w:tc>
        <w:tc>
          <w:tcPr>
            <w:tcW w:w="4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AF1F18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62F33D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</w:tr>
      <w:tr w14:paraId="2C60E7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0BE61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1C0B65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配电箱元器件</w:t>
            </w:r>
          </w:p>
        </w:tc>
        <w:tc>
          <w:tcPr>
            <w:tcW w:w="4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0E145F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施耐德、ABB、西门子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E6B860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</w:tr>
      <w:tr w14:paraId="13B66F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BA1537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A274B6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电线、电缆</w:t>
            </w:r>
          </w:p>
        </w:tc>
        <w:tc>
          <w:tcPr>
            <w:tcW w:w="4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9FAAE5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宁波东方、杭州中策、宁波球冠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E18B15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</w:tr>
      <w:tr w14:paraId="617C7B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3B106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0A515F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开关、插座</w:t>
            </w:r>
          </w:p>
        </w:tc>
        <w:tc>
          <w:tcPr>
            <w:tcW w:w="4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ECFDC6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西门子远景系列、西蒙50系列、松下宏彩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86CB31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</w:tr>
      <w:tr w14:paraId="77C483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2E7B00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379C3F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灯具</w:t>
            </w:r>
          </w:p>
        </w:tc>
        <w:tc>
          <w:tcPr>
            <w:tcW w:w="4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7FD470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三雄极光、西顿、雷士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211F29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</w:tr>
      <w:tr w14:paraId="118E10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0CD135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C78665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JDG管</w:t>
            </w:r>
          </w:p>
        </w:tc>
        <w:tc>
          <w:tcPr>
            <w:tcW w:w="4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AC2D9A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武陵源、萧通、杭州天一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5B35E3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</w:tr>
      <w:tr w14:paraId="75FDFB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951247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47E33B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SC管</w:t>
            </w:r>
          </w:p>
        </w:tc>
        <w:tc>
          <w:tcPr>
            <w:tcW w:w="4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277C9C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天津利达、浙江金洲、天津友发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3CD5D5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</w:tr>
      <w:tr w14:paraId="710A24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198BE7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AC0051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洁具</w:t>
            </w:r>
          </w:p>
        </w:tc>
        <w:tc>
          <w:tcPr>
            <w:tcW w:w="4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E1F675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恒洁、箭牌、法恩莎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096631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</w:tr>
      <w:tr w14:paraId="54B886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A7E7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0B76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材料名称</w:t>
            </w:r>
          </w:p>
        </w:tc>
        <w:tc>
          <w:tcPr>
            <w:tcW w:w="4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9068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参考品牌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FC8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备注</w:t>
            </w:r>
          </w:p>
        </w:tc>
      </w:tr>
      <w:tr w14:paraId="47DF63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9BDC95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ECE6B6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PVC管</w:t>
            </w:r>
          </w:p>
        </w:tc>
        <w:tc>
          <w:tcPr>
            <w:tcW w:w="4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4ECD07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中财、伟星、公元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C10EC6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</w:tr>
      <w:tr w14:paraId="483264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107D65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306F98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UPVC管</w:t>
            </w:r>
          </w:p>
        </w:tc>
        <w:tc>
          <w:tcPr>
            <w:tcW w:w="4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730259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中财、伟星、公元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472304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</w:tr>
      <w:tr w14:paraId="53E4E6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B11249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0200F4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消防报警设备</w:t>
            </w:r>
          </w:p>
        </w:tc>
        <w:tc>
          <w:tcPr>
            <w:tcW w:w="4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2AA3BD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北大青鸟、海湾、松江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8B61A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</w:tr>
      <w:tr w14:paraId="7FC465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D89683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1203C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消火栓箱</w:t>
            </w:r>
          </w:p>
        </w:tc>
        <w:tc>
          <w:tcPr>
            <w:tcW w:w="4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AFA125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川消、平安、百安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FFBD9E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</w:tr>
      <w:tr w14:paraId="244E61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6C6161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B489F6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空调</w:t>
            </w:r>
          </w:p>
        </w:tc>
        <w:tc>
          <w:tcPr>
            <w:tcW w:w="4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D664C7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美的、海信、海尔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736D76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</w:tr>
      <w:tr w14:paraId="0F46DA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3C8D1A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三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31BF09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智能化</w:t>
            </w:r>
          </w:p>
        </w:tc>
        <w:tc>
          <w:tcPr>
            <w:tcW w:w="4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46335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4EA800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</w:tr>
      <w:tr w14:paraId="6F65AA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9D5576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356868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视频监控</w:t>
            </w:r>
          </w:p>
        </w:tc>
        <w:tc>
          <w:tcPr>
            <w:tcW w:w="4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771E45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海康威视、大华、宇视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E29C3F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</w:tr>
      <w:tr w14:paraId="5841CB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DD4799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7354B2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综合布线系统</w:t>
            </w:r>
          </w:p>
        </w:tc>
        <w:tc>
          <w:tcPr>
            <w:tcW w:w="4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A32FF9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帝一、一舟、普天天纪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4D489D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</w:tr>
      <w:tr w14:paraId="76E151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B3DC22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3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E815A9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计算机网络系统</w:t>
            </w:r>
          </w:p>
        </w:tc>
        <w:tc>
          <w:tcPr>
            <w:tcW w:w="4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7642F2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华为、锐捷、华三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5742AA">
            <w:pPr>
              <w:keepNext w:val="0"/>
              <w:keepLines w:val="0"/>
              <w:pageBreakBefore w:val="0"/>
              <w:widowControl/>
              <w:tabs>
                <w:tab w:val="left" w:pos="3060"/>
                <w:tab w:val="left" w:pos="9180"/>
                <w:tab w:val="left" w:pos="9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</w:tr>
    </w:tbl>
    <w:p w14:paraId="4F6D203B"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auto"/>
        <w:jc w:val="both"/>
        <w:textAlignment w:val="auto"/>
        <w:rPr>
          <w:rFonts w:hint="default" w:ascii="宋体" w:hAnsi="宋体" w:cs="宋体"/>
          <w:b/>
          <w:bCs/>
          <w:sz w:val="24"/>
          <w:szCs w:val="24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14D49D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0DCA4B0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0DCA4B0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76FC653"/>
    <w:multiLevelType w:val="singleLevel"/>
    <w:tmpl w:val="876FC653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C3D3F778"/>
    <w:multiLevelType w:val="singleLevel"/>
    <w:tmpl w:val="C3D3F778"/>
    <w:lvl w:ilvl="0" w:tentative="0">
      <w:start w:val="1"/>
      <w:numFmt w:val="decimal"/>
      <w:suff w:val="nothing"/>
      <w:lvlText w:val="%1．"/>
      <w:lvlJc w:val="left"/>
      <w:pPr>
        <w:ind w:left="-60" w:firstLine="400"/>
      </w:pPr>
      <w:rPr>
        <w:rFonts w:hint="default"/>
      </w:rPr>
    </w:lvl>
  </w:abstractNum>
  <w:abstractNum w:abstractNumId="2">
    <w:nsid w:val="D5899363"/>
    <w:multiLevelType w:val="singleLevel"/>
    <w:tmpl w:val="D5899363"/>
    <w:lvl w:ilvl="0" w:tentative="0">
      <w:start w:val="1"/>
      <w:numFmt w:val="decimal"/>
      <w:suff w:val="nothing"/>
      <w:lvlText w:val="%1．"/>
      <w:lvlJc w:val="left"/>
      <w:pPr>
        <w:ind w:left="-60" w:firstLine="400"/>
      </w:pPr>
      <w:rPr>
        <w:rFonts w:hint="default"/>
      </w:rPr>
    </w:lvl>
  </w:abstractNum>
  <w:abstractNum w:abstractNumId="3">
    <w:nsid w:val="62E134B1"/>
    <w:multiLevelType w:val="singleLevel"/>
    <w:tmpl w:val="62E134B1"/>
    <w:lvl w:ilvl="0" w:tentative="0">
      <w:start w:val="1"/>
      <w:numFmt w:val="decimal"/>
      <w:suff w:val="nothing"/>
      <w:lvlText w:val="%1．"/>
      <w:lvlJc w:val="left"/>
      <w:pPr>
        <w:ind w:left="-60" w:firstLine="4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hkNzU5YjIzYzY4MjZlNDE0MGU4ZTllN2ZlMjY5MmMifQ=="/>
  </w:docVars>
  <w:rsids>
    <w:rsidRoot w:val="00000000"/>
    <w:rsid w:val="00195D4F"/>
    <w:rsid w:val="00416146"/>
    <w:rsid w:val="01020D5D"/>
    <w:rsid w:val="01061C45"/>
    <w:rsid w:val="010A6696"/>
    <w:rsid w:val="012D0479"/>
    <w:rsid w:val="0132211F"/>
    <w:rsid w:val="019C6661"/>
    <w:rsid w:val="019D73E0"/>
    <w:rsid w:val="01C14DC0"/>
    <w:rsid w:val="01DE0F6B"/>
    <w:rsid w:val="01E563B1"/>
    <w:rsid w:val="02025857"/>
    <w:rsid w:val="020360D6"/>
    <w:rsid w:val="0213680B"/>
    <w:rsid w:val="02E41E4C"/>
    <w:rsid w:val="030A62BD"/>
    <w:rsid w:val="030B5F48"/>
    <w:rsid w:val="03441D2E"/>
    <w:rsid w:val="038F06B6"/>
    <w:rsid w:val="03F97F84"/>
    <w:rsid w:val="040A7B50"/>
    <w:rsid w:val="04384206"/>
    <w:rsid w:val="046E0E9B"/>
    <w:rsid w:val="04A54F08"/>
    <w:rsid w:val="04B213C1"/>
    <w:rsid w:val="04D03646"/>
    <w:rsid w:val="0503598B"/>
    <w:rsid w:val="051B0C63"/>
    <w:rsid w:val="05532608"/>
    <w:rsid w:val="056F16E2"/>
    <w:rsid w:val="05791E31"/>
    <w:rsid w:val="05BA0C34"/>
    <w:rsid w:val="06190FCC"/>
    <w:rsid w:val="062027B7"/>
    <w:rsid w:val="06712BB6"/>
    <w:rsid w:val="06C35B89"/>
    <w:rsid w:val="06CB3A5C"/>
    <w:rsid w:val="06D15172"/>
    <w:rsid w:val="06EB2968"/>
    <w:rsid w:val="07416142"/>
    <w:rsid w:val="076170CE"/>
    <w:rsid w:val="07A71E69"/>
    <w:rsid w:val="07D15CB1"/>
    <w:rsid w:val="08165CC0"/>
    <w:rsid w:val="081E5554"/>
    <w:rsid w:val="08BA0844"/>
    <w:rsid w:val="093634E4"/>
    <w:rsid w:val="093C190F"/>
    <w:rsid w:val="096C53F0"/>
    <w:rsid w:val="09F97895"/>
    <w:rsid w:val="0A1977EC"/>
    <w:rsid w:val="0A334D52"/>
    <w:rsid w:val="0A621193"/>
    <w:rsid w:val="0A917B7E"/>
    <w:rsid w:val="0A9F5B75"/>
    <w:rsid w:val="0ACF625E"/>
    <w:rsid w:val="0B04501D"/>
    <w:rsid w:val="0B1B27C7"/>
    <w:rsid w:val="0B247CFF"/>
    <w:rsid w:val="0B812EF1"/>
    <w:rsid w:val="0B8B64C8"/>
    <w:rsid w:val="0BD53BE7"/>
    <w:rsid w:val="0C4D7C21"/>
    <w:rsid w:val="0C8A1EC9"/>
    <w:rsid w:val="0C8E27C5"/>
    <w:rsid w:val="0CEC0F65"/>
    <w:rsid w:val="0CF70644"/>
    <w:rsid w:val="0D7F6A36"/>
    <w:rsid w:val="0DC61A39"/>
    <w:rsid w:val="0E0E784B"/>
    <w:rsid w:val="0E311C1A"/>
    <w:rsid w:val="0E625C06"/>
    <w:rsid w:val="0EEE08C2"/>
    <w:rsid w:val="0F3D21CF"/>
    <w:rsid w:val="0F5F37D2"/>
    <w:rsid w:val="0FB47185"/>
    <w:rsid w:val="0FC76B6D"/>
    <w:rsid w:val="10172CC6"/>
    <w:rsid w:val="10B627E3"/>
    <w:rsid w:val="10F43BAB"/>
    <w:rsid w:val="111B02EE"/>
    <w:rsid w:val="11245DB1"/>
    <w:rsid w:val="114871DC"/>
    <w:rsid w:val="11B95824"/>
    <w:rsid w:val="11F82237"/>
    <w:rsid w:val="12141C6F"/>
    <w:rsid w:val="125630B1"/>
    <w:rsid w:val="12A93FE9"/>
    <w:rsid w:val="13063B33"/>
    <w:rsid w:val="13283533"/>
    <w:rsid w:val="132F7828"/>
    <w:rsid w:val="133D556E"/>
    <w:rsid w:val="13CA1881"/>
    <w:rsid w:val="13E2121A"/>
    <w:rsid w:val="13E40E6B"/>
    <w:rsid w:val="13F310AE"/>
    <w:rsid w:val="140230AC"/>
    <w:rsid w:val="14656B83"/>
    <w:rsid w:val="148423CD"/>
    <w:rsid w:val="14B60A59"/>
    <w:rsid w:val="151E7C27"/>
    <w:rsid w:val="153B5642"/>
    <w:rsid w:val="158D1526"/>
    <w:rsid w:val="15C756E8"/>
    <w:rsid w:val="160828CE"/>
    <w:rsid w:val="16315B73"/>
    <w:rsid w:val="169B7B1A"/>
    <w:rsid w:val="17444065"/>
    <w:rsid w:val="179473D6"/>
    <w:rsid w:val="17B977CB"/>
    <w:rsid w:val="17D15F4F"/>
    <w:rsid w:val="17FA18F1"/>
    <w:rsid w:val="185A16FC"/>
    <w:rsid w:val="18695DE3"/>
    <w:rsid w:val="187F73B4"/>
    <w:rsid w:val="18C41A94"/>
    <w:rsid w:val="18C82B09"/>
    <w:rsid w:val="18CF6F94"/>
    <w:rsid w:val="18D07C10"/>
    <w:rsid w:val="192F38C3"/>
    <w:rsid w:val="19351C51"/>
    <w:rsid w:val="19B76A0F"/>
    <w:rsid w:val="19E732D7"/>
    <w:rsid w:val="1A33304D"/>
    <w:rsid w:val="1A8769F4"/>
    <w:rsid w:val="1AFD2812"/>
    <w:rsid w:val="1B281A13"/>
    <w:rsid w:val="1B6503FB"/>
    <w:rsid w:val="1B693061"/>
    <w:rsid w:val="1BAB450E"/>
    <w:rsid w:val="1BFA05BD"/>
    <w:rsid w:val="1C495EF8"/>
    <w:rsid w:val="1C5B5A42"/>
    <w:rsid w:val="1C721AD9"/>
    <w:rsid w:val="1C9F4780"/>
    <w:rsid w:val="1CA94A00"/>
    <w:rsid w:val="1D9527EF"/>
    <w:rsid w:val="1E28404A"/>
    <w:rsid w:val="1E715474"/>
    <w:rsid w:val="1E7A1067"/>
    <w:rsid w:val="1E7C4779"/>
    <w:rsid w:val="1E963CF0"/>
    <w:rsid w:val="1F4C58FB"/>
    <w:rsid w:val="1F5979A4"/>
    <w:rsid w:val="204C4BD5"/>
    <w:rsid w:val="206C6131"/>
    <w:rsid w:val="213A573E"/>
    <w:rsid w:val="217D6E9C"/>
    <w:rsid w:val="2221328A"/>
    <w:rsid w:val="226221B2"/>
    <w:rsid w:val="228201CD"/>
    <w:rsid w:val="22B14DEE"/>
    <w:rsid w:val="23290648"/>
    <w:rsid w:val="237910DC"/>
    <w:rsid w:val="23E66539"/>
    <w:rsid w:val="24092228"/>
    <w:rsid w:val="244F0DF3"/>
    <w:rsid w:val="24A106B2"/>
    <w:rsid w:val="24D63D93"/>
    <w:rsid w:val="24E36B23"/>
    <w:rsid w:val="251D6476"/>
    <w:rsid w:val="254A2AF8"/>
    <w:rsid w:val="259541AA"/>
    <w:rsid w:val="25C94365"/>
    <w:rsid w:val="25E76540"/>
    <w:rsid w:val="26321F0A"/>
    <w:rsid w:val="265956E8"/>
    <w:rsid w:val="266B330A"/>
    <w:rsid w:val="267925D6"/>
    <w:rsid w:val="267D1EDD"/>
    <w:rsid w:val="269B7B47"/>
    <w:rsid w:val="27AD4B6A"/>
    <w:rsid w:val="28862099"/>
    <w:rsid w:val="28E16DF2"/>
    <w:rsid w:val="28F12487"/>
    <w:rsid w:val="28FF43CC"/>
    <w:rsid w:val="29040424"/>
    <w:rsid w:val="29047631"/>
    <w:rsid w:val="29194CBB"/>
    <w:rsid w:val="292E0DF7"/>
    <w:rsid w:val="29932E73"/>
    <w:rsid w:val="29C33E2C"/>
    <w:rsid w:val="2A1773C4"/>
    <w:rsid w:val="2A2318A5"/>
    <w:rsid w:val="2A992557"/>
    <w:rsid w:val="2AD90BA6"/>
    <w:rsid w:val="2AE1634E"/>
    <w:rsid w:val="2B230073"/>
    <w:rsid w:val="2BB261C7"/>
    <w:rsid w:val="2C0A710E"/>
    <w:rsid w:val="2CAF7914"/>
    <w:rsid w:val="2CE95122"/>
    <w:rsid w:val="2D2C20F4"/>
    <w:rsid w:val="2D436CDC"/>
    <w:rsid w:val="2D5258C5"/>
    <w:rsid w:val="2D5D0F17"/>
    <w:rsid w:val="2DAA05D8"/>
    <w:rsid w:val="2DC01C4C"/>
    <w:rsid w:val="2DF92453"/>
    <w:rsid w:val="2E035F31"/>
    <w:rsid w:val="2E193CDD"/>
    <w:rsid w:val="2E716833"/>
    <w:rsid w:val="2E741B80"/>
    <w:rsid w:val="2E842C1C"/>
    <w:rsid w:val="2F1258C9"/>
    <w:rsid w:val="2F2B37C9"/>
    <w:rsid w:val="2F6125CE"/>
    <w:rsid w:val="2F86354C"/>
    <w:rsid w:val="2FC22262"/>
    <w:rsid w:val="2FF965E7"/>
    <w:rsid w:val="300909CE"/>
    <w:rsid w:val="3036064F"/>
    <w:rsid w:val="307E58CF"/>
    <w:rsid w:val="308B46F0"/>
    <w:rsid w:val="308E2F26"/>
    <w:rsid w:val="309E48F1"/>
    <w:rsid w:val="30D00355"/>
    <w:rsid w:val="31191EE5"/>
    <w:rsid w:val="312C0A9F"/>
    <w:rsid w:val="312F7772"/>
    <w:rsid w:val="314A68F7"/>
    <w:rsid w:val="319E0453"/>
    <w:rsid w:val="31B96DC6"/>
    <w:rsid w:val="31C01BE6"/>
    <w:rsid w:val="31D716F6"/>
    <w:rsid w:val="31FE3F62"/>
    <w:rsid w:val="3207249C"/>
    <w:rsid w:val="3227669B"/>
    <w:rsid w:val="32625925"/>
    <w:rsid w:val="326B0372"/>
    <w:rsid w:val="326C2932"/>
    <w:rsid w:val="326D4BB6"/>
    <w:rsid w:val="32F74BB3"/>
    <w:rsid w:val="33641B84"/>
    <w:rsid w:val="33913B4A"/>
    <w:rsid w:val="340C2C3B"/>
    <w:rsid w:val="342A4C6E"/>
    <w:rsid w:val="344332B9"/>
    <w:rsid w:val="34732836"/>
    <w:rsid w:val="34BF4B08"/>
    <w:rsid w:val="34D93DEB"/>
    <w:rsid w:val="34EA749D"/>
    <w:rsid w:val="34F34F5A"/>
    <w:rsid w:val="35571895"/>
    <w:rsid w:val="356F24A2"/>
    <w:rsid w:val="36730904"/>
    <w:rsid w:val="36826596"/>
    <w:rsid w:val="36AA6985"/>
    <w:rsid w:val="36B06B4A"/>
    <w:rsid w:val="37297FB2"/>
    <w:rsid w:val="375025F7"/>
    <w:rsid w:val="37632ACC"/>
    <w:rsid w:val="37647E93"/>
    <w:rsid w:val="379C28CE"/>
    <w:rsid w:val="379D2F98"/>
    <w:rsid w:val="37F27E79"/>
    <w:rsid w:val="38076145"/>
    <w:rsid w:val="38123F1F"/>
    <w:rsid w:val="38D9478D"/>
    <w:rsid w:val="38F013FC"/>
    <w:rsid w:val="38F62C4B"/>
    <w:rsid w:val="3959294F"/>
    <w:rsid w:val="399B6614"/>
    <w:rsid w:val="39AE0D0F"/>
    <w:rsid w:val="39D71ABF"/>
    <w:rsid w:val="39DF18EF"/>
    <w:rsid w:val="3A12159E"/>
    <w:rsid w:val="3A391D9E"/>
    <w:rsid w:val="3A9C574C"/>
    <w:rsid w:val="3AC9563D"/>
    <w:rsid w:val="3B195308"/>
    <w:rsid w:val="3BA76D7A"/>
    <w:rsid w:val="3BB17D38"/>
    <w:rsid w:val="3BBB1CFC"/>
    <w:rsid w:val="3C447BAE"/>
    <w:rsid w:val="3C9506A5"/>
    <w:rsid w:val="3CB43533"/>
    <w:rsid w:val="3D377E63"/>
    <w:rsid w:val="3D7C0D3B"/>
    <w:rsid w:val="3D8C4A55"/>
    <w:rsid w:val="3DB039E8"/>
    <w:rsid w:val="3E2241BA"/>
    <w:rsid w:val="3E421C82"/>
    <w:rsid w:val="3E4660FB"/>
    <w:rsid w:val="3E6A30FB"/>
    <w:rsid w:val="3E7130BE"/>
    <w:rsid w:val="3EE31B9B"/>
    <w:rsid w:val="3F2F1164"/>
    <w:rsid w:val="3F3344A4"/>
    <w:rsid w:val="3F580405"/>
    <w:rsid w:val="3F724CCD"/>
    <w:rsid w:val="3FB7059C"/>
    <w:rsid w:val="3FBB0422"/>
    <w:rsid w:val="3FC5359D"/>
    <w:rsid w:val="3FE84ADE"/>
    <w:rsid w:val="400A2EFA"/>
    <w:rsid w:val="400C718A"/>
    <w:rsid w:val="4014285B"/>
    <w:rsid w:val="408A22F4"/>
    <w:rsid w:val="40E20083"/>
    <w:rsid w:val="40E6470D"/>
    <w:rsid w:val="40EB495D"/>
    <w:rsid w:val="414F5D9A"/>
    <w:rsid w:val="4162149D"/>
    <w:rsid w:val="41780CC1"/>
    <w:rsid w:val="41AF2EEA"/>
    <w:rsid w:val="41D91034"/>
    <w:rsid w:val="41E47423"/>
    <w:rsid w:val="41FC6FBF"/>
    <w:rsid w:val="426F2C6B"/>
    <w:rsid w:val="427D73D7"/>
    <w:rsid w:val="429F41F9"/>
    <w:rsid w:val="42A259B8"/>
    <w:rsid w:val="42BC2FBE"/>
    <w:rsid w:val="42E15426"/>
    <w:rsid w:val="430C479A"/>
    <w:rsid w:val="431C1B20"/>
    <w:rsid w:val="438173F0"/>
    <w:rsid w:val="439B4F4A"/>
    <w:rsid w:val="447C2876"/>
    <w:rsid w:val="44B00772"/>
    <w:rsid w:val="44FD4928"/>
    <w:rsid w:val="4517532B"/>
    <w:rsid w:val="45D71722"/>
    <w:rsid w:val="45F36B68"/>
    <w:rsid w:val="45FF098E"/>
    <w:rsid w:val="466628BC"/>
    <w:rsid w:val="46BC1650"/>
    <w:rsid w:val="46C1610E"/>
    <w:rsid w:val="46F016E4"/>
    <w:rsid w:val="47122EAF"/>
    <w:rsid w:val="47335CEC"/>
    <w:rsid w:val="475C0D01"/>
    <w:rsid w:val="478657BA"/>
    <w:rsid w:val="47895BBF"/>
    <w:rsid w:val="47A3011A"/>
    <w:rsid w:val="48744E5A"/>
    <w:rsid w:val="48AA4286"/>
    <w:rsid w:val="48E51A27"/>
    <w:rsid w:val="493E44BA"/>
    <w:rsid w:val="49953906"/>
    <w:rsid w:val="499E6DEB"/>
    <w:rsid w:val="49D26C4C"/>
    <w:rsid w:val="4A563B69"/>
    <w:rsid w:val="4A761237"/>
    <w:rsid w:val="4A9D50BC"/>
    <w:rsid w:val="4B230580"/>
    <w:rsid w:val="4B735BC4"/>
    <w:rsid w:val="4B8E2CFD"/>
    <w:rsid w:val="4C6C31D0"/>
    <w:rsid w:val="4C7E4CB1"/>
    <w:rsid w:val="4CF15D17"/>
    <w:rsid w:val="4D13189E"/>
    <w:rsid w:val="4DCB074C"/>
    <w:rsid w:val="4DEA3AF6"/>
    <w:rsid w:val="4E2448D2"/>
    <w:rsid w:val="4E2A17C2"/>
    <w:rsid w:val="4E787E05"/>
    <w:rsid w:val="4E8E0EE5"/>
    <w:rsid w:val="4E9F3BB6"/>
    <w:rsid w:val="4EB8285C"/>
    <w:rsid w:val="4ECE5480"/>
    <w:rsid w:val="4EF31987"/>
    <w:rsid w:val="4EFE4FDC"/>
    <w:rsid w:val="4FF83E88"/>
    <w:rsid w:val="50025BF9"/>
    <w:rsid w:val="500656EA"/>
    <w:rsid w:val="50197F93"/>
    <w:rsid w:val="501F4A04"/>
    <w:rsid w:val="505442BE"/>
    <w:rsid w:val="50A70A20"/>
    <w:rsid w:val="50AB136A"/>
    <w:rsid w:val="50FF1A3F"/>
    <w:rsid w:val="51060881"/>
    <w:rsid w:val="51704F96"/>
    <w:rsid w:val="51E13EEF"/>
    <w:rsid w:val="51F577C4"/>
    <w:rsid w:val="51F97DA8"/>
    <w:rsid w:val="52383385"/>
    <w:rsid w:val="524349D3"/>
    <w:rsid w:val="524F6239"/>
    <w:rsid w:val="52925A6B"/>
    <w:rsid w:val="52A2453C"/>
    <w:rsid w:val="52DB72DA"/>
    <w:rsid w:val="52F363B1"/>
    <w:rsid w:val="52FB4835"/>
    <w:rsid w:val="534722A1"/>
    <w:rsid w:val="53501367"/>
    <w:rsid w:val="537A1ABA"/>
    <w:rsid w:val="53831724"/>
    <w:rsid w:val="53A14B98"/>
    <w:rsid w:val="53B75E4C"/>
    <w:rsid w:val="541303D5"/>
    <w:rsid w:val="54292904"/>
    <w:rsid w:val="548D0188"/>
    <w:rsid w:val="54994D7E"/>
    <w:rsid w:val="54A96376"/>
    <w:rsid w:val="54BB4527"/>
    <w:rsid w:val="55061CE8"/>
    <w:rsid w:val="55135DB0"/>
    <w:rsid w:val="552F123F"/>
    <w:rsid w:val="554C54E6"/>
    <w:rsid w:val="554F2037"/>
    <w:rsid w:val="559D2ABC"/>
    <w:rsid w:val="55A202A1"/>
    <w:rsid w:val="55EA6E00"/>
    <w:rsid w:val="55EE3FDD"/>
    <w:rsid w:val="5613290E"/>
    <w:rsid w:val="56463CD6"/>
    <w:rsid w:val="56494582"/>
    <w:rsid w:val="5668400E"/>
    <w:rsid w:val="56BA698C"/>
    <w:rsid w:val="57443969"/>
    <w:rsid w:val="5760035E"/>
    <w:rsid w:val="5793089A"/>
    <w:rsid w:val="57CA16F3"/>
    <w:rsid w:val="57DF5C35"/>
    <w:rsid w:val="57EA4116"/>
    <w:rsid w:val="58183002"/>
    <w:rsid w:val="58341D19"/>
    <w:rsid w:val="587748DE"/>
    <w:rsid w:val="58A73AB5"/>
    <w:rsid w:val="59192809"/>
    <w:rsid w:val="59840144"/>
    <w:rsid w:val="5A192428"/>
    <w:rsid w:val="5A4237C2"/>
    <w:rsid w:val="5A5D554E"/>
    <w:rsid w:val="5A994B13"/>
    <w:rsid w:val="5AD64032"/>
    <w:rsid w:val="5AD72A0F"/>
    <w:rsid w:val="5AD75159"/>
    <w:rsid w:val="5B001168"/>
    <w:rsid w:val="5B5E5F07"/>
    <w:rsid w:val="5BBE50CA"/>
    <w:rsid w:val="5BD132E5"/>
    <w:rsid w:val="5C1C5B82"/>
    <w:rsid w:val="5C3944BD"/>
    <w:rsid w:val="5C693B04"/>
    <w:rsid w:val="5D2350B6"/>
    <w:rsid w:val="5D4122AD"/>
    <w:rsid w:val="5E257683"/>
    <w:rsid w:val="5E3E69C4"/>
    <w:rsid w:val="5ECB2F92"/>
    <w:rsid w:val="5F22656A"/>
    <w:rsid w:val="5F64096F"/>
    <w:rsid w:val="5F6B0A74"/>
    <w:rsid w:val="5F725BE4"/>
    <w:rsid w:val="5F8B1FD2"/>
    <w:rsid w:val="5F977853"/>
    <w:rsid w:val="5FE673A6"/>
    <w:rsid w:val="600D3929"/>
    <w:rsid w:val="6054589A"/>
    <w:rsid w:val="60B90AA5"/>
    <w:rsid w:val="60CF16E3"/>
    <w:rsid w:val="6151138E"/>
    <w:rsid w:val="617654D7"/>
    <w:rsid w:val="61C93DB3"/>
    <w:rsid w:val="61ED04B8"/>
    <w:rsid w:val="61F66BFE"/>
    <w:rsid w:val="6200468F"/>
    <w:rsid w:val="621F4CEC"/>
    <w:rsid w:val="622F6687"/>
    <w:rsid w:val="628250A4"/>
    <w:rsid w:val="62F7504B"/>
    <w:rsid w:val="63045044"/>
    <w:rsid w:val="63462575"/>
    <w:rsid w:val="637515E3"/>
    <w:rsid w:val="63A15368"/>
    <w:rsid w:val="63C17057"/>
    <w:rsid w:val="640F6E0B"/>
    <w:rsid w:val="641A28B6"/>
    <w:rsid w:val="645774DD"/>
    <w:rsid w:val="65366998"/>
    <w:rsid w:val="65C900C9"/>
    <w:rsid w:val="65D51D4C"/>
    <w:rsid w:val="65D74B1E"/>
    <w:rsid w:val="667F096A"/>
    <w:rsid w:val="66C12B16"/>
    <w:rsid w:val="66C739CD"/>
    <w:rsid w:val="66CD28D3"/>
    <w:rsid w:val="6766674A"/>
    <w:rsid w:val="67880147"/>
    <w:rsid w:val="67B75096"/>
    <w:rsid w:val="67D615E7"/>
    <w:rsid w:val="67EE00AC"/>
    <w:rsid w:val="680C22B7"/>
    <w:rsid w:val="682D233F"/>
    <w:rsid w:val="68422BEB"/>
    <w:rsid w:val="684A7DA3"/>
    <w:rsid w:val="68585668"/>
    <w:rsid w:val="686C5571"/>
    <w:rsid w:val="68A978D6"/>
    <w:rsid w:val="68DE290F"/>
    <w:rsid w:val="68FC472E"/>
    <w:rsid w:val="690060DE"/>
    <w:rsid w:val="690D143F"/>
    <w:rsid w:val="694210DA"/>
    <w:rsid w:val="6A132A85"/>
    <w:rsid w:val="6A22716C"/>
    <w:rsid w:val="6A4C4D11"/>
    <w:rsid w:val="6A7C7494"/>
    <w:rsid w:val="6A99742E"/>
    <w:rsid w:val="6B013226"/>
    <w:rsid w:val="6B2D7B77"/>
    <w:rsid w:val="6B8365F4"/>
    <w:rsid w:val="6BB63F7A"/>
    <w:rsid w:val="6BD83993"/>
    <w:rsid w:val="6C0B435C"/>
    <w:rsid w:val="6C330EF7"/>
    <w:rsid w:val="6C821EF8"/>
    <w:rsid w:val="6C871509"/>
    <w:rsid w:val="6CA125CA"/>
    <w:rsid w:val="6CB01376"/>
    <w:rsid w:val="6CC10EBE"/>
    <w:rsid w:val="6CE2391E"/>
    <w:rsid w:val="6D315E7F"/>
    <w:rsid w:val="6D5C3BD4"/>
    <w:rsid w:val="6DB1178F"/>
    <w:rsid w:val="6DB91B96"/>
    <w:rsid w:val="6DC50917"/>
    <w:rsid w:val="6DE70BD3"/>
    <w:rsid w:val="6E081B46"/>
    <w:rsid w:val="6E733701"/>
    <w:rsid w:val="6E96308F"/>
    <w:rsid w:val="6ED35D38"/>
    <w:rsid w:val="6EDB30F8"/>
    <w:rsid w:val="6F086F15"/>
    <w:rsid w:val="6FF9179F"/>
    <w:rsid w:val="703C24B2"/>
    <w:rsid w:val="703C5CC6"/>
    <w:rsid w:val="70711D69"/>
    <w:rsid w:val="708C5A34"/>
    <w:rsid w:val="709E37BC"/>
    <w:rsid w:val="70FF514E"/>
    <w:rsid w:val="7141437C"/>
    <w:rsid w:val="716526C9"/>
    <w:rsid w:val="71784E08"/>
    <w:rsid w:val="71FD4747"/>
    <w:rsid w:val="720915E0"/>
    <w:rsid w:val="721F10D7"/>
    <w:rsid w:val="72AC4A0D"/>
    <w:rsid w:val="72F663D7"/>
    <w:rsid w:val="72F7009E"/>
    <w:rsid w:val="72F845EA"/>
    <w:rsid w:val="730166A9"/>
    <w:rsid w:val="7302249B"/>
    <w:rsid w:val="73100AD4"/>
    <w:rsid w:val="734606F9"/>
    <w:rsid w:val="739C3AEB"/>
    <w:rsid w:val="73DE468E"/>
    <w:rsid w:val="73F456D6"/>
    <w:rsid w:val="740E029D"/>
    <w:rsid w:val="7416776C"/>
    <w:rsid w:val="742F4960"/>
    <w:rsid w:val="74847ED1"/>
    <w:rsid w:val="74A816DC"/>
    <w:rsid w:val="74D13429"/>
    <w:rsid w:val="75071AFD"/>
    <w:rsid w:val="752F6F12"/>
    <w:rsid w:val="753A1B70"/>
    <w:rsid w:val="756A4080"/>
    <w:rsid w:val="758C2EAA"/>
    <w:rsid w:val="75956A44"/>
    <w:rsid w:val="75B01B84"/>
    <w:rsid w:val="75B30E83"/>
    <w:rsid w:val="75E94F2B"/>
    <w:rsid w:val="760D71EE"/>
    <w:rsid w:val="76326B6D"/>
    <w:rsid w:val="763F0E68"/>
    <w:rsid w:val="76C375E1"/>
    <w:rsid w:val="76C577FD"/>
    <w:rsid w:val="772B60BB"/>
    <w:rsid w:val="776E1DF2"/>
    <w:rsid w:val="77716D58"/>
    <w:rsid w:val="77814588"/>
    <w:rsid w:val="77977119"/>
    <w:rsid w:val="77C6069A"/>
    <w:rsid w:val="77D07A65"/>
    <w:rsid w:val="78084B5D"/>
    <w:rsid w:val="782E5BD8"/>
    <w:rsid w:val="78420299"/>
    <w:rsid w:val="78CC104F"/>
    <w:rsid w:val="78E76E17"/>
    <w:rsid w:val="79587DF2"/>
    <w:rsid w:val="799E680F"/>
    <w:rsid w:val="79E524A3"/>
    <w:rsid w:val="7A100D8F"/>
    <w:rsid w:val="7A1A1321"/>
    <w:rsid w:val="7A25204A"/>
    <w:rsid w:val="7A5A62B5"/>
    <w:rsid w:val="7B0D6926"/>
    <w:rsid w:val="7B2E286B"/>
    <w:rsid w:val="7B717814"/>
    <w:rsid w:val="7B7700B4"/>
    <w:rsid w:val="7B784E3E"/>
    <w:rsid w:val="7BF87D2D"/>
    <w:rsid w:val="7C082879"/>
    <w:rsid w:val="7C4F37CE"/>
    <w:rsid w:val="7CA330C2"/>
    <w:rsid w:val="7CA659DB"/>
    <w:rsid w:val="7D04294A"/>
    <w:rsid w:val="7D31799A"/>
    <w:rsid w:val="7D381BBC"/>
    <w:rsid w:val="7D474CE0"/>
    <w:rsid w:val="7D584F27"/>
    <w:rsid w:val="7D9046C1"/>
    <w:rsid w:val="7DFA4230"/>
    <w:rsid w:val="7E4E00D8"/>
    <w:rsid w:val="7E625B19"/>
    <w:rsid w:val="7E8333CB"/>
    <w:rsid w:val="7EA215D9"/>
    <w:rsid w:val="7EAE4633"/>
    <w:rsid w:val="7ECC241D"/>
    <w:rsid w:val="7F9D4E73"/>
    <w:rsid w:val="7FA91A6A"/>
    <w:rsid w:val="7FC90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0"/>
    <w:pPr>
      <w:spacing w:beforeLines="0" w:afterLines="0"/>
      <w:ind w:firstLine="420"/>
    </w:pPr>
    <w:rPr>
      <w:rFonts w:hint="default"/>
      <w:sz w:val="28"/>
      <w:szCs w:val="24"/>
    </w:rPr>
  </w:style>
  <w:style w:type="paragraph" w:styleId="3">
    <w:name w:val="Body Text Indent"/>
    <w:basedOn w:val="1"/>
    <w:next w:val="1"/>
    <w:unhideWhenUsed/>
    <w:qFormat/>
    <w:uiPriority w:val="0"/>
    <w:pPr>
      <w:spacing w:beforeLines="0" w:afterLines="0" w:line="360" w:lineRule="auto"/>
      <w:ind w:firstLine="200" w:firstLineChars="200"/>
    </w:pPr>
    <w:rPr>
      <w:rFonts w:hint="default"/>
      <w:sz w:val="28"/>
      <w:szCs w:val="24"/>
    </w:r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toc 1"/>
    <w:basedOn w:val="1"/>
    <w:next w:val="1"/>
    <w:qFormat/>
    <w:uiPriority w:val="0"/>
    <w:pPr>
      <w:tabs>
        <w:tab w:val="left" w:pos="1200"/>
        <w:tab w:val="right" w:leader="dot" w:pos="8296"/>
      </w:tabs>
    </w:pPr>
    <w:rPr>
      <w:rFonts w:ascii="Times New Roman" w:hAnsi="Times New Roman"/>
      <w:szCs w:val="20"/>
    </w:rPr>
  </w:style>
  <w:style w:type="paragraph" w:styleId="8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2">
    <w:name w:val="List Paragraph"/>
    <w:basedOn w:val="1"/>
    <w:qFormat/>
    <w:uiPriority w:val="99"/>
    <w:pPr>
      <w:ind w:firstLine="420" w:firstLineChars="200"/>
    </w:pPr>
  </w:style>
  <w:style w:type="paragraph" w:customStyle="1" w:styleId="13">
    <w:name w:val="段"/>
    <w:next w:val="1"/>
    <w:qFormat/>
    <w:uiPriority w:val="99"/>
    <w:pPr>
      <w:autoSpaceDE w:val="0"/>
      <w:autoSpaceDN w:val="0"/>
      <w:ind w:firstLine="200"/>
      <w:jc w:val="both"/>
    </w:pPr>
    <w:rPr>
      <w:rFonts w:ascii="宋体" w:hAnsi="Times New Roman" w:eastAsia="宋体" w:cs="宋体"/>
      <w:sz w:val="21"/>
      <w:szCs w:val="21"/>
      <w:lang w:val="en-US" w:eastAsia="zh-CN" w:bidi="ar-SA"/>
    </w:rPr>
  </w:style>
  <w:style w:type="paragraph" w:customStyle="1" w:styleId="14">
    <w:name w:val="列出段落1"/>
    <w:basedOn w:val="1"/>
    <w:qFormat/>
    <w:uiPriority w:val="0"/>
    <w:pPr>
      <w:ind w:firstLine="200" w:firstLineChars="200"/>
    </w:pPr>
  </w:style>
  <w:style w:type="paragraph" w:customStyle="1" w:styleId="15">
    <w:name w:val="目录 32"/>
    <w:next w:val="1"/>
    <w:qFormat/>
    <w:uiPriority w:val="0"/>
    <w:pPr>
      <w:wordWrap w:val="0"/>
      <w:ind w:left="425"/>
      <w:jc w:val="both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customStyle="1" w:styleId="16">
    <w:name w:val="font01"/>
    <w:basedOn w:val="11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7">
    <w:name w:val="font112"/>
    <w:basedOn w:val="11"/>
    <w:qFormat/>
    <w:uiPriority w:val="0"/>
    <w:rPr>
      <w:rFonts w:ascii="Calibri" w:hAnsi="Calibri" w:cs="Calibri"/>
      <w:color w:val="000000"/>
      <w:sz w:val="22"/>
      <w:szCs w:val="22"/>
      <w:u w:val="none"/>
    </w:rPr>
  </w:style>
  <w:style w:type="character" w:customStyle="1" w:styleId="18">
    <w:name w:val="font121"/>
    <w:basedOn w:val="11"/>
    <w:qFormat/>
    <w:uiPriority w:val="0"/>
    <w:rPr>
      <w:rFonts w:hint="default" w:ascii="Calibri" w:hAnsi="Calibri" w:cs="Calibri"/>
      <w:color w:val="FF0000"/>
      <w:sz w:val="24"/>
      <w:szCs w:val="24"/>
      <w:u w:val="none"/>
    </w:rPr>
  </w:style>
  <w:style w:type="paragraph" w:customStyle="1" w:styleId="19">
    <w:name w:val="_Style 3"/>
    <w:basedOn w:val="1"/>
    <w:qFormat/>
    <w:uiPriority w:val="99"/>
    <w:pPr>
      <w:ind w:firstLine="420" w:firstLineChars="200"/>
    </w:pPr>
  </w:style>
  <w:style w:type="paragraph" w:customStyle="1" w:styleId="20">
    <w:name w:val="Default"/>
    <w:qFormat/>
    <w:uiPriority w:val="99"/>
    <w:pPr>
      <w:widowControl w:val="0"/>
      <w:autoSpaceDE w:val="0"/>
      <w:autoSpaceDN w:val="0"/>
      <w:adjustRightInd w:val="0"/>
    </w:pPr>
    <w:rPr>
      <w:rFonts w:ascii="楷体" w:hAnsi="Times New Roman" w:eastAsia="楷体" w:cs="楷体"/>
      <w:color w:val="000000"/>
      <w:sz w:val="24"/>
      <w:szCs w:val="24"/>
      <w:lang w:val="en-US" w:eastAsia="zh-CN" w:bidi="ar-SA"/>
    </w:rPr>
  </w:style>
  <w:style w:type="paragraph" w:customStyle="1" w:styleId="21">
    <w:name w:val="p0"/>
    <w:basedOn w:val="1"/>
    <w:qFormat/>
    <w:uiPriority w:val="99"/>
    <w:pPr>
      <w:widowControl/>
      <w:spacing w:line="500" w:lineRule="atLeast"/>
    </w:pPr>
    <w:rPr>
      <w:rFonts w:hint="eastAsi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1237</Words>
  <Characters>1378</Characters>
  <Lines>0</Lines>
  <Paragraphs>0</Paragraphs>
  <TotalTime>0</TotalTime>
  <ScaleCrop>false</ScaleCrop>
  <LinksUpToDate>false</LinksUpToDate>
  <CharactersWithSpaces>1385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2021-08-17T06:49:00Z</dcterms:created>
  <dc:creator>PC</dc:creator>
  <cp:lastModifiedBy>企业用户_756609295</cp:lastModifiedBy>
  <cp:lastPrinted>2023-05-11T05:44:00Z</cp:lastPrinted>
  <dcterms:modified xsi:type="dcterms:W3CDTF">2024-11-21T07:57:48Z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384B30CB78C84CB2965692B3BD4DD773_13</vt:lpwstr>
  </property>
  <property fmtid="{D5CDD505-2E9C-101B-9397-08002B2CF9AE}" pid="4" name="commondata">
    <vt:lpwstr>eyJoZGlkIjoiZWUwYzljY2E0YTM1NDhlMDJjNTZiMDBiOGUwZWIxNWUifQ==</vt:lpwstr>
  </property>
</Properties>
</file>