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05179">
      <w:pPr>
        <w:tabs>
          <w:tab w:val="left" w:pos="0"/>
          <w:tab w:val="left" w:pos="2140"/>
          <w:tab w:val="center" w:pos="4753"/>
        </w:tabs>
        <w:spacing w:line="360" w:lineRule="auto"/>
        <w:jc w:val="center"/>
        <w:rPr>
          <w:rFonts w:hint="eastAsia" w:ascii="宋体" w:hAnsi="宋体" w:eastAsia="宋体" w:cs="宋体"/>
          <w:color w:val="auto"/>
          <w:sz w:val="24"/>
          <w:szCs w:val="24"/>
          <w:highlight w:val="none"/>
          <w:lang w:val="en-US" w:eastAsia="zh-CN"/>
        </w:rPr>
      </w:pPr>
    </w:p>
    <w:p w14:paraId="5E1B8449">
      <w:pPr>
        <w:tabs>
          <w:tab w:val="left" w:pos="0"/>
          <w:tab w:val="left" w:pos="2140"/>
          <w:tab w:val="center" w:pos="4753"/>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48"/>
          <w:szCs w:val="48"/>
          <w:highlight w:val="none"/>
          <w:lang w:eastAsia="zh-CN"/>
        </w:rPr>
        <w:t>城投集团财政拨款账户战略合作服务采购</w:t>
      </w:r>
    </w:p>
    <w:p w14:paraId="1C227B04">
      <w:pPr>
        <w:tabs>
          <w:tab w:val="left" w:pos="0"/>
          <w:tab w:val="left" w:pos="2140"/>
          <w:tab w:val="center" w:pos="4753"/>
        </w:tabs>
        <w:spacing w:line="360" w:lineRule="auto"/>
        <w:jc w:val="center"/>
        <w:rPr>
          <w:rFonts w:hint="eastAsia" w:ascii="宋体" w:hAnsi="宋体" w:eastAsia="宋体" w:cs="宋体"/>
          <w:color w:val="auto"/>
          <w:sz w:val="24"/>
          <w:szCs w:val="24"/>
          <w:highlight w:val="none"/>
        </w:rPr>
      </w:pPr>
    </w:p>
    <w:p w14:paraId="7EDBF54F">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72"/>
          <w:szCs w:val="72"/>
          <w:highlight w:val="none"/>
        </w:rPr>
      </w:pPr>
    </w:p>
    <w:p w14:paraId="326FFF67">
      <w:pPr>
        <w:tabs>
          <w:tab w:val="left" w:pos="4500"/>
        </w:tabs>
        <w:autoSpaceDE w:val="0"/>
        <w:autoSpaceDN w:val="0"/>
        <w:adjustRightInd w:val="0"/>
        <w:snapToGrid w:val="0"/>
        <w:spacing w:line="360" w:lineRule="auto"/>
        <w:jc w:val="center"/>
        <w:textAlignment w:val="bottom"/>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14:paraId="23EA7CE9">
      <w:pPr>
        <w:autoSpaceDE w:val="0"/>
        <w:autoSpaceDN w:val="0"/>
        <w:adjustRightInd w:val="0"/>
        <w:snapToGrid w:val="0"/>
        <w:spacing w:line="360" w:lineRule="auto"/>
        <w:textAlignment w:val="bottom"/>
        <w:rPr>
          <w:rFonts w:hint="eastAsia" w:ascii="宋体" w:hAnsi="宋体" w:eastAsia="宋体" w:cs="宋体"/>
          <w:b/>
          <w:color w:val="auto"/>
          <w:sz w:val="24"/>
          <w:szCs w:val="24"/>
          <w:highlight w:val="none"/>
        </w:rPr>
      </w:pPr>
    </w:p>
    <w:p w14:paraId="0A3E8168">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36"/>
          <w:szCs w:val="36"/>
          <w:highlight w:val="none"/>
        </w:rPr>
        <w:t>招标编号：CTCG-2024-004</w:t>
      </w:r>
      <w:r>
        <w:rPr>
          <w:rFonts w:hint="eastAsia" w:ascii="宋体" w:hAnsi="宋体" w:eastAsia="宋体" w:cs="宋体"/>
          <w:b/>
          <w:color w:val="auto"/>
          <w:sz w:val="36"/>
          <w:szCs w:val="36"/>
          <w:highlight w:val="none"/>
          <w:lang w:val="en-US" w:eastAsia="zh-CN"/>
        </w:rPr>
        <w:t xml:space="preserve"> </w:t>
      </w:r>
    </w:p>
    <w:p w14:paraId="1C384E7B">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6054D659">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73AA20D9">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39FFFF95">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29FA28DE">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75ECA3A2">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1F2104BB">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1EBFBE99">
      <w:pPr>
        <w:pStyle w:val="2"/>
        <w:rPr>
          <w:rFonts w:hint="eastAsia" w:ascii="宋体" w:hAnsi="宋体" w:eastAsia="宋体" w:cs="宋体"/>
          <w:b/>
          <w:color w:val="auto"/>
          <w:sz w:val="24"/>
          <w:szCs w:val="24"/>
          <w:highlight w:val="none"/>
        </w:rPr>
      </w:pPr>
    </w:p>
    <w:p w14:paraId="286F3ADC">
      <w:pPr>
        <w:rPr>
          <w:rFonts w:hint="eastAsia"/>
        </w:rPr>
      </w:pPr>
    </w:p>
    <w:p w14:paraId="54F0260C">
      <w:pPr>
        <w:autoSpaceDE w:val="0"/>
        <w:autoSpaceDN w:val="0"/>
        <w:adjustRightInd w:val="0"/>
        <w:snapToGrid w:val="0"/>
        <w:spacing w:line="360" w:lineRule="auto"/>
        <w:jc w:val="center"/>
        <w:textAlignment w:val="bottom"/>
        <w:rPr>
          <w:rFonts w:hint="eastAsia" w:ascii="宋体" w:hAnsi="宋体" w:eastAsia="宋体" w:cs="宋体"/>
          <w:b/>
          <w:color w:val="auto"/>
          <w:sz w:val="24"/>
          <w:szCs w:val="24"/>
          <w:highlight w:val="none"/>
        </w:rPr>
      </w:pPr>
    </w:p>
    <w:p w14:paraId="42894271">
      <w:pPr>
        <w:autoSpaceDE w:val="0"/>
        <w:autoSpaceDN w:val="0"/>
        <w:adjustRightInd w:val="0"/>
        <w:snapToGrid w:val="0"/>
        <w:spacing w:line="360" w:lineRule="auto"/>
        <w:textAlignment w:val="bottom"/>
        <w:rPr>
          <w:rFonts w:hint="eastAsia" w:ascii="宋体" w:hAnsi="宋体" w:eastAsia="宋体" w:cs="宋体"/>
          <w:b/>
          <w:color w:val="auto"/>
          <w:sz w:val="24"/>
          <w:szCs w:val="24"/>
          <w:highlight w:val="none"/>
        </w:rPr>
      </w:pPr>
    </w:p>
    <w:p w14:paraId="3361BFCC">
      <w:pPr>
        <w:adjustRightInd w:val="0"/>
        <w:snapToGrid w:val="0"/>
        <w:spacing w:line="360" w:lineRule="auto"/>
        <w:ind w:left="-238" w:leftChars="-85" w:right="-258" w:rightChars="-9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招标人：</w:t>
      </w:r>
      <w:r>
        <w:rPr>
          <w:rFonts w:hint="eastAsia" w:ascii="宋体" w:hAnsi="宋体" w:eastAsia="宋体" w:cs="宋体"/>
          <w:b/>
          <w:color w:val="auto"/>
          <w:sz w:val="32"/>
          <w:szCs w:val="32"/>
          <w:highlight w:val="none"/>
          <w:lang w:eastAsia="zh-CN"/>
        </w:rPr>
        <w:t>杭州余杭城市发展投资集团有限公司</w:t>
      </w:r>
    </w:p>
    <w:p w14:paraId="52392B51">
      <w:pPr>
        <w:adjustRightInd w:val="0"/>
        <w:snapToGrid w:val="0"/>
        <w:spacing w:line="360" w:lineRule="auto"/>
        <w:ind w:left="-238" w:leftChars="-85" w:right="-258" w:rightChars="-9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招标代理机构：</w:t>
      </w:r>
      <w:r>
        <w:rPr>
          <w:rFonts w:hint="eastAsia" w:ascii="宋体" w:hAnsi="宋体" w:eastAsia="宋体" w:cs="宋体"/>
          <w:b/>
          <w:color w:val="auto"/>
          <w:sz w:val="32"/>
          <w:szCs w:val="32"/>
          <w:highlight w:val="none"/>
          <w:lang w:eastAsia="zh-CN"/>
        </w:rPr>
        <w:t>耀华建设管理有限公司</w:t>
      </w:r>
    </w:p>
    <w:p w14:paraId="7E114759">
      <w:pPr>
        <w:adjustRightInd w:val="0"/>
        <w:snapToGrid w:val="0"/>
        <w:spacing w:line="360" w:lineRule="auto"/>
        <w:ind w:left="-238" w:leftChars="-85" w:right="-258" w:rightChars="-9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 xml:space="preserve">4 年 </w:t>
      </w:r>
      <w:r>
        <w:rPr>
          <w:rFonts w:hint="eastAsia" w:ascii="宋体" w:hAnsi="宋体" w:cs="宋体"/>
          <w:b/>
          <w:color w:val="auto"/>
          <w:sz w:val="32"/>
          <w:szCs w:val="32"/>
          <w:highlight w:val="none"/>
          <w:lang w:val="en-US" w:eastAsia="zh-CN"/>
        </w:rPr>
        <w:t>09</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月</w:t>
      </w:r>
      <w:r>
        <w:rPr>
          <w:rFonts w:hint="eastAsia" w:ascii="宋体" w:hAnsi="宋体" w:eastAsia="宋体" w:cs="宋体"/>
          <w:b/>
          <w:color w:val="auto"/>
          <w:sz w:val="32"/>
          <w:szCs w:val="32"/>
          <w:highlight w:val="none"/>
          <w:lang w:val="en-US" w:eastAsia="zh-CN"/>
        </w:rPr>
        <w:t xml:space="preserve"> </w:t>
      </w:r>
      <w:r>
        <w:rPr>
          <w:rFonts w:hint="eastAsia" w:ascii="宋体" w:hAnsi="宋体" w:cs="宋体"/>
          <w:b/>
          <w:color w:val="auto"/>
          <w:sz w:val="32"/>
          <w:szCs w:val="32"/>
          <w:highlight w:val="none"/>
          <w:lang w:val="en-US" w:eastAsia="zh-CN"/>
        </w:rPr>
        <w:t>27</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日</w:t>
      </w:r>
    </w:p>
    <w:p w14:paraId="412D8808">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32"/>
          <w:szCs w:val="32"/>
          <w:highlight w:val="none"/>
        </w:rPr>
        <w:t>目  录</w:t>
      </w:r>
    </w:p>
    <w:p w14:paraId="123E683F">
      <w:pPr>
        <w:pStyle w:val="11"/>
        <w:spacing w:before="0" w:after="0" w:line="360" w:lineRule="auto"/>
        <w:rPr>
          <w:rFonts w:hint="eastAsia" w:ascii="宋体" w:hAnsi="宋体" w:eastAsia="宋体" w:cs="宋体"/>
          <w:color w:val="auto"/>
          <w:sz w:val="24"/>
          <w:szCs w:val="24"/>
          <w:highlight w:val="none"/>
        </w:rPr>
      </w:pPr>
    </w:p>
    <w:p w14:paraId="5F0D3A08">
      <w:pPr>
        <w:pStyle w:val="11"/>
        <w:tabs>
          <w:tab w:val="right" w:leader="dot" w:pos="9070"/>
          <w:tab w:val="clear" w:pos="8460"/>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fldChar w:fldCharType="begin"/>
      </w:r>
      <w:r>
        <w:rPr>
          <w:rStyle w:val="23"/>
          <w:rFonts w:hint="eastAsia" w:ascii="宋体" w:hAnsi="宋体" w:eastAsia="宋体" w:cs="宋体"/>
          <w:color w:val="auto"/>
          <w:sz w:val="24"/>
          <w:szCs w:val="24"/>
          <w:highlight w:val="none"/>
        </w:rPr>
        <w:instrText xml:space="preserve"> </w:instrText>
      </w:r>
      <w:r>
        <w:rPr>
          <w:rFonts w:hint="eastAsia" w:ascii="宋体" w:hAnsi="宋体" w:eastAsia="宋体" w:cs="宋体"/>
          <w:b w:val="0"/>
          <w:color w:val="auto"/>
          <w:sz w:val="24"/>
          <w:szCs w:val="24"/>
          <w:highlight w:val="none"/>
        </w:rPr>
        <w:instrText xml:space="preserve">TOC \o "1-2" \h \z \u </w:instrText>
      </w:r>
      <w:r>
        <w:rPr>
          <w:rFonts w:hint="eastAsia" w:ascii="宋体" w:hAnsi="宋体" w:eastAsia="宋体" w:cs="宋体"/>
          <w:b w:val="0"/>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0057351">
      <w:pPr>
        <w:pStyle w:val="11"/>
        <w:tabs>
          <w:tab w:val="right" w:leader="dot" w:pos="9070"/>
          <w:tab w:val="clear" w:pos="84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编制和提交投标文件须知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- 3 -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9472B0D">
      <w:pPr>
        <w:pStyle w:val="11"/>
        <w:tabs>
          <w:tab w:val="right" w:leader="dot" w:pos="9070"/>
          <w:tab w:val="clear" w:pos="84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项目技术规范和服务要求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_Toc17617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- 14 -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E6FCF8">
      <w:pPr>
        <w:pStyle w:val="11"/>
        <w:tabs>
          <w:tab w:val="right" w:leader="dot" w:pos="9070"/>
          <w:tab w:val="clear" w:pos="84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_Toc31210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评标标准和方法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_Toc31210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- 16 -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7E630EC">
      <w:pPr>
        <w:pStyle w:val="11"/>
        <w:tabs>
          <w:tab w:val="right" w:leader="dot" w:pos="9070"/>
          <w:tab w:val="clear" w:pos="84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应提交的有关格式范例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- 22 -</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FFFA723">
      <w:pPr>
        <w:spacing w:line="360" w:lineRule="auto"/>
        <w:jc w:val="center"/>
        <w:rPr>
          <w:rFonts w:hint="eastAsia" w:ascii="宋体" w:hAnsi="宋体" w:eastAsia="宋体" w:cs="宋体"/>
          <w:color w:val="auto"/>
          <w:szCs w:val="30"/>
          <w:highlight w:val="none"/>
        </w:rPr>
      </w:pPr>
      <w:r>
        <w:rPr>
          <w:rFonts w:hint="eastAsia" w:ascii="宋体" w:hAnsi="宋体" w:eastAsia="宋体" w:cs="宋体"/>
          <w:color w:val="auto"/>
          <w:sz w:val="24"/>
          <w:szCs w:val="24"/>
          <w:highlight w:val="none"/>
        </w:rPr>
        <w:fldChar w:fldCharType="end"/>
      </w:r>
    </w:p>
    <w:p w14:paraId="0DDD9ED2">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投标人注意</w:t>
      </w:r>
    </w:p>
    <w:p w14:paraId="530D4A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人如发现招标文件及其评标标准和方法中存在含糊不清、相互矛盾、多种含义条款或是歧视性、排他性等不公正条款或存在违法违规内容时，为招标文件的修改留出充足时间，请在招标文件规定的时间内向招标人或招标组织机构提交询问或递交质疑书。逾期不得再对招标文件的条款提出质疑。</w:t>
      </w:r>
    </w:p>
    <w:p w14:paraId="295A46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二、投标人在制作投标前务必仔细阅读前附表及评标程序、被拒绝投标、无效投标、废标等条款及有关表格样张。</w:t>
      </w:r>
    </w:p>
    <w:p w14:paraId="63EECC2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三、如遇开标截止时间推迟、招标需求变动等，招标组织机构将会及时书面通知各个投标人。</w:t>
      </w:r>
    </w:p>
    <w:p w14:paraId="532A8547">
      <w:pPr>
        <w:pageBreakBefore/>
        <w:adjustRightInd w:val="0"/>
        <w:snapToGrid w:val="0"/>
        <w:spacing w:line="360" w:lineRule="auto"/>
        <w:jc w:val="center"/>
        <w:outlineLvl w:val="0"/>
        <w:rPr>
          <w:rFonts w:hint="eastAsia" w:ascii="宋体" w:hAnsi="宋体" w:eastAsia="宋体" w:cs="宋体"/>
          <w:b/>
          <w:color w:val="auto"/>
          <w:sz w:val="24"/>
          <w:szCs w:val="24"/>
          <w:highlight w:val="none"/>
        </w:rPr>
        <w:sectPr>
          <w:footerReference r:id="rId7" w:type="first"/>
          <w:headerReference r:id="rId4" w:type="default"/>
          <w:footerReference r:id="rId5" w:type="default"/>
          <w:footerReference r:id="rId6" w:type="even"/>
          <w:pgSz w:w="11906" w:h="16838"/>
          <w:pgMar w:top="1418" w:right="1418" w:bottom="1418" w:left="1418" w:header="851" w:footer="851" w:gutter="0"/>
          <w:cols w:space="720" w:num="1"/>
          <w:titlePg/>
          <w:docGrid w:linePitch="312" w:charSpace="0"/>
        </w:sectPr>
      </w:pPr>
    </w:p>
    <w:p w14:paraId="649790C8">
      <w:pPr>
        <w:pageBreakBefore/>
        <w:adjustRightInd w:val="0"/>
        <w:snapToGrid w:val="0"/>
        <w:spacing w:line="360" w:lineRule="auto"/>
        <w:jc w:val="center"/>
        <w:outlineLvl w:val="0"/>
        <w:rPr>
          <w:rFonts w:hint="eastAsia" w:ascii="宋体" w:hAnsi="宋体" w:eastAsia="宋体" w:cs="宋体"/>
          <w:b/>
          <w:color w:val="auto"/>
          <w:kern w:val="0"/>
          <w:sz w:val="32"/>
          <w:szCs w:val="32"/>
          <w:highlight w:val="none"/>
        </w:rPr>
      </w:pPr>
      <w:bookmarkStart w:id="0" w:name="_Toc28581"/>
      <w:r>
        <w:rPr>
          <w:rFonts w:hint="eastAsia" w:ascii="宋体" w:hAnsi="宋体" w:eastAsia="宋体" w:cs="宋体"/>
          <w:b/>
          <w:color w:val="auto"/>
          <w:sz w:val="36"/>
          <w:szCs w:val="36"/>
          <w:highlight w:val="none"/>
        </w:rPr>
        <w:t>第一部分  招标公告</w:t>
      </w:r>
      <w:bookmarkEnd w:id="0"/>
      <w:bookmarkStart w:id="1" w:name="_Hlt74649545"/>
      <w:bookmarkEnd w:id="1"/>
      <w:bookmarkStart w:id="2" w:name="_Hlt74728647"/>
      <w:bookmarkEnd w:id="2"/>
      <w:bookmarkStart w:id="3" w:name="_Hlt74707423"/>
      <w:bookmarkEnd w:id="3"/>
      <w:bookmarkStart w:id="4" w:name="_Hlt74729822"/>
      <w:bookmarkEnd w:id="4"/>
      <w:bookmarkStart w:id="5" w:name="_Toc225840107"/>
    </w:p>
    <w:p w14:paraId="5B00C0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根据有关规定，就城投集团财政拨款账户战略合作服务采购进行公开招标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现就有关事项公告如下：</w:t>
      </w:r>
    </w:p>
    <w:p w14:paraId="1D194814">
      <w:pPr>
        <w:widowControl/>
        <w:numPr>
          <w:ilvl w:val="0"/>
          <w:numId w:val="2"/>
        </w:numPr>
        <w:spacing w:before="0" w:after="0" w:line="360" w:lineRule="auto"/>
        <w:ind w:left="0" w:leftChars="0"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项目名称：</w:t>
      </w:r>
      <w:r>
        <w:rPr>
          <w:rFonts w:hint="eastAsia" w:ascii="宋体" w:hAnsi="宋体" w:eastAsia="宋体" w:cs="宋体"/>
          <w:color w:val="auto"/>
          <w:kern w:val="0"/>
          <w:sz w:val="24"/>
          <w:szCs w:val="24"/>
          <w:highlight w:val="none"/>
          <w:lang w:eastAsia="zh-CN"/>
        </w:rPr>
        <w:t>城投集团财政拨款账户战略合作服务采购</w:t>
      </w:r>
    </w:p>
    <w:p w14:paraId="54AECDEA">
      <w:pPr>
        <w:widowControl/>
        <w:numPr>
          <w:ilvl w:val="0"/>
          <w:numId w:val="2"/>
        </w:numPr>
        <w:spacing w:before="0" w:after="0" w:line="360" w:lineRule="auto"/>
        <w:ind w:left="0" w:leftChars="0"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 xml:space="preserve">项目编号：CTCG-2024-004 </w:t>
      </w:r>
    </w:p>
    <w:p w14:paraId="2CF5EFC6">
      <w:pPr>
        <w:widowControl/>
        <w:numPr>
          <w:ilvl w:val="0"/>
          <w:numId w:val="2"/>
        </w:numPr>
        <w:spacing w:before="0" w:after="0" w:line="360" w:lineRule="auto"/>
        <w:ind w:left="0" w:leftChars="0"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招标方式：公开招标</w:t>
      </w:r>
    </w:p>
    <w:p w14:paraId="4F8D9E27">
      <w:pPr>
        <w:widowControl/>
        <w:numPr>
          <w:ilvl w:val="0"/>
          <w:numId w:val="2"/>
        </w:numPr>
        <w:spacing w:line="360" w:lineRule="auto"/>
        <w:ind w:left="0"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招标</w:t>
      </w:r>
      <w:r>
        <w:rPr>
          <w:rFonts w:hint="eastAsia" w:ascii="宋体" w:hAnsi="宋体" w:eastAsia="宋体" w:cs="宋体"/>
          <w:b/>
          <w:bCs/>
          <w:color w:val="auto"/>
          <w:kern w:val="0"/>
          <w:sz w:val="24"/>
          <w:szCs w:val="24"/>
          <w:highlight w:val="none"/>
        </w:rPr>
        <w:t>范围和内容：</w:t>
      </w:r>
    </w:p>
    <w:p w14:paraId="5E92B95B">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 xml:space="preserve"> </w:t>
      </w:r>
      <w:r>
        <w:rPr>
          <w:rFonts w:hint="eastAsia" w:ascii="宋体" w:hAnsi="宋体" w:cs="宋体"/>
          <w:kern w:val="0"/>
          <w:sz w:val="24"/>
          <w:szCs w:val="24"/>
          <w:highlight w:val="none"/>
          <w:lang w:val="en-US" w:eastAsia="zh-CN"/>
        </w:rPr>
        <w:t>城投集团</w:t>
      </w:r>
      <w:r>
        <w:rPr>
          <w:rFonts w:hint="eastAsia" w:ascii="宋体" w:hAnsi="宋体" w:eastAsia="宋体" w:cs="宋体"/>
          <w:kern w:val="0"/>
          <w:sz w:val="24"/>
          <w:szCs w:val="24"/>
          <w:highlight w:val="none"/>
        </w:rPr>
        <w:t>财政拨款账户的</w:t>
      </w:r>
      <w:r>
        <w:rPr>
          <w:rFonts w:hint="eastAsia" w:ascii="宋体" w:hAnsi="宋体" w:cs="宋体"/>
          <w:kern w:val="0"/>
          <w:sz w:val="24"/>
          <w:szCs w:val="24"/>
          <w:highlight w:val="none"/>
          <w:lang w:val="en-US" w:eastAsia="zh-CN"/>
        </w:rPr>
        <w:t>开设</w:t>
      </w:r>
      <w:r>
        <w:rPr>
          <w:rFonts w:hint="eastAsia" w:ascii="宋体" w:hAnsi="宋体" w:eastAsia="宋体" w:cs="宋体"/>
          <w:kern w:val="0"/>
          <w:sz w:val="24"/>
          <w:szCs w:val="24"/>
          <w:highlight w:val="none"/>
        </w:rPr>
        <w:t>、资金存放</w:t>
      </w:r>
      <w:r>
        <w:rPr>
          <w:rFonts w:hint="eastAsia" w:ascii="宋体" w:hAnsi="宋体" w:cs="宋体"/>
          <w:kern w:val="0"/>
          <w:sz w:val="24"/>
          <w:szCs w:val="24"/>
          <w:highlight w:val="none"/>
          <w:lang w:val="en-US" w:eastAsia="zh-CN"/>
        </w:rPr>
        <w:t>及其他专用账户的开设</w:t>
      </w:r>
      <w:r>
        <w:rPr>
          <w:rFonts w:hint="eastAsia" w:ascii="宋体" w:hAnsi="宋体" w:eastAsia="宋体" w:cs="宋体"/>
          <w:kern w:val="0"/>
          <w:sz w:val="24"/>
          <w:szCs w:val="24"/>
          <w:highlight w:val="none"/>
        </w:rPr>
        <w:t>等相关服务。</w:t>
      </w:r>
      <w:r>
        <w:rPr>
          <w:rFonts w:hint="eastAsia" w:ascii="宋体" w:hAnsi="宋体" w:eastAsia="宋体" w:cs="宋体"/>
          <w:color w:val="auto"/>
          <w:kern w:val="0"/>
          <w:sz w:val="24"/>
          <w:szCs w:val="24"/>
          <w:highlight w:val="none"/>
          <w:lang w:val="en-US" w:eastAsia="zh-CN"/>
        </w:rPr>
        <w:t>具体内容和相关要求详见招标文件“第三部分 项目技术规范和服务要求”。</w:t>
      </w:r>
    </w:p>
    <w:p w14:paraId="10AF92BE">
      <w:pPr>
        <w:widowControl/>
        <w:numPr>
          <w:ilvl w:val="0"/>
          <w:numId w:val="2"/>
        </w:numPr>
        <w:spacing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投标人资格要求：</w:t>
      </w:r>
    </w:p>
    <w:p w14:paraId="2E2E7009">
      <w:pPr>
        <w:numPr>
          <w:ilvl w:val="0"/>
          <w:numId w:val="0"/>
        </w:numPr>
        <w:spacing w:line="360" w:lineRule="auto"/>
        <w:ind w:firstLine="480" w:firstLineChars="200"/>
        <w:rPr>
          <w:rFonts w:hint="eastAsia" w:ascii="宋体" w:hAnsi="宋体" w:eastAsia="宋体" w:cs="宋体"/>
          <w:bCs/>
          <w:snapToGrid w:val="0"/>
          <w:color w:val="auto"/>
          <w:kern w:val="28"/>
          <w:sz w:val="24"/>
          <w:highlight w:val="none"/>
        </w:rPr>
      </w:pPr>
      <w:r>
        <w:rPr>
          <w:rFonts w:hint="eastAsia" w:ascii="宋体" w:hAnsi="宋体" w:eastAsia="宋体" w:cs="宋体"/>
          <w:bCs/>
          <w:snapToGrid w:val="0"/>
          <w:color w:val="auto"/>
          <w:kern w:val="28"/>
          <w:sz w:val="24"/>
          <w:highlight w:val="none"/>
        </w:rPr>
        <w:t>参照《余杭区区级行政事业单位公款竞争性存放管理办法》（余财预执〔2023〕6号）等规定，在中华人民共和国境内依法设立的银行机构</w:t>
      </w:r>
      <w:r>
        <w:rPr>
          <w:rFonts w:hint="eastAsia" w:ascii="宋体" w:hAnsi="宋体" w:eastAsia="宋体" w:cs="宋体"/>
          <w:bCs/>
          <w:snapToGrid w:val="0"/>
          <w:color w:val="auto"/>
          <w:kern w:val="28"/>
          <w:sz w:val="24"/>
          <w:highlight w:val="none"/>
          <w:lang w:eastAsia="zh-CN"/>
        </w:rPr>
        <w:t>并</w:t>
      </w:r>
      <w:r>
        <w:rPr>
          <w:rFonts w:hint="eastAsia" w:ascii="宋体" w:hAnsi="宋体" w:eastAsia="宋体" w:cs="宋体"/>
          <w:bCs/>
          <w:snapToGrid w:val="0"/>
          <w:color w:val="auto"/>
          <w:kern w:val="28"/>
          <w:sz w:val="24"/>
          <w:highlight w:val="none"/>
          <w:lang w:val="en-US" w:eastAsia="zh-CN"/>
        </w:rPr>
        <w:t>在余杭设立分支机构</w:t>
      </w:r>
      <w:r>
        <w:rPr>
          <w:rFonts w:hint="eastAsia" w:ascii="宋体" w:hAnsi="宋体" w:eastAsia="宋体" w:cs="宋体"/>
          <w:bCs/>
          <w:snapToGrid w:val="0"/>
          <w:color w:val="auto"/>
          <w:kern w:val="28"/>
          <w:sz w:val="24"/>
          <w:highlight w:val="none"/>
        </w:rPr>
        <w:t>，并具备相应的基本条件：</w:t>
      </w:r>
    </w:p>
    <w:p w14:paraId="7115E0B1">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（1）依法开展经营活动，近3年内在经营活动中无重大违法违规记录；</w:t>
      </w:r>
    </w:p>
    <w:p w14:paraId="3F6B60AB">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（2）获得人民银行上一评审年度综合评价B级及以上；</w:t>
      </w:r>
    </w:p>
    <w:p w14:paraId="562F1BEE">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（3）财务稳健，资金充足率、不良贷款率、拨备覆盖率、流动性覆盖率、流动性比例等指标达到监管标准；</w:t>
      </w:r>
    </w:p>
    <w:p w14:paraId="30722B01">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（4）内部管理机制健全，具有较强的风险控制能力，近3年内未发生金融风险及重大违约事件；</w:t>
      </w:r>
    </w:p>
    <w:p w14:paraId="2DFA3200">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 xml:space="preserve">（5）本项目不接受联合体投标； </w:t>
      </w:r>
    </w:p>
    <w:p w14:paraId="3757C465">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cs="宋体"/>
          <w:b w:val="0"/>
          <w:bCs/>
          <w:snapToGrid w:val="0"/>
          <w:color w:val="auto"/>
          <w:kern w:val="28"/>
          <w:sz w:val="24"/>
          <w:szCs w:val="22"/>
          <w:highlight w:val="none"/>
          <w:lang w:val="en-US" w:eastAsia="zh-CN"/>
        </w:rPr>
        <w:t>注：</w:t>
      </w:r>
      <w:r>
        <w:rPr>
          <w:rFonts w:hint="eastAsia" w:ascii="宋体" w:hAnsi="宋体" w:eastAsia="宋体" w:cs="宋体"/>
          <w:b w:val="0"/>
          <w:bCs/>
          <w:snapToGrid w:val="0"/>
          <w:color w:val="auto"/>
          <w:kern w:val="28"/>
          <w:sz w:val="24"/>
          <w:szCs w:val="22"/>
          <w:highlight w:val="none"/>
          <w:lang w:val="en-US" w:eastAsia="zh-CN"/>
        </w:rPr>
        <w:t>投标人应以同城内总行或一级支行名义参与投标，以一级支行名义参与投标的须提供总行或省分行（杭州分行）针对本项目的授权书。</w:t>
      </w:r>
    </w:p>
    <w:p w14:paraId="5E4AB8B0">
      <w:pPr>
        <w:adjustRightInd w:val="0"/>
        <w:snapToGrid w:val="0"/>
        <w:spacing w:line="360" w:lineRule="auto"/>
        <w:ind w:firstLine="482" w:firstLineChars="200"/>
        <w:jc w:val="left"/>
        <w:rPr>
          <w:rFonts w:cs="仿宋"/>
          <w:b/>
          <w:bCs/>
          <w:sz w:val="24"/>
          <w:szCs w:val="24"/>
          <w:shd w:val="clear" w:color="auto" w:fill="FFFFFF"/>
        </w:rPr>
      </w:pPr>
      <w:r>
        <w:rPr>
          <w:rFonts w:hint="eastAsia" w:cs="仿宋"/>
          <w:b/>
          <w:bCs/>
          <w:sz w:val="24"/>
          <w:szCs w:val="24"/>
          <w:shd w:val="clear" w:color="auto" w:fill="FFFFFF"/>
          <w:lang w:val="en-US" w:eastAsia="zh-CN"/>
        </w:rPr>
        <w:t>六</w:t>
      </w:r>
      <w:r>
        <w:rPr>
          <w:rFonts w:hint="eastAsia" w:cs="仿宋"/>
          <w:b/>
          <w:bCs/>
          <w:sz w:val="24"/>
          <w:szCs w:val="24"/>
          <w:shd w:val="clear" w:color="auto" w:fill="FFFFFF"/>
        </w:rPr>
        <w:t>、招标文件及相关资料的获取：</w:t>
      </w:r>
    </w:p>
    <w:p w14:paraId="2E6313D9">
      <w:pPr>
        <w:adjustRightInd w:val="0"/>
        <w:snapToGrid w:val="0"/>
        <w:spacing w:line="360" w:lineRule="auto"/>
        <w:ind w:firstLine="482" w:firstLineChars="200"/>
        <w:jc w:val="left"/>
        <w:rPr>
          <w:rFonts w:cs="仿宋"/>
          <w:sz w:val="24"/>
          <w:szCs w:val="24"/>
          <w:shd w:val="clear" w:color="auto" w:fill="FFFFFF"/>
        </w:rPr>
      </w:pPr>
      <w:r>
        <w:rPr>
          <w:rFonts w:hint="eastAsia" w:ascii="宋体" w:hAnsi="宋体" w:eastAsia="宋体" w:cs="宋体"/>
          <w:b/>
          <w:bCs/>
          <w:color w:val="auto"/>
          <w:kern w:val="0"/>
          <w:sz w:val="24"/>
          <w:szCs w:val="24"/>
          <w:highlight w:val="none"/>
        </w:rPr>
        <w:t>本项目无需报名，</w:t>
      </w:r>
      <w:r>
        <w:rPr>
          <w:rFonts w:cs="仿宋"/>
          <w:sz w:val="24"/>
          <w:szCs w:val="24"/>
          <w:shd w:val="clear" w:color="auto" w:fill="FFFFFF"/>
        </w:rPr>
        <w:t>本项目招标文件和补充（答疑、澄清）以网上下载方式发放，潜在投标人登录余杭门户网站（http://www.yuhang.gov.cn/）发布平台自行下载，招标公告和招标文件同步发浙江政府采购网（https://zfcg.czt.zj.gov.cn/，其他非政府采购公告栏），由投标人自行关注以上网址。</w:t>
      </w:r>
    </w:p>
    <w:p w14:paraId="26CCB7D7">
      <w:pPr>
        <w:adjustRightInd w:val="0"/>
        <w:snapToGrid w:val="0"/>
        <w:spacing w:line="360" w:lineRule="auto"/>
        <w:ind w:firstLine="480" w:firstLineChars="200"/>
        <w:jc w:val="left"/>
        <w:rPr>
          <w:rFonts w:hint="eastAsia" w:ascii="宋体" w:hAnsi="宋体" w:eastAsia="宋体" w:cs="宋体"/>
          <w:b/>
          <w:bCs w:val="0"/>
          <w:snapToGrid w:val="0"/>
          <w:color w:val="auto"/>
          <w:kern w:val="28"/>
          <w:sz w:val="24"/>
          <w:szCs w:val="24"/>
          <w:highlight w:val="none"/>
          <w:lang w:eastAsia="zh-CN"/>
        </w:rPr>
      </w:pPr>
      <w:r>
        <w:rPr>
          <w:rFonts w:hint="eastAsia" w:cs="仿宋"/>
          <w:sz w:val="24"/>
          <w:szCs w:val="24"/>
          <w:shd w:val="clear" w:color="auto" w:fill="FFFFFF"/>
        </w:rPr>
        <w:t>招标文件网上下载时间：公告发布之日起至投标文件递交截止时间。</w:t>
      </w:r>
    </w:p>
    <w:p w14:paraId="5398EA98">
      <w:pPr>
        <w:widowControl/>
        <w:numPr>
          <w:ilvl w:val="0"/>
          <w:numId w:val="0"/>
        </w:numPr>
        <w:spacing w:line="360" w:lineRule="auto"/>
        <w:ind w:firstLine="482" w:firstLineChars="200"/>
        <w:jc w:val="left"/>
        <w:rPr>
          <w:rFonts w:hint="eastAsia" w:ascii="宋体" w:hAnsi="宋体" w:eastAsia="宋体" w:cs="宋体"/>
          <w:b/>
          <w:bCs/>
          <w:color w:val="auto"/>
          <w:kern w:val="0"/>
          <w:sz w:val="24"/>
          <w:szCs w:val="24"/>
          <w:highlight w:val="none"/>
          <w:lang w:eastAsia="zh-CN"/>
        </w:rPr>
      </w:pPr>
      <w:r>
        <w:rPr>
          <w:rFonts w:hint="eastAsia" w:ascii="宋体" w:hAnsi="宋体" w:cs="宋体"/>
          <w:b/>
          <w:bCs w:val="0"/>
          <w:snapToGrid w:val="0"/>
          <w:color w:val="auto"/>
          <w:kern w:val="28"/>
          <w:sz w:val="24"/>
          <w:szCs w:val="24"/>
          <w:highlight w:val="none"/>
          <w:lang w:eastAsia="zh-CN"/>
        </w:rPr>
        <w:t>七</w:t>
      </w:r>
      <w:r>
        <w:rPr>
          <w:rFonts w:hint="eastAsia" w:ascii="宋体" w:hAnsi="宋体" w:eastAsia="宋体" w:cs="宋体"/>
          <w:b/>
          <w:bCs/>
          <w:color w:val="auto"/>
          <w:kern w:val="0"/>
          <w:sz w:val="24"/>
          <w:szCs w:val="24"/>
          <w:highlight w:val="none"/>
          <w:lang w:eastAsia="zh-CN"/>
        </w:rPr>
        <w:t>、其他事项</w:t>
      </w:r>
    </w:p>
    <w:p w14:paraId="4B284038">
      <w:pPr>
        <w:widowControl/>
        <w:spacing w:line="360" w:lineRule="auto"/>
        <w:ind w:firstLine="48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color w:val="auto"/>
          <w:kern w:val="0"/>
          <w:sz w:val="24"/>
          <w:szCs w:val="24"/>
          <w:highlight w:val="none"/>
        </w:rPr>
        <w:t>评标标准和方法</w:t>
      </w:r>
      <w:r>
        <w:rPr>
          <w:rFonts w:hint="eastAsia" w:ascii="宋体" w:hAnsi="宋体" w:eastAsia="宋体" w:cs="宋体"/>
          <w:color w:val="auto"/>
          <w:kern w:val="0"/>
          <w:sz w:val="24"/>
          <w:szCs w:val="24"/>
          <w:highlight w:val="none"/>
          <w:lang w:eastAsia="zh-CN"/>
        </w:rPr>
        <w:t>为</w:t>
      </w:r>
      <w:r>
        <w:rPr>
          <w:rFonts w:hint="eastAsia" w:ascii="宋体" w:hAnsi="宋体" w:eastAsia="宋体" w:cs="宋体"/>
          <w:b/>
          <w:bCs/>
          <w:color w:val="auto"/>
          <w:kern w:val="0"/>
          <w:sz w:val="24"/>
          <w:szCs w:val="24"/>
          <w:highlight w:val="none"/>
        </w:rPr>
        <w:t>综合评分法，</w:t>
      </w:r>
      <w:r>
        <w:rPr>
          <w:rFonts w:hint="eastAsia" w:ascii="宋体" w:hAnsi="宋体" w:eastAsia="宋体" w:cs="宋体"/>
          <w:b/>
          <w:bCs/>
          <w:color w:val="auto"/>
          <w:kern w:val="0"/>
          <w:sz w:val="24"/>
          <w:szCs w:val="24"/>
          <w:highlight w:val="none"/>
          <w:lang w:eastAsia="zh-CN"/>
        </w:rPr>
        <w:t>具体内容</w:t>
      </w:r>
      <w:r>
        <w:rPr>
          <w:rFonts w:hint="eastAsia" w:ascii="宋体" w:hAnsi="宋体" w:eastAsia="宋体" w:cs="宋体"/>
          <w:b/>
          <w:bCs/>
          <w:color w:val="auto"/>
          <w:kern w:val="0"/>
          <w:sz w:val="24"/>
          <w:szCs w:val="24"/>
          <w:highlight w:val="none"/>
        </w:rPr>
        <w:t>详见招标文件第四部分  评标标准和方法</w:t>
      </w:r>
      <w:r>
        <w:rPr>
          <w:rFonts w:hint="eastAsia" w:ascii="宋体" w:hAnsi="宋体" w:eastAsia="宋体" w:cs="宋体"/>
          <w:b/>
          <w:bCs/>
          <w:color w:val="auto"/>
          <w:kern w:val="0"/>
          <w:sz w:val="24"/>
          <w:szCs w:val="24"/>
          <w:highlight w:val="none"/>
          <w:lang w:eastAsia="zh-CN"/>
        </w:rPr>
        <w:t>。</w:t>
      </w:r>
    </w:p>
    <w:p w14:paraId="592B17DF">
      <w:pPr>
        <w:widowControl/>
        <w:spacing w:line="360" w:lineRule="auto"/>
        <w:ind w:firstLine="48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sz w:val="24"/>
          <w:szCs w:val="24"/>
          <w:highlight w:val="none"/>
          <w:lang w:val="en-US" w:eastAsia="zh-CN"/>
        </w:rPr>
        <w:t>其他内容详见招标文件。</w:t>
      </w:r>
    </w:p>
    <w:p w14:paraId="01DBE2C7">
      <w:pPr>
        <w:spacing w:line="360" w:lineRule="auto"/>
        <w:ind w:firstLine="482" w:firstLineChars="200"/>
        <w:rPr>
          <w:rFonts w:hint="eastAsia" w:ascii="宋体" w:hAnsi="宋体" w:eastAsia="宋体" w:cs="宋体"/>
          <w:b/>
          <w:snapToGrid w:val="0"/>
          <w:color w:val="auto"/>
          <w:kern w:val="28"/>
          <w:sz w:val="24"/>
          <w:highlight w:val="none"/>
        </w:rPr>
      </w:pPr>
      <w:r>
        <w:rPr>
          <w:rFonts w:hint="eastAsia" w:ascii="宋体" w:hAnsi="宋体" w:cs="宋体"/>
          <w:b/>
          <w:snapToGrid w:val="0"/>
          <w:color w:val="auto"/>
          <w:kern w:val="28"/>
          <w:sz w:val="24"/>
          <w:highlight w:val="none"/>
          <w:lang w:val="en-US" w:eastAsia="zh-CN"/>
        </w:rPr>
        <w:t>八</w:t>
      </w:r>
      <w:r>
        <w:rPr>
          <w:rFonts w:hint="eastAsia" w:ascii="宋体" w:hAnsi="宋体" w:eastAsia="宋体" w:cs="宋体"/>
          <w:b/>
          <w:snapToGrid w:val="0"/>
          <w:color w:val="auto"/>
          <w:kern w:val="28"/>
          <w:sz w:val="24"/>
          <w:highlight w:val="none"/>
        </w:rPr>
        <w:t>、招标人</w:t>
      </w:r>
      <w:r>
        <w:rPr>
          <w:rFonts w:hint="eastAsia" w:ascii="宋体" w:hAnsi="宋体" w:eastAsia="宋体" w:cs="宋体"/>
          <w:b/>
          <w:snapToGrid w:val="0"/>
          <w:color w:val="auto"/>
          <w:kern w:val="28"/>
          <w:sz w:val="24"/>
          <w:highlight w:val="none"/>
          <w:lang w:eastAsia="zh-CN"/>
        </w:rPr>
        <w:t>、监督部门</w:t>
      </w:r>
      <w:r>
        <w:rPr>
          <w:rFonts w:hint="eastAsia" w:ascii="宋体" w:hAnsi="宋体" w:eastAsia="宋体" w:cs="宋体"/>
          <w:b/>
          <w:snapToGrid w:val="0"/>
          <w:color w:val="auto"/>
          <w:kern w:val="28"/>
          <w:sz w:val="24"/>
          <w:highlight w:val="none"/>
        </w:rPr>
        <w:t>及其委托代理机构联系方式：</w:t>
      </w:r>
    </w:p>
    <w:p w14:paraId="6B3268D0">
      <w:pPr>
        <w:spacing w:line="360" w:lineRule="auto"/>
        <w:ind w:firstLine="436" w:firstLineChars="182"/>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1、招标单位名称: </w:t>
      </w:r>
      <w:r>
        <w:rPr>
          <w:rFonts w:hint="eastAsia" w:ascii="宋体" w:hAnsi="宋体" w:eastAsia="宋体" w:cs="宋体"/>
          <w:color w:val="auto"/>
          <w:sz w:val="24"/>
          <w:highlight w:val="none"/>
          <w:lang w:eastAsia="zh-CN"/>
        </w:rPr>
        <w:t>杭州余杭城市发展投资集团有限公司</w:t>
      </w:r>
    </w:p>
    <w:p w14:paraId="5C8340CD">
      <w:pPr>
        <w:widowControl w:val="0"/>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w:t>
      </w:r>
      <w:r>
        <w:rPr>
          <w:rFonts w:hint="eastAsia" w:ascii="宋体" w:hAnsi="宋体" w:eastAsia="宋体" w:cs="宋体"/>
          <w:color w:val="auto"/>
          <w:kern w:val="0"/>
          <w:sz w:val="24"/>
          <w:highlight w:val="none"/>
          <w:lang w:eastAsia="zh-CN"/>
        </w:rPr>
        <w:t>：魏辉</w:t>
      </w:r>
      <w:r>
        <w:rPr>
          <w:rFonts w:hint="eastAsia" w:ascii="宋体" w:hAnsi="宋体" w:eastAsia="宋体" w:cs="宋体"/>
          <w:color w:val="auto"/>
          <w:kern w:val="0"/>
          <w:sz w:val="24"/>
          <w:highlight w:val="none"/>
        </w:rPr>
        <w:t xml:space="preserve">     联系电话：0571-88535192</w:t>
      </w:r>
    </w:p>
    <w:p w14:paraId="50100102">
      <w:pPr>
        <w:widowControl w:val="0"/>
        <w:wordWrap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地址：浙江省杭州市余杭区</w:t>
      </w:r>
      <w:r>
        <w:rPr>
          <w:rFonts w:hint="eastAsia" w:ascii="宋体" w:hAnsi="宋体" w:eastAsia="宋体" w:cs="宋体"/>
          <w:color w:val="auto"/>
          <w:kern w:val="0"/>
          <w:sz w:val="24"/>
          <w:highlight w:val="none"/>
          <w:lang w:val="en-US" w:eastAsia="zh-CN"/>
        </w:rPr>
        <w:t>余杭街道云联路2-150号A4号楼1003室</w:t>
      </w:r>
      <w:r>
        <w:rPr>
          <w:rFonts w:hint="eastAsia" w:ascii="宋体" w:hAnsi="宋体" w:eastAsia="宋体" w:cs="宋体"/>
          <w:color w:val="auto"/>
          <w:kern w:val="0"/>
          <w:sz w:val="24"/>
          <w:highlight w:val="none"/>
          <w:lang w:eastAsia="zh-CN"/>
        </w:rPr>
        <w:t>。</w:t>
      </w:r>
    </w:p>
    <w:p w14:paraId="08941D9C">
      <w:pPr>
        <w:pStyle w:val="39"/>
        <w:spacing w:line="360" w:lineRule="auto"/>
        <w:ind w:firstLine="480" w:firstLineChars="200"/>
        <w:rPr>
          <w:rFonts w:hint="eastAsia" w:ascii="宋体" w:hAnsi="宋体" w:eastAsia="宋体" w:cs="宋体"/>
          <w:b w:val="0"/>
          <w:bCs/>
          <w:color w:val="auto"/>
          <w:sz w:val="24"/>
          <w:szCs w:val="22"/>
          <w:highlight w:val="none"/>
          <w:lang w:val="en-US" w:eastAsia="zh-CN"/>
        </w:rPr>
      </w:pPr>
    </w:p>
    <w:p w14:paraId="6E773CFC">
      <w:pPr>
        <w:pStyle w:val="39"/>
        <w:spacing w:line="360" w:lineRule="auto"/>
        <w:ind w:firstLine="480" w:firstLineChars="200"/>
        <w:rPr>
          <w:rFonts w:hint="eastAsia" w:ascii="宋体" w:hAnsi="宋体" w:eastAsia="宋体" w:cs="宋体"/>
          <w:b w:val="0"/>
          <w:bCs/>
          <w:color w:val="auto"/>
          <w:sz w:val="24"/>
          <w:szCs w:val="22"/>
          <w:highlight w:val="none"/>
        </w:rPr>
      </w:pPr>
      <w:r>
        <w:rPr>
          <w:rFonts w:hint="eastAsia" w:ascii="宋体" w:hAnsi="宋体" w:eastAsia="宋体" w:cs="宋体"/>
          <w:b w:val="0"/>
          <w:bCs/>
          <w:color w:val="auto"/>
          <w:sz w:val="24"/>
          <w:szCs w:val="22"/>
          <w:highlight w:val="none"/>
          <w:lang w:val="en-US" w:eastAsia="zh-CN"/>
        </w:rPr>
        <w:t>2、</w:t>
      </w:r>
      <w:r>
        <w:rPr>
          <w:rFonts w:hint="eastAsia" w:ascii="宋体" w:hAnsi="宋体" w:eastAsia="宋体" w:cs="宋体"/>
          <w:b w:val="0"/>
          <w:bCs/>
          <w:color w:val="auto"/>
          <w:sz w:val="24"/>
          <w:szCs w:val="22"/>
          <w:highlight w:val="none"/>
        </w:rPr>
        <w:t>监督部门联系方式：</w:t>
      </w:r>
    </w:p>
    <w:p w14:paraId="53D4A096">
      <w:pPr>
        <w:spacing w:line="360" w:lineRule="auto"/>
        <w:ind w:firstLine="436" w:firstLineChars="1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监管部门：城投纪委</w:t>
      </w:r>
    </w:p>
    <w:p w14:paraId="3C92FE73">
      <w:pPr>
        <w:spacing w:line="360" w:lineRule="auto"/>
        <w:ind w:firstLine="436" w:firstLineChars="18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联系人：金小波</w:t>
      </w:r>
      <w:r>
        <w:rPr>
          <w:rFonts w:hint="eastAsia" w:ascii="宋体" w:hAnsi="宋体" w:cs="宋体"/>
          <w:color w:val="auto"/>
          <w:sz w:val="24"/>
          <w:highlight w:val="none"/>
          <w:lang w:val="en-US" w:eastAsia="zh-CN"/>
        </w:rPr>
        <w:t xml:space="preserve">               </w:t>
      </w:r>
      <w:r>
        <w:rPr>
          <w:rFonts w:hint="eastAsia" w:ascii="宋体" w:hAnsi="宋体" w:eastAsia="宋体" w:cs="宋体"/>
          <w:b w:val="0"/>
          <w:bCs/>
          <w:color w:val="auto"/>
          <w:sz w:val="24"/>
          <w:szCs w:val="22"/>
          <w:highlight w:val="none"/>
        </w:rPr>
        <w:t>联系电话：</w:t>
      </w:r>
      <w:r>
        <w:rPr>
          <w:rFonts w:hint="eastAsia" w:ascii="宋体" w:hAnsi="宋体" w:eastAsia="宋体" w:cs="宋体"/>
          <w:b w:val="0"/>
          <w:bCs/>
          <w:color w:val="auto"/>
          <w:sz w:val="24"/>
          <w:szCs w:val="22"/>
          <w:highlight w:val="none"/>
          <w:lang w:val="en-US" w:eastAsia="zh-CN"/>
        </w:rPr>
        <w:t>0571-88686823</w:t>
      </w:r>
    </w:p>
    <w:p w14:paraId="7C0EEBFC">
      <w:pPr>
        <w:spacing w:line="360" w:lineRule="auto"/>
        <w:ind w:firstLine="436" w:firstLineChars="182"/>
        <w:rPr>
          <w:rFonts w:hint="eastAsia" w:ascii="宋体" w:hAnsi="宋体" w:eastAsia="宋体" w:cs="宋体"/>
          <w:color w:val="auto"/>
          <w:sz w:val="24"/>
          <w:highlight w:val="none"/>
          <w:lang w:val="en-US" w:eastAsia="zh-CN"/>
        </w:rPr>
      </w:pPr>
    </w:p>
    <w:p w14:paraId="639DB34F">
      <w:pPr>
        <w:spacing w:line="360" w:lineRule="auto"/>
        <w:ind w:firstLine="436" w:firstLineChars="1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、委托代理</w:t>
      </w:r>
      <w:r>
        <w:rPr>
          <w:rFonts w:hint="eastAsia" w:ascii="宋体" w:hAnsi="宋体" w:eastAsia="宋体" w:cs="宋体"/>
          <w:color w:val="auto"/>
          <w:sz w:val="24"/>
          <w:highlight w:val="none"/>
          <w:lang w:val="en-US" w:eastAsia="zh-CN"/>
        </w:rPr>
        <w:t>机构</w:t>
      </w:r>
      <w:r>
        <w:rPr>
          <w:rFonts w:hint="eastAsia" w:ascii="宋体" w:hAnsi="宋体" w:eastAsia="宋体" w:cs="宋体"/>
          <w:color w:val="auto"/>
          <w:sz w:val="24"/>
          <w:highlight w:val="none"/>
        </w:rPr>
        <w:t>：耀华建设管理有限公司</w:t>
      </w:r>
    </w:p>
    <w:p w14:paraId="493646B0">
      <w:pPr>
        <w:spacing w:line="360" w:lineRule="auto"/>
        <w:ind w:firstLine="436" w:firstLineChars="182"/>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联系人：单成燕、</w:t>
      </w:r>
      <w:r>
        <w:rPr>
          <w:rFonts w:hint="eastAsia" w:ascii="宋体" w:hAnsi="宋体" w:eastAsia="宋体" w:cs="宋体"/>
          <w:color w:val="auto"/>
          <w:sz w:val="24"/>
          <w:highlight w:val="none"/>
          <w:lang w:eastAsia="zh-CN"/>
        </w:rPr>
        <w:t>周海丽</w:t>
      </w:r>
      <w:r>
        <w:rPr>
          <w:rFonts w:hint="eastAsia" w:ascii="宋体" w:hAnsi="宋体" w:eastAsia="宋体" w:cs="宋体"/>
          <w:color w:val="auto"/>
          <w:sz w:val="24"/>
          <w:highlight w:val="none"/>
        </w:rPr>
        <w:t xml:space="preserve">       联系电话：0571-86320706/18072887619</w:t>
      </w:r>
    </w:p>
    <w:p w14:paraId="6B26B237">
      <w:pPr>
        <w:spacing w:line="360" w:lineRule="auto"/>
        <w:ind w:firstLine="436" w:firstLineChars="182"/>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临平地址：杭州市临平区南苑街道华元欢乐城-华元大厦20层（整层）。</w:t>
      </w:r>
    </w:p>
    <w:p w14:paraId="1E0AC4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余杭地址：杭州市余杭区联创街77号汇银中心3幢2单元（整幢）。</w:t>
      </w:r>
    </w:p>
    <w:p w14:paraId="501C1D83">
      <w:pPr>
        <w:widowControl/>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7141918">
      <w:pPr>
        <w:widowControl/>
        <w:spacing w:line="360" w:lineRule="auto"/>
        <w:ind w:firstLine="480" w:firstLineChars="20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杭州余杭城市发展投资集团有限公司</w:t>
      </w:r>
      <w:r>
        <w:rPr>
          <w:rFonts w:hint="eastAsia" w:ascii="宋体" w:hAnsi="宋体" w:eastAsia="宋体" w:cs="宋体"/>
          <w:color w:val="auto"/>
          <w:kern w:val="0"/>
          <w:sz w:val="24"/>
          <w:szCs w:val="24"/>
          <w:highlight w:val="none"/>
        </w:rPr>
        <w:t xml:space="preserve">                                                       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09</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日</w:t>
      </w:r>
    </w:p>
    <w:p w14:paraId="238CE76E">
      <w:pPr>
        <w:pageBreakBefore/>
        <w:adjustRightInd w:val="0"/>
        <w:snapToGrid w:val="0"/>
        <w:spacing w:line="360" w:lineRule="auto"/>
        <w:jc w:val="center"/>
        <w:outlineLvl w:val="0"/>
        <w:rPr>
          <w:rFonts w:hint="eastAsia" w:ascii="宋体" w:hAnsi="宋体" w:eastAsia="宋体" w:cs="宋体"/>
          <w:b/>
          <w:color w:val="auto"/>
          <w:sz w:val="36"/>
          <w:szCs w:val="36"/>
          <w:highlight w:val="none"/>
        </w:rPr>
      </w:pPr>
      <w:bookmarkStart w:id="6" w:name="_Toc8098"/>
      <w:r>
        <w:rPr>
          <w:rFonts w:hint="eastAsia" w:ascii="宋体" w:hAnsi="宋体" w:eastAsia="宋体" w:cs="宋体"/>
          <w:b/>
          <w:color w:val="auto"/>
          <w:sz w:val="36"/>
          <w:szCs w:val="36"/>
          <w:highlight w:val="none"/>
        </w:rPr>
        <w:t>第二部分  编制和提交投标文件须知</w:t>
      </w:r>
      <w:bookmarkEnd w:id="6"/>
    </w:p>
    <w:p w14:paraId="4EBCA7D6">
      <w:pPr>
        <w:pStyle w:val="3"/>
        <w:numPr>
          <w:ilvl w:val="0"/>
          <w:numId w:val="0"/>
        </w:numPr>
        <w:tabs>
          <w:tab w:val="left" w:pos="1110"/>
        </w:tabs>
        <w:spacing w:line="360" w:lineRule="auto"/>
        <w:ind w:left="560"/>
        <w:jc w:val="center"/>
        <w:rPr>
          <w:rFonts w:hint="eastAsia" w:ascii="宋体" w:hAnsi="宋体" w:eastAsia="宋体" w:cs="宋体"/>
          <w:color w:val="auto"/>
          <w:sz w:val="30"/>
          <w:szCs w:val="30"/>
          <w:highlight w:val="none"/>
          <w:lang w:eastAsia="zh-CN"/>
        </w:rPr>
      </w:pPr>
      <w:bookmarkStart w:id="7" w:name="_Toc434248563"/>
      <w:bookmarkStart w:id="8" w:name="_Toc15695"/>
      <w:bookmarkStart w:id="9" w:name="_Toc17042"/>
      <w:bookmarkStart w:id="10" w:name="_Toc233618971"/>
      <w:bookmarkStart w:id="11" w:name="_Toc397181959"/>
      <w:r>
        <w:rPr>
          <w:rFonts w:hint="eastAsia" w:ascii="宋体" w:hAnsi="宋体" w:eastAsia="宋体" w:cs="宋体"/>
          <w:color w:val="auto"/>
          <w:sz w:val="30"/>
          <w:szCs w:val="30"/>
          <w:highlight w:val="none"/>
        </w:rPr>
        <w:t>前 附 表</w:t>
      </w:r>
      <w:bookmarkEnd w:id="7"/>
      <w:bookmarkEnd w:id="8"/>
      <w:bookmarkEnd w:id="9"/>
      <w:bookmarkEnd w:id="10"/>
      <w:bookmarkEnd w:id="11"/>
    </w:p>
    <w:tbl>
      <w:tblPr>
        <w:tblStyle w:val="17"/>
        <w:tblW w:w="961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2"/>
        <w:gridCol w:w="2014"/>
        <w:gridCol w:w="6706"/>
      </w:tblGrid>
      <w:tr w14:paraId="602C4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92" w:type="dxa"/>
            <w:noWrap w:val="0"/>
            <w:vAlign w:val="center"/>
          </w:tcPr>
          <w:p w14:paraId="64E313EC">
            <w:pPr>
              <w:adjustRightInd w:val="0"/>
              <w:spacing w:line="360" w:lineRule="auto"/>
              <w:ind w:left="-56" w:leftChars="-20" w:right="-78" w:rightChars="-28"/>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序号</w:t>
            </w:r>
          </w:p>
        </w:tc>
        <w:tc>
          <w:tcPr>
            <w:tcW w:w="2014" w:type="dxa"/>
            <w:noWrap w:val="0"/>
            <w:vAlign w:val="center"/>
          </w:tcPr>
          <w:p w14:paraId="5B1F004A">
            <w:pPr>
              <w:adjustRightIn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项   目</w:t>
            </w:r>
          </w:p>
        </w:tc>
        <w:tc>
          <w:tcPr>
            <w:tcW w:w="6706" w:type="dxa"/>
            <w:noWrap w:val="0"/>
            <w:vAlign w:val="center"/>
          </w:tcPr>
          <w:p w14:paraId="76A055B6">
            <w:pPr>
              <w:adjustRightInd w:val="0"/>
              <w:spacing w:line="360" w:lineRule="auto"/>
              <w:jc w:val="center"/>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内   容</w:t>
            </w:r>
          </w:p>
        </w:tc>
      </w:tr>
      <w:tr w14:paraId="4935B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892" w:type="dxa"/>
            <w:noWrap w:val="0"/>
            <w:vAlign w:val="center"/>
          </w:tcPr>
          <w:p w14:paraId="77B08A17">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w:t>
            </w:r>
          </w:p>
        </w:tc>
        <w:tc>
          <w:tcPr>
            <w:tcW w:w="2014" w:type="dxa"/>
            <w:noWrap w:val="0"/>
            <w:vAlign w:val="center"/>
          </w:tcPr>
          <w:p w14:paraId="0FE42D33">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项目名称</w:t>
            </w:r>
          </w:p>
        </w:tc>
        <w:tc>
          <w:tcPr>
            <w:tcW w:w="6706" w:type="dxa"/>
            <w:noWrap w:val="0"/>
            <w:vAlign w:val="center"/>
          </w:tcPr>
          <w:p w14:paraId="5BD65E5B">
            <w:pPr>
              <w:widowControl/>
              <w:numPr>
                <w:ilvl w:val="0"/>
                <w:numId w:val="0"/>
              </w:numPr>
              <w:spacing w:before="0" w:after="0" w:line="360" w:lineRule="auto"/>
              <w:jc w:val="left"/>
              <w:rPr>
                <w:rFonts w:hint="eastAsia" w:ascii="宋体" w:hAnsi="宋体" w:eastAsia="宋体" w:cs="宋体"/>
                <w:color w:val="auto"/>
                <w:sz w:val="24"/>
                <w:highlight w:val="none"/>
                <w:lang w:val="en-US"/>
              </w:rPr>
            </w:pPr>
            <w:r>
              <w:rPr>
                <w:rFonts w:hint="eastAsia" w:ascii="宋体" w:hAnsi="宋体" w:eastAsia="宋体" w:cs="宋体"/>
                <w:color w:val="auto"/>
                <w:kern w:val="0"/>
                <w:sz w:val="24"/>
                <w:szCs w:val="24"/>
                <w:highlight w:val="none"/>
                <w:lang w:eastAsia="zh-CN"/>
              </w:rPr>
              <w:t>城投集团财政拨款账户战略合作服务采购</w:t>
            </w:r>
          </w:p>
        </w:tc>
      </w:tr>
      <w:tr w14:paraId="1B2E7E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8" w:hRule="atLeast"/>
          <w:jc w:val="center"/>
        </w:trPr>
        <w:tc>
          <w:tcPr>
            <w:tcW w:w="892" w:type="dxa"/>
            <w:noWrap w:val="0"/>
            <w:vAlign w:val="center"/>
          </w:tcPr>
          <w:p w14:paraId="21B45EA0">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2</w:t>
            </w:r>
          </w:p>
        </w:tc>
        <w:tc>
          <w:tcPr>
            <w:tcW w:w="2014" w:type="dxa"/>
            <w:noWrap w:val="0"/>
            <w:vAlign w:val="center"/>
          </w:tcPr>
          <w:p w14:paraId="03747259">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snapToGrid w:val="0"/>
                <w:color w:val="auto"/>
                <w:kern w:val="0"/>
                <w:sz w:val="24"/>
                <w:highlight w:val="none"/>
                <w:lang w:eastAsia="zh-CN"/>
              </w:rPr>
              <w:t>项目编号</w:t>
            </w:r>
          </w:p>
        </w:tc>
        <w:tc>
          <w:tcPr>
            <w:tcW w:w="6706" w:type="dxa"/>
            <w:noWrap w:val="0"/>
            <w:vAlign w:val="center"/>
          </w:tcPr>
          <w:p w14:paraId="3A2FBF46">
            <w:pPr>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b/>
                <w:bCs/>
                <w:color w:val="auto"/>
                <w:kern w:val="0"/>
                <w:sz w:val="24"/>
                <w:szCs w:val="24"/>
                <w:highlight w:val="none"/>
                <w:lang w:val="en-US" w:eastAsia="zh-CN"/>
              </w:rPr>
              <w:t xml:space="preserve">CTCG-2024-004 </w:t>
            </w:r>
          </w:p>
        </w:tc>
      </w:tr>
      <w:tr w14:paraId="24D60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92" w:type="dxa"/>
            <w:noWrap w:val="0"/>
            <w:vAlign w:val="center"/>
          </w:tcPr>
          <w:p w14:paraId="3A0C82D0">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3</w:t>
            </w:r>
          </w:p>
        </w:tc>
        <w:tc>
          <w:tcPr>
            <w:tcW w:w="2014" w:type="dxa"/>
            <w:noWrap w:val="0"/>
            <w:vAlign w:val="center"/>
          </w:tcPr>
          <w:p w14:paraId="3107957E">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服务期</w:t>
            </w:r>
          </w:p>
        </w:tc>
        <w:tc>
          <w:tcPr>
            <w:tcW w:w="6706" w:type="dxa"/>
            <w:noWrap w:val="0"/>
            <w:vAlign w:val="center"/>
          </w:tcPr>
          <w:p w14:paraId="6EDE02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合同生效之日起</w:t>
            </w:r>
            <w:r>
              <w:rPr>
                <w:rFonts w:hint="eastAsia" w:ascii="宋体" w:hAnsi="宋体" w:eastAsia="宋体" w:cs="宋体"/>
                <w:color w:val="auto"/>
                <w:sz w:val="24"/>
                <w:szCs w:val="24"/>
                <w:highlight w:val="none"/>
                <w:lang w:val="en-US" w:eastAsia="zh-CN"/>
              </w:rPr>
              <w:t>三年</w:t>
            </w:r>
            <w:r>
              <w:rPr>
                <w:rFonts w:hint="eastAsia" w:ascii="宋体" w:hAnsi="宋体" w:eastAsia="宋体" w:cs="宋体"/>
                <w:color w:val="auto"/>
                <w:sz w:val="24"/>
                <w:szCs w:val="24"/>
                <w:highlight w:val="none"/>
              </w:rPr>
              <w:t>。</w:t>
            </w:r>
          </w:p>
        </w:tc>
      </w:tr>
      <w:tr w14:paraId="44CF44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892" w:type="dxa"/>
            <w:noWrap w:val="0"/>
            <w:vAlign w:val="center"/>
          </w:tcPr>
          <w:p w14:paraId="5E2B1E27">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4</w:t>
            </w:r>
          </w:p>
        </w:tc>
        <w:tc>
          <w:tcPr>
            <w:tcW w:w="2014" w:type="dxa"/>
            <w:noWrap w:val="0"/>
            <w:vAlign w:val="center"/>
          </w:tcPr>
          <w:p w14:paraId="6A63C443">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kern w:val="0"/>
                <w:sz w:val="24"/>
                <w:szCs w:val="24"/>
                <w:highlight w:val="none"/>
              </w:rPr>
              <w:t>投标人资格要求</w:t>
            </w:r>
          </w:p>
        </w:tc>
        <w:tc>
          <w:tcPr>
            <w:tcW w:w="6706" w:type="dxa"/>
            <w:noWrap w:val="0"/>
            <w:vAlign w:val="center"/>
          </w:tcPr>
          <w:p w14:paraId="43CB4D5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详见招标公告</w:t>
            </w:r>
            <w:r>
              <w:rPr>
                <w:rFonts w:hint="eastAsia" w:ascii="宋体" w:hAnsi="宋体" w:eastAsia="宋体" w:cs="宋体"/>
                <w:color w:val="auto"/>
                <w:sz w:val="24"/>
                <w:highlight w:val="none"/>
                <w:lang w:eastAsia="zh-CN"/>
              </w:rPr>
              <w:t>。</w:t>
            </w:r>
          </w:p>
        </w:tc>
      </w:tr>
      <w:tr w14:paraId="1012A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892" w:type="dxa"/>
            <w:noWrap w:val="0"/>
            <w:vAlign w:val="center"/>
          </w:tcPr>
          <w:p w14:paraId="4E7FB840">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5</w:t>
            </w:r>
          </w:p>
        </w:tc>
        <w:tc>
          <w:tcPr>
            <w:tcW w:w="2014" w:type="dxa"/>
            <w:noWrap w:val="0"/>
            <w:vAlign w:val="center"/>
          </w:tcPr>
          <w:p w14:paraId="493783ED">
            <w:pPr>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转包或分包</w:t>
            </w:r>
          </w:p>
        </w:tc>
        <w:tc>
          <w:tcPr>
            <w:tcW w:w="6706" w:type="dxa"/>
            <w:noWrap w:val="0"/>
            <w:vAlign w:val="center"/>
          </w:tcPr>
          <w:p w14:paraId="3FC328C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本项目不允许转包</w:t>
            </w:r>
            <w:r>
              <w:rPr>
                <w:rFonts w:hint="eastAsia" w:ascii="宋体" w:hAnsi="宋体" w:eastAsia="宋体" w:cs="宋体"/>
                <w:color w:val="auto"/>
                <w:sz w:val="24"/>
                <w:highlight w:val="none"/>
                <w:lang w:eastAsia="zh-CN"/>
              </w:rPr>
              <w:t>。</w:t>
            </w:r>
          </w:p>
        </w:tc>
      </w:tr>
      <w:tr w14:paraId="457052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6" w:hRule="atLeast"/>
          <w:jc w:val="center"/>
        </w:trPr>
        <w:tc>
          <w:tcPr>
            <w:tcW w:w="892" w:type="dxa"/>
            <w:noWrap w:val="0"/>
            <w:vAlign w:val="center"/>
          </w:tcPr>
          <w:p w14:paraId="1D0C3191">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6</w:t>
            </w:r>
          </w:p>
        </w:tc>
        <w:tc>
          <w:tcPr>
            <w:tcW w:w="2014" w:type="dxa"/>
            <w:noWrap w:val="0"/>
            <w:vAlign w:val="center"/>
          </w:tcPr>
          <w:p w14:paraId="06C2A9B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招标范围和内容</w:t>
            </w:r>
          </w:p>
        </w:tc>
        <w:tc>
          <w:tcPr>
            <w:tcW w:w="6706" w:type="dxa"/>
            <w:noWrap w:val="0"/>
            <w:vAlign w:val="center"/>
          </w:tcPr>
          <w:p w14:paraId="2D8687FC">
            <w:pPr>
              <w:widowControl/>
              <w:numPr>
                <w:ilvl w:val="0"/>
                <w:numId w:val="0"/>
              </w:numPr>
              <w:spacing w:before="0" w:after="0" w:line="360" w:lineRule="auto"/>
              <w:ind w:firstLine="0" w:firstLineChars="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eastAsia="zh-CN"/>
              </w:rPr>
              <w:t>城投集团</w:t>
            </w:r>
            <w:r>
              <w:rPr>
                <w:rFonts w:hint="eastAsia" w:ascii="宋体" w:hAnsi="宋体" w:eastAsia="宋体" w:cs="宋体"/>
                <w:kern w:val="0"/>
                <w:sz w:val="24"/>
                <w:szCs w:val="24"/>
                <w:highlight w:val="none"/>
              </w:rPr>
              <w:t>财政拨款账户的</w:t>
            </w:r>
            <w:r>
              <w:rPr>
                <w:rFonts w:hint="eastAsia" w:ascii="宋体" w:hAnsi="宋体" w:cs="宋体"/>
                <w:kern w:val="0"/>
                <w:sz w:val="24"/>
                <w:szCs w:val="24"/>
                <w:highlight w:val="none"/>
                <w:lang w:val="en-US" w:eastAsia="zh-CN"/>
              </w:rPr>
              <w:t>开设</w:t>
            </w:r>
            <w:r>
              <w:rPr>
                <w:rFonts w:hint="eastAsia" w:ascii="宋体" w:hAnsi="宋体" w:eastAsia="宋体" w:cs="宋体"/>
                <w:kern w:val="0"/>
                <w:sz w:val="24"/>
                <w:szCs w:val="24"/>
                <w:highlight w:val="none"/>
              </w:rPr>
              <w:t>、资金存放</w:t>
            </w:r>
            <w:r>
              <w:rPr>
                <w:rFonts w:hint="eastAsia" w:ascii="宋体" w:hAnsi="宋体" w:cs="宋体"/>
                <w:kern w:val="0"/>
                <w:sz w:val="24"/>
                <w:szCs w:val="24"/>
                <w:highlight w:val="none"/>
                <w:lang w:val="en-US" w:eastAsia="zh-CN"/>
              </w:rPr>
              <w:t>及其他专用账户的开设</w:t>
            </w:r>
            <w:r>
              <w:rPr>
                <w:rFonts w:hint="eastAsia" w:ascii="宋体" w:hAnsi="宋体" w:eastAsia="宋体" w:cs="宋体"/>
                <w:kern w:val="0"/>
                <w:sz w:val="24"/>
                <w:szCs w:val="24"/>
                <w:highlight w:val="none"/>
              </w:rPr>
              <w:t>等相关服务。</w:t>
            </w:r>
            <w:r>
              <w:rPr>
                <w:rFonts w:hint="eastAsia" w:ascii="宋体" w:hAnsi="宋体" w:eastAsia="宋体" w:cs="宋体"/>
                <w:color w:val="auto"/>
                <w:kern w:val="0"/>
                <w:sz w:val="24"/>
                <w:szCs w:val="24"/>
                <w:highlight w:val="none"/>
                <w:lang w:val="en-US" w:eastAsia="zh-CN"/>
              </w:rPr>
              <w:t>具体内容和相关要求详见招标文件“第三部分 项目技术规范和服务要求”。</w:t>
            </w:r>
          </w:p>
        </w:tc>
      </w:tr>
      <w:tr w14:paraId="69A1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jc w:val="center"/>
        </w:trPr>
        <w:tc>
          <w:tcPr>
            <w:tcW w:w="892" w:type="dxa"/>
            <w:noWrap w:val="0"/>
            <w:vAlign w:val="center"/>
          </w:tcPr>
          <w:p w14:paraId="0CA25691">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snapToGrid w:val="0"/>
                <w:color w:val="auto"/>
                <w:kern w:val="0"/>
                <w:sz w:val="24"/>
                <w:highlight w:val="none"/>
              </w:rPr>
              <w:t xml:space="preserve"> </w:t>
            </w:r>
            <w:r>
              <w:rPr>
                <w:rFonts w:hint="eastAsia" w:ascii="宋体" w:hAnsi="宋体" w:cs="宋体"/>
                <w:snapToGrid w:val="0"/>
                <w:color w:val="auto"/>
                <w:kern w:val="0"/>
                <w:sz w:val="24"/>
                <w:highlight w:val="none"/>
                <w:lang w:val="en-US" w:eastAsia="zh-CN"/>
              </w:rPr>
              <w:t>7</w:t>
            </w:r>
          </w:p>
        </w:tc>
        <w:tc>
          <w:tcPr>
            <w:tcW w:w="2014" w:type="dxa"/>
            <w:noWrap w:val="0"/>
            <w:vAlign w:val="center"/>
          </w:tcPr>
          <w:p w14:paraId="28639EB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招标文件的修改</w:t>
            </w:r>
          </w:p>
        </w:tc>
        <w:tc>
          <w:tcPr>
            <w:tcW w:w="6706" w:type="dxa"/>
            <w:noWrap w:val="0"/>
            <w:vAlign w:val="center"/>
          </w:tcPr>
          <w:p w14:paraId="5272F2E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在投标截止时间前，招标人有权修改招标文件，并以书面形式通知所有已购买招标文件的投标人。修改的文件作为招标文件的补充和组成部分，对所有投标人均有约束力。</w:t>
            </w:r>
          </w:p>
        </w:tc>
      </w:tr>
      <w:tr w14:paraId="6044C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892" w:type="dxa"/>
            <w:noWrap w:val="0"/>
            <w:vAlign w:val="center"/>
          </w:tcPr>
          <w:p w14:paraId="581A39DA">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8</w:t>
            </w:r>
          </w:p>
        </w:tc>
        <w:tc>
          <w:tcPr>
            <w:tcW w:w="2014" w:type="dxa"/>
            <w:noWrap w:val="0"/>
            <w:vAlign w:val="center"/>
          </w:tcPr>
          <w:p w14:paraId="03B95962">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投标保证金</w:t>
            </w:r>
          </w:p>
        </w:tc>
        <w:tc>
          <w:tcPr>
            <w:tcW w:w="6706" w:type="dxa"/>
            <w:noWrap w:val="0"/>
            <w:vAlign w:val="center"/>
          </w:tcPr>
          <w:p w14:paraId="615530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本项目免交投标保证金，投标行为与企业信用挂钩。</w:t>
            </w:r>
          </w:p>
        </w:tc>
      </w:tr>
      <w:tr w14:paraId="79FF8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92" w:type="dxa"/>
            <w:noWrap w:val="0"/>
            <w:vAlign w:val="center"/>
          </w:tcPr>
          <w:p w14:paraId="49BB2385">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9</w:t>
            </w:r>
          </w:p>
        </w:tc>
        <w:tc>
          <w:tcPr>
            <w:tcW w:w="2014" w:type="dxa"/>
            <w:noWrap w:val="0"/>
            <w:vAlign w:val="center"/>
          </w:tcPr>
          <w:p w14:paraId="6E139F20">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投标文件份数</w:t>
            </w:r>
          </w:p>
        </w:tc>
        <w:tc>
          <w:tcPr>
            <w:tcW w:w="6706" w:type="dxa"/>
            <w:noWrap w:val="0"/>
            <w:vAlign w:val="center"/>
          </w:tcPr>
          <w:p w14:paraId="4FE29D18">
            <w:pPr>
              <w:adjustRightInd/>
              <w:snapToGrid/>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正本一份，副本四份</w:t>
            </w:r>
            <w:r>
              <w:rPr>
                <w:rFonts w:hint="eastAsia" w:ascii="宋体" w:hAnsi="宋体" w:eastAsia="宋体" w:cs="宋体"/>
                <w:color w:val="000000"/>
                <w:sz w:val="24"/>
                <w:szCs w:val="24"/>
                <w:highlight w:val="none"/>
                <w:lang w:eastAsia="zh-CN"/>
              </w:rPr>
              <w:t>；</w:t>
            </w:r>
          </w:p>
          <w:p w14:paraId="12F9A936">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000000"/>
                <w:sz w:val="24"/>
                <w:szCs w:val="24"/>
                <w:highlight w:val="none"/>
              </w:rPr>
              <w:t>投标文件份数不符合要求的，招标人将当场退还投标人</w:t>
            </w:r>
            <w:r>
              <w:rPr>
                <w:rFonts w:hint="eastAsia" w:ascii="宋体" w:hAnsi="宋体" w:eastAsia="宋体" w:cs="宋体"/>
                <w:color w:val="auto"/>
                <w:sz w:val="24"/>
                <w:highlight w:val="none"/>
                <w:lang w:eastAsia="zh-CN"/>
              </w:rPr>
              <w:t>。</w:t>
            </w:r>
          </w:p>
        </w:tc>
      </w:tr>
      <w:tr w14:paraId="6BC93B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92" w:type="dxa"/>
            <w:noWrap w:val="0"/>
            <w:vAlign w:val="center"/>
          </w:tcPr>
          <w:p w14:paraId="5BC3F180">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10</w:t>
            </w:r>
          </w:p>
        </w:tc>
        <w:tc>
          <w:tcPr>
            <w:tcW w:w="2014" w:type="dxa"/>
            <w:noWrap w:val="0"/>
            <w:vAlign w:val="center"/>
          </w:tcPr>
          <w:p w14:paraId="0D58A6AA">
            <w:pPr>
              <w:adjustRightInd w:val="0"/>
              <w:snapToGri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b w:val="0"/>
                <w:bCs w:val="0"/>
                <w:color w:val="auto"/>
                <w:sz w:val="24"/>
                <w:highlight w:val="none"/>
              </w:rPr>
              <w:t>投标人</w:t>
            </w:r>
            <w:r>
              <w:rPr>
                <w:rFonts w:hint="eastAsia" w:ascii="宋体" w:hAnsi="宋体" w:cs="宋体"/>
                <w:b w:val="0"/>
                <w:bCs w:val="0"/>
                <w:color w:val="auto"/>
                <w:sz w:val="24"/>
                <w:highlight w:val="none"/>
                <w:lang w:eastAsia="zh-CN"/>
              </w:rPr>
              <w:t>提</w:t>
            </w:r>
            <w:r>
              <w:rPr>
                <w:rFonts w:hint="eastAsia" w:ascii="宋体" w:hAnsi="宋体" w:eastAsia="宋体" w:cs="宋体"/>
                <w:b w:val="0"/>
                <w:bCs w:val="0"/>
                <w:color w:val="auto"/>
                <w:sz w:val="24"/>
                <w:highlight w:val="none"/>
              </w:rPr>
              <w:t>疑</w:t>
            </w:r>
          </w:p>
        </w:tc>
        <w:tc>
          <w:tcPr>
            <w:tcW w:w="6706" w:type="dxa"/>
            <w:noWrap w:val="0"/>
            <w:vAlign w:val="center"/>
          </w:tcPr>
          <w:p w14:paraId="6A67BDEA">
            <w:pPr>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投标人对招标文件若有异议或疑问，可</w:t>
            </w:r>
            <w:r>
              <w:rPr>
                <w:rFonts w:hint="eastAsia" w:ascii="宋体" w:hAnsi="宋体" w:eastAsia="宋体" w:cs="宋体"/>
                <w:color w:val="auto"/>
                <w:sz w:val="24"/>
                <w:highlight w:val="none"/>
                <w:lang w:eastAsia="zh-CN"/>
              </w:rPr>
              <w:t>投标截止前</w:t>
            </w:r>
            <w:r>
              <w:rPr>
                <w:rFonts w:hint="eastAsia" w:ascii="宋体" w:hAnsi="宋体" w:eastAsia="宋体" w:cs="宋体"/>
                <w:color w:val="auto"/>
                <w:sz w:val="24"/>
                <w:highlight w:val="none"/>
                <w:lang w:val="en-US" w:eastAsia="zh-CN"/>
              </w:rPr>
              <w:t>10日16</w:t>
            </w:r>
            <w:r>
              <w:rPr>
                <w:rFonts w:hint="eastAsia" w:ascii="宋体" w:hAnsi="宋体" w:eastAsia="宋体" w:cs="宋体"/>
                <w:color w:val="auto"/>
                <w:sz w:val="24"/>
                <w:highlight w:val="none"/>
              </w:rPr>
              <w:t>时00分前以书面形式向招标人或代理机构提出，同时将盖章后扫描件发送</w:t>
            </w:r>
            <w:r>
              <w:rPr>
                <w:rFonts w:hint="eastAsia" w:ascii="宋体" w:hAnsi="宋体" w:eastAsia="宋体" w:cs="宋体"/>
                <w:color w:val="auto"/>
                <w:sz w:val="24"/>
                <w:szCs w:val="22"/>
                <w:highlight w:val="none"/>
              </w:rPr>
              <w:t>至邮箱：</w:t>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"mailto:1957551@qq.com，同时请致电告知。"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1957551@qq.com</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同时请致电告知18072887619。</w:t>
            </w:r>
            <w:r>
              <w:rPr>
                <w:rFonts w:hint="eastAsia" w:ascii="宋体" w:hAnsi="宋体" w:eastAsia="宋体" w:cs="宋体"/>
                <w:color w:val="auto"/>
                <w:sz w:val="24"/>
                <w:szCs w:val="22"/>
                <w:highlight w:val="none"/>
              </w:rPr>
              <w:fldChar w:fldCharType="end"/>
            </w:r>
          </w:p>
          <w:p w14:paraId="0E47137D">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投标人必须在上述提疑截止时间前提出疑问，否则招标人有权拒绝接收和回答未在答疑周期内的疑问。</w:t>
            </w:r>
          </w:p>
        </w:tc>
      </w:tr>
      <w:tr w14:paraId="3EFD1E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92" w:type="dxa"/>
            <w:noWrap w:val="0"/>
            <w:vAlign w:val="center"/>
          </w:tcPr>
          <w:p w14:paraId="307990E5">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11</w:t>
            </w:r>
          </w:p>
        </w:tc>
        <w:tc>
          <w:tcPr>
            <w:tcW w:w="2014" w:type="dxa"/>
            <w:noWrap w:val="0"/>
            <w:vAlign w:val="center"/>
          </w:tcPr>
          <w:p w14:paraId="607B10FC">
            <w:pPr>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rPr>
              <w:t>答疑</w:t>
            </w:r>
          </w:p>
        </w:tc>
        <w:tc>
          <w:tcPr>
            <w:tcW w:w="6706" w:type="dxa"/>
            <w:noWrap w:val="0"/>
            <w:vAlign w:val="center"/>
          </w:tcPr>
          <w:p w14:paraId="39ECAE9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招标人和代理机构在</w:t>
            </w:r>
            <w:r>
              <w:rPr>
                <w:rFonts w:hint="eastAsia" w:ascii="宋体" w:hAnsi="宋体" w:eastAsia="宋体" w:cs="宋体"/>
                <w:color w:val="auto"/>
                <w:sz w:val="24"/>
                <w:highlight w:val="none"/>
                <w:lang w:eastAsia="zh-CN"/>
              </w:rPr>
              <w:t>收到质疑后的</w:t>
            </w:r>
            <w:r>
              <w:rPr>
                <w:rFonts w:hint="eastAsia" w:ascii="宋体" w:hAnsi="宋体" w:eastAsia="宋体" w:cs="宋体"/>
                <w:color w:val="auto"/>
                <w:sz w:val="24"/>
                <w:highlight w:val="none"/>
                <w:lang w:val="en-US" w:eastAsia="zh-CN"/>
              </w:rPr>
              <w:t>5个工作日内</w:t>
            </w:r>
            <w:r>
              <w:rPr>
                <w:rFonts w:hint="eastAsia" w:ascii="宋体" w:hAnsi="宋体" w:eastAsia="宋体" w:cs="宋体"/>
                <w:color w:val="auto"/>
                <w:sz w:val="24"/>
                <w:highlight w:val="none"/>
              </w:rPr>
              <w:t>以书面形式予以回复。</w:t>
            </w:r>
          </w:p>
        </w:tc>
      </w:tr>
      <w:tr w14:paraId="5A64FF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892" w:type="dxa"/>
            <w:noWrap w:val="0"/>
            <w:vAlign w:val="center"/>
          </w:tcPr>
          <w:p w14:paraId="634EDCB2">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12</w:t>
            </w:r>
          </w:p>
        </w:tc>
        <w:tc>
          <w:tcPr>
            <w:tcW w:w="2014" w:type="dxa"/>
            <w:noWrap w:val="0"/>
            <w:vAlign w:val="center"/>
          </w:tcPr>
          <w:p w14:paraId="7A8B7276">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评标标准和方法</w:t>
            </w:r>
          </w:p>
        </w:tc>
        <w:tc>
          <w:tcPr>
            <w:tcW w:w="6706" w:type="dxa"/>
            <w:noWrap w:val="0"/>
            <w:vAlign w:val="center"/>
          </w:tcPr>
          <w:p w14:paraId="467C4779">
            <w:pPr>
              <w:adjustRightInd w:val="0"/>
              <w:spacing w:line="360" w:lineRule="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综合评分法</w:t>
            </w:r>
            <w:r>
              <w:rPr>
                <w:rFonts w:hint="eastAsia" w:ascii="宋体" w:hAnsi="宋体" w:eastAsia="宋体" w:cs="宋体"/>
                <w:snapToGrid w:val="0"/>
                <w:color w:val="auto"/>
                <w:kern w:val="0"/>
                <w:sz w:val="24"/>
                <w:highlight w:val="none"/>
                <w:lang w:eastAsia="zh-CN"/>
              </w:rPr>
              <w:t>。</w:t>
            </w:r>
          </w:p>
        </w:tc>
      </w:tr>
      <w:tr w14:paraId="0BBC6B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892" w:type="dxa"/>
            <w:noWrap w:val="0"/>
            <w:vAlign w:val="center"/>
          </w:tcPr>
          <w:p w14:paraId="0ABFCF9B">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13</w:t>
            </w:r>
          </w:p>
        </w:tc>
        <w:tc>
          <w:tcPr>
            <w:tcW w:w="2014" w:type="dxa"/>
            <w:noWrap w:val="0"/>
            <w:vAlign w:val="center"/>
          </w:tcPr>
          <w:p w14:paraId="65D3B174">
            <w:pPr>
              <w:adjustRightInd w:val="0"/>
              <w:spacing w:line="360" w:lineRule="auto"/>
              <w:jc w:val="center"/>
              <w:rPr>
                <w:rFonts w:hint="eastAsia"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中标候选人数量及说明</w:t>
            </w:r>
          </w:p>
        </w:tc>
        <w:tc>
          <w:tcPr>
            <w:tcW w:w="6706" w:type="dxa"/>
            <w:noWrap w:val="0"/>
            <w:vAlign w:val="center"/>
          </w:tcPr>
          <w:p w14:paraId="42EF9858">
            <w:pPr>
              <w:adjustRightInd w:val="0"/>
              <w:spacing w:line="360" w:lineRule="auto"/>
              <w:rPr>
                <w:rFonts w:hint="eastAsia" w:ascii="宋体" w:hAnsi="宋体" w:eastAsia="宋体" w:cs="宋体"/>
                <w:snapToGrid w:val="0"/>
                <w:color w:val="auto"/>
                <w:kern w:val="0"/>
                <w:sz w:val="24"/>
                <w:highlight w:val="none"/>
                <w:lang w:val="en-US"/>
              </w:rPr>
            </w:pPr>
            <w:r>
              <w:rPr>
                <w:rFonts w:hint="eastAsia" w:ascii="宋体" w:hAnsi="宋体" w:eastAsia="宋体" w:cs="宋体"/>
                <w:b/>
                <w:bCs/>
                <w:snapToGrid w:val="0"/>
                <w:color w:val="auto"/>
                <w:kern w:val="0"/>
                <w:sz w:val="24"/>
                <w:highlight w:val="none"/>
              </w:rPr>
              <w:t>按照综合评分由高到低</w:t>
            </w:r>
            <w:r>
              <w:rPr>
                <w:rFonts w:hint="eastAsia" w:ascii="宋体" w:hAnsi="宋体" w:eastAsia="宋体" w:cs="宋体"/>
                <w:b/>
                <w:bCs/>
                <w:snapToGrid w:val="0"/>
                <w:color w:val="auto"/>
                <w:kern w:val="0"/>
                <w:sz w:val="24"/>
                <w:highlight w:val="none"/>
                <w:lang w:eastAsia="zh-CN"/>
              </w:rPr>
              <w:t>推荐服务银行</w:t>
            </w:r>
            <w:r>
              <w:rPr>
                <w:rFonts w:hint="eastAsia" w:ascii="宋体" w:hAnsi="宋体" w:cs="宋体"/>
                <w:b/>
                <w:bCs/>
                <w:color w:val="auto"/>
                <w:kern w:val="0"/>
                <w:sz w:val="24"/>
                <w:szCs w:val="24"/>
                <w:highlight w:val="none"/>
                <w:lang w:val="en-US" w:eastAsia="zh-CN"/>
              </w:rPr>
              <w:t>10</w:t>
            </w:r>
            <w:r>
              <w:rPr>
                <w:rFonts w:hint="eastAsia" w:ascii="宋体" w:hAnsi="宋体" w:eastAsia="宋体" w:cs="宋体"/>
                <w:b/>
                <w:bCs/>
                <w:color w:val="auto"/>
                <w:kern w:val="0"/>
                <w:sz w:val="24"/>
                <w:szCs w:val="24"/>
                <w:highlight w:val="none"/>
                <w:lang w:val="en-US" w:eastAsia="zh-CN"/>
              </w:rPr>
              <w:t>家。</w:t>
            </w:r>
          </w:p>
        </w:tc>
      </w:tr>
      <w:tr w14:paraId="69584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892" w:type="dxa"/>
            <w:noWrap w:val="0"/>
            <w:vAlign w:val="center"/>
          </w:tcPr>
          <w:p w14:paraId="3253C58C">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14</w:t>
            </w:r>
          </w:p>
        </w:tc>
        <w:tc>
          <w:tcPr>
            <w:tcW w:w="2014" w:type="dxa"/>
            <w:noWrap w:val="0"/>
            <w:vAlign w:val="center"/>
          </w:tcPr>
          <w:p w14:paraId="3A34D6B8">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snapToGrid w:val="0"/>
                <w:color w:val="auto"/>
                <w:kern w:val="0"/>
                <w:sz w:val="24"/>
                <w:highlight w:val="none"/>
              </w:rPr>
              <w:t>投标截止时间和地点</w:t>
            </w:r>
          </w:p>
        </w:tc>
        <w:tc>
          <w:tcPr>
            <w:tcW w:w="6706" w:type="dxa"/>
            <w:noWrap w:val="0"/>
            <w:vAlign w:val="center"/>
          </w:tcPr>
          <w:p w14:paraId="72C9C457">
            <w:pPr>
              <w:adjustRightInd w:val="0"/>
              <w:spacing w:line="360" w:lineRule="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202</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年</w:t>
            </w:r>
            <w:r>
              <w:rPr>
                <w:rFonts w:hint="eastAsia" w:ascii="宋体" w:hAnsi="宋体" w:cs="宋体"/>
                <w:b/>
                <w:color w:val="auto"/>
                <w:kern w:val="0"/>
                <w:sz w:val="24"/>
                <w:highlight w:val="none"/>
                <w:lang w:val="en-US" w:eastAsia="zh-CN"/>
              </w:rPr>
              <w:t>10</w:t>
            </w:r>
            <w:r>
              <w:rPr>
                <w:rFonts w:hint="eastAsia" w:ascii="宋体" w:hAnsi="宋体" w:eastAsia="宋体" w:cs="宋体"/>
                <w:b/>
                <w:color w:val="auto"/>
                <w:kern w:val="0"/>
                <w:sz w:val="24"/>
                <w:highlight w:val="none"/>
              </w:rPr>
              <w:t>月</w:t>
            </w:r>
            <w:r>
              <w:rPr>
                <w:rFonts w:hint="eastAsia" w:ascii="宋体" w:hAnsi="宋体" w:cs="宋体"/>
                <w:b/>
                <w:color w:val="auto"/>
                <w:kern w:val="0"/>
                <w:sz w:val="24"/>
                <w:highlight w:val="none"/>
                <w:lang w:val="en-US" w:eastAsia="zh-CN"/>
              </w:rPr>
              <w:t>17</w:t>
            </w:r>
            <w:r>
              <w:rPr>
                <w:rFonts w:hint="eastAsia" w:ascii="宋体" w:hAnsi="宋体" w:eastAsia="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eastAsia="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eastAsia="宋体" w:cs="宋体"/>
                <w:b/>
                <w:color w:val="auto"/>
                <w:kern w:val="0"/>
                <w:sz w:val="24"/>
                <w:highlight w:val="none"/>
              </w:rPr>
              <w:t>分</w:t>
            </w:r>
            <w:r>
              <w:rPr>
                <w:rFonts w:hint="eastAsia" w:ascii="宋体" w:hAnsi="宋体" w:cs="宋体"/>
                <w:b/>
                <w:color w:val="auto"/>
                <w:kern w:val="0"/>
                <w:sz w:val="24"/>
                <w:highlight w:val="none"/>
                <w:lang w:val="en-US" w:eastAsia="zh-CN"/>
              </w:rPr>
              <w:t>00</w:t>
            </w:r>
            <w:r>
              <w:rPr>
                <w:rFonts w:hint="eastAsia" w:ascii="宋体" w:hAnsi="宋体" w:eastAsia="宋体" w:cs="宋体"/>
                <w:b/>
                <w:color w:val="auto"/>
                <w:kern w:val="0"/>
                <w:sz w:val="24"/>
                <w:highlight w:val="none"/>
                <w:lang w:val="en-US" w:eastAsia="zh-CN"/>
              </w:rPr>
              <w:t>秒止；</w:t>
            </w:r>
          </w:p>
          <w:p w14:paraId="59CCEB1F">
            <w:pPr>
              <w:adjustRightInd w:val="0"/>
              <w:spacing w:line="360" w:lineRule="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（建议在202</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年</w:t>
            </w:r>
            <w:r>
              <w:rPr>
                <w:rFonts w:hint="eastAsia" w:ascii="宋体" w:hAnsi="宋体" w:cs="宋体"/>
                <w:b/>
                <w:color w:val="auto"/>
                <w:kern w:val="0"/>
                <w:sz w:val="24"/>
                <w:highlight w:val="none"/>
                <w:lang w:val="en-US" w:eastAsia="zh-CN"/>
              </w:rPr>
              <w:t>10</w:t>
            </w:r>
            <w:r>
              <w:rPr>
                <w:rFonts w:hint="eastAsia" w:ascii="宋体" w:hAnsi="宋体" w:eastAsia="宋体" w:cs="宋体"/>
                <w:b/>
                <w:color w:val="auto"/>
                <w:kern w:val="0"/>
                <w:sz w:val="24"/>
                <w:highlight w:val="none"/>
              </w:rPr>
              <w:t>月</w:t>
            </w:r>
            <w:r>
              <w:rPr>
                <w:rFonts w:hint="eastAsia" w:ascii="宋体" w:hAnsi="宋体" w:cs="宋体"/>
                <w:b/>
                <w:color w:val="auto"/>
                <w:kern w:val="0"/>
                <w:sz w:val="24"/>
                <w:highlight w:val="none"/>
                <w:lang w:val="en-US" w:eastAsia="zh-CN"/>
              </w:rPr>
              <w:t>17</w:t>
            </w:r>
            <w:r>
              <w:rPr>
                <w:rFonts w:hint="eastAsia" w:ascii="宋体" w:hAnsi="宋体" w:eastAsia="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eastAsia="宋体" w:cs="宋体"/>
                <w:b/>
                <w:color w:val="auto"/>
                <w:kern w:val="0"/>
                <w:sz w:val="24"/>
                <w:highlight w:val="none"/>
              </w:rPr>
              <w:t>时</w:t>
            </w:r>
            <w:r>
              <w:rPr>
                <w:rFonts w:hint="eastAsia" w:ascii="宋体" w:hAnsi="宋体" w:cs="宋体"/>
                <w:b/>
                <w:color w:val="auto"/>
                <w:kern w:val="0"/>
                <w:sz w:val="24"/>
                <w:highlight w:val="none"/>
                <w:lang w:val="en-US" w:eastAsia="zh-CN"/>
              </w:rPr>
              <w:t>00</w:t>
            </w:r>
            <w:r>
              <w:rPr>
                <w:rFonts w:hint="eastAsia" w:ascii="宋体" w:hAnsi="宋体" w:eastAsia="宋体" w:cs="宋体"/>
                <w:b/>
                <w:color w:val="auto"/>
                <w:kern w:val="0"/>
                <w:sz w:val="24"/>
                <w:highlight w:val="none"/>
              </w:rPr>
              <w:t>分至202</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年</w:t>
            </w:r>
            <w:r>
              <w:rPr>
                <w:rFonts w:hint="eastAsia" w:ascii="宋体" w:hAnsi="宋体" w:cs="宋体"/>
                <w:b/>
                <w:color w:val="auto"/>
                <w:kern w:val="0"/>
                <w:sz w:val="24"/>
                <w:highlight w:val="none"/>
                <w:lang w:val="en-US" w:eastAsia="zh-CN"/>
              </w:rPr>
              <w:t>10</w:t>
            </w:r>
            <w:r>
              <w:rPr>
                <w:rFonts w:hint="eastAsia" w:ascii="宋体" w:hAnsi="宋体" w:eastAsia="宋体" w:cs="宋体"/>
                <w:b/>
                <w:color w:val="auto"/>
                <w:kern w:val="0"/>
                <w:sz w:val="24"/>
                <w:highlight w:val="none"/>
              </w:rPr>
              <w:t>月</w:t>
            </w:r>
            <w:r>
              <w:rPr>
                <w:rFonts w:hint="eastAsia" w:ascii="宋体" w:hAnsi="宋体" w:cs="宋体"/>
                <w:b/>
                <w:color w:val="auto"/>
                <w:kern w:val="0"/>
                <w:sz w:val="24"/>
                <w:highlight w:val="none"/>
                <w:lang w:val="en-US" w:eastAsia="zh-CN"/>
              </w:rPr>
              <w:t>17</w:t>
            </w:r>
            <w:r>
              <w:rPr>
                <w:rFonts w:hint="eastAsia" w:ascii="宋体" w:hAnsi="宋体" w:eastAsia="宋体" w:cs="宋体"/>
                <w:b/>
                <w:color w:val="auto"/>
                <w:kern w:val="0"/>
                <w:sz w:val="24"/>
                <w:highlight w:val="none"/>
              </w:rPr>
              <w:t>日</w:t>
            </w:r>
            <w:r>
              <w:rPr>
                <w:rFonts w:hint="eastAsia" w:ascii="宋体" w:hAnsi="宋体" w:eastAsia="宋体" w:cs="宋体"/>
                <w:b/>
                <w:color w:val="auto"/>
                <w:kern w:val="0"/>
                <w:sz w:val="24"/>
                <w:highlight w:val="none"/>
                <w:lang w:val="en-US" w:eastAsia="zh-CN"/>
              </w:rPr>
              <w:t xml:space="preserve">  </w:t>
            </w:r>
            <w:r>
              <w:rPr>
                <w:rFonts w:hint="eastAsia" w:ascii="宋体" w:hAnsi="宋体" w:cs="宋体"/>
                <w:b/>
                <w:color w:val="auto"/>
                <w:kern w:val="0"/>
                <w:sz w:val="24"/>
                <w:highlight w:val="none"/>
                <w:lang w:val="en-US" w:eastAsia="zh-CN"/>
              </w:rPr>
              <w:t>09</w:t>
            </w:r>
            <w:r>
              <w:rPr>
                <w:rFonts w:hint="eastAsia" w:ascii="宋体" w:hAnsi="宋体" w:eastAsia="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eastAsia="宋体" w:cs="宋体"/>
                <w:b/>
                <w:color w:val="auto"/>
                <w:kern w:val="0"/>
                <w:sz w:val="24"/>
                <w:highlight w:val="none"/>
              </w:rPr>
              <w:t>分前送达）</w:t>
            </w:r>
          </w:p>
          <w:p w14:paraId="26C466EB">
            <w:pPr>
              <w:adjustRightInd w:val="0"/>
              <w:spacing w:line="360" w:lineRule="auto"/>
              <w:rPr>
                <w:rFonts w:hint="eastAsia" w:ascii="宋体" w:hAnsi="宋体" w:eastAsia="宋体" w:cs="宋体"/>
                <w:b/>
                <w:color w:val="auto"/>
                <w:kern w:val="2"/>
                <w:sz w:val="24"/>
                <w:szCs w:val="21"/>
                <w:highlight w:val="none"/>
                <w:u w:val="single"/>
                <w:lang w:val="en-US" w:eastAsia="zh-CN" w:bidi="ar-SA"/>
              </w:rPr>
            </w:pPr>
            <w:r>
              <w:rPr>
                <w:rFonts w:hint="eastAsia" w:ascii="宋体" w:hAnsi="宋体" w:eastAsia="宋体" w:cs="宋体"/>
                <w:color w:val="auto"/>
                <w:sz w:val="24"/>
                <w:szCs w:val="24"/>
                <w:highlight w:val="none"/>
                <w:u w:val="single"/>
              </w:rPr>
              <w:t>浙江省杭州市余杭区余杭街道云联路2-150号A4号楼6楼开标室</w:t>
            </w:r>
            <w:r>
              <w:rPr>
                <w:rFonts w:hint="eastAsia" w:ascii="宋体" w:hAnsi="宋体" w:eastAsia="宋体" w:cs="宋体"/>
                <w:color w:val="auto"/>
                <w:kern w:val="0"/>
                <w:sz w:val="24"/>
                <w:highlight w:val="none"/>
                <w:lang w:eastAsia="zh-CN"/>
              </w:rPr>
              <w:t>。</w:t>
            </w:r>
          </w:p>
        </w:tc>
      </w:tr>
      <w:tr w14:paraId="7A445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892" w:type="dxa"/>
            <w:noWrap w:val="0"/>
            <w:vAlign w:val="center"/>
          </w:tcPr>
          <w:p w14:paraId="273DA322">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15</w:t>
            </w:r>
          </w:p>
        </w:tc>
        <w:tc>
          <w:tcPr>
            <w:tcW w:w="2014" w:type="dxa"/>
            <w:noWrap w:val="0"/>
            <w:vAlign w:val="center"/>
          </w:tcPr>
          <w:p w14:paraId="010BE5EF">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snapToGrid w:val="0"/>
                <w:color w:val="auto"/>
                <w:kern w:val="0"/>
                <w:sz w:val="24"/>
                <w:highlight w:val="none"/>
              </w:rPr>
              <w:t>开标时间和地点</w:t>
            </w:r>
          </w:p>
        </w:tc>
        <w:tc>
          <w:tcPr>
            <w:tcW w:w="6706" w:type="dxa"/>
            <w:noWrap w:val="0"/>
            <w:vAlign w:val="center"/>
          </w:tcPr>
          <w:p w14:paraId="4BDB5553">
            <w:pPr>
              <w:pStyle w:val="8"/>
              <w:spacing w:line="360" w:lineRule="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rPr>
              <w:t>202</w:t>
            </w:r>
            <w:r>
              <w:rPr>
                <w:rFonts w:hint="eastAsia" w:ascii="宋体" w:hAnsi="宋体" w:eastAsia="宋体" w:cs="宋体"/>
                <w:b/>
                <w:color w:val="auto"/>
                <w:kern w:val="0"/>
                <w:sz w:val="24"/>
                <w:highlight w:val="none"/>
                <w:lang w:val="en-US" w:eastAsia="zh-CN"/>
              </w:rPr>
              <w:t>4</w:t>
            </w:r>
            <w:r>
              <w:rPr>
                <w:rFonts w:hint="eastAsia" w:ascii="宋体" w:hAnsi="宋体" w:eastAsia="宋体" w:cs="宋体"/>
                <w:b/>
                <w:color w:val="auto"/>
                <w:kern w:val="0"/>
                <w:sz w:val="24"/>
                <w:highlight w:val="none"/>
              </w:rPr>
              <w:t>年</w:t>
            </w:r>
            <w:r>
              <w:rPr>
                <w:rFonts w:hint="eastAsia" w:ascii="宋体" w:hAnsi="宋体" w:cs="宋体"/>
                <w:b/>
                <w:color w:val="auto"/>
                <w:kern w:val="0"/>
                <w:sz w:val="24"/>
                <w:highlight w:val="none"/>
                <w:lang w:val="en-US" w:eastAsia="zh-CN"/>
              </w:rPr>
              <w:t>10</w:t>
            </w:r>
            <w:r>
              <w:rPr>
                <w:rFonts w:hint="eastAsia" w:ascii="宋体" w:hAnsi="宋体" w:eastAsia="宋体" w:cs="宋体"/>
                <w:b/>
                <w:color w:val="auto"/>
                <w:kern w:val="0"/>
                <w:sz w:val="24"/>
                <w:highlight w:val="none"/>
              </w:rPr>
              <w:t>月</w:t>
            </w:r>
            <w:r>
              <w:rPr>
                <w:rFonts w:hint="eastAsia" w:ascii="宋体" w:hAnsi="宋体" w:cs="宋体"/>
                <w:b/>
                <w:color w:val="auto"/>
                <w:kern w:val="0"/>
                <w:sz w:val="24"/>
                <w:highlight w:val="none"/>
                <w:lang w:val="en-US" w:eastAsia="zh-CN"/>
              </w:rPr>
              <w:t>17</w:t>
            </w:r>
            <w:r>
              <w:rPr>
                <w:rFonts w:hint="eastAsia" w:ascii="宋体" w:hAnsi="宋体" w:eastAsia="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eastAsia="宋体" w:cs="宋体"/>
                <w:b/>
                <w:color w:val="auto"/>
                <w:kern w:val="0"/>
                <w:sz w:val="24"/>
                <w:highlight w:val="none"/>
              </w:rPr>
              <w:t>时</w:t>
            </w:r>
            <w:r>
              <w:rPr>
                <w:rFonts w:hint="eastAsia" w:ascii="宋体" w:hAnsi="宋体" w:cs="宋体"/>
                <w:b/>
                <w:color w:val="auto"/>
                <w:kern w:val="0"/>
                <w:sz w:val="24"/>
                <w:highlight w:val="none"/>
                <w:lang w:val="en-US" w:eastAsia="zh-CN"/>
              </w:rPr>
              <w:t>30</w:t>
            </w:r>
            <w:r>
              <w:rPr>
                <w:rFonts w:hint="eastAsia" w:ascii="宋体" w:hAnsi="宋体" w:eastAsia="宋体" w:cs="宋体"/>
                <w:b/>
                <w:color w:val="auto"/>
                <w:kern w:val="0"/>
                <w:sz w:val="24"/>
                <w:highlight w:val="none"/>
              </w:rPr>
              <w:t>分</w:t>
            </w:r>
            <w:r>
              <w:rPr>
                <w:rFonts w:hint="eastAsia" w:ascii="宋体" w:hAnsi="宋体" w:cs="宋体"/>
                <w:b/>
                <w:color w:val="auto"/>
                <w:kern w:val="0"/>
                <w:sz w:val="24"/>
                <w:highlight w:val="none"/>
                <w:lang w:val="en-US" w:eastAsia="zh-CN"/>
              </w:rPr>
              <w:t>00</w:t>
            </w:r>
            <w:r>
              <w:rPr>
                <w:rFonts w:hint="eastAsia" w:ascii="宋体" w:hAnsi="宋体" w:eastAsia="宋体" w:cs="宋体"/>
                <w:b/>
                <w:color w:val="auto"/>
                <w:kern w:val="0"/>
                <w:sz w:val="24"/>
                <w:highlight w:val="none"/>
                <w:lang w:val="en-US" w:eastAsia="zh-CN"/>
              </w:rPr>
              <w:t>秒；</w:t>
            </w:r>
          </w:p>
          <w:p w14:paraId="26B34891">
            <w:pPr>
              <w:pStyle w:val="8"/>
              <w:spacing w:line="360" w:lineRule="auto"/>
              <w:rPr>
                <w:rFonts w:hint="eastAsia" w:ascii="宋体" w:hAnsi="宋体" w:eastAsia="宋体" w:cs="宋体"/>
                <w:b/>
                <w:bCs/>
                <w:snapToGrid w:val="0"/>
                <w:color w:val="auto"/>
                <w:kern w:val="0"/>
                <w:sz w:val="24"/>
                <w:highlight w:val="none"/>
                <w:lang w:val="en-US" w:eastAsia="zh-CN" w:bidi="ar-SA"/>
              </w:rPr>
            </w:pPr>
            <w:r>
              <w:rPr>
                <w:rFonts w:hint="eastAsia" w:ascii="宋体" w:hAnsi="宋体" w:eastAsia="宋体" w:cs="宋体"/>
                <w:color w:val="auto"/>
                <w:sz w:val="24"/>
                <w:szCs w:val="24"/>
                <w:highlight w:val="none"/>
                <w:u w:val="single"/>
              </w:rPr>
              <w:t>浙江省杭州市余杭区余杭街道云联路2-150号A4号楼6楼开标室</w:t>
            </w:r>
            <w:r>
              <w:rPr>
                <w:rFonts w:hint="eastAsia" w:ascii="宋体" w:hAnsi="宋体" w:eastAsia="宋体" w:cs="宋体"/>
                <w:color w:val="auto"/>
                <w:kern w:val="0"/>
                <w:sz w:val="24"/>
                <w:highlight w:val="none"/>
                <w:lang w:eastAsia="zh-CN"/>
              </w:rPr>
              <w:t>。</w:t>
            </w:r>
          </w:p>
        </w:tc>
      </w:tr>
      <w:tr w14:paraId="24916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892" w:type="dxa"/>
            <w:noWrap w:val="0"/>
            <w:vAlign w:val="center"/>
          </w:tcPr>
          <w:p w14:paraId="3F17DFD4">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16</w:t>
            </w:r>
          </w:p>
        </w:tc>
        <w:tc>
          <w:tcPr>
            <w:tcW w:w="2014" w:type="dxa"/>
            <w:noWrap w:val="0"/>
            <w:vAlign w:val="center"/>
          </w:tcPr>
          <w:p w14:paraId="3A160BE3">
            <w:pPr>
              <w:adjustRightInd w:val="0"/>
              <w:spacing w:line="360" w:lineRule="auto"/>
              <w:jc w:val="center"/>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snapToGrid w:val="0"/>
                <w:color w:val="auto"/>
                <w:kern w:val="0"/>
                <w:sz w:val="24"/>
                <w:highlight w:val="none"/>
              </w:rPr>
              <w:t>投标有效期</w:t>
            </w:r>
          </w:p>
        </w:tc>
        <w:tc>
          <w:tcPr>
            <w:tcW w:w="6706" w:type="dxa"/>
            <w:noWrap w:val="0"/>
            <w:vAlign w:val="center"/>
          </w:tcPr>
          <w:p w14:paraId="16ABB400">
            <w:pPr>
              <w:adjustRightInd w:val="0"/>
              <w:spacing w:line="360" w:lineRule="auto"/>
              <w:rPr>
                <w:rFonts w:hint="eastAsia" w:ascii="宋体" w:hAnsi="宋体" w:eastAsia="宋体" w:cs="宋体"/>
                <w:snapToGrid w:val="0"/>
                <w:color w:val="auto"/>
                <w:kern w:val="0"/>
                <w:sz w:val="24"/>
                <w:highlight w:val="none"/>
                <w:lang w:val="en-US" w:eastAsia="zh-CN" w:bidi="ar-SA"/>
              </w:rPr>
            </w:pPr>
            <w:r>
              <w:rPr>
                <w:rFonts w:hint="eastAsia" w:ascii="宋体" w:hAnsi="宋体" w:eastAsia="宋体" w:cs="宋体"/>
                <w:color w:val="auto"/>
                <w:sz w:val="24"/>
                <w:highlight w:val="none"/>
              </w:rPr>
              <w:t>投标文件在</w:t>
            </w:r>
            <w:r>
              <w:rPr>
                <w:rFonts w:hint="eastAsia" w:ascii="宋体" w:hAnsi="宋体" w:eastAsia="宋体" w:cs="宋体"/>
                <w:snapToGrid w:val="0"/>
                <w:color w:val="auto"/>
                <w:kern w:val="0"/>
                <w:sz w:val="24"/>
                <w:highlight w:val="none"/>
              </w:rPr>
              <w:t>投标截止日期起</w:t>
            </w:r>
            <w:r>
              <w:rPr>
                <w:rFonts w:hint="eastAsia" w:ascii="宋体" w:hAnsi="宋体" w:eastAsia="宋体" w:cs="宋体"/>
                <w:bCs/>
                <w:snapToGrid w:val="0"/>
                <w:color w:val="auto"/>
                <w:kern w:val="0"/>
                <w:sz w:val="24"/>
                <w:highlight w:val="none"/>
              </w:rPr>
              <w:t>90天内有</w:t>
            </w:r>
            <w:r>
              <w:rPr>
                <w:rFonts w:hint="eastAsia" w:ascii="宋体" w:hAnsi="宋体" w:eastAsia="宋体" w:cs="宋体"/>
                <w:snapToGrid w:val="0"/>
                <w:color w:val="auto"/>
                <w:kern w:val="0"/>
                <w:sz w:val="24"/>
                <w:highlight w:val="none"/>
              </w:rPr>
              <w:t>效，</w:t>
            </w:r>
            <w:r>
              <w:rPr>
                <w:rFonts w:hint="eastAsia" w:ascii="宋体" w:hAnsi="宋体" w:eastAsia="宋体" w:cs="宋体"/>
                <w:color w:val="auto"/>
                <w:sz w:val="24"/>
                <w:highlight w:val="none"/>
              </w:rPr>
              <w:t>中标单位的投标文件自开标之日起至合同履行完毕止均应保持有效。</w:t>
            </w:r>
          </w:p>
        </w:tc>
      </w:tr>
      <w:tr w14:paraId="6CFA5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892" w:type="dxa"/>
            <w:noWrap w:val="0"/>
            <w:vAlign w:val="center"/>
          </w:tcPr>
          <w:p w14:paraId="08678D11">
            <w:pPr>
              <w:adjustRightInd w:val="0"/>
              <w:spacing w:line="360" w:lineRule="auto"/>
              <w:jc w:val="center"/>
              <w:rPr>
                <w:rFonts w:hint="default" w:ascii="宋体" w:hAnsi="宋体" w:eastAsia="宋体" w:cs="宋体"/>
                <w:snapToGrid w:val="0"/>
                <w:color w:val="auto"/>
                <w:kern w:val="0"/>
                <w:sz w:val="24"/>
                <w:highlight w:val="none"/>
                <w:lang w:val="en-US" w:eastAsia="zh-CN" w:bidi="ar-SA"/>
              </w:rPr>
            </w:pPr>
            <w:r>
              <w:rPr>
                <w:rFonts w:hint="eastAsia" w:ascii="宋体" w:hAnsi="宋体" w:cs="宋体"/>
                <w:snapToGrid w:val="0"/>
                <w:color w:val="auto"/>
                <w:kern w:val="0"/>
                <w:sz w:val="24"/>
                <w:highlight w:val="none"/>
                <w:lang w:val="en-US" w:eastAsia="zh-CN"/>
              </w:rPr>
              <w:t>17</w:t>
            </w:r>
          </w:p>
        </w:tc>
        <w:tc>
          <w:tcPr>
            <w:tcW w:w="2014" w:type="dxa"/>
            <w:noWrap w:val="0"/>
            <w:vAlign w:val="center"/>
          </w:tcPr>
          <w:p w14:paraId="1D7BE02A">
            <w:pPr>
              <w:adjustRightInd w:val="0"/>
              <w:spacing w:line="360" w:lineRule="auto"/>
              <w:jc w:val="center"/>
              <w:rPr>
                <w:rFonts w:hint="eastAsia" w:ascii="宋体" w:hAnsi="宋体" w:eastAsia="宋体" w:cs="宋体"/>
                <w:b/>
                <w:snapToGrid w:val="0"/>
                <w:color w:val="auto"/>
                <w:kern w:val="0"/>
                <w:sz w:val="24"/>
                <w:highlight w:val="none"/>
                <w:lang w:val="en-US" w:eastAsia="zh-CN" w:bidi="ar-SA"/>
              </w:rPr>
            </w:pPr>
            <w:r>
              <w:rPr>
                <w:rFonts w:hint="eastAsia" w:ascii="宋体" w:hAnsi="宋体" w:eastAsia="宋体" w:cs="宋体"/>
                <w:b/>
                <w:snapToGrid w:val="0"/>
                <w:color w:val="auto"/>
                <w:kern w:val="0"/>
                <w:sz w:val="24"/>
                <w:highlight w:val="none"/>
              </w:rPr>
              <w:t>特别说明</w:t>
            </w:r>
          </w:p>
        </w:tc>
        <w:tc>
          <w:tcPr>
            <w:tcW w:w="6706" w:type="dxa"/>
            <w:noWrap w:val="0"/>
            <w:vAlign w:val="center"/>
          </w:tcPr>
          <w:p w14:paraId="0D2D10F9">
            <w:pPr>
              <w:adjustRightInd w:val="0"/>
              <w:spacing w:line="360" w:lineRule="auto"/>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sz w:val="24"/>
                <w:highlight w:val="none"/>
                <w:lang w:val="en-US" w:eastAsia="zh-CN"/>
              </w:rPr>
              <w:t>本次招标所产生的一切代理机构服务费均由中标方承担，</w:t>
            </w: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lang w:val="en-US" w:eastAsia="zh-CN"/>
              </w:rPr>
              <w:t>000元/家。</w:t>
            </w:r>
            <w:r>
              <w:rPr>
                <w:rFonts w:hint="eastAsia" w:ascii="宋体" w:hAnsi="宋体" w:cs="宋体"/>
                <w:b/>
                <w:color w:val="auto"/>
                <w:sz w:val="24"/>
                <w:highlight w:val="none"/>
                <w:lang w:val="en-US" w:eastAsia="zh-CN"/>
              </w:rPr>
              <w:t>专家费</w:t>
            </w:r>
            <w:r>
              <w:rPr>
                <w:rFonts w:hint="eastAsia" w:ascii="宋体" w:hAnsi="宋体" w:eastAsia="宋体" w:cs="宋体"/>
                <w:b/>
                <w:color w:val="auto"/>
                <w:sz w:val="24"/>
                <w:highlight w:val="none"/>
                <w:lang w:val="en-US" w:eastAsia="zh-CN"/>
              </w:rPr>
              <w:t>由招标人承担。</w:t>
            </w:r>
          </w:p>
        </w:tc>
      </w:tr>
    </w:tbl>
    <w:p w14:paraId="7E6B2519">
      <w:pPr>
        <w:spacing w:line="360" w:lineRule="auto"/>
        <w:ind w:firstLine="3360" w:firstLineChars="1400"/>
        <w:outlineLvl w:val="1"/>
        <w:rPr>
          <w:rFonts w:hint="eastAsia" w:ascii="宋体" w:hAnsi="宋体" w:eastAsia="宋体" w:cs="宋体"/>
          <w:b/>
          <w:color w:val="auto"/>
          <w:sz w:val="32"/>
          <w:szCs w:val="32"/>
          <w:highlight w:val="none"/>
          <w:lang w:eastAsia="zh-CN"/>
        </w:rPr>
      </w:pPr>
      <w:r>
        <w:rPr>
          <w:rFonts w:hint="eastAsia" w:ascii="宋体" w:hAnsi="宋体" w:eastAsia="宋体" w:cs="宋体"/>
          <w:color w:val="auto"/>
          <w:sz w:val="24"/>
          <w:szCs w:val="24"/>
          <w:highlight w:val="none"/>
        </w:rPr>
        <w:br w:type="page"/>
      </w:r>
      <w:bookmarkEnd w:id="5"/>
      <w:bookmarkStart w:id="12" w:name="_Toc14441"/>
      <w:bookmarkStart w:id="13" w:name="_Toc233618972"/>
      <w:bookmarkStart w:id="14" w:name="_Toc434248564"/>
      <w:bookmarkStart w:id="15" w:name="_Toc6673"/>
      <w:bookmarkStart w:id="16" w:name="_Toc397181960"/>
      <w:r>
        <w:rPr>
          <w:rFonts w:hint="eastAsia" w:ascii="宋体" w:hAnsi="宋体" w:eastAsia="宋体" w:cs="宋体"/>
          <w:b/>
          <w:color w:val="auto"/>
          <w:sz w:val="32"/>
          <w:szCs w:val="32"/>
          <w:highlight w:val="none"/>
        </w:rPr>
        <w:t>一、总 则</w:t>
      </w:r>
      <w:bookmarkEnd w:id="12"/>
      <w:bookmarkEnd w:id="13"/>
      <w:bookmarkEnd w:id="14"/>
      <w:bookmarkEnd w:id="15"/>
      <w:bookmarkEnd w:id="16"/>
    </w:p>
    <w:p w14:paraId="38EF0C2A">
      <w:pPr>
        <w:pStyle w:val="8"/>
        <w:spacing w:line="360" w:lineRule="auto"/>
        <w:rPr>
          <w:rFonts w:hint="eastAsia" w:ascii="宋体" w:hAnsi="宋体" w:eastAsia="宋体" w:cs="宋体"/>
          <w:b/>
          <w:color w:val="auto"/>
          <w:sz w:val="24"/>
          <w:szCs w:val="24"/>
          <w:highlight w:val="none"/>
        </w:rPr>
      </w:pPr>
      <w:bookmarkStart w:id="17" w:name="_Hlt74730295"/>
      <w:bookmarkEnd w:id="17"/>
      <w:bookmarkStart w:id="18" w:name="_Hlt74714665"/>
      <w:bookmarkEnd w:id="18"/>
      <w:bookmarkStart w:id="19" w:name="_Toc91899872"/>
      <w:bookmarkStart w:id="20" w:name="_Hlt74730208"/>
      <w:bookmarkStart w:id="21" w:name="_Hlt74730112"/>
      <w:r>
        <w:rPr>
          <w:rFonts w:hint="eastAsia" w:ascii="宋体" w:hAnsi="宋体" w:eastAsia="宋体" w:cs="宋体"/>
          <w:b/>
          <w:color w:val="auto"/>
          <w:sz w:val="24"/>
          <w:szCs w:val="24"/>
          <w:highlight w:val="none"/>
        </w:rPr>
        <w:t>1</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项目说明</w:t>
      </w:r>
      <w:bookmarkEnd w:id="19"/>
    </w:p>
    <w:p w14:paraId="52562855">
      <w:pPr>
        <w:pStyle w:val="36"/>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1.1适用范围：本招标文件仅适用于本次招标项目。</w:t>
      </w:r>
    </w:p>
    <w:p w14:paraId="613D07A5">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杭州余杭城市发展投资集团有限公司</w:t>
      </w:r>
      <w:r>
        <w:rPr>
          <w:rFonts w:hint="eastAsia" w:ascii="宋体" w:hAnsi="宋体" w:eastAsia="宋体" w:cs="宋体"/>
          <w:color w:val="auto"/>
          <w:sz w:val="24"/>
          <w:szCs w:val="24"/>
          <w:highlight w:val="none"/>
        </w:rPr>
        <w:t>为本项目的招标人 (协议中的甲方)，</w:t>
      </w:r>
      <w:r>
        <w:rPr>
          <w:rFonts w:hint="eastAsia" w:ascii="宋体" w:hAnsi="宋体" w:eastAsia="宋体" w:cs="宋体"/>
          <w:color w:val="auto"/>
          <w:sz w:val="24"/>
          <w:highlight w:val="none"/>
          <w:lang w:eastAsia="zh-CN"/>
        </w:rPr>
        <w:t>耀华建设管理有限公司</w:t>
      </w:r>
      <w:r>
        <w:rPr>
          <w:rFonts w:hint="eastAsia" w:ascii="宋体" w:hAnsi="宋体" w:eastAsia="宋体" w:cs="宋体"/>
          <w:color w:val="auto"/>
          <w:sz w:val="24"/>
          <w:szCs w:val="24"/>
          <w:highlight w:val="none"/>
        </w:rPr>
        <w:t>为招标代理机构，自愿参加本次项目投标的单位为投标人，</w:t>
      </w:r>
      <w:r>
        <w:rPr>
          <w:rFonts w:hint="eastAsia" w:ascii="宋体" w:hAnsi="宋体" w:eastAsia="宋体" w:cs="宋体"/>
          <w:color w:val="000000"/>
          <w:sz w:val="24"/>
          <w:szCs w:val="24"/>
          <w:highlight w:val="none"/>
        </w:rPr>
        <w:t>经评审产生的</w:t>
      </w: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名</w:t>
      </w:r>
      <w:r>
        <w:rPr>
          <w:rFonts w:hint="eastAsia" w:ascii="宋体" w:hAnsi="宋体" w:eastAsia="宋体" w:cs="宋体"/>
          <w:sz w:val="24"/>
          <w:szCs w:val="24"/>
          <w:highlight w:val="none"/>
          <w:lang w:val="en-US" w:eastAsia="zh-CN"/>
        </w:rPr>
        <w:t>中标候选人</w:t>
      </w:r>
      <w:r>
        <w:rPr>
          <w:rFonts w:hint="eastAsia" w:ascii="宋体" w:hAnsi="宋体" w:eastAsia="宋体" w:cs="宋体"/>
          <w:color w:val="000000"/>
          <w:sz w:val="24"/>
          <w:szCs w:val="24"/>
          <w:highlight w:val="none"/>
        </w:rPr>
        <w:t>经公示后为中标人，签订协议后的中标人为服务银行(协议中的乙方)</w:t>
      </w:r>
      <w:r>
        <w:rPr>
          <w:rFonts w:hint="eastAsia" w:ascii="宋体" w:hAnsi="宋体" w:eastAsia="宋体" w:cs="宋体"/>
          <w:color w:val="auto"/>
          <w:sz w:val="24"/>
          <w:szCs w:val="24"/>
          <w:highlight w:val="none"/>
        </w:rPr>
        <w:t>)。</w:t>
      </w:r>
    </w:p>
    <w:p w14:paraId="2BBB6E90">
      <w:pPr>
        <w:tabs>
          <w:tab w:val="left" w:pos="378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投标人须承诺所提供的服务、收费是客观真实的，如果中标，同意招标人为实施公开招标工作的需要可以在有关网站和相关文件上公布中标的服务、收费等承诺以及其它相关的信息。</w:t>
      </w:r>
    </w:p>
    <w:p w14:paraId="7AC7FC03">
      <w:pPr>
        <w:pStyle w:val="8"/>
        <w:spacing w:line="360" w:lineRule="auto"/>
        <w:rPr>
          <w:rFonts w:hint="eastAsia" w:ascii="宋体" w:hAnsi="宋体" w:eastAsia="宋体" w:cs="宋体"/>
          <w:b/>
          <w:color w:val="auto"/>
          <w:sz w:val="24"/>
          <w:szCs w:val="24"/>
          <w:highlight w:val="none"/>
        </w:rPr>
      </w:pPr>
      <w:bookmarkStart w:id="22" w:name="_Toc91899873"/>
      <w:r>
        <w:rPr>
          <w:rFonts w:hint="eastAsia" w:ascii="宋体" w:hAnsi="宋体" w:eastAsia="宋体" w:cs="宋体"/>
          <w:b/>
          <w:color w:val="auto"/>
          <w:sz w:val="24"/>
          <w:szCs w:val="24"/>
          <w:highlight w:val="none"/>
        </w:rPr>
        <w:t>2</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招标方式</w:t>
      </w:r>
      <w:bookmarkEnd w:id="22"/>
    </w:p>
    <w:p w14:paraId="06512A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bookmarkEnd w:id="20"/>
      <w:bookmarkEnd w:id="21"/>
      <w:bookmarkStart w:id="23" w:name="_Hlt68516771"/>
      <w:bookmarkEnd w:id="23"/>
      <w:bookmarkStart w:id="24" w:name="_Hlt74388212"/>
      <w:bookmarkEnd w:id="24"/>
      <w:bookmarkStart w:id="25" w:name="_Hlt74730303"/>
      <w:bookmarkStart w:id="26" w:name="_Toc91899877"/>
    </w:p>
    <w:p w14:paraId="6B623825">
      <w:pPr>
        <w:pStyle w:val="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投标费用</w:t>
      </w:r>
    </w:p>
    <w:p w14:paraId="1C72558C">
      <w:pPr>
        <w:spacing w:line="360" w:lineRule="auto"/>
        <w:ind w:firstLine="523" w:firstLineChars="218"/>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投标人需自行承担涉及投标的一切费用</w:t>
      </w:r>
      <w:r>
        <w:rPr>
          <w:rFonts w:hint="eastAsia" w:ascii="宋体" w:hAnsi="宋体" w:eastAsia="宋体" w:cs="宋体"/>
          <w:color w:val="auto"/>
          <w:sz w:val="24"/>
          <w:szCs w:val="24"/>
          <w:highlight w:val="none"/>
          <w:lang w:val="zh-CN"/>
        </w:rPr>
        <w:t>，不</w:t>
      </w:r>
      <w:r>
        <w:rPr>
          <w:rFonts w:hint="eastAsia" w:ascii="宋体" w:hAnsi="宋体" w:eastAsia="宋体" w:cs="宋体"/>
          <w:color w:val="auto"/>
          <w:sz w:val="24"/>
          <w:highlight w:val="none"/>
        </w:rPr>
        <w:t>管投标结果如何，招标人对上述费用不负任何责任。</w:t>
      </w:r>
    </w:p>
    <w:bookmarkEnd w:id="25"/>
    <w:bookmarkEnd w:id="26"/>
    <w:p w14:paraId="70FA9EE7">
      <w:pPr>
        <w:numPr>
          <w:ilvl w:val="0"/>
          <w:numId w:val="3"/>
        </w:numPr>
        <w:adjustRightInd w:val="0"/>
        <w:snapToGrid w:val="0"/>
        <w:spacing w:line="360" w:lineRule="auto"/>
        <w:rPr>
          <w:rFonts w:hint="eastAsia" w:ascii="宋体" w:hAnsi="宋体" w:eastAsia="宋体" w:cs="宋体"/>
          <w:b/>
          <w:color w:val="auto"/>
          <w:sz w:val="24"/>
          <w:highlight w:val="none"/>
        </w:rPr>
      </w:pPr>
      <w:bookmarkStart w:id="27" w:name="_Hlt68057669"/>
      <w:bookmarkEnd w:id="27"/>
      <w:bookmarkStart w:id="28" w:name="_Hlt74729768"/>
      <w:bookmarkEnd w:id="28"/>
      <w:bookmarkStart w:id="29" w:name="_Hlt75236290"/>
      <w:bookmarkEnd w:id="29"/>
      <w:bookmarkStart w:id="30" w:name="_Hlt74707468"/>
      <w:bookmarkEnd w:id="30"/>
      <w:bookmarkStart w:id="31" w:name="_Hlt68072990"/>
      <w:bookmarkEnd w:id="31"/>
      <w:bookmarkStart w:id="32" w:name="_Toc233618973"/>
      <w:bookmarkStart w:id="33" w:name="_Toc434248565"/>
      <w:bookmarkStart w:id="34" w:name="_Toc397181961"/>
      <w:r>
        <w:rPr>
          <w:rFonts w:hint="eastAsia" w:ascii="宋体" w:hAnsi="宋体" w:eastAsia="宋体" w:cs="宋体"/>
          <w:b/>
          <w:color w:val="auto"/>
          <w:sz w:val="24"/>
          <w:highlight w:val="none"/>
        </w:rPr>
        <w:t>投标委托</w:t>
      </w:r>
    </w:p>
    <w:p w14:paraId="3B053AD9">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如投标人代表不是法定代表人或单位负责人，须有法定代表人或单位负责人出具的授权委托书。</w:t>
      </w:r>
    </w:p>
    <w:p w14:paraId="474AF232">
      <w:pPr>
        <w:spacing w:line="360" w:lineRule="auto"/>
        <w:jc w:val="center"/>
        <w:outlineLvl w:val="1"/>
        <w:rPr>
          <w:rFonts w:hint="eastAsia" w:ascii="宋体" w:hAnsi="宋体" w:eastAsia="宋体" w:cs="宋体"/>
          <w:b/>
          <w:color w:val="auto"/>
          <w:sz w:val="32"/>
          <w:szCs w:val="32"/>
          <w:highlight w:val="none"/>
        </w:rPr>
      </w:pPr>
      <w:bookmarkStart w:id="35" w:name="_Toc3870"/>
      <w:bookmarkStart w:id="36" w:name="_Toc27144"/>
      <w:r>
        <w:rPr>
          <w:rFonts w:hint="eastAsia" w:ascii="宋体" w:hAnsi="宋体" w:eastAsia="宋体" w:cs="宋体"/>
          <w:b/>
          <w:color w:val="auto"/>
          <w:sz w:val="32"/>
          <w:szCs w:val="32"/>
          <w:highlight w:val="none"/>
        </w:rPr>
        <w:t>二、招标文件</w:t>
      </w:r>
      <w:bookmarkEnd w:id="32"/>
      <w:bookmarkEnd w:id="33"/>
      <w:bookmarkEnd w:id="34"/>
      <w:bookmarkEnd w:id="35"/>
      <w:bookmarkEnd w:id="36"/>
    </w:p>
    <w:p w14:paraId="70119720">
      <w:pPr>
        <w:pStyle w:val="8"/>
        <w:adjustRightInd w:val="0"/>
        <w:snapToGrid w:val="0"/>
        <w:spacing w:line="360" w:lineRule="auto"/>
        <w:rPr>
          <w:rFonts w:hint="eastAsia" w:ascii="宋体" w:hAnsi="宋体" w:eastAsia="宋体" w:cs="宋体"/>
          <w:b/>
          <w:color w:val="auto"/>
          <w:sz w:val="24"/>
          <w:szCs w:val="24"/>
          <w:highlight w:val="none"/>
        </w:rPr>
      </w:pPr>
      <w:bookmarkStart w:id="37" w:name="_Toc91899880"/>
      <w:bookmarkStart w:id="38" w:name="_Hlt74730307"/>
      <w:r>
        <w:rPr>
          <w:rFonts w:hint="eastAsia" w:ascii="宋体" w:hAnsi="宋体" w:eastAsia="宋体" w:cs="宋体"/>
          <w:b/>
          <w:color w:val="auto"/>
          <w:sz w:val="24"/>
          <w:szCs w:val="24"/>
          <w:highlight w:val="none"/>
        </w:rPr>
        <w:t>5</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招标文件的构成</w:t>
      </w:r>
      <w:bookmarkEnd w:id="37"/>
    </w:p>
    <w:bookmarkEnd w:id="38"/>
    <w:p w14:paraId="076A94F2">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81A3F7E">
      <w:pPr>
        <w:pStyle w:val="8"/>
        <w:adjustRightInd w:val="0"/>
        <w:snapToGrid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招标公告</w:t>
      </w:r>
    </w:p>
    <w:p w14:paraId="58B28629">
      <w:pPr>
        <w:pStyle w:val="8"/>
        <w:adjustRightInd w:val="0"/>
        <w:snapToGrid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编制和提交投标文件须知</w:t>
      </w:r>
    </w:p>
    <w:p w14:paraId="499B920E">
      <w:pPr>
        <w:pStyle w:val="8"/>
        <w:adjustRightInd w:val="0"/>
        <w:snapToGrid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项目技术规范和服务要求</w:t>
      </w:r>
    </w:p>
    <w:p w14:paraId="31D0AAC8">
      <w:pPr>
        <w:pStyle w:val="8"/>
        <w:adjustRightInd w:val="0"/>
        <w:snapToGrid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第四部分  评标标准和方法</w:t>
      </w:r>
    </w:p>
    <w:p w14:paraId="29DD4D85">
      <w:pPr>
        <w:pStyle w:val="8"/>
        <w:adjustRightInd w:val="0"/>
        <w:snapToGrid w:val="0"/>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第五部分  应提交的有关格式范例</w:t>
      </w:r>
    </w:p>
    <w:p w14:paraId="342A02F3">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投标人应认真审阅招标文件中所有的内容，包括编制和提交投标文件须知、项目技术规范和服务要求、评标标准和方法、应提交的有关格式范例等。如果投标人编制的投标文件没有从实质上响应招标文件的要求，其投标文件将被拒绝。</w:t>
      </w:r>
    </w:p>
    <w:p w14:paraId="18A9F442">
      <w:pPr>
        <w:pStyle w:val="8"/>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招标文件的解释</w:t>
      </w:r>
    </w:p>
    <w:p w14:paraId="5A5B0B33">
      <w:pPr>
        <w:pStyle w:val="36"/>
        <w:adjustRightInd w:val="0"/>
        <w:snapToGrid w:val="0"/>
        <w:spacing w:before="0" w:line="360" w:lineRule="auto"/>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auto"/>
          <w:szCs w:val="24"/>
          <w:highlight w:val="none"/>
        </w:rPr>
        <w:t>6.1  不论招标人（招标代理机构）向投标人发送的资料文件，还是投标人提出的问</w:t>
      </w:r>
      <w:r>
        <w:rPr>
          <w:rFonts w:hint="eastAsia" w:ascii="宋体" w:hAnsi="宋体" w:eastAsia="宋体" w:cs="宋体"/>
          <w:color w:val="000000" w:themeColor="text1"/>
          <w:szCs w:val="24"/>
          <w:highlight w:val="none"/>
          <w14:textFill>
            <w14:solidFill>
              <w14:schemeClr w14:val="tx1"/>
            </w14:solidFill>
          </w14:textFill>
        </w:rPr>
        <w:t>题，均采用书面形式，任何口头提问及答复一律无效。</w:t>
      </w:r>
    </w:p>
    <w:p w14:paraId="6608D357">
      <w:pPr>
        <w:tabs>
          <w:tab w:val="left" w:pos="37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  投标人一旦参与本次招标活动，即被视为接受了本招标文件的所有内容，如有任何异议，均应在提疑截止时间前提出。</w:t>
      </w:r>
    </w:p>
    <w:p w14:paraId="66E175CF">
      <w:pPr>
        <w:tabs>
          <w:tab w:val="left" w:pos="37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6.3  投标人如发现招标文件及其评标标准和方法中存在含糊不清、相互矛盾、多种含义条款或是歧视性、排他性等不公正条款或存在违法违规内容时，为招标文件的修改留出充足时间，请</w:t>
      </w:r>
      <w:r>
        <w:rPr>
          <w:rFonts w:hint="eastAsia" w:ascii="宋体" w:hAnsi="宋体" w:cs="宋体"/>
          <w:color w:val="000000" w:themeColor="text1"/>
          <w:sz w:val="24"/>
          <w:szCs w:val="24"/>
          <w:highlight w:val="none"/>
          <w:lang w:val="en-US" w:eastAsia="zh-CN"/>
          <w14:textFill>
            <w14:solidFill>
              <w14:schemeClr w14:val="tx1"/>
            </w14:solidFill>
          </w14:textFill>
        </w:rPr>
        <w:t>按</w:t>
      </w:r>
      <w:r>
        <w:rPr>
          <w:rFonts w:hint="eastAsia" w:ascii="宋体" w:hAnsi="宋体" w:eastAsia="宋体" w:cs="宋体"/>
          <w:color w:val="000000" w:themeColor="text1"/>
          <w:sz w:val="24"/>
          <w:szCs w:val="24"/>
          <w:highlight w:val="none"/>
          <w:lang w:val="en-US" w:eastAsia="zh-CN"/>
          <w14:textFill>
            <w14:solidFill>
              <w14:schemeClr w14:val="tx1"/>
            </w14:solidFill>
          </w14:textFill>
        </w:rPr>
        <w:t>前附表规定时间</w:t>
      </w:r>
      <w:r>
        <w:rPr>
          <w:rFonts w:hint="eastAsia" w:ascii="宋体" w:hAnsi="宋体" w:eastAsia="宋体" w:cs="宋体"/>
          <w:color w:val="000000" w:themeColor="text1"/>
          <w:sz w:val="24"/>
          <w:szCs w:val="24"/>
          <w:highlight w:val="none"/>
          <w14:textFill>
            <w14:solidFill>
              <w14:schemeClr w14:val="tx1"/>
            </w14:solidFill>
          </w14:textFill>
        </w:rPr>
        <w:t>向招标人或招标组织机构提交书面询问或递交质疑书。逾期不得再对招标文件的条款提出质疑。</w:t>
      </w:r>
    </w:p>
    <w:p w14:paraId="553AA425">
      <w:pPr>
        <w:pStyle w:val="8"/>
        <w:adjustRightInd w:val="0"/>
        <w:snapToGrid w:val="0"/>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w:t>
      </w:r>
      <w:r>
        <w:rPr>
          <w:rFonts w:hint="eastAsia" w:ascii="宋体" w:hAnsi="宋体" w:eastAsia="宋体" w:cs="宋体"/>
          <w:b/>
          <w:color w:val="000000" w:themeColor="text1"/>
          <w:kern w:val="0"/>
          <w:sz w:val="24"/>
          <w:szCs w:val="24"/>
          <w:highlight w:val="none"/>
          <w:lang w:val="zh-CN"/>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招标文件的修改</w:t>
      </w:r>
    </w:p>
    <w:p w14:paraId="28E57C43">
      <w:pPr>
        <w:pStyle w:val="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7.1在投标截止时间前，招标人有权修改招标文件，并以书面形式通知所有已购买招标文件的投标人。修改的文件作为招标文件的补充和组成部分，对所有投标人均有约束力。</w:t>
      </w:r>
    </w:p>
    <w:p w14:paraId="104D25F3">
      <w:pPr>
        <w:pStyle w:val="8"/>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招标文件澄清、答复、修改、补充的内容为招标文件的组成部分。当招标文件与招标文件的答复、澄清、修改、补充通知就同一内容的表述不一致时，以最后发出的书面文件为准。</w:t>
      </w:r>
    </w:p>
    <w:p w14:paraId="01B403D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若有必要，招标人将酌情延长递交投标文件的截止日期。</w:t>
      </w:r>
    </w:p>
    <w:p w14:paraId="69B5BB05">
      <w:pPr>
        <w:autoSpaceDE w:val="0"/>
        <w:autoSpaceDN w:val="0"/>
        <w:adjustRightInd w:val="0"/>
        <w:snapToGrid w:val="0"/>
        <w:spacing w:line="360" w:lineRule="auto"/>
        <w:ind w:firstLine="420" w:firstLineChars="175"/>
        <w:textAlignment w:val="bottom"/>
        <w:rPr>
          <w:rFonts w:hint="eastAsia" w:ascii="宋体" w:hAnsi="宋体" w:eastAsia="宋体" w:cs="宋体"/>
          <w:color w:val="auto"/>
          <w:sz w:val="24"/>
          <w:szCs w:val="24"/>
          <w:highlight w:val="none"/>
        </w:rPr>
      </w:pPr>
    </w:p>
    <w:p w14:paraId="2110340D">
      <w:pPr>
        <w:spacing w:line="360" w:lineRule="auto"/>
        <w:jc w:val="center"/>
        <w:outlineLvl w:val="1"/>
        <w:rPr>
          <w:rFonts w:hint="eastAsia" w:ascii="宋体" w:hAnsi="宋体" w:eastAsia="宋体" w:cs="宋体"/>
          <w:b/>
          <w:color w:val="auto"/>
          <w:sz w:val="32"/>
          <w:szCs w:val="32"/>
          <w:highlight w:val="none"/>
        </w:rPr>
      </w:pPr>
      <w:bookmarkStart w:id="39" w:name="_Hlt75236011"/>
      <w:bookmarkEnd w:id="39"/>
      <w:bookmarkStart w:id="40" w:name="_Toc434248566"/>
      <w:bookmarkStart w:id="41" w:name="_Toc233618974"/>
      <w:bookmarkStart w:id="42" w:name="_Toc9666"/>
      <w:bookmarkStart w:id="43" w:name="_Toc91899884"/>
      <w:bookmarkStart w:id="44" w:name="_Toc397181962"/>
      <w:bookmarkStart w:id="45" w:name="_Toc13533"/>
      <w:r>
        <w:rPr>
          <w:rFonts w:hint="eastAsia" w:ascii="宋体" w:hAnsi="宋体" w:eastAsia="宋体" w:cs="宋体"/>
          <w:b/>
          <w:color w:val="auto"/>
          <w:sz w:val="32"/>
          <w:szCs w:val="32"/>
          <w:highlight w:val="none"/>
        </w:rPr>
        <w:t>三、投标文件的编制</w:t>
      </w:r>
      <w:bookmarkEnd w:id="40"/>
      <w:bookmarkEnd w:id="41"/>
      <w:bookmarkEnd w:id="42"/>
      <w:bookmarkEnd w:id="43"/>
      <w:bookmarkEnd w:id="44"/>
      <w:bookmarkEnd w:id="45"/>
    </w:p>
    <w:p w14:paraId="6DDAC64B">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8</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投标报价</w:t>
      </w:r>
    </w:p>
    <w:p w14:paraId="42AE6E08">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8.1  报价</w:t>
      </w:r>
    </w:p>
    <w:p w14:paraId="2442D9F7">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有关本项目所需的一切费用均计入报价。投标人应根据《开标一览表》填写相关内容。《开标一览表》是报价的唯一载体。</w:t>
      </w:r>
    </w:p>
    <w:p w14:paraId="2CB1E770">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8.2  其它费用处理</w:t>
      </w:r>
    </w:p>
    <w:p w14:paraId="77EB2DF0">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招标文件未列明，而投标人认为必需的费用也需列入报价。投标人在投标报价中应充分考虑所有可能发生的费用，否则招标人将视投标总价中已包括所有费用。</w:t>
      </w:r>
    </w:p>
    <w:p w14:paraId="1AD13BA4">
      <w:pPr>
        <w:pStyle w:val="5"/>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8.3  报价应是唯一的，不接受有选择的报价。</w:t>
      </w:r>
    </w:p>
    <w:p w14:paraId="32B7E79E">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8.4  投标人对在协议执行中，除上述费用及招标文件规定的由投标人负责的工作范围以外需要招标人协调或提供便利的工作应当在投标文件中说明。</w:t>
      </w:r>
    </w:p>
    <w:p w14:paraId="5F379AC4">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9</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投标文件的语言及计量单位</w:t>
      </w:r>
    </w:p>
    <w:p w14:paraId="1245DB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投标文件及投标人与招标人之间与投标有关的来往通知、函件和文件均应使用简体中文。除签名、盖章、专用名称等特殊情形外，以中文汉语以外的文字表述的投标文件视同未提供。投标人提交的支持文件和印刷的文献可以用另一种语言，但相应内容应附有中文翻译文本，在解释投标文件时以中文翻译文本为准。</w:t>
      </w:r>
    </w:p>
    <w:p w14:paraId="0ECE3040">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rPr>
        <w:t>9.2   除招标文件另有规定外，投标文件所使用的计量单位，均须采用中华人民共和国法定计量单位，否则视同未响应。</w:t>
      </w:r>
    </w:p>
    <w:p w14:paraId="666E284B">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10</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投标文件的组成</w:t>
      </w:r>
    </w:p>
    <w:p w14:paraId="6579A783">
      <w:pPr>
        <w:adjustRightInd w:val="0"/>
        <w:snapToGrid w:val="0"/>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highlight w:val="none"/>
        </w:rPr>
        <w:t>投标人的</w:t>
      </w:r>
      <w:r>
        <w:rPr>
          <w:rFonts w:hint="eastAsia" w:ascii="宋体" w:hAnsi="宋体" w:eastAsia="宋体" w:cs="宋体"/>
          <w:color w:val="000000"/>
          <w:sz w:val="24"/>
          <w:szCs w:val="24"/>
          <w:highlight w:val="none"/>
        </w:rPr>
        <w:t>投标文件</w:t>
      </w:r>
      <w:r>
        <w:rPr>
          <w:rFonts w:hint="eastAsia" w:ascii="宋体" w:hAnsi="宋体" w:eastAsia="宋体" w:cs="宋体"/>
          <w:color w:val="000000"/>
          <w:sz w:val="24"/>
          <w:highlight w:val="none"/>
        </w:rPr>
        <w:t>至少应包括以下内</w:t>
      </w:r>
      <w:r>
        <w:rPr>
          <w:rFonts w:hint="eastAsia" w:ascii="宋体" w:hAnsi="宋体" w:eastAsia="宋体" w:cs="宋体"/>
          <w:color w:val="000000"/>
          <w:sz w:val="24"/>
          <w:szCs w:val="24"/>
          <w:highlight w:val="none"/>
        </w:rPr>
        <w:t>容（均需加盖投标人公章）</w:t>
      </w:r>
      <w:r>
        <w:rPr>
          <w:rFonts w:hint="eastAsia" w:ascii="宋体" w:hAnsi="宋体" w:eastAsia="宋体" w:cs="宋体"/>
          <w:b/>
          <w:color w:val="000000"/>
          <w:sz w:val="24"/>
          <w:highlight w:val="none"/>
        </w:rPr>
        <w:t>（加“</w:t>
      </w:r>
      <w:r>
        <w:rPr>
          <w:rFonts w:hint="eastAsia" w:ascii="宋体" w:hAnsi="宋体" w:eastAsia="宋体" w:cs="宋体"/>
          <w:b/>
          <w:sz w:val="24"/>
          <w:highlight w:val="none"/>
        </w:rPr>
        <w:t>▲</w:t>
      </w:r>
      <w:r>
        <w:rPr>
          <w:rFonts w:hint="eastAsia" w:ascii="宋体" w:hAnsi="宋体" w:eastAsia="宋体" w:cs="宋体"/>
          <w:b/>
          <w:color w:val="000000"/>
          <w:sz w:val="24"/>
          <w:highlight w:val="none"/>
        </w:rPr>
        <w:t>”的资料为必须提供，否则将视为无效标处理）</w:t>
      </w:r>
      <w:r>
        <w:rPr>
          <w:rFonts w:hint="eastAsia" w:ascii="宋体" w:hAnsi="宋体" w:eastAsia="宋体" w:cs="宋体"/>
          <w:color w:val="000000"/>
          <w:sz w:val="24"/>
          <w:szCs w:val="24"/>
          <w:highlight w:val="none"/>
        </w:rPr>
        <w:t>：</w:t>
      </w:r>
    </w:p>
    <w:p w14:paraId="733DAE77">
      <w:pPr>
        <w:adjustRightInd w:val="0"/>
        <w:snapToGrid w:val="0"/>
        <w:spacing w:line="360" w:lineRule="auto"/>
        <w:ind w:firstLine="482" w:firstLineChars="200"/>
        <w:rPr>
          <w:rFonts w:hint="eastAsia" w:ascii="宋体" w:hAnsi="宋体" w:eastAsia="宋体" w:cs="宋体"/>
          <w:b/>
          <w:bCs/>
          <w:color w:val="000000"/>
          <w:kern w:val="0"/>
          <w:sz w:val="24"/>
          <w:highlight w:val="none"/>
        </w:rPr>
      </w:pPr>
      <w:r>
        <w:rPr>
          <w:rFonts w:hint="eastAsia" w:ascii="宋体" w:hAnsi="宋体" w:eastAsia="宋体" w:cs="宋体"/>
          <w:b/>
          <w:bCs/>
          <w:color w:val="000000"/>
          <w:sz w:val="24"/>
          <w:szCs w:val="24"/>
          <w:highlight w:val="none"/>
        </w:rPr>
        <w:t>10.1</w:t>
      </w:r>
      <w:r>
        <w:rPr>
          <w:rFonts w:hint="eastAsia" w:ascii="宋体" w:hAnsi="宋体" w:eastAsia="宋体" w:cs="宋体"/>
          <w:b/>
          <w:bCs/>
          <w:color w:val="000000"/>
          <w:kern w:val="0"/>
          <w:sz w:val="24"/>
          <w:highlight w:val="none"/>
        </w:rPr>
        <w:t>投标文件封面</w:t>
      </w:r>
      <w:r>
        <w:rPr>
          <w:rFonts w:hint="eastAsia" w:ascii="宋体" w:hAnsi="宋体" w:eastAsia="宋体" w:cs="宋体"/>
          <w:b/>
          <w:bCs/>
          <w:color w:val="000000"/>
          <w:kern w:val="0"/>
          <w:sz w:val="24"/>
          <w:highlight w:val="none"/>
          <w:lang w:eastAsia="zh-CN"/>
        </w:rPr>
        <w:t>；</w:t>
      </w:r>
      <w:r>
        <w:rPr>
          <w:rFonts w:hint="eastAsia" w:ascii="宋体" w:hAnsi="宋体" w:eastAsia="宋体" w:cs="宋体"/>
          <w:b/>
          <w:bCs/>
          <w:color w:val="000000"/>
          <w:kern w:val="0"/>
          <w:sz w:val="24"/>
          <w:highlight w:val="none"/>
          <w:lang w:val="en-US" w:eastAsia="zh-CN"/>
        </w:rPr>
        <w:t xml:space="preserve"> </w:t>
      </w:r>
    </w:p>
    <w:p w14:paraId="73C19160">
      <w:pPr>
        <w:adjustRightInd w:val="0"/>
        <w:snapToGrid w:val="0"/>
        <w:spacing w:line="360" w:lineRule="auto"/>
        <w:ind w:firstLine="482" w:firstLineChars="200"/>
        <w:rPr>
          <w:rFonts w:hint="eastAsia" w:ascii="宋体" w:hAnsi="宋体" w:eastAsia="宋体" w:cs="宋体"/>
          <w:b/>
          <w:color w:val="000000"/>
          <w:sz w:val="24"/>
          <w:highlight w:val="none"/>
          <w:lang w:val="en-US" w:eastAsia="zh-CN"/>
        </w:rPr>
      </w:pPr>
      <w:r>
        <w:rPr>
          <w:rFonts w:hint="eastAsia" w:ascii="宋体" w:hAnsi="宋体" w:eastAsia="宋体" w:cs="宋体"/>
          <w:b/>
          <w:sz w:val="24"/>
          <w:highlight w:val="none"/>
        </w:rPr>
        <w:t>▲</w:t>
      </w:r>
      <w:r>
        <w:rPr>
          <w:rFonts w:hint="eastAsia" w:ascii="宋体" w:hAnsi="宋体" w:eastAsia="宋体" w:cs="宋体"/>
          <w:b/>
          <w:color w:val="000000"/>
          <w:sz w:val="24"/>
          <w:highlight w:val="none"/>
        </w:rPr>
        <w:t>10.</w:t>
      </w:r>
      <w:r>
        <w:rPr>
          <w:rFonts w:hint="eastAsia" w:ascii="宋体" w:hAnsi="宋体" w:eastAsia="宋体" w:cs="宋体"/>
          <w:b/>
          <w:color w:val="000000"/>
          <w:sz w:val="24"/>
          <w:highlight w:val="none"/>
          <w:lang w:val="en-US" w:eastAsia="zh-CN"/>
        </w:rPr>
        <w:t>2</w:t>
      </w:r>
      <w:r>
        <w:rPr>
          <w:rFonts w:hint="eastAsia" w:ascii="宋体" w:hAnsi="宋体" w:eastAsia="宋体" w:cs="宋体"/>
          <w:b/>
          <w:color w:val="000000"/>
          <w:kern w:val="0"/>
          <w:sz w:val="24"/>
          <w:highlight w:val="none"/>
        </w:rPr>
        <w:t>投标响应函</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格式详见第五部分）</w:t>
      </w:r>
    </w:p>
    <w:p w14:paraId="1EA8D2B2">
      <w:pPr>
        <w:pStyle w:val="8"/>
        <w:adjustRightInd w:val="0"/>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sz w:val="24"/>
          <w:highlight w:val="none"/>
        </w:rPr>
        <w:t>▲</w:t>
      </w:r>
      <w:r>
        <w:rPr>
          <w:rFonts w:hint="eastAsia" w:ascii="宋体" w:hAnsi="宋体" w:eastAsia="宋体" w:cs="宋体"/>
          <w:b/>
          <w:color w:val="000000"/>
          <w:sz w:val="24"/>
          <w:highlight w:val="none"/>
        </w:rPr>
        <w:t>10.</w:t>
      </w:r>
      <w:r>
        <w:rPr>
          <w:rFonts w:hint="eastAsia" w:ascii="宋体" w:hAnsi="宋体" w:eastAsia="宋体" w:cs="宋体"/>
          <w:b/>
          <w:color w:val="000000"/>
          <w:sz w:val="24"/>
          <w:highlight w:val="none"/>
          <w:lang w:val="en-US" w:eastAsia="zh-CN"/>
        </w:rPr>
        <w:t>3</w:t>
      </w:r>
      <w:r>
        <w:rPr>
          <w:rFonts w:hint="eastAsia" w:ascii="宋体" w:hAnsi="宋体" w:eastAsia="宋体" w:cs="宋体"/>
          <w:b/>
          <w:color w:val="000000"/>
          <w:sz w:val="24"/>
          <w:highlight w:val="none"/>
        </w:rPr>
        <w:t>开标一览表；</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格式详见第五部分）</w:t>
      </w:r>
    </w:p>
    <w:p w14:paraId="04D4169C">
      <w:pPr>
        <w:numPr>
          <w:ilvl w:val="-1"/>
          <w:numId w:val="0"/>
        </w:numPr>
        <w:adjustRightInd w:val="0"/>
        <w:snapToGrid w:val="0"/>
        <w:spacing w:line="360" w:lineRule="auto"/>
        <w:ind w:firstLine="482" w:firstLineChars="200"/>
        <w:rPr>
          <w:rFonts w:hint="eastAsia" w:ascii="宋体" w:hAnsi="宋体" w:eastAsia="宋体" w:cs="宋体"/>
          <w:b/>
          <w:color w:val="000000"/>
          <w:sz w:val="24"/>
          <w:highlight w:val="none"/>
          <w:lang w:val="en-US" w:eastAsia="zh-CN"/>
        </w:rPr>
      </w:pPr>
      <w:r>
        <w:rPr>
          <w:rFonts w:hint="eastAsia" w:ascii="宋体" w:hAnsi="宋体" w:eastAsia="宋体" w:cs="宋体"/>
          <w:b/>
          <w:sz w:val="24"/>
          <w:highlight w:val="none"/>
        </w:rPr>
        <w:t>▲</w:t>
      </w:r>
      <w:r>
        <w:rPr>
          <w:rFonts w:hint="eastAsia" w:ascii="宋体" w:hAnsi="宋体" w:eastAsia="宋体" w:cs="宋体"/>
          <w:b/>
          <w:color w:val="000000"/>
          <w:sz w:val="24"/>
          <w:szCs w:val="21"/>
          <w:highlight w:val="none"/>
        </w:rPr>
        <w:t>10.</w:t>
      </w:r>
      <w:r>
        <w:rPr>
          <w:rFonts w:hint="eastAsia" w:ascii="宋体" w:hAnsi="宋体" w:eastAsia="宋体" w:cs="宋体"/>
          <w:b/>
          <w:color w:val="000000"/>
          <w:sz w:val="24"/>
          <w:szCs w:val="21"/>
          <w:highlight w:val="none"/>
          <w:lang w:val="en-US" w:eastAsia="zh-CN"/>
        </w:rPr>
        <w:t>4</w:t>
      </w:r>
      <w:r>
        <w:rPr>
          <w:rFonts w:hint="eastAsia" w:ascii="宋体" w:hAnsi="宋体" w:eastAsia="宋体" w:cs="宋体"/>
          <w:b/>
          <w:color w:val="000000"/>
          <w:sz w:val="24"/>
          <w:szCs w:val="21"/>
          <w:highlight w:val="none"/>
        </w:rPr>
        <w:t xml:space="preserve"> 投标银行法定代表人（或负责人）授权书，法定代表人（或负责人）及其授权委托人的身份证复印件；如法定代表人（或负责人）直接参加投标并对相应文件签字的，只需提供其身份证复印件；</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格式详见第五部分）</w:t>
      </w:r>
    </w:p>
    <w:p w14:paraId="3B59F2A7">
      <w:pPr>
        <w:numPr>
          <w:ilvl w:val="-1"/>
          <w:numId w:val="0"/>
        </w:numPr>
        <w:adjustRightInd w:val="0"/>
        <w:snapToGrid w:val="0"/>
        <w:spacing w:line="360" w:lineRule="auto"/>
        <w:ind w:firstLine="482" w:firstLineChars="200"/>
        <w:rPr>
          <w:rFonts w:hint="eastAsia" w:ascii="宋体" w:hAnsi="宋体" w:cs="宋体"/>
          <w:b/>
          <w:color w:val="000000"/>
          <w:sz w:val="24"/>
          <w:highlight w:val="none"/>
          <w:lang w:val="en-US" w:eastAsia="zh-CN"/>
        </w:rPr>
      </w:pPr>
      <w:r>
        <w:rPr>
          <w:rFonts w:hint="eastAsia" w:ascii="宋体" w:hAnsi="宋体" w:eastAsia="宋体" w:cs="宋体"/>
          <w:b/>
          <w:sz w:val="24"/>
          <w:highlight w:val="none"/>
        </w:rPr>
        <w:t>▲</w:t>
      </w:r>
      <w:r>
        <w:rPr>
          <w:rFonts w:hint="eastAsia" w:ascii="宋体" w:hAnsi="宋体" w:eastAsia="宋体" w:cs="宋体"/>
          <w:b/>
          <w:color w:val="000000"/>
          <w:sz w:val="24"/>
          <w:highlight w:val="none"/>
        </w:rPr>
        <w:t>10.</w:t>
      </w:r>
      <w:r>
        <w:rPr>
          <w:rFonts w:hint="eastAsia" w:ascii="宋体" w:hAnsi="宋体" w:cs="宋体"/>
          <w:b/>
          <w:color w:val="000000"/>
          <w:sz w:val="24"/>
          <w:highlight w:val="none"/>
          <w:lang w:val="en-US" w:eastAsia="zh-CN"/>
        </w:rPr>
        <w:t>5投标人资格要求：</w:t>
      </w:r>
    </w:p>
    <w:p w14:paraId="0CAF4FCC">
      <w:pPr>
        <w:numPr>
          <w:ilvl w:val="0"/>
          <w:numId w:val="4"/>
        </w:numPr>
        <w:adjustRightInd w:val="0"/>
        <w:snapToGrid w:val="0"/>
        <w:spacing w:line="360" w:lineRule="auto"/>
        <w:ind w:firstLine="480" w:firstLineChars="200"/>
        <w:rPr>
          <w:rFonts w:hint="eastAsia" w:ascii="宋体" w:hAnsi="宋体" w:cs="宋体"/>
          <w:b w:val="0"/>
          <w:bCs/>
          <w:color w:val="000000"/>
          <w:sz w:val="24"/>
          <w:highlight w:val="none"/>
          <w:lang w:eastAsia="zh-CN"/>
        </w:rPr>
      </w:pPr>
      <w:r>
        <w:rPr>
          <w:rFonts w:hint="eastAsia" w:ascii="宋体" w:hAnsi="宋体" w:eastAsia="宋体" w:cs="宋体"/>
          <w:b w:val="0"/>
          <w:bCs/>
          <w:color w:val="000000"/>
          <w:sz w:val="24"/>
          <w:highlight w:val="none"/>
        </w:rPr>
        <w:t>投标人的营业执照</w:t>
      </w:r>
      <w:r>
        <w:rPr>
          <w:rFonts w:hint="eastAsia" w:ascii="宋体" w:hAnsi="宋体" w:eastAsia="宋体" w:cs="宋体"/>
          <w:b w:val="0"/>
          <w:bCs/>
          <w:color w:val="000000"/>
          <w:sz w:val="24"/>
          <w:highlight w:val="none"/>
          <w:lang w:eastAsia="zh-CN"/>
        </w:rPr>
        <w:t>和</w:t>
      </w:r>
      <w:r>
        <w:rPr>
          <w:rFonts w:hint="eastAsia" w:ascii="宋体" w:hAnsi="宋体" w:eastAsia="宋体" w:cs="宋体"/>
          <w:b w:val="0"/>
          <w:bCs/>
          <w:snapToGrid w:val="0"/>
          <w:color w:val="000000"/>
          <w:kern w:val="28"/>
          <w:sz w:val="24"/>
          <w:highlight w:val="none"/>
        </w:rPr>
        <w:t>纳入监管评级银行的</w:t>
      </w:r>
      <w:r>
        <w:rPr>
          <w:rFonts w:hint="eastAsia" w:ascii="宋体" w:hAnsi="宋体" w:eastAsia="宋体" w:cs="宋体"/>
          <w:b w:val="0"/>
          <w:bCs/>
          <w:color w:val="000000"/>
          <w:sz w:val="24"/>
          <w:highlight w:val="none"/>
        </w:rPr>
        <w:t>人民银行上一评审年度评价文件复印件；</w:t>
      </w:r>
      <w:r>
        <w:rPr>
          <w:rFonts w:hint="eastAsia" w:ascii="宋体" w:hAnsi="宋体" w:cs="宋体"/>
          <w:b w:val="0"/>
          <w:bCs/>
          <w:color w:val="000000"/>
          <w:sz w:val="24"/>
          <w:highlight w:val="none"/>
          <w:lang w:eastAsia="zh-CN"/>
        </w:rPr>
        <w:t>（如投标银行上一评审年度无评价文件的，可提供上一级主管部门的评价文件，评审时以财政提供数据为准）</w:t>
      </w:r>
    </w:p>
    <w:p w14:paraId="6B1CB03C">
      <w:pPr>
        <w:numPr>
          <w:ilvl w:val="-1"/>
          <w:numId w:val="0"/>
        </w:numPr>
        <w:adjustRightInd w:val="0"/>
        <w:snapToGrid w:val="0"/>
        <w:spacing w:line="360" w:lineRule="auto"/>
        <w:ind w:firstLine="480" w:firstLineChars="200"/>
        <w:rPr>
          <w:rFonts w:hint="default" w:ascii="宋体" w:hAnsi="宋体" w:eastAsia="宋体" w:cs="宋体"/>
          <w:b w:val="0"/>
          <w:bCs/>
          <w:color w:val="000000"/>
          <w:sz w:val="24"/>
          <w:highlight w:val="none"/>
        </w:rPr>
      </w:pPr>
      <w:r>
        <w:rPr>
          <w:rFonts w:hint="eastAsia" w:ascii="宋体" w:hAnsi="宋体" w:cs="宋体"/>
          <w:b w:val="0"/>
          <w:bCs/>
          <w:color w:val="000000"/>
          <w:sz w:val="24"/>
          <w:highlight w:val="none"/>
          <w:lang w:eastAsia="zh-CN"/>
        </w:rPr>
        <w:t>注：营业执照非余杭区，须提供在余杭设立分支机构（含网点）的名称和地址的证照证明材料并加盖公章。</w:t>
      </w:r>
    </w:p>
    <w:p w14:paraId="06B578E1">
      <w:pPr>
        <w:widowControl/>
        <w:numPr>
          <w:ilvl w:val="0"/>
          <w:numId w:val="0"/>
        </w:numPr>
        <w:spacing w:line="360" w:lineRule="auto"/>
        <w:ind w:firstLine="480" w:firstLineChars="200"/>
        <w:jc w:val="left"/>
        <w:rPr>
          <w:rFonts w:hint="eastAsia" w:ascii="宋体" w:hAnsi="宋体" w:eastAsia="宋体" w:cs="宋体"/>
          <w:b w:val="0"/>
          <w:bCs/>
          <w:snapToGrid w:val="0"/>
          <w:color w:val="auto"/>
          <w:kern w:val="28"/>
          <w:sz w:val="24"/>
          <w:szCs w:val="22"/>
          <w:highlight w:val="none"/>
          <w:lang w:val="en-US" w:eastAsia="zh-CN"/>
        </w:rPr>
      </w:pPr>
      <w:r>
        <w:rPr>
          <w:rFonts w:hint="eastAsia" w:ascii="宋体" w:hAnsi="宋体" w:eastAsia="宋体" w:cs="宋体"/>
          <w:b w:val="0"/>
          <w:bCs/>
          <w:snapToGrid w:val="0"/>
          <w:color w:val="auto"/>
          <w:kern w:val="28"/>
          <w:sz w:val="24"/>
          <w:szCs w:val="22"/>
          <w:highlight w:val="none"/>
          <w:lang w:val="en-US" w:eastAsia="zh-CN"/>
        </w:rPr>
        <w:t>（</w:t>
      </w:r>
      <w:r>
        <w:rPr>
          <w:rFonts w:hint="eastAsia" w:ascii="宋体" w:hAnsi="宋体" w:cs="宋体"/>
          <w:b w:val="0"/>
          <w:bCs/>
          <w:snapToGrid w:val="0"/>
          <w:color w:val="auto"/>
          <w:kern w:val="28"/>
          <w:sz w:val="24"/>
          <w:szCs w:val="22"/>
          <w:highlight w:val="none"/>
          <w:lang w:val="en-US" w:eastAsia="zh-CN"/>
        </w:rPr>
        <w:t>2</w:t>
      </w:r>
      <w:r>
        <w:rPr>
          <w:rFonts w:hint="eastAsia" w:ascii="宋体" w:hAnsi="宋体" w:eastAsia="宋体" w:cs="宋体"/>
          <w:b w:val="0"/>
          <w:bCs/>
          <w:snapToGrid w:val="0"/>
          <w:color w:val="auto"/>
          <w:kern w:val="28"/>
          <w:sz w:val="24"/>
          <w:szCs w:val="22"/>
          <w:highlight w:val="none"/>
          <w:lang w:val="en-US" w:eastAsia="zh-CN"/>
        </w:rPr>
        <w:t>）</w:t>
      </w:r>
      <w:r>
        <w:rPr>
          <w:rFonts w:hint="eastAsia" w:ascii="宋体" w:hAnsi="宋体" w:cs="宋体"/>
          <w:b w:val="0"/>
          <w:bCs/>
          <w:snapToGrid w:val="0"/>
          <w:color w:val="auto"/>
          <w:kern w:val="28"/>
          <w:sz w:val="24"/>
          <w:szCs w:val="22"/>
          <w:highlight w:val="none"/>
          <w:lang w:val="en-US" w:eastAsia="zh-CN"/>
        </w:rPr>
        <w:t>投标银行</w:t>
      </w:r>
      <w:r>
        <w:rPr>
          <w:rFonts w:hint="eastAsia" w:ascii="宋体" w:hAnsi="宋体" w:eastAsia="宋体" w:cs="宋体"/>
          <w:b w:val="0"/>
          <w:bCs/>
          <w:snapToGrid w:val="0"/>
          <w:color w:val="auto"/>
          <w:kern w:val="28"/>
          <w:sz w:val="24"/>
          <w:szCs w:val="22"/>
          <w:highlight w:val="none"/>
          <w:lang w:val="en-US" w:eastAsia="zh-CN"/>
        </w:rPr>
        <w:t>依法开展经营活动，近3年内在经营活动中无重大违法违规记录；财务稳健，资金充足率、不良贷款率、拨备覆盖率、流动性覆盖率、流动性比例等指标达到监管标准；内部管理机制健全，具有较强的风险控制能力，近3年内未发生金融风险及重大违约事件；</w:t>
      </w:r>
      <w:r>
        <w:rPr>
          <w:rFonts w:hint="eastAsia" w:ascii="宋体" w:hAnsi="宋体" w:cs="宋体"/>
          <w:b w:val="0"/>
          <w:bCs/>
          <w:snapToGrid w:val="0"/>
          <w:color w:val="auto"/>
          <w:kern w:val="28"/>
          <w:sz w:val="24"/>
          <w:szCs w:val="22"/>
          <w:highlight w:val="none"/>
          <w:lang w:val="en-US" w:eastAsia="zh-CN"/>
        </w:rPr>
        <w:t>提供承诺书，格式详见第五部分。</w:t>
      </w:r>
    </w:p>
    <w:p w14:paraId="03F4975F">
      <w:pPr>
        <w:pStyle w:val="8"/>
        <w:adjustRightInd w:val="0"/>
        <w:snapToGrid w:val="0"/>
        <w:spacing w:line="360" w:lineRule="auto"/>
        <w:ind w:firstLine="482" w:firstLineChars="200"/>
        <w:rPr>
          <w:rFonts w:hint="eastAsia" w:ascii="宋体" w:hAnsi="宋体" w:eastAsia="宋体" w:cs="宋体"/>
          <w:b/>
          <w:color w:val="000000"/>
          <w:sz w:val="24"/>
          <w:highlight w:val="none"/>
          <w:lang w:val="en-US" w:eastAsia="zh-CN"/>
        </w:rPr>
      </w:pPr>
      <w:bookmarkStart w:id="46" w:name="_Toc500208478"/>
      <w:r>
        <w:rPr>
          <w:rFonts w:hint="eastAsia" w:hAnsi="宋体" w:cs="宋体"/>
          <w:b/>
          <w:color w:val="000000"/>
          <w:sz w:val="24"/>
          <w:highlight w:val="none"/>
          <w:lang w:val="en-US" w:eastAsia="zh-CN"/>
        </w:rPr>
        <w:t>注：</w:t>
      </w:r>
      <w:r>
        <w:rPr>
          <w:rFonts w:hint="eastAsia" w:ascii="宋体" w:hAnsi="宋体" w:eastAsia="宋体" w:cs="宋体"/>
          <w:b/>
          <w:color w:val="000000"/>
          <w:sz w:val="24"/>
          <w:highlight w:val="none"/>
          <w:lang w:val="en-US" w:eastAsia="zh-CN"/>
        </w:rPr>
        <w:t>投标人应以同城内总行或一级支行名义参与投标，以一级支行名义参与投标的须提供总行或省分行（杭州分行）针对本项目的授权书。</w:t>
      </w:r>
    </w:p>
    <w:p w14:paraId="4B01C4C1">
      <w:pPr>
        <w:pStyle w:val="8"/>
        <w:adjustRightInd w:val="0"/>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sz w:val="24"/>
          <w:highlight w:val="none"/>
        </w:rPr>
        <w:t>▲</w:t>
      </w:r>
      <w:r>
        <w:rPr>
          <w:rFonts w:hint="eastAsia" w:ascii="宋体" w:hAnsi="宋体" w:eastAsia="宋体" w:cs="宋体"/>
          <w:b/>
          <w:color w:val="000000"/>
          <w:sz w:val="24"/>
          <w:highlight w:val="none"/>
        </w:rPr>
        <w:t>10.</w:t>
      </w:r>
      <w:r>
        <w:rPr>
          <w:rFonts w:hint="eastAsia" w:ascii="宋体" w:hAnsi="宋体" w:eastAsia="宋体" w:cs="宋体"/>
          <w:b/>
          <w:color w:val="000000"/>
          <w:sz w:val="24"/>
          <w:highlight w:val="none"/>
          <w:lang w:eastAsia="zh-CN"/>
        </w:rPr>
        <w:t>6</w:t>
      </w:r>
      <w:r>
        <w:rPr>
          <w:rFonts w:hint="eastAsia" w:ascii="宋体" w:hAnsi="宋体" w:eastAsia="宋体" w:cs="宋体"/>
          <w:b/>
          <w:color w:val="000000"/>
          <w:sz w:val="24"/>
          <w:highlight w:val="none"/>
        </w:rPr>
        <w:t>声明书；</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格式详见第五部分）</w:t>
      </w:r>
    </w:p>
    <w:p w14:paraId="6398903C">
      <w:pPr>
        <w:pStyle w:val="8"/>
        <w:adjustRightInd w:val="0"/>
        <w:snapToGrid w:val="0"/>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sz w:val="24"/>
          <w:highlight w:val="none"/>
        </w:rPr>
        <w:t>▲</w:t>
      </w:r>
      <w:r>
        <w:rPr>
          <w:rFonts w:hint="eastAsia" w:ascii="宋体" w:hAnsi="宋体" w:eastAsia="宋体" w:cs="宋体"/>
          <w:b/>
          <w:color w:val="000000"/>
          <w:sz w:val="24"/>
          <w:highlight w:val="none"/>
        </w:rPr>
        <w:t>10.</w:t>
      </w:r>
      <w:r>
        <w:rPr>
          <w:rFonts w:hint="eastAsia" w:ascii="宋体" w:hAnsi="宋体" w:eastAsia="宋体" w:cs="宋体"/>
          <w:b/>
          <w:color w:val="000000"/>
          <w:sz w:val="24"/>
          <w:highlight w:val="none"/>
          <w:lang w:eastAsia="zh-CN"/>
        </w:rPr>
        <w:t>7</w:t>
      </w:r>
      <w:r>
        <w:rPr>
          <w:rFonts w:hint="eastAsia" w:ascii="宋体" w:hAnsi="宋体" w:eastAsia="宋体" w:cs="宋体"/>
          <w:b/>
          <w:color w:val="000000"/>
          <w:sz w:val="24"/>
          <w:highlight w:val="none"/>
        </w:rPr>
        <w:t>廉政承诺书；</w:t>
      </w:r>
      <w:r>
        <w:rPr>
          <w:rFonts w:hint="eastAsia" w:ascii="宋体" w:hAnsi="宋体" w:eastAsia="宋体" w:cs="宋体"/>
          <w:b/>
          <w:color w:val="000000"/>
          <w:sz w:val="24"/>
          <w:highlight w:val="none"/>
          <w:lang w:eastAsia="zh-CN"/>
        </w:rPr>
        <w:t>（</w:t>
      </w:r>
      <w:r>
        <w:rPr>
          <w:rFonts w:hint="eastAsia" w:ascii="宋体" w:hAnsi="宋体" w:eastAsia="宋体" w:cs="宋体"/>
          <w:b/>
          <w:color w:val="000000"/>
          <w:sz w:val="24"/>
          <w:highlight w:val="none"/>
          <w:lang w:val="en-US" w:eastAsia="zh-CN"/>
        </w:rPr>
        <w:t>格式详见第五部分）</w:t>
      </w:r>
    </w:p>
    <w:p w14:paraId="21BD5847">
      <w:pPr>
        <w:pStyle w:val="8"/>
        <w:adjustRightInd w:val="0"/>
        <w:snapToGrid w:val="0"/>
        <w:spacing w:line="360" w:lineRule="auto"/>
        <w:ind w:firstLine="723" w:firstLineChars="3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10.</w:t>
      </w:r>
      <w:r>
        <w:rPr>
          <w:rFonts w:hint="eastAsia" w:hAnsi="宋体" w:cs="宋体"/>
          <w:b/>
          <w:color w:val="000000"/>
          <w:sz w:val="24"/>
          <w:highlight w:val="none"/>
          <w:lang w:val="en-US" w:eastAsia="zh-CN"/>
        </w:rPr>
        <w:t>8</w:t>
      </w:r>
      <w:r>
        <w:rPr>
          <w:rFonts w:hint="eastAsia" w:ascii="宋体" w:hAnsi="宋体" w:eastAsia="宋体" w:cs="宋体"/>
          <w:b/>
          <w:color w:val="000000"/>
          <w:sz w:val="24"/>
          <w:highlight w:val="none"/>
          <w:lang w:eastAsia="zh-CN"/>
        </w:rPr>
        <w:t>根据评审内容提供相关证明材料</w:t>
      </w:r>
      <w:r>
        <w:rPr>
          <w:rFonts w:hint="eastAsia" w:ascii="宋体" w:hAnsi="宋体" w:eastAsia="宋体" w:cs="宋体"/>
          <w:b/>
          <w:color w:val="000000"/>
          <w:sz w:val="24"/>
          <w:highlight w:val="none"/>
          <w:lang w:val="en-US" w:eastAsia="zh-CN"/>
        </w:rPr>
        <w:t>并制作进投标文件内</w:t>
      </w:r>
      <w:r>
        <w:rPr>
          <w:rFonts w:hint="eastAsia" w:ascii="宋体" w:hAnsi="宋体" w:eastAsia="宋体" w:cs="宋体"/>
          <w:b/>
          <w:color w:val="000000"/>
          <w:sz w:val="24"/>
          <w:highlight w:val="none"/>
        </w:rPr>
        <w:t>；</w:t>
      </w:r>
    </w:p>
    <w:p w14:paraId="48528A8D">
      <w:pPr>
        <w:pStyle w:val="8"/>
        <w:adjustRightInd w:val="0"/>
        <w:snapToGrid w:val="0"/>
        <w:spacing w:line="360" w:lineRule="auto"/>
        <w:ind w:firstLine="723" w:firstLineChars="300"/>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rPr>
        <w:t>10.</w:t>
      </w:r>
      <w:r>
        <w:rPr>
          <w:rFonts w:hint="eastAsia" w:hAnsi="宋体" w:cs="宋体"/>
          <w:b/>
          <w:color w:val="000000"/>
          <w:sz w:val="24"/>
          <w:highlight w:val="none"/>
          <w:lang w:val="en-US" w:eastAsia="zh-CN"/>
        </w:rPr>
        <w:t>9</w:t>
      </w:r>
      <w:r>
        <w:rPr>
          <w:rFonts w:hint="eastAsia" w:ascii="宋体" w:hAnsi="宋体" w:eastAsia="宋体" w:cs="宋体"/>
          <w:b/>
          <w:color w:val="000000"/>
          <w:sz w:val="24"/>
          <w:highlight w:val="none"/>
        </w:rPr>
        <w:t>投标人认为需要的其他说明</w:t>
      </w:r>
      <w:r>
        <w:rPr>
          <w:rFonts w:hint="eastAsia" w:ascii="宋体" w:hAnsi="宋体" w:eastAsia="宋体" w:cs="宋体"/>
          <w:b/>
          <w:color w:val="000000"/>
          <w:sz w:val="24"/>
          <w:highlight w:val="none"/>
          <w:lang w:val="en-US" w:eastAsia="zh-CN"/>
        </w:rPr>
        <w:t>或材料。</w:t>
      </w:r>
    </w:p>
    <w:bookmarkEnd w:id="46"/>
    <w:p w14:paraId="10F375FB">
      <w:pPr>
        <w:pStyle w:val="36"/>
        <w:adjustRightInd w:val="0"/>
        <w:snapToGrid w:val="0"/>
        <w:spacing w:before="0" w:line="360" w:lineRule="auto"/>
        <w:ind w:firstLine="482" w:firstLineChars="200"/>
        <w:rPr>
          <w:rFonts w:hint="eastAsia" w:ascii="宋体" w:hAnsi="宋体" w:eastAsia="宋体" w:cs="宋体"/>
          <w:b/>
          <w:color w:val="000000"/>
          <w:szCs w:val="24"/>
          <w:highlight w:val="none"/>
          <w:lang w:val="en-US" w:eastAsia="zh-CN"/>
        </w:rPr>
      </w:pPr>
      <w:r>
        <w:rPr>
          <w:rFonts w:hint="eastAsia" w:ascii="宋体" w:hAnsi="宋体" w:eastAsia="宋体" w:cs="宋体"/>
          <w:b/>
          <w:color w:val="000000"/>
          <w:szCs w:val="24"/>
          <w:highlight w:val="none"/>
          <w:lang w:val="en-US" w:eastAsia="zh-CN"/>
        </w:rPr>
        <w:t>注：上述内容未提供格式的，由投标人自行草拟，已提交格式内容的，根据格式内容</w:t>
      </w:r>
      <w:r>
        <w:rPr>
          <w:rFonts w:hint="eastAsia" w:ascii="宋体" w:hAnsi="宋体" w:cs="宋体"/>
          <w:b/>
          <w:color w:val="000000"/>
          <w:szCs w:val="24"/>
          <w:highlight w:val="none"/>
          <w:lang w:val="en-US" w:eastAsia="zh-CN"/>
        </w:rPr>
        <w:t>参照</w:t>
      </w:r>
      <w:r>
        <w:rPr>
          <w:rFonts w:hint="eastAsia" w:ascii="宋体" w:hAnsi="宋体" w:eastAsia="宋体" w:cs="宋体"/>
          <w:b/>
          <w:color w:val="000000"/>
          <w:szCs w:val="24"/>
          <w:highlight w:val="none"/>
          <w:lang w:val="en-US" w:eastAsia="zh-CN"/>
        </w:rPr>
        <w:t>填写。</w:t>
      </w:r>
    </w:p>
    <w:p w14:paraId="3A64E6FA">
      <w:pPr>
        <w:pStyle w:val="3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auto"/>
          <w:szCs w:val="24"/>
          <w:highlight w:val="none"/>
        </w:rPr>
      </w:pPr>
      <w:bookmarkStart w:id="47" w:name="_Toc91899887"/>
      <w:r>
        <w:rPr>
          <w:rFonts w:hint="eastAsia" w:ascii="宋体" w:hAnsi="宋体" w:eastAsia="宋体" w:cs="宋体"/>
          <w:b/>
          <w:color w:val="auto"/>
          <w:szCs w:val="24"/>
          <w:highlight w:val="none"/>
        </w:rPr>
        <w:t>11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投标有效期</w:t>
      </w:r>
    </w:p>
    <w:p w14:paraId="4F44866B">
      <w:pPr>
        <w:pStyle w:val="36"/>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投标文件合格投递后，自投标截止日期起，至前附表所列的日期内有效。</w:t>
      </w:r>
    </w:p>
    <w:p w14:paraId="524773E2">
      <w:pPr>
        <w:pStyle w:val="36"/>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 在原定投标有效期之前，如果出现特殊情况，招标人（招标代理机构）可以以书面形式通知投标人延长投标有效期。</w:t>
      </w:r>
    </w:p>
    <w:p w14:paraId="5D001DB4">
      <w:pPr>
        <w:pStyle w:val="3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投标保证金</w:t>
      </w:r>
    </w:p>
    <w:p w14:paraId="6C156B77">
      <w:pPr>
        <w:pStyle w:val="36"/>
        <w:keepNext w:val="0"/>
        <w:keepLines w:val="0"/>
        <w:pageBreakBefore w:val="0"/>
        <w:widowControl w:val="0"/>
        <w:kinsoku/>
        <w:wordWrap/>
        <w:overflowPunct/>
        <w:topLinePunct w:val="0"/>
        <w:autoSpaceDE/>
        <w:autoSpaceDN/>
        <w:bidi w:val="0"/>
        <w:spacing w:before="0" w:line="360" w:lineRule="auto"/>
        <w:ind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snapToGrid w:val="0"/>
          <w:color w:val="auto"/>
          <w:kern w:val="0"/>
          <w:highlight w:val="none"/>
        </w:rPr>
        <w:t>本项目免交投标保证金，投标行为与企业信用挂钩。</w:t>
      </w:r>
      <w:r>
        <w:rPr>
          <w:rFonts w:hint="eastAsia" w:ascii="宋体" w:hAnsi="宋体" w:eastAsia="宋体" w:cs="宋体"/>
          <w:color w:val="auto"/>
          <w:szCs w:val="24"/>
          <w:highlight w:val="none"/>
        </w:rPr>
        <w:t>如投标人有下列情况，将予以通报相关主管部门：</w:t>
      </w:r>
    </w:p>
    <w:p w14:paraId="6FD2AD1B">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（1）投标人在投标有效期内撤回投标文件的；</w:t>
      </w:r>
    </w:p>
    <w:p w14:paraId="216F0062">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）投标人在投标过程中弄虚作假，提供虚假材料的；</w:t>
      </w:r>
    </w:p>
    <w:p w14:paraId="3460138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）中标人无正当理由不与招标人签订协议的；</w:t>
      </w:r>
    </w:p>
    <w:p w14:paraId="5DEB2F0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将中标项目转让给他人或者在投标文件中未说明且未经招标人同意，将中标项目分包给他人的；</w:t>
      </w:r>
    </w:p>
    <w:p w14:paraId="680313E2">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）拒绝履行投标时承诺的义务；</w:t>
      </w:r>
    </w:p>
    <w:p w14:paraId="3027873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）其他严重扰乱招投标程序的。</w:t>
      </w:r>
    </w:p>
    <w:p w14:paraId="3DB1A36C">
      <w:pPr>
        <w:pStyle w:val="36"/>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投标文件的编制和签署</w:t>
      </w:r>
    </w:p>
    <w:p w14:paraId="63F4FBD2">
      <w:pPr>
        <w:pStyle w:val="36"/>
        <w:adjustRightInd w:val="0"/>
        <w:snapToGrid w:val="0"/>
        <w:spacing w:before="0"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投标人应按本招标文件规定的格式和顺序编制、装订投标文件，投标文件内容不完整、编排混乱导致投标文件被误读、漏读或者查找不到相关内容的，是投标人的责任。</w:t>
      </w:r>
    </w:p>
    <w:p w14:paraId="5BCFE64B">
      <w:pPr>
        <w:pStyle w:val="36"/>
        <w:adjustRightInd w:val="0"/>
        <w:snapToGrid w:val="0"/>
        <w:spacing w:before="0"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13.1投标人按本须知规定的语言及计量单位和前附</w:t>
      </w:r>
      <w:r>
        <w:rPr>
          <w:rFonts w:hint="eastAsia" w:ascii="宋体" w:hAnsi="宋体" w:eastAsia="宋体" w:cs="宋体"/>
          <w:color w:val="000000"/>
          <w:szCs w:val="24"/>
          <w:highlight w:val="none"/>
          <w:lang w:eastAsia="zh-CN"/>
        </w:rPr>
        <w:t>表</w:t>
      </w:r>
      <w:r>
        <w:rPr>
          <w:rFonts w:hint="eastAsia" w:ascii="宋体" w:hAnsi="宋体" w:eastAsia="宋体" w:cs="宋体"/>
          <w:color w:val="000000"/>
          <w:szCs w:val="24"/>
          <w:highlight w:val="none"/>
        </w:rPr>
        <w:t>规定的份数编制投标文件，并在封面上标明“正本”和“副本”。投标文件正本和副本如有不一致之处，以正本为准。</w:t>
      </w:r>
    </w:p>
    <w:p w14:paraId="7AD333F1">
      <w:pPr>
        <w:pStyle w:val="36"/>
        <w:adjustRightInd w:val="0"/>
        <w:snapToGrid w:val="0"/>
        <w:spacing w:before="0"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13.2 投标文件正本和副本均应使用不褪色的材料书写或打印，投标文件的封面、开标一览表必须加盖投标人公章，按要求由</w:t>
      </w:r>
      <w:r>
        <w:rPr>
          <w:rFonts w:hint="eastAsia" w:ascii="宋体" w:hAnsi="宋体" w:eastAsia="宋体" w:cs="宋体"/>
          <w:color w:val="000000"/>
          <w:szCs w:val="24"/>
          <w:highlight w:val="none"/>
          <w:lang w:eastAsia="zh-CN"/>
        </w:rPr>
        <w:t>法</w:t>
      </w:r>
      <w:r>
        <w:rPr>
          <w:rFonts w:hint="eastAsia" w:ascii="宋体" w:hAnsi="宋体" w:eastAsia="宋体" w:cs="宋体"/>
          <w:color w:val="000000"/>
          <w:szCs w:val="24"/>
          <w:highlight w:val="none"/>
        </w:rPr>
        <w:t>定代表人（或负责人）或其授权委托人盖章或签字。由授权委托人签字或盖章的必须同时提供法定代表人(或负责人)授权委托书，授权委托书格式、签字、盖章及内容均应符合要求，否则授权委托书无效。投标文件正本应依据招标文件要求加盖投标人公章、法定代表人（或负责人）或其授权委托人签字或盖章处须为原件。</w:t>
      </w:r>
    </w:p>
    <w:p w14:paraId="583AEF0B">
      <w:pPr>
        <w:widowControl w:val="0"/>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000000"/>
          <w:sz w:val="24"/>
          <w:szCs w:val="24"/>
          <w:highlight w:val="none"/>
        </w:rPr>
        <w:t>13.3 全套投标文件应无涂改和行间插字。如有修改，所修改处应由法定代表人（或负责人）或授权委托人签字予以确认。</w:t>
      </w:r>
    </w:p>
    <w:bookmarkEnd w:id="47"/>
    <w:p w14:paraId="3A1419D5">
      <w:pPr>
        <w:keepNext w:val="0"/>
        <w:keepLines w:val="0"/>
        <w:pageBreakBefore w:val="0"/>
        <w:widowControl w:val="0"/>
        <w:kinsoku/>
        <w:wordWrap/>
        <w:overflowPunct/>
        <w:topLinePunct w:val="0"/>
        <w:autoSpaceDE/>
        <w:autoSpaceDN/>
        <w:bidi w:val="0"/>
        <w:spacing w:line="360" w:lineRule="auto"/>
        <w:jc w:val="center"/>
        <w:textAlignment w:val="auto"/>
        <w:outlineLvl w:val="1"/>
        <w:rPr>
          <w:rFonts w:hint="eastAsia" w:ascii="宋体" w:hAnsi="宋体" w:eastAsia="宋体" w:cs="宋体"/>
          <w:b/>
          <w:color w:val="auto"/>
          <w:sz w:val="32"/>
          <w:szCs w:val="32"/>
          <w:highlight w:val="none"/>
        </w:rPr>
      </w:pPr>
      <w:bookmarkStart w:id="48" w:name="_Hlt68403820"/>
      <w:bookmarkEnd w:id="48"/>
      <w:bookmarkStart w:id="49" w:name="_Hlt68073093"/>
      <w:bookmarkEnd w:id="49"/>
      <w:bookmarkStart w:id="50" w:name="_Hlt68072998"/>
      <w:bookmarkEnd w:id="50"/>
      <w:bookmarkStart w:id="51" w:name="_Toc233618975"/>
      <w:bookmarkStart w:id="52" w:name="_Toc86216991"/>
      <w:bookmarkStart w:id="53" w:name="_Toc7136"/>
      <w:bookmarkStart w:id="54" w:name="_Toc397181963"/>
      <w:bookmarkStart w:id="55" w:name="_Toc434248567"/>
      <w:bookmarkStart w:id="56" w:name="_Toc1857"/>
      <w:bookmarkStart w:id="57" w:name="_Toc91899892"/>
      <w:r>
        <w:rPr>
          <w:rFonts w:hint="eastAsia" w:ascii="宋体" w:hAnsi="宋体" w:eastAsia="宋体" w:cs="宋体"/>
          <w:b/>
          <w:color w:val="auto"/>
          <w:sz w:val="32"/>
          <w:szCs w:val="32"/>
          <w:highlight w:val="none"/>
        </w:rPr>
        <w:t>四、</w:t>
      </w:r>
      <w:bookmarkEnd w:id="51"/>
      <w:bookmarkEnd w:id="52"/>
      <w:r>
        <w:rPr>
          <w:rFonts w:hint="eastAsia" w:ascii="宋体" w:hAnsi="宋体" w:eastAsia="宋体" w:cs="宋体"/>
          <w:b/>
          <w:color w:val="auto"/>
          <w:sz w:val="32"/>
          <w:szCs w:val="32"/>
          <w:highlight w:val="none"/>
        </w:rPr>
        <w:t>投标文件的递交</w:t>
      </w:r>
      <w:bookmarkEnd w:id="53"/>
      <w:bookmarkEnd w:id="54"/>
      <w:bookmarkEnd w:id="55"/>
      <w:bookmarkEnd w:id="56"/>
    </w:p>
    <w:p w14:paraId="0E454185">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投标文件的密封与标志</w:t>
      </w:r>
    </w:p>
    <w:p w14:paraId="056FB3BD">
      <w:pPr>
        <w:pStyle w:val="36"/>
        <w:adjustRightInd w:val="0"/>
        <w:snapToGrid w:val="0"/>
        <w:spacing w:before="0" w:line="360" w:lineRule="auto"/>
        <w:ind w:firstLine="480"/>
        <w:rPr>
          <w:rFonts w:hint="eastAsia" w:ascii="宋体" w:hAnsi="宋体" w:eastAsia="宋体" w:cs="宋体"/>
          <w:b/>
          <w:color w:val="000000"/>
          <w:szCs w:val="24"/>
          <w:highlight w:val="none"/>
          <w:u w:val="single"/>
        </w:rPr>
      </w:pPr>
      <w:r>
        <w:rPr>
          <w:rFonts w:hint="eastAsia" w:ascii="宋体" w:hAnsi="宋体" w:eastAsia="宋体" w:cs="宋体"/>
          <w:color w:val="000000"/>
          <w:szCs w:val="24"/>
          <w:highlight w:val="none"/>
        </w:rPr>
        <w:t xml:space="preserve">14.1  </w:t>
      </w:r>
      <w:r>
        <w:rPr>
          <w:rFonts w:hint="eastAsia" w:ascii="宋体" w:hAnsi="宋体" w:eastAsia="宋体" w:cs="宋体"/>
          <w:color w:val="000000"/>
          <w:szCs w:val="24"/>
          <w:highlight w:val="none"/>
          <w:lang w:val="zh-CN"/>
        </w:rPr>
        <w:t>投标文件</w:t>
      </w:r>
      <w:r>
        <w:rPr>
          <w:rFonts w:hint="eastAsia" w:ascii="宋体" w:hAnsi="宋体" w:eastAsia="宋体" w:cs="宋体"/>
          <w:color w:val="000000"/>
          <w:highlight w:val="none"/>
        </w:rPr>
        <w:t>正本一份、副本四份，按正副本分开</w:t>
      </w:r>
      <w:r>
        <w:rPr>
          <w:rFonts w:hint="eastAsia" w:ascii="宋体" w:hAnsi="宋体" w:eastAsia="宋体" w:cs="宋体"/>
          <w:color w:val="000000"/>
          <w:szCs w:val="24"/>
          <w:highlight w:val="none"/>
        </w:rPr>
        <w:t>装订后</w:t>
      </w:r>
      <w:r>
        <w:rPr>
          <w:rFonts w:hint="eastAsia" w:ascii="宋体" w:hAnsi="宋体" w:eastAsia="宋体" w:cs="宋体"/>
          <w:color w:val="000000"/>
          <w:szCs w:val="24"/>
          <w:highlight w:val="none"/>
          <w:lang w:val="zh-CN"/>
        </w:rPr>
        <w:t>密封</w:t>
      </w:r>
      <w:r>
        <w:rPr>
          <w:rFonts w:hint="eastAsia" w:ascii="宋体" w:hAnsi="宋体" w:eastAsia="宋体" w:cs="宋体"/>
          <w:color w:val="000000"/>
          <w:szCs w:val="24"/>
          <w:highlight w:val="none"/>
        </w:rPr>
        <w:t>包装。</w:t>
      </w:r>
      <w:r>
        <w:rPr>
          <w:rFonts w:hint="eastAsia" w:ascii="宋体" w:hAnsi="宋体" w:eastAsia="宋体" w:cs="宋体"/>
          <w:b/>
          <w:color w:val="000000"/>
          <w:szCs w:val="24"/>
          <w:highlight w:val="none"/>
          <w:u w:val="single"/>
        </w:rPr>
        <w:t>没有密封包装的投标文件，将被当场拒绝。</w:t>
      </w:r>
    </w:p>
    <w:p w14:paraId="4A7BA517">
      <w:pPr>
        <w:pStyle w:val="36"/>
        <w:adjustRightInd w:val="0"/>
        <w:snapToGrid w:val="0"/>
        <w:spacing w:before="0"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14.2  密封包装上应写明项目名称、投标人全称，封口处要密封并加盖投标人公章或</w:t>
      </w:r>
      <w:r>
        <w:rPr>
          <w:rFonts w:hint="eastAsia" w:ascii="宋体" w:hAnsi="宋体" w:eastAsia="宋体" w:cs="宋体"/>
          <w:color w:val="000000"/>
          <w:highlight w:val="none"/>
        </w:rPr>
        <w:t>法</w:t>
      </w:r>
      <w:r>
        <w:rPr>
          <w:rFonts w:hint="eastAsia" w:ascii="宋体" w:hAnsi="宋体" w:eastAsia="宋体" w:cs="宋体"/>
          <w:color w:val="000000"/>
          <w:szCs w:val="21"/>
          <w:highlight w:val="none"/>
        </w:rPr>
        <w:t>定代表人（或负责人）或其授权委托人</w:t>
      </w:r>
      <w:r>
        <w:rPr>
          <w:rFonts w:hint="eastAsia" w:ascii="宋体" w:hAnsi="宋体" w:eastAsia="宋体" w:cs="宋体"/>
          <w:color w:val="000000"/>
          <w:szCs w:val="24"/>
          <w:highlight w:val="none"/>
        </w:rPr>
        <w:t>签章。不论投标人中标与否，投标文件均不退回。</w:t>
      </w:r>
    </w:p>
    <w:p w14:paraId="50772480">
      <w:pPr>
        <w:pStyle w:val="36"/>
        <w:adjustRightInd w:val="0"/>
        <w:snapToGrid w:val="0"/>
        <w:spacing w:before="0" w:line="360" w:lineRule="auto"/>
        <w:ind w:firstLine="48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14.3  投标文件递交至前附表所述的地址。</w:t>
      </w:r>
    </w:p>
    <w:p w14:paraId="660F75CF">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、在投标文件密封包装上还应注明下列识别标志:</w:t>
      </w:r>
    </w:p>
    <w:p w14:paraId="60591F7D">
      <w:pPr>
        <w:pStyle w:val="8"/>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（1）项目名称和投标人名称；</w:t>
      </w:r>
    </w:p>
    <w:p w14:paraId="63887F4C">
      <w:pPr>
        <w:pStyle w:val="8"/>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日</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时</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分开标,此时间以前不得开封</w:t>
      </w:r>
      <w:r>
        <w:rPr>
          <w:rFonts w:hint="eastAsia" w:ascii="宋体" w:hAnsi="宋体" w:eastAsia="宋体" w:cs="宋体"/>
          <w:color w:val="auto"/>
          <w:sz w:val="24"/>
          <w:szCs w:val="24"/>
          <w:highlight w:val="none"/>
        </w:rPr>
        <w:t>。</w:t>
      </w:r>
    </w:p>
    <w:p w14:paraId="602B7574">
      <w:pPr>
        <w:pStyle w:val="8"/>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、如果投标文件没有按本投标须知第14.2款、第14.3款规定加写标记和密封,招标人将拒收该投标文件或者告知投标人招标人将不承担该投标文件错放或部分内容提前开封的责任。</w:t>
      </w:r>
    </w:p>
    <w:p w14:paraId="0F281D4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、所有投标文件密封包装的封口处应加盖密封章或投标人单位公章。</w:t>
      </w:r>
    </w:p>
    <w:p w14:paraId="499D3462">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15</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投标截止期</w:t>
      </w:r>
    </w:p>
    <w:p w14:paraId="0B543CFE">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15.1  投标人应按前附表规定的时间、地点将投标文件递交给招标人（招标代理机构），招标人（招标代理机构）将拒绝接受逾期送达的投标文件。</w:t>
      </w:r>
    </w:p>
    <w:p w14:paraId="4921CB01">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15.2  招标人（招标代理机构）可以按本须知规定以补充通知的方式，酌情延长递交投标文件的截止日期。在上述情况下，招标人（招标代理机构）与投标人以前在投标截止期方面的全部权利、责任和义务，将适用于延长至新的投标截止期。</w:t>
      </w:r>
    </w:p>
    <w:p w14:paraId="43E32328">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投标文件的修改</w:t>
      </w:r>
    </w:p>
    <w:p w14:paraId="3520CB99">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  投标人递交投标文件以后，在规定的投标截止时间之前，可以书面形式对投标文件进行补充、修改，修改文件须加盖单位公章，并由</w:t>
      </w:r>
      <w:r>
        <w:rPr>
          <w:rFonts w:hint="eastAsia" w:ascii="宋体" w:hAnsi="宋体" w:eastAsia="宋体" w:cs="宋体"/>
          <w:color w:val="auto"/>
          <w:highlight w:val="none"/>
        </w:rPr>
        <w:t>法</w:t>
      </w:r>
      <w:r>
        <w:rPr>
          <w:rFonts w:hint="eastAsia" w:ascii="宋体" w:hAnsi="宋体" w:eastAsia="宋体" w:cs="宋体"/>
          <w:color w:val="auto"/>
          <w:szCs w:val="21"/>
          <w:highlight w:val="none"/>
        </w:rPr>
        <w:t>定代表人（或</w:t>
      </w:r>
      <w:r>
        <w:rPr>
          <w:rFonts w:hint="eastAsia" w:ascii="宋体" w:hAnsi="宋体" w:eastAsia="宋体" w:cs="宋体"/>
          <w:color w:val="auto"/>
          <w:szCs w:val="21"/>
          <w:highlight w:val="none"/>
          <w:lang w:eastAsia="zh-CN"/>
        </w:rPr>
        <w:t>单位</w:t>
      </w:r>
      <w:r>
        <w:rPr>
          <w:rFonts w:hint="eastAsia" w:ascii="宋体" w:hAnsi="宋体" w:eastAsia="宋体" w:cs="宋体"/>
          <w:color w:val="auto"/>
          <w:szCs w:val="21"/>
          <w:highlight w:val="none"/>
        </w:rPr>
        <w:t>负责人）或其授权委托人</w:t>
      </w:r>
      <w:r>
        <w:rPr>
          <w:rFonts w:hint="eastAsia" w:ascii="宋体" w:hAnsi="宋体" w:eastAsia="宋体" w:cs="宋体"/>
          <w:color w:val="auto"/>
          <w:szCs w:val="24"/>
          <w:highlight w:val="none"/>
        </w:rPr>
        <w:t>签字或盖章，在投标截止时间以后，不能修改、补充投标文件。</w:t>
      </w:r>
    </w:p>
    <w:p w14:paraId="7E355C50">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  投标人的修改文件，应按本须知规定编制、密封、标志和递交，如果一份投标文件有几份函件时，应注明哪一份有效，否则所作修改视为无效。</w:t>
      </w:r>
    </w:p>
    <w:p w14:paraId="0332C7FA">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w:t>
      </w:r>
      <w:bookmarkEnd w:id="57"/>
      <w:r>
        <w:rPr>
          <w:rFonts w:hint="eastAsia" w:ascii="宋体" w:hAnsi="宋体" w:eastAsia="宋体" w:cs="宋体"/>
          <w:color w:val="auto"/>
          <w:szCs w:val="24"/>
          <w:highlight w:val="none"/>
        </w:rPr>
        <w:t xml:space="preserve">  在投标截止日期与招标文件中规定的有效期终止日之间的这段时间内，投标人不能撤回投标文件，否则将予以通报相关主管部门。</w:t>
      </w:r>
    </w:p>
    <w:p w14:paraId="475E6089">
      <w:pPr>
        <w:spacing w:line="360" w:lineRule="auto"/>
        <w:jc w:val="center"/>
        <w:outlineLvl w:val="1"/>
        <w:rPr>
          <w:rFonts w:hint="eastAsia" w:ascii="宋体" w:hAnsi="宋体" w:eastAsia="宋体" w:cs="宋体"/>
          <w:b/>
          <w:color w:val="auto"/>
          <w:sz w:val="32"/>
          <w:szCs w:val="32"/>
          <w:highlight w:val="none"/>
        </w:rPr>
      </w:pPr>
      <w:bookmarkStart w:id="58" w:name="_Toc434248568"/>
      <w:bookmarkStart w:id="59" w:name="_Toc91899897"/>
      <w:bookmarkStart w:id="60" w:name="_Toc20851"/>
      <w:bookmarkStart w:id="61" w:name="_Toc397181964"/>
      <w:bookmarkStart w:id="62" w:name="_Toc26945"/>
      <w:bookmarkStart w:id="63" w:name="_Toc233618976"/>
    </w:p>
    <w:p w14:paraId="56268DF8">
      <w:pPr>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五、开 标</w:t>
      </w:r>
      <w:bookmarkEnd w:id="58"/>
      <w:bookmarkEnd w:id="59"/>
      <w:bookmarkEnd w:id="60"/>
      <w:bookmarkEnd w:id="61"/>
      <w:bookmarkEnd w:id="62"/>
      <w:bookmarkEnd w:id="63"/>
    </w:p>
    <w:p w14:paraId="3A44C9FF">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开标</w:t>
      </w:r>
    </w:p>
    <w:p w14:paraId="39544AB6">
      <w:pPr>
        <w:pStyle w:val="36"/>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b w:val="0"/>
          <w:bCs w:val="0"/>
          <w:color w:val="auto"/>
          <w:sz w:val="24"/>
          <w:szCs w:val="24"/>
          <w:highlight w:val="none"/>
        </w:rPr>
        <w:t>投标人代表递交投标文件后，由招标单位及招标代理机构在监督人的监督下做好开标工作。评审过程中如有问题需要投标单位对投标文件作出澄清说明的，将要求投标单位以</w:t>
      </w:r>
      <w:r>
        <w:rPr>
          <w:rFonts w:hint="eastAsia" w:ascii="宋体" w:hAnsi="宋体" w:eastAsia="宋体" w:cs="宋体"/>
          <w:b w:val="0"/>
          <w:bCs w:val="0"/>
          <w:color w:val="auto"/>
          <w:sz w:val="24"/>
          <w:szCs w:val="24"/>
          <w:highlight w:val="none"/>
          <w:lang w:eastAsia="zh-CN"/>
        </w:rPr>
        <w:t>书面方式</w:t>
      </w:r>
      <w:r>
        <w:rPr>
          <w:rFonts w:hint="eastAsia" w:ascii="宋体" w:hAnsi="宋体" w:eastAsia="宋体" w:cs="宋体"/>
          <w:b/>
          <w:bCs/>
          <w:color w:val="auto"/>
          <w:sz w:val="24"/>
          <w:szCs w:val="24"/>
          <w:highlight w:val="none"/>
          <w:lang w:val="en-US" w:eastAsia="zh-CN"/>
        </w:rPr>
        <w:t>（包括：</w:t>
      </w:r>
      <w:r>
        <w:rPr>
          <w:rFonts w:hint="eastAsia" w:ascii="宋体" w:hAnsi="宋体" w:eastAsia="宋体" w:cs="宋体"/>
          <w:b/>
          <w:bCs/>
          <w:color w:val="auto"/>
          <w:sz w:val="24"/>
          <w:szCs w:val="24"/>
          <w:highlight w:val="none"/>
        </w:rPr>
        <w:t>信函、电函和其他书面材料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作出</w:t>
      </w:r>
      <w:r>
        <w:rPr>
          <w:rFonts w:hint="eastAsia" w:ascii="宋体" w:hAnsi="宋体" w:eastAsia="宋体" w:cs="宋体"/>
          <w:b w:val="0"/>
          <w:bCs w:val="0"/>
          <w:color w:val="auto"/>
          <w:sz w:val="24"/>
          <w:szCs w:val="24"/>
          <w:highlight w:val="none"/>
          <w:lang w:eastAsia="zh-CN"/>
        </w:rPr>
        <w:t>回应。同时本项目开标情况也将以书面方式</w:t>
      </w:r>
      <w:r>
        <w:rPr>
          <w:rFonts w:hint="eastAsia" w:ascii="宋体" w:hAnsi="宋体" w:eastAsia="宋体" w:cs="宋体"/>
          <w:b/>
          <w:bCs/>
          <w:color w:val="auto"/>
          <w:sz w:val="24"/>
          <w:szCs w:val="24"/>
          <w:highlight w:val="none"/>
          <w:lang w:val="en-US" w:eastAsia="zh-CN"/>
        </w:rPr>
        <w:t>（包括：</w:t>
      </w:r>
      <w:r>
        <w:rPr>
          <w:rFonts w:hint="eastAsia" w:ascii="宋体" w:hAnsi="宋体" w:eastAsia="宋体" w:cs="宋体"/>
          <w:b/>
          <w:bCs/>
          <w:color w:val="auto"/>
          <w:sz w:val="24"/>
          <w:szCs w:val="24"/>
          <w:highlight w:val="none"/>
        </w:rPr>
        <w:t>信函、电函和其他书面材料</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rPr>
        <w:t>通知各投标单位。</w:t>
      </w:r>
      <w:r>
        <w:rPr>
          <w:rFonts w:hint="eastAsia" w:ascii="宋体" w:hAnsi="宋体" w:eastAsia="宋体" w:cs="宋体"/>
          <w:color w:val="auto"/>
          <w:szCs w:val="24"/>
          <w:highlight w:val="none"/>
        </w:rPr>
        <w:t>投标人代表未到场签字确认或者拒绝签字确认的，不影响评标过程。</w:t>
      </w:r>
    </w:p>
    <w:p w14:paraId="798DF277">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17.2招标人（招标代理机构）工作人员请投标人代表检查各投标文件的密封情况，经确认无误后当众拆封相应标的密封袋，拆封顺序按各投标人报送的投标文件时间先后的</w:t>
      </w:r>
      <w:r>
        <w:rPr>
          <w:rFonts w:hint="eastAsia" w:ascii="宋体" w:hAnsi="宋体" w:eastAsia="宋体" w:cs="宋体"/>
          <w:b/>
          <w:bCs/>
          <w:color w:val="auto"/>
          <w:sz w:val="24"/>
          <w:szCs w:val="24"/>
          <w:highlight w:val="none"/>
        </w:rPr>
        <w:t>逆顺序</w:t>
      </w:r>
      <w:r>
        <w:rPr>
          <w:rFonts w:hint="eastAsia" w:ascii="宋体" w:hAnsi="宋体" w:eastAsia="宋体" w:cs="宋体"/>
          <w:color w:val="auto"/>
          <w:sz w:val="24"/>
          <w:szCs w:val="24"/>
          <w:highlight w:val="none"/>
        </w:rPr>
        <w:t>进行。投标人对开标有异议的，应当在开标现场提出，工作人员应当场做出答复，并作记录。</w:t>
      </w:r>
    </w:p>
    <w:p w14:paraId="4B9313BD">
      <w:pPr>
        <w:spacing w:line="360" w:lineRule="auto"/>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开标时投标文件中的开标一览表内容与投标文件中明细表内容不一致的，以开标一览表为准。投标文件的大写金额和小写金额不一致的，以大写金额为准；对不同文字文本投标文件的解释发生异议的，以中文文本为准。</w:t>
      </w:r>
    </w:p>
    <w:p w14:paraId="65DD6B15">
      <w:pPr>
        <w:pStyle w:val="37"/>
        <w:autoSpaceDE/>
        <w:autoSpaceDN/>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17.4 投标文件有下列情况之一者将视为无效：</w:t>
      </w:r>
    </w:p>
    <w:p w14:paraId="0D9F25D9">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（1）在投标文件递交截止时间以后送达的投标文件；</w:t>
      </w:r>
    </w:p>
    <w:p w14:paraId="69386FA7">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2</w:t>
      </w:r>
      <w:r>
        <w:rPr>
          <w:rFonts w:hint="eastAsia" w:ascii="宋体" w:hAnsi="宋体" w:eastAsia="宋体" w:cs="宋体"/>
          <w:b/>
          <w:color w:val="auto"/>
          <w:kern w:val="2"/>
          <w:sz w:val="24"/>
          <w:szCs w:val="24"/>
          <w:highlight w:val="none"/>
        </w:rPr>
        <w:t>）仅以非纸制文本形式的投标文件；</w:t>
      </w:r>
    </w:p>
    <w:p w14:paraId="7DBF1A22">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rPr>
        <w:t>）投标人未能提供满足招标文件的资格要求的投标文件；</w:t>
      </w:r>
    </w:p>
    <w:p w14:paraId="66F05147">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4</w:t>
      </w:r>
      <w:r>
        <w:rPr>
          <w:rFonts w:hint="eastAsia" w:ascii="宋体" w:hAnsi="宋体" w:eastAsia="宋体" w:cs="宋体"/>
          <w:b/>
          <w:color w:val="auto"/>
          <w:kern w:val="2"/>
          <w:sz w:val="24"/>
          <w:szCs w:val="24"/>
          <w:highlight w:val="none"/>
        </w:rPr>
        <w:t>）投标文件有招标人不能接受附加条件的；</w:t>
      </w:r>
    </w:p>
    <w:p w14:paraId="62841BB4">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5</w:t>
      </w:r>
      <w:r>
        <w:rPr>
          <w:rFonts w:hint="eastAsia" w:ascii="宋体" w:hAnsi="宋体" w:eastAsia="宋体" w:cs="宋体"/>
          <w:b/>
          <w:color w:val="auto"/>
          <w:kern w:val="2"/>
          <w:sz w:val="24"/>
          <w:szCs w:val="24"/>
          <w:highlight w:val="none"/>
        </w:rPr>
        <w:t>）与招标文件有重大偏离或缺漏的投标文件,</w:t>
      </w:r>
      <w:r>
        <w:rPr>
          <w:rFonts w:hint="eastAsia" w:ascii="宋体" w:hAnsi="宋体" w:eastAsia="宋体" w:cs="宋体"/>
          <w:b/>
          <w:color w:val="auto"/>
          <w:sz w:val="24"/>
          <w:highlight w:val="none"/>
        </w:rPr>
        <w:t>或</w:t>
      </w:r>
      <w:r>
        <w:rPr>
          <w:rFonts w:hint="eastAsia" w:ascii="宋体" w:hAnsi="宋体" w:eastAsia="宋体" w:cs="宋体"/>
          <w:b/>
          <w:color w:val="auto"/>
          <w:kern w:val="2"/>
          <w:sz w:val="24"/>
          <w:szCs w:val="24"/>
          <w:highlight w:val="none"/>
        </w:rPr>
        <w:t>加*条款未响应或偏离的；</w:t>
      </w:r>
    </w:p>
    <w:p w14:paraId="00BC9D75">
      <w:pPr>
        <w:pStyle w:val="37"/>
        <w:snapToGrid w:val="0"/>
        <w:spacing w:before="0" w:line="360" w:lineRule="auto"/>
        <w:ind w:left="0"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    （</w:t>
      </w:r>
      <w:r>
        <w:rPr>
          <w:rFonts w:hint="eastAsia" w:ascii="宋体" w:hAnsi="宋体" w:eastAsia="宋体" w:cs="宋体"/>
          <w:b/>
          <w:color w:val="auto"/>
          <w:kern w:val="2"/>
          <w:sz w:val="24"/>
          <w:szCs w:val="24"/>
          <w:highlight w:val="none"/>
          <w:lang w:val="en-US" w:eastAsia="zh-CN"/>
        </w:rPr>
        <w:t>6</w:t>
      </w:r>
      <w:r>
        <w:rPr>
          <w:rFonts w:hint="eastAsia" w:ascii="宋体" w:hAnsi="宋体" w:eastAsia="宋体" w:cs="宋体"/>
          <w:b/>
          <w:color w:val="auto"/>
          <w:kern w:val="2"/>
          <w:sz w:val="24"/>
          <w:szCs w:val="24"/>
          <w:highlight w:val="none"/>
        </w:rPr>
        <w:t>）投标文件未有效授权或未按招标文件要求加盖投标人公章、法定代表人（或</w:t>
      </w:r>
      <w:r>
        <w:rPr>
          <w:rFonts w:hint="eastAsia" w:ascii="宋体" w:hAnsi="宋体" w:eastAsia="宋体" w:cs="宋体"/>
          <w:b/>
          <w:color w:val="auto"/>
          <w:kern w:val="2"/>
          <w:sz w:val="24"/>
          <w:szCs w:val="24"/>
          <w:highlight w:val="none"/>
          <w:lang w:eastAsia="zh-CN"/>
        </w:rPr>
        <w:t>单位</w:t>
      </w:r>
      <w:r>
        <w:rPr>
          <w:rFonts w:hint="eastAsia" w:ascii="宋体" w:hAnsi="宋体" w:eastAsia="宋体" w:cs="宋体"/>
          <w:b/>
          <w:color w:val="auto"/>
          <w:kern w:val="2"/>
          <w:sz w:val="24"/>
          <w:szCs w:val="24"/>
          <w:highlight w:val="none"/>
        </w:rPr>
        <w:t xml:space="preserve">负责人）或其授权委托人签字或盖章的； </w:t>
      </w:r>
    </w:p>
    <w:p w14:paraId="4A637E61">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7</w:t>
      </w:r>
      <w:r>
        <w:rPr>
          <w:rFonts w:hint="eastAsia" w:ascii="宋体" w:hAnsi="宋体" w:eastAsia="宋体" w:cs="宋体"/>
          <w:b/>
          <w:color w:val="auto"/>
          <w:kern w:val="2"/>
          <w:sz w:val="24"/>
          <w:szCs w:val="24"/>
          <w:highlight w:val="none"/>
        </w:rPr>
        <w:t>）投标文件正、副本份数不足，内容不全或内容字迹严重模糊辨认不清；</w:t>
      </w:r>
    </w:p>
    <w:p w14:paraId="7E5109E0">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8</w:t>
      </w:r>
      <w:r>
        <w:rPr>
          <w:rFonts w:hint="eastAsia" w:ascii="宋体" w:hAnsi="宋体" w:eastAsia="宋体" w:cs="宋体"/>
          <w:b/>
          <w:color w:val="auto"/>
          <w:kern w:val="2"/>
          <w:sz w:val="24"/>
          <w:szCs w:val="24"/>
          <w:highlight w:val="none"/>
        </w:rPr>
        <w:t>）投标单位有串通投标、弄虚作假、行贿等违法违规行为；</w:t>
      </w:r>
    </w:p>
    <w:p w14:paraId="17E148BD">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9</w:t>
      </w:r>
      <w:r>
        <w:rPr>
          <w:rFonts w:hint="eastAsia" w:ascii="宋体" w:hAnsi="宋体" w:eastAsia="宋体" w:cs="宋体"/>
          <w:b/>
          <w:color w:val="auto"/>
          <w:kern w:val="2"/>
          <w:sz w:val="24"/>
          <w:szCs w:val="24"/>
          <w:highlight w:val="none"/>
        </w:rPr>
        <w:t>）投标人递交两份或多份内容不同的投标文件，或在一份投标文件中对同一招标项目报有两个或多个报价，且未声明哪一个有效的；</w:t>
      </w:r>
    </w:p>
    <w:p w14:paraId="3BFFACC8">
      <w:pPr>
        <w:pStyle w:val="37"/>
        <w:snapToGrid w:val="0"/>
        <w:spacing w:before="0" w:line="360" w:lineRule="auto"/>
        <w:ind w:left="0" w:firstLine="482" w:firstLineChars="20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w:t>
      </w:r>
      <w:r>
        <w:rPr>
          <w:rFonts w:hint="eastAsia" w:ascii="宋体" w:hAnsi="宋体" w:eastAsia="宋体" w:cs="宋体"/>
          <w:b/>
          <w:color w:val="auto"/>
          <w:kern w:val="2"/>
          <w:sz w:val="24"/>
          <w:szCs w:val="24"/>
          <w:highlight w:val="none"/>
          <w:lang w:val="en-US" w:eastAsia="zh-CN"/>
        </w:rPr>
        <w:t>10</w:t>
      </w:r>
      <w:r>
        <w:rPr>
          <w:rFonts w:hint="eastAsia" w:ascii="宋体" w:hAnsi="宋体" w:eastAsia="宋体" w:cs="宋体"/>
          <w:b/>
          <w:color w:val="auto"/>
          <w:kern w:val="2"/>
          <w:sz w:val="24"/>
          <w:szCs w:val="24"/>
          <w:highlight w:val="none"/>
        </w:rPr>
        <w:t>）投标报价超过规定的；</w:t>
      </w:r>
    </w:p>
    <w:p w14:paraId="5028EB7A">
      <w:pPr>
        <w:pStyle w:val="37"/>
        <w:snapToGrid w:val="0"/>
        <w:spacing w:before="0" w:line="360" w:lineRule="auto"/>
        <w:ind w:left="0" w:firstLine="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w:t>
      </w:r>
      <w:r>
        <w:rPr>
          <w:rFonts w:hint="eastAsia" w:ascii="宋体" w:hAnsi="宋体" w:eastAsia="宋体" w:cs="宋体"/>
          <w:b/>
          <w:color w:val="auto"/>
          <w:kern w:val="2"/>
          <w:sz w:val="24"/>
          <w:szCs w:val="24"/>
          <w:highlight w:val="none"/>
          <w:lang w:val="en-US" w:eastAsia="zh-CN"/>
        </w:rPr>
        <w:t>11</w:t>
      </w:r>
      <w:r>
        <w:rPr>
          <w:rFonts w:hint="eastAsia" w:ascii="宋体" w:hAnsi="宋体" w:eastAsia="宋体" w:cs="宋体"/>
          <w:b/>
          <w:color w:val="auto"/>
          <w:kern w:val="2"/>
          <w:sz w:val="24"/>
          <w:szCs w:val="24"/>
          <w:highlight w:val="none"/>
        </w:rPr>
        <w:t>）不符合法律、法规和本招标文件规定的其他实质性要求的。</w:t>
      </w:r>
    </w:p>
    <w:p w14:paraId="2C6A38C5">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投标文件鉴定</w:t>
      </w:r>
    </w:p>
    <w:p w14:paraId="5FEAE45E">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18.1  就本条款而言，实质上响应要求的投标文件，应该与招标文件的规定要求、条件、条款和规范相符，无显著差异或保留。</w:t>
      </w:r>
    </w:p>
    <w:p w14:paraId="6DAFA344">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18.2  如果投标文件实质上不响应招标文件的要求，将被视为无效，并且不允许通过修正或撤消不符合要求的差异或保留，使之成为具有响应性的投标。</w:t>
      </w:r>
    </w:p>
    <w:p w14:paraId="4532EEFC">
      <w:pPr>
        <w:adjustRightInd w:val="0"/>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18.3  </w:t>
      </w:r>
      <w:r>
        <w:rPr>
          <w:rFonts w:hint="eastAsia" w:ascii="宋体" w:hAnsi="宋体" w:eastAsia="宋体" w:cs="宋体"/>
          <w:b/>
          <w:color w:val="auto"/>
          <w:sz w:val="24"/>
          <w:szCs w:val="24"/>
          <w:highlight w:val="none"/>
        </w:rPr>
        <w:t>本项目经开标后递交至评标委员会的投标文件，其投标资格等仍需接受相关符合性的检查，并有可能在评标过程中被判断为无效</w:t>
      </w:r>
      <w:r>
        <w:rPr>
          <w:rFonts w:hint="eastAsia" w:ascii="宋体" w:hAnsi="宋体" w:eastAsia="宋体" w:cs="宋体"/>
          <w:b/>
          <w:color w:val="auto"/>
          <w:sz w:val="24"/>
          <w:szCs w:val="24"/>
          <w:highlight w:val="none"/>
          <w:lang w:val="zh-CN"/>
        </w:rPr>
        <w:t>。</w:t>
      </w:r>
    </w:p>
    <w:p w14:paraId="57C61BC7">
      <w:pPr>
        <w:adjustRightInd w:val="0"/>
        <w:snapToGrid w:val="0"/>
        <w:spacing w:line="360" w:lineRule="auto"/>
        <w:jc w:val="center"/>
        <w:rPr>
          <w:rFonts w:hint="eastAsia" w:ascii="宋体" w:hAnsi="宋体" w:eastAsia="宋体" w:cs="宋体"/>
          <w:b/>
          <w:color w:val="auto"/>
          <w:sz w:val="24"/>
          <w:szCs w:val="24"/>
          <w:highlight w:val="none"/>
        </w:rPr>
      </w:pPr>
      <w:bookmarkStart w:id="64" w:name="_Hlt75236101"/>
      <w:bookmarkEnd w:id="64"/>
      <w:bookmarkStart w:id="65" w:name="_Toc233618977"/>
      <w:bookmarkStart w:id="66" w:name="_Toc91899902"/>
      <w:bookmarkStart w:id="67" w:name="_Toc397181965"/>
    </w:p>
    <w:p w14:paraId="73B6AB22">
      <w:pPr>
        <w:spacing w:line="360" w:lineRule="auto"/>
        <w:jc w:val="center"/>
        <w:outlineLvl w:val="1"/>
        <w:rPr>
          <w:rFonts w:hint="eastAsia" w:ascii="宋体" w:hAnsi="宋体" w:eastAsia="宋体" w:cs="宋体"/>
          <w:b/>
          <w:color w:val="auto"/>
          <w:sz w:val="32"/>
          <w:szCs w:val="32"/>
          <w:highlight w:val="none"/>
        </w:rPr>
      </w:pPr>
      <w:bookmarkStart w:id="68" w:name="_Toc18943"/>
      <w:bookmarkStart w:id="69" w:name="_Toc434248569"/>
      <w:bookmarkStart w:id="70" w:name="_Toc12045"/>
      <w:r>
        <w:rPr>
          <w:rFonts w:hint="eastAsia" w:ascii="宋体" w:hAnsi="宋体" w:eastAsia="宋体" w:cs="宋体"/>
          <w:b/>
          <w:color w:val="auto"/>
          <w:sz w:val="32"/>
          <w:szCs w:val="32"/>
          <w:highlight w:val="none"/>
        </w:rPr>
        <w:t>六、评 标</w:t>
      </w:r>
      <w:bookmarkEnd w:id="65"/>
      <w:bookmarkEnd w:id="66"/>
      <w:bookmarkEnd w:id="67"/>
      <w:bookmarkEnd w:id="68"/>
      <w:bookmarkEnd w:id="69"/>
      <w:bookmarkEnd w:id="70"/>
    </w:p>
    <w:p w14:paraId="4E8878B5">
      <w:pPr>
        <w:pStyle w:val="8"/>
        <w:adjustRightInd w:val="0"/>
        <w:snapToGrid w:val="0"/>
        <w:spacing w:line="360" w:lineRule="auto"/>
        <w:rPr>
          <w:rFonts w:hint="eastAsia" w:ascii="宋体" w:hAnsi="宋体" w:eastAsia="宋体" w:cs="宋体"/>
          <w:b/>
          <w:color w:val="auto"/>
          <w:sz w:val="24"/>
          <w:szCs w:val="24"/>
          <w:highlight w:val="none"/>
        </w:rPr>
      </w:pPr>
      <w:bookmarkStart w:id="71" w:name="_Toc91899903"/>
      <w:r>
        <w:rPr>
          <w:rFonts w:hint="eastAsia" w:ascii="宋体" w:hAnsi="宋体" w:eastAsia="宋体" w:cs="宋体"/>
          <w:b/>
          <w:color w:val="auto"/>
          <w:sz w:val="24"/>
          <w:szCs w:val="24"/>
          <w:highlight w:val="none"/>
        </w:rPr>
        <w:t>19</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评标组织</w:t>
      </w:r>
    </w:p>
    <w:p w14:paraId="735B3C3A">
      <w:pPr>
        <w:pStyle w:val="8"/>
        <w:adjustRightInd w:val="0"/>
        <w:snapToGrid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本项目评标委员会由5人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以上单数的人员组成，负责对投标文件进行审查、质询、评审和比较等。评标委员会成员严格执行利益回避的相关规定，成员名单在中标结果确定前应当保密。</w:t>
      </w:r>
    </w:p>
    <w:p w14:paraId="2EEDDAA3">
      <w:pPr>
        <w:pStyle w:val="8"/>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20、评标原则</w:t>
      </w:r>
    </w:p>
    <w:p w14:paraId="49CA7007">
      <w:pPr>
        <w:pStyle w:val="8"/>
        <w:adjustRightInd w:val="0"/>
        <w:snapToGrid w:val="0"/>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评标活动严格执行民主集中制，评标结果的产生遵循少数服从多数的原则，每位评标人员必须在评标报告上签名确认，对评标结果有异议的，可以保留意见，并在评标报告上签署不同意见及理由，否则视为认同。</w:t>
      </w:r>
    </w:p>
    <w:p w14:paraId="48E417BB">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 xml:space="preserve"> 投标文件审查</w:t>
      </w:r>
    </w:p>
    <w:p w14:paraId="5B0CC2F0">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21.1投标文件资格性审查：评标委员会依据法律法规和招标文件的规定，对投标文件中的资格证明等进行审查，以确定投标人是否具备投标资格。</w:t>
      </w:r>
    </w:p>
    <w:p w14:paraId="22D4E7C1">
      <w:pPr>
        <w:pStyle w:val="8"/>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投标文件符合性审查：评委会依据招标文件的规定，从投标文件的有效性、完整性和对招标文件的响应程度进行审查，以确定是否对招标文件的实质性要求做出响应。如果投标文件实质上没有响应招标文件的要求，评标委员会将予以拒绝，投标人不得通过修改或撤销不合要求的偏离或保留而使其投标成为实质性响应的投标。评委会将允许修正投标文件中不构成重大偏离的、微小的、非正规的、不一致的或不规则的地方，这些修改不能影响任何投标人相应的得分。</w:t>
      </w:r>
    </w:p>
    <w:p w14:paraId="5F198BAC">
      <w:pPr>
        <w:pStyle w:val="8"/>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22、评标标准和方法</w:t>
      </w:r>
    </w:p>
    <w:p w14:paraId="3951895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本项目采用综合评分法，详见招标文件第四部分。</w:t>
      </w:r>
    </w:p>
    <w:p w14:paraId="3ADE732D">
      <w:pPr>
        <w:numPr>
          <w:ilvl w:val="0"/>
          <w:numId w:val="5"/>
        </w:numPr>
        <w:autoSpaceDE w:val="0"/>
        <w:autoSpaceDN w:val="0"/>
        <w:adjustRightIn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评标内容的保密</w:t>
      </w:r>
    </w:p>
    <w:p w14:paraId="12840E16">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  公开开标后，直到宣布中标人止，凡属于审查、澄清、评价和比较以及各投标人得分等所有情况都属于保密范围，不应向投标人或与评标无关的其他人泄露。</w:t>
      </w:r>
    </w:p>
    <w:p w14:paraId="0BBEBA29">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  在投标文件的审查、澄清、评价和比较以及确定中标人过程中，投标人对招标人、招标代理机构和评标委员会施加影响的任何行为，都将导致取消资格。</w:t>
      </w:r>
    </w:p>
    <w:p w14:paraId="26A0B3FB">
      <w:pPr>
        <w:pStyle w:val="36"/>
        <w:adjustRightInd w:val="0"/>
        <w:snapToGrid w:val="0"/>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24</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rPr>
        <w:t>投标文件的澄清</w:t>
      </w:r>
    </w:p>
    <w:p w14:paraId="47C7747C">
      <w:pPr>
        <w:pStyle w:val="36"/>
        <w:adjustRightInd w:val="0"/>
        <w:snapToGrid w:val="0"/>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为了有助于投标文件的审查、评价和比较，评标委员会可以个别地要求投标人澄清其投标文件。有关澄清的要求和答复，应以书面形式进行。</w:t>
      </w:r>
      <w:bookmarkEnd w:id="71"/>
      <w:bookmarkStart w:id="72" w:name="_Toc86216994"/>
    </w:p>
    <w:p w14:paraId="4CCACD73">
      <w:pPr>
        <w:pStyle w:val="6"/>
        <w:adjustRightInd w:val="0"/>
        <w:snapToGrid w:val="0"/>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废标</w:t>
      </w:r>
    </w:p>
    <w:p w14:paraId="683A46C4">
      <w:pPr>
        <w:pStyle w:val="6"/>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出现下列情形之一的，应予废标：</w:t>
      </w:r>
    </w:p>
    <w:p w14:paraId="26310246">
      <w:pPr>
        <w:pStyle w:val="6"/>
        <w:adjustRightInd w:val="0"/>
        <w:snapToGrid w:val="0"/>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(1)符合条件的投标人或者对招标文件作实质响应的投标人不足</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家的；</w:t>
      </w:r>
    </w:p>
    <w:p w14:paraId="39280775">
      <w:pPr>
        <w:pStyle w:val="6"/>
        <w:adjustRightInd w:val="0"/>
        <w:snapToGrid w:val="0"/>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(2)出现影响招标公正的违法、违规行为的；</w:t>
      </w:r>
    </w:p>
    <w:p w14:paraId="5262C5D7">
      <w:pPr>
        <w:pStyle w:val="6"/>
        <w:adjustRightInd w:val="0"/>
        <w:snapToGrid w:val="0"/>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(3)因重大变故，招标任务取消的。</w:t>
      </w:r>
    </w:p>
    <w:bookmarkEnd w:id="72"/>
    <w:p w14:paraId="56B3B6F9">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2162C87">
      <w:pPr>
        <w:spacing w:line="360" w:lineRule="auto"/>
        <w:jc w:val="center"/>
        <w:outlineLvl w:val="1"/>
        <w:rPr>
          <w:rFonts w:hint="eastAsia" w:ascii="宋体" w:hAnsi="宋体" w:eastAsia="宋体" w:cs="宋体"/>
          <w:b/>
          <w:color w:val="auto"/>
          <w:sz w:val="32"/>
          <w:szCs w:val="32"/>
          <w:highlight w:val="none"/>
        </w:rPr>
      </w:pPr>
      <w:bookmarkStart w:id="73" w:name="_Toc86216995"/>
      <w:bookmarkStart w:id="74" w:name="_Toc397181967"/>
      <w:bookmarkStart w:id="75" w:name="_Toc12643"/>
      <w:bookmarkStart w:id="76" w:name="_Toc434248571"/>
      <w:bookmarkStart w:id="77" w:name="_Toc29777"/>
      <w:bookmarkStart w:id="78" w:name="_Toc233618979"/>
      <w:bookmarkStart w:id="79" w:name="_Toc91899910"/>
      <w:r>
        <w:rPr>
          <w:rFonts w:hint="eastAsia" w:ascii="宋体" w:hAnsi="宋体" w:eastAsia="宋体" w:cs="宋体"/>
          <w:b/>
          <w:color w:val="auto"/>
          <w:sz w:val="32"/>
          <w:szCs w:val="32"/>
          <w:highlight w:val="none"/>
        </w:rPr>
        <w:t>七、</w:t>
      </w:r>
      <w:bookmarkEnd w:id="73"/>
      <w:r>
        <w:rPr>
          <w:rFonts w:hint="eastAsia" w:ascii="宋体" w:hAnsi="宋体" w:eastAsia="宋体" w:cs="宋体"/>
          <w:b/>
          <w:color w:val="auto"/>
          <w:sz w:val="32"/>
          <w:szCs w:val="32"/>
          <w:highlight w:val="none"/>
        </w:rPr>
        <w:t>协议签订及其他</w:t>
      </w:r>
      <w:bookmarkEnd w:id="74"/>
      <w:bookmarkEnd w:id="75"/>
      <w:bookmarkEnd w:id="76"/>
      <w:bookmarkEnd w:id="77"/>
      <w:bookmarkEnd w:id="78"/>
    </w:p>
    <w:bookmarkEnd w:id="79"/>
    <w:p w14:paraId="6F67372A">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中标通知书</w:t>
      </w:r>
    </w:p>
    <w:p w14:paraId="7AD88E10">
      <w:pPr>
        <w:pStyle w:val="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中标候选人确定后，中标结果将在发布招标公告的同一媒体上公示不少于3个</w:t>
      </w:r>
      <w:r>
        <w:rPr>
          <w:rFonts w:hint="eastAsia" w:ascii="宋体" w:hAnsi="宋体" w:eastAsia="宋体" w:cs="宋体"/>
          <w:color w:val="auto"/>
          <w:sz w:val="24"/>
          <w:highlight w:val="none"/>
          <w:lang w:val="en-US" w:eastAsia="zh-CN"/>
        </w:rPr>
        <w:t>工作日</w:t>
      </w:r>
      <w:r>
        <w:rPr>
          <w:rFonts w:hint="eastAsia" w:ascii="宋体" w:hAnsi="宋体" w:eastAsia="宋体" w:cs="宋体"/>
          <w:color w:val="auto"/>
          <w:sz w:val="24"/>
          <w:highlight w:val="none"/>
        </w:rPr>
        <w:t>。对于未中标单位，将不再另行通知，招标人无义务解释未中标原因。</w:t>
      </w:r>
    </w:p>
    <w:p w14:paraId="3451ECAD">
      <w:pPr>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26.2</w:t>
      </w:r>
      <w:r>
        <w:rPr>
          <w:rFonts w:hint="eastAsia" w:ascii="宋体" w:hAnsi="宋体" w:eastAsia="宋体" w:cs="宋体"/>
          <w:color w:val="auto"/>
          <w:sz w:val="24"/>
          <w:highlight w:val="none"/>
        </w:rPr>
        <w:t>投标人对采购代理机构的质疑答复不满意或者未在规定时间内作出答复的，可以在答复期满后三个工作日内向余杭</w:t>
      </w:r>
      <w:r>
        <w:rPr>
          <w:rFonts w:hint="eastAsia" w:ascii="宋体" w:hAnsi="宋体" w:eastAsia="宋体" w:cs="宋体"/>
          <w:color w:val="auto"/>
          <w:sz w:val="24"/>
          <w:highlight w:val="none"/>
          <w:lang w:val="en-US" w:eastAsia="zh-CN"/>
        </w:rPr>
        <w:t>城</w:t>
      </w:r>
      <w:r>
        <w:rPr>
          <w:rFonts w:hint="eastAsia" w:ascii="宋体" w:hAnsi="宋体" w:eastAsia="宋体" w:cs="宋体"/>
          <w:color w:val="auto"/>
          <w:sz w:val="24"/>
          <w:highlight w:val="none"/>
        </w:rPr>
        <w:t>投集团小额办监督管理部门投诉。</w:t>
      </w:r>
    </w:p>
    <w:p w14:paraId="42768358">
      <w:pPr>
        <w:adjustRightInd w:val="0"/>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26.3</w:t>
      </w:r>
      <w:r>
        <w:rPr>
          <w:rFonts w:hint="eastAsia" w:ascii="宋体" w:hAnsi="宋体" w:eastAsia="宋体" w:cs="宋体"/>
          <w:color w:val="auto"/>
          <w:sz w:val="24"/>
          <w:highlight w:val="none"/>
        </w:rPr>
        <w:t>中标公示期满无异议提交中标结果公告。</w:t>
      </w:r>
    </w:p>
    <w:p w14:paraId="4E04E120">
      <w:pPr>
        <w:pStyle w:val="8"/>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szCs w:val="20"/>
          <w:highlight w:val="none"/>
        </w:rPr>
        <w:t>中标公告发布后，招标单位将以书面形式发出中标通知书，中标通知书一经发出即发生法律效力。中标通知书将作为签订合同的依据。</w:t>
      </w:r>
    </w:p>
    <w:p w14:paraId="56851C7A">
      <w:pPr>
        <w:pStyle w:val="36"/>
        <w:adjustRightInd w:val="0"/>
        <w:snapToGrid/>
        <w:spacing w:before="0"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如</w:t>
      </w:r>
      <w:r>
        <w:rPr>
          <w:rFonts w:hint="eastAsia" w:ascii="宋体" w:hAnsi="宋体" w:eastAsia="宋体" w:cs="宋体"/>
          <w:color w:val="auto"/>
          <w:highlight w:val="none"/>
        </w:rPr>
        <w:t>中标人</w:t>
      </w:r>
      <w:r>
        <w:rPr>
          <w:rFonts w:hint="eastAsia" w:ascii="宋体" w:hAnsi="宋体" w:eastAsia="宋体" w:cs="宋体"/>
          <w:color w:val="auto"/>
          <w:szCs w:val="24"/>
          <w:highlight w:val="none"/>
        </w:rPr>
        <w:t>拒绝承担中标的项目，或提出招标人不能接受的条件，致使协议无法签订，招标人将取消其中标资格，并予以通报相关主管部门，</w:t>
      </w:r>
      <w:r>
        <w:rPr>
          <w:rFonts w:hint="eastAsia" w:ascii="宋体" w:hAnsi="宋体" w:eastAsia="宋体" w:cs="宋体"/>
          <w:color w:val="auto"/>
          <w:highlight w:val="none"/>
        </w:rPr>
        <w:t>给招标人造成损失的应予以赔偿；</w:t>
      </w:r>
    </w:p>
    <w:p w14:paraId="57D7E619">
      <w:pPr>
        <w:pStyle w:val="8"/>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如签订协议并生效后，中标人无故拒绝或延期服务的，按照协议条款进行处罚。若在投标有效期内的，招标人有权根据评标委员会推荐的中标候选人先后顺序将下一顺序的中标候选人作为中标人；否则招标人将重新组织招标。</w:t>
      </w:r>
    </w:p>
    <w:p w14:paraId="209F5428">
      <w:pPr>
        <w:adjustRightInd w:val="0"/>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kern w:val="0"/>
          <w:sz w:val="24"/>
          <w:szCs w:val="24"/>
          <w:highlight w:val="none"/>
          <w:lang w:val="zh-CN"/>
        </w:rPr>
        <w:t>、</w:t>
      </w:r>
      <w:r>
        <w:rPr>
          <w:rFonts w:hint="eastAsia" w:ascii="宋体" w:hAnsi="宋体" w:eastAsia="宋体" w:cs="宋体"/>
          <w:b/>
          <w:color w:val="auto"/>
          <w:sz w:val="24"/>
          <w:szCs w:val="24"/>
          <w:highlight w:val="none"/>
        </w:rPr>
        <w:t>协议的签订</w:t>
      </w:r>
    </w:p>
    <w:p w14:paraId="193B11B7">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.1 中标人应自接到中标通知书之日起30日内与招标人签订协议。招标人与中标人应按照招标文件确定的事项和投标承诺为前提签订协议，全面、清晰地界定双方的权利义务关系。</w:t>
      </w:r>
    </w:p>
    <w:p w14:paraId="358D8F10">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highlight w:val="none"/>
        </w:rPr>
        <w:t>招标文件、中标人的投标文件及投标修改文件、评标过程中有关澄清文件及经投标人定代表人（或</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负责人）或其授权委托人确认的询标回复和承诺及中标通知书均作为合同组成部分。</w:t>
      </w:r>
    </w:p>
    <w:p w14:paraId="4C8E0842">
      <w:pPr>
        <w:pStyle w:val="8"/>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2</w:t>
      </w:r>
      <w:r>
        <w:rPr>
          <w:rFonts w:hint="eastAsia" w:ascii="宋体"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rPr>
        <w:t xml:space="preserve">.3  </w:t>
      </w:r>
      <w:r>
        <w:rPr>
          <w:rFonts w:hint="eastAsia" w:ascii="宋体" w:hAnsi="宋体" w:eastAsia="宋体" w:cs="宋体"/>
          <w:color w:val="auto"/>
          <w:sz w:val="24"/>
          <w:highlight w:val="none"/>
        </w:rPr>
        <w:t>协议期内，中标人不能严格履行合同，通过招标人考核不合格的，招标人有权在合同期内直接无偿清退中标单位。</w:t>
      </w:r>
    </w:p>
    <w:p w14:paraId="300CCD29">
      <w:pPr>
        <w:pStyle w:val="36"/>
        <w:adjustRightInd w:val="0"/>
        <w:snapToGrid/>
        <w:spacing w:before="0" w:line="360" w:lineRule="auto"/>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w:t>
      </w:r>
      <w:r>
        <w:rPr>
          <w:rFonts w:hint="eastAsia" w:ascii="宋体" w:hAnsi="宋体" w:eastAsia="宋体" w:cs="宋体"/>
          <w:b/>
          <w:color w:val="auto"/>
          <w:szCs w:val="24"/>
          <w:highlight w:val="none"/>
        </w:rPr>
        <w:t>解释权</w:t>
      </w:r>
    </w:p>
    <w:p w14:paraId="1521AE89">
      <w:pPr>
        <w:adjustRightInd w:val="0"/>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招标文件的解释权均属于</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委托代理机构</w:t>
      </w:r>
      <w:r>
        <w:rPr>
          <w:rFonts w:hint="eastAsia" w:ascii="宋体" w:hAnsi="宋体" w:eastAsia="宋体" w:cs="宋体"/>
          <w:color w:val="auto"/>
          <w:sz w:val="24"/>
          <w:szCs w:val="24"/>
          <w:highlight w:val="none"/>
        </w:rPr>
        <w:t>。</w:t>
      </w:r>
    </w:p>
    <w:p w14:paraId="4C908CF3">
      <w:pPr>
        <w:pageBreakBefore/>
        <w:adjustRightInd w:val="0"/>
        <w:snapToGrid w:val="0"/>
        <w:spacing w:line="360" w:lineRule="auto"/>
        <w:jc w:val="center"/>
        <w:outlineLvl w:val="0"/>
        <w:rPr>
          <w:rFonts w:hint="eastAsia" w:ascii="宋体" w:hAnsi="宋体" w:eastAsia="宋体" w:cs="宋体"/>
          <w:b/>
          <w:color w:val="auto"/>
          <w:sz w:val="36"/>
          <w:szCs w:val="36"/>
          <w:highlight w:val="none"/>
        </w:rPr>
      </w:pPr>
      <w:bookmarkStart w:id="80" w:name="_Toc17617"/>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第三部分  项目技术规范和服务要求</w:t>
      </w:r>
      <w:bookmarkEnd w:id="80"/>
    </w:p>
    <w:p w14:paraId="7EC19F52">
      <w:pPr>
        <w:pStyle w:val="8"/>
        <w:spacing w:line="360" w:lineRule="auto"/>
        <w:ind w:firstLine="537" w:firstLineChars="223"/>
        <w:rPr>
          <w:rFonts w:hint="eastAsia" w:ascii="宋体" w:hAnsi="宋体" w:eastAsia="宋体" w:cs="宋体"/>
          <w:b/>
          <w:color w:val="auto"/>
          <w:sz w:val="24"/>
          <w:szCs w:val="24"/>
          <w:highlight w:val="none"/>
        </w:rPr>
      </w:pPr>
      <w:bookmarkStart w:id="81" w:name="_Toc358992611"/>
      <w:bookmarkEnd w:id="81"/>
      <w:bookmarkStart w:id="82" w:name="_Toc359311877"/>
      <w:bookmarkEnd w:id="82"/>
      <w:bookmarkStart w:id="83" w:name="_Toc358965696"/>
      <w:bookmarkEnd w:id="83"/>
      <w:bookmarkStart w:id="84" w:name="_Toc357754849"/>
      <w:bookmarkEnd w:id="84"/>
      <w:bookmarkStart w:id="85" w:name="_Toc322340709"/>
      <w:bookmarkEnd w:id="85"/>
      <w:bookmarkStart w:id="86" w:name="_Toc359311828"/>
      <w:bookmarkEnd w:id="86"/>
      <w:bookmarkStart w:id="87" w:name="_Toc356905842"/>
      <w:bookmarkEnd w:id="87"/>
      <w:bookmarkStart w:id="88" w:name="_Toc358098652"/>
      <w:bookmarkEnd w:id="88"/>
      <w:bookmarkStart w:id="89" w:name="_Toc233618985"/>
      <w:bookmarkStart w:id="90" w:name="_Toc35401305"/>
      <w:bookmarkStart w:id="91" w:name="_Toc91899916"/>
      <w:bookmarkStart w:id="92" w:name="_Toc37243119"/>
      <w:bookmarkStart w:id="93" w:name="_Toc86217003"/>
      <w:bookmarkStart w:id="94" w:name="_Toc233618986"/>
    </w:p>
    <w:p w14:paraId="4E28074B">
      <w:pPr>
        <w:pStyle w:val="8"/>
        <w:spacing w:line="360" w:lineRule="auto"/>
        <w:ind w:firstLine="537" w:firstLineChars="223"/>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一、招标目的</w:t>
      </w:r>
    </w:p>
    <w:p w14:paraId="32002ED9">
      <w:pPr>
        <w:pStyle w:val="8"/>
        <w:spacing w:line="360" w:lineRule="auto"/>
        <w:ind w:firstLine="535" w:firstLineChars="22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确定</w:t>
      </w:r>
      <w:r>
        <w:rPr>
          <w:rFonts w:hint="eastAsia" w:hAnsi="宋体" w:cs="宋体"/>
          <w:kern w:val="0"/>
          <w:sz w:val="24"/>
          <w:szCs w:val="24"/>
          <w:highlight w:val="none"/>
          <w:lang w:val="en-US" w:eastAsia="zh-CN"/>
        </w:rPr>
        <w:t>城投集团</w:t>
      </w:r>
      <w:r>
        <w:rPr>
          <w:rFonts w:hint="eastAsia" w:ascii="宋体" w:hAnsi="宋体" w:eastAsia="宋体" w:cs="宋体"/>
          <w:color w:val="000000"/>
          <w:kern w:val="0"/>
          <w:sz w:val="24"/>
          <w:szCs w:val="24"/>
          <w:highlight w:val="none"/>
          <w:lang w:eastAsia="zh-CN"/>
        </w:rPr>
        <w:t>财政拨款账户战略合作招标项目</w:t>
      </w:r>
      <w:r>
        <w:rPr>
          <w:rFonts w:hint="eastAsia" w:ascii="宋体" w:hAnsi="宋体" w:eastAsia="宋体" w:cs="宋体"/>
          <w:color w:val="000000"/>
          <w:sz w:val="24"/>
          <w:szCs w:val="24"/>
          <w:highlight w:val="none"/>
        </w:rPr>
        <w:t>的</w:t>
      </w:r>
      <w:r>
        <w:rPr>
          <w:rFonts w:hint="eastAsia" w:hAnsi="宋体" w:cs="宋体"/>
          <w:color w:val="000000"/>
          <w:sz w:val="24"/>
          <w:szCs w:val="24"/>
          <w:highlight w:val="none"/>
          <w:lang w:eastAsia="zh-CN"/>
        </w:rPr>
        <w:t>银行</w:t>
      </w:r>
      <w:r>
        <w:rPr>
          <w:rFonts w:hint="eastAsia" w:ascii="宋体" w:hAnsi="宋体" w:eastAsia="宋体" w:cs="宋体"/>
          <w:color w:val="000000"/>
          <w:sz w:val="24"/>
          <w:szCs w:val="24"/>
          <w:highlight w:val="none"/>
        </w:rPr>
        <w:t>中标单位</w:t>
      </w:r>
      <w:r>
        <w:rPr>
          <w:rFonts w:hint="eastAsia" w:ascii="宋体" w:hAnsi="宋体" w:eastAsia="宋体" w:cs="宋体"/>
          <w:color w:val="000000"/>
          <w:sz w:val="24"/>
          <w:szCs w:val="24"/>
          <w:highlight w:val="none"/>
          <w:lang w:val="en-US" w:eastAsia="zh-CN"/>
        </w:rPr>
        <w:t>1</w:t>
      </w:r>
      <w:r>
        <w:rPr>
          <w:rFonts w:hint="eastAsia" w:hAnsi="宋体" w:cs="宋体"/>
          <w:color w:val="000000"/>
          <w:sz w:val="24"/>
          <w:szCs w:val="24"/>
          <w:highlight w:val="none"/>
          <w:lang w:val="en-US" w:eastAsia="zh-CN"/>
        </w:rPr>
        <w:t>0</w:t>
      </w:r>
      <w:r>
        <w:rPr>
          <w:rFonts w:hint="eastAsia" w:ascii="宋体" w:hAnsi="宋体" w:eastAsia="宋体" w:cs="宋体"/>
          <w:color w:val="000000"/>
          <w:sz w:val="24"/>
          <w:szCs w:val="24"/>
          <w:highlight w:val="none"/>
        </w:rPr>
        <w:t>家。</w:t>
      </w:r>
    </w:p>
    <w:p w14:paraId="1F2B5BEE">
      <w:pPr>
        <w:pStyle w:val="8"/>
        <w:spacing w:line="360" w:lineRule="auto"/>
        <w:ind w:firstLine="537" w:firstLineChars="223"/>
        <w:rPr>
          <w:rFonts w:hint="eastAsia" w:ascii="宋体" w:hAnsi="宋体" w:eastAsia="宋体" w:cs="宋体"/>
          <w:bCs/>
          <w:color w:val="000000"/>
          <w:sz w:val="24"/>
          <w:szCs w:val="24"/>
          <w:highlight w:val="none"/>
        </w:rPr>
      </w:pPr>
      <w:r>
        <w:rPr>
          <w:rFonts w:hint="eastAsia" w:ascii="宋体" w:hAnsi="宋体" w:eastAsia="宋体" w:cs="宋体"/>
          <w:b/>
          <w:color w:val="000000"/>
          <w:sz w:val="24"/>
          <w:szCs w:val="24"/>
          <w:highlight w:val="none"/>
        </w:rPr>
        <w:t>二、招标范围和内容：</w:t>
      </w:r>
      <w:r>
        <w:rPr>
          <w:rFonts w:hint="eastAsia" w:ascii="宋体" w:hAnsi="宋体" w:eastAsia="宋体" w:cs="宋体"/>
          <w:color w:val="auto"/>
          <w:kern w:val="0"/>
          <w:sz w:val="24"/>
          <w:szCs w:val="24"/>
          <w:highlight w:val="none"/>
          <w:lang w:eastAsia="zh-CN"/>
        </w:rPr>
        <w:t>城投集团</w:t>
      </w:r>
      <w:r>
        <w:rPr>
          <w:rFonts w:hint="eastAsia" w:ascii="宋体" w:hAnsi="宋体" w:eastAsia="宋体" w:cs="宋体"/>
          <w:kern w:val="0"/>
          <w:sz w:val="24"/>
          <w:szCs w:val="24"/>
          <w:highlight w:val="none"/>
        </w:rPr>
        <w:t>财政拨款账户的</w:t>
      </w:r>
      <w:r>
        <w:rPr>
          <w:rFonts w:hint="eastAsia" w:ascii="宋体" w:hAnsi="宋体" w:cs="宋体"/>
          <w:kern w:val="0"/>
          <w:sz w:val="24"/>
          <w:szCs w:val="24"/>
          <w:highlight w:val="none"/>
          <w:lang w:val="en-US" w:eastAsia="zh-CN"/>
        </w:rPr>
        <w:t>开设</w:t>
      </w:r>
      <w:r>
        <w:rPr>
          <w:rFonts w:hint="eastAsia" w:ascii="宋体" w:hAnsi="宋体" w:eastAsia="宋体" w:cs="宋体"/>
          <w:kern w:val="0"/>
          <w:sz w:val="24"/>
          <w:szCs w:val="24"/>
          <w:highlight w:val="none"/>
        </w:rPr>
        <w:t>、资金存放</w:t>
      </w:r>
      <w:r>
        <w:rPr>
          <w:rFonts w:hint="eastAsia" w:ascii="宋体" w:hAnsi="宋体" w:cs="宋体"/>
          <w:kern w:val="0"/>
          <w:sz w:val="24"/>
          <w:szCs w:val="24"/>
          <w:highlight w:val="none"/>
          <w:lang w:val="en-US" w:eastAsia="zh-CN"/>
        </w:rPr>
        <w:t>及其他专用账户的开设</w:t>
      </w:r>
      <w:r>
        <w:rPr>
          <w:rFonts w:hint="eastAsia" w:ascii="宋体" w:hAnsi="宋体" w:eastAsia="宋体" w:cs="宋体"/>
          <w:bCs/>
          <w:color w:val="000000"/>
          <w:sz w:val="24"/>
          <w:szCs w:val="24"/>
          <w:highlight w:val="none"/>
        </w:rPr>
        <w:t>等相关服务。</w:t>
      </w:r>
    </w:p>
    <w:p w14:paraId="4FB7EFD1">
      <w:pPr>
        <w:pStyle w:val="8"/>
        <w:numPr>
          <w:ilvl w:val="0"/>
          <w:numId w:val="0"/>
        </w:numPr>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eastAsia="宋体" w:cs="宋体"/>
          <w:b/>
          <w:color w:val="000000"/>
          <w:sz w:val="24"/>
          <w:highlight w:val="none"/>
        </w:rPr>
        <w:t>三、服务期：</w:t>
      </w:r>
      <w:r>
        <w:rPr>
          <w:rFonts w:hint="eastAsia" w:ascii="宋体" w:hAnsi="宋体" w:eastAsia="宋体" w:cs="宋体"/>
          <w:color w:val="000000"/>
          <w:sz w:val="24"/>
          <w:szCs w:val="24"/>
          <w:highlight w:val="none"/>
        </w:rPr>
        <w:t>合同生效之日起</w:t>
      </w:r>
      <w:r>
        <w:rPr>
          <w:rFonts w:hint="eastAsia" w:ascii="宋体" w:hAnsi="宋体" w:eastAsia="宋体" w:cs="宋体"/>
          <w:color w:val="000000"/>
          <w:sz w:val="24"/>
          <w:szCs w:val="24"/>
          <w:highlight w:val="none"/>
          <w:lang w:val="en-US" w:eastAsia="zh-CN"/>
        </w:rPr>
        <w:t>3年</w:t>
      </w:r>
      <w:r>
        <w:rPr>
          <w:rFonts w:hint="eastAsia" w:hAnsi="宋体" w:cs="宋体"/>
          <w:color w:val="000000"/>
          <w:sz w:val="24"/>
          <w:szCs w:val="24"/>
          <w:highlight w:val="none"/>
          <w:lang w:val="en-US" w:eastAsia="zh-CN"/>
        </w:rPr>
        <w:t>，</w:t>
      </w:r>
      <w:r>
        <w:rPr>
          <w:rFonts w:hint="eastAsia" w:ascii="宋体" w:hAnsi="宋体" w:eastAsia="宋体" w:cs="宋体"/>
          <w:color w:val="000000"/>
          <w:sz w:val="24"/>
          <w:szCs w:val="24"/>
          <w:highlight w:val="none"/>
          <w:lang w:eastAsia="zh-CN"/>
        </w:rPr>
        <w:t>如遇政策调整另行通知。</w:t>
      </w:r>
    </w:p>
    <w:p w14:paraId="323581A7">
      <w:pPr>
        <w:autoSpaceDE w:val="0"/>
        <w:autoSpaceDN w:val="0"/>
        <w:adjustRightIn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、服务要求：</w:t>
      </w:r>
    </w:p>
    <w:p w14:paraId="01F5762F">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（一）提供回单寄送、年检年审、资信证明开具等上门服务工作。账户开户及日常保证金的存放、收取并开具保证金凭证及退还等在内的一切配套基本服务。</w:t>
      </w:r>
    </w:p>
    <w:p w14:paraId="08E384A0">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（二）包含服务期间招标人提出的一切有关账户管理的服务。</w:t>
      </w:r>
    </w:p>
    <w:p w14:paraId="7B425286">
      <w:pPr>
        <w:pStyle w:val="8"/>
        <w:spacing w:line="360" w:lineRule="auto"/>
        <w:ind w:firstLine="535" w:firstLineChars="223"/>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（三）</w:t>
      </w:r>
      <w:r>
        <w:rPr>
          <w:rFonts w:hint="eastAsia" w:hAnsi="宋体" w:cs="宋体"/>
          <w:color w:val="000000"/>
          <w:sz w:val="24"/>
          <w:szCs w:val="24"/>
          <w:highlight w:val="none"/>
          <w:lang w:val="en-US" w:eastAsia="zh-CN"/>
        </w:rPr>
        <w:t>账户内超出报价最低留存额部分的存款均按照中标利率结息，不仅限于财政拨款资金。</w:t>
      </w:r>
    </w:p>
    <w:p w14:paraId="3B283AF8">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hAnsi="宋体" w:cs="宋体"/>
          <w:color w:val="000000"/>
          <w:sz w:val="24"/>
          <w:szCs w:val="24"/>
          <w:highlight w:val="none"/>
          <w:lang w:val="en-US" w:eastAsia="zh-CN"/>
        </w:rPr>
        <w:t>四</w:t>
      </w:r>
      <w:r>
        <w:rPr>
          <w:rFonts w:hint="eastAsia" w:ascii="宋体" w:hAnsi="宋体" w:eastAsia="宋体" w:cs="宋体"/>
          <w:color w:val="000000"/>
          <w:sz w:val="24"/>
          <w:szCs w:val="24"/>
          <w:highlight w:val="none"/>
          <w:lang w:val="en-US" w:eastAsia="zh-CN"/>
        </w:rPr>
        <w:t>）其他服务要求：</w:t>
      </w:r>
    </w:p>
    <w:p w14:paraId="2DCF07C1">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1、投标人需要协助完成账户迁移手续（如有）；</w:t>
      </w:r>
    </w:p>
    <w:p w14:paraId="40627C94">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2、投标人需要负责完成账户开立；免费开通账户银企直联功能。</w:t>
      </w:r>
    </w:p>
    <w:p w14:paraId="734AF59C">
      <w:pPr>
        <w:pStyle w:val="8"/>
        <w:spacing w:line="360" w:lineRule="auto"/>
        <w:ind w:firstLine="535" w:firstLineChars="223"/>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3、银行故障或招标人工作遇到疑问时，投标人应该能够30分钟内及时响应招标人疑问或维修要求，并在2小时内提出解决方案，24小时内解决问题；</w:t>
      </w:r>
    </w:p>
    <w:p w14:paraId="71B367BD">
      <w:pPr>
        <w:numPr>
          <w:ilvl w:val="0"/>
          <w:numId w:val="0"/>
        </w:numPr>
        <w:autoSpaceDE/>
        <w:autoSpaceDN/>
        <w:adjustRightInd w:val="0"/>
        <w:snapToGrid/>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w:t>
      </w:r>
      <w:r>
        <w:rPr>
          <w:rFonts w:hint="eastAsia" w:ascii="宋体" w:hAnsi="宋体" w:eastAsia="宋体" w:cs="宋体"/>
          <w:b/>
          <w:color w:val="auto"/>
          <w:sz w:val="24"/>
          <w:szCs w:val="24"/>
          <w:highlight w:val="none"/>
        </w:rPr>
        <w:t>投标年利率要求</w:t>
      </w:r>
    </w:p>
    <w:p w14:paraId="2AD614F6">
      <w:pPr>
        <w:pStyle w:val="36"/>
        <w:keepNext w:val="0"/>
        <w:keepLines w:val="0"/>
        <w:pageBreakBefore w:val="0"/>
        <w:kinsoku/>
        <w:wordWrap/>
        <w:overflowPunct/>
        <w:topLinePunct w:val="0"/>
        <w:bidi w:val="0"/>
        <w:adjustRightInd w:val="0"/>
        <w:snapToGrid/>
        <w:spacing w:before="0" w:line="360" w:lineRule="auto"/>
        <w:ind w:firstLine="482"/>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按人民银行规定</w:t>
      </w:r>
      <w:r>
        <w:rPr>
          <w:rFonts w:hint="eastAsia" w:ascii="宋体" w:hAnsi="宋体" w:eastAsia="宋体" w:cs="宋体"/>
          <w:b w:val="0"/>
          <w:bCs/>
          <w:color w:val="auto"/>
          <w:sz w:val="24"/>
          <w:szCs w:val="24"/>
          <w:highlight w:val="none"/>
          <w:lang w:val="en-US" w:eastAsia="zh-CN"/>
        </w:rPr>
        <w:t>存款</w:t>
      </w:r>
      <w:r>
        <w:rPr>
          <w:rFonts w:hint="eastAsia" w:ascii="宋体" w:hAnsi="宋体" w:eastAsia="宋体" w:cs="宋体"/>
          <w:b w:val="0"/>
          <w:bCs/>
          <w:color w:val="auto"/>
          <w:sz w:val="24"/>
          <w:szCs w:val="24"/>
          <w:highlight w:val="none"/>
        </w:rPr>
        <w:t>基准利率加</w:t>
      </w:r>
      <w:r>
        <w:rPr>
          <w:rFonts w:hint="eastAsia" w:ascii="宋体" w:hAnsi="宋体" w:eastAsia="宋体" w:cs="宋体"/>
          <w:b w:val="0"/>
          <w:bCs/>
          <w:color w:val="auto"/>
          <w:sz w:val="24"/>
          <w:szCs w:val="24"/>
          <w:highlight w:val="none"/>
          <w:lang w:val="en-US" w:eastAsia="zh-CN"/>
        </w:rPr>
        <w:t>BP</w:t>
      </w:r>
      <w:r>
        <w:rPr>
          <w:rFonts w:hint="eastAsia" w:ascii="宋体" w:hAnsi="宋体" w:eastAsia="宋体" w:cs="宋体"/>
          <w:b w:val="0"/>
          <w:bCs/>
          <w:color w:val="auto"/>
          <w:sz w:val="24"/>
          <w:szCs w:val="24"/>
          <w:highlight w:val="none"/>
        </w:rPr>
        <w:t>利率报价，投标利率应</w:t>
      </w:r>
      <w:r>
        <w:rPr>
          <w:rFonts w:hint="eastAsia" w:ascii="宋体" w:hAnsi="宋体" w:eastAsia="宋体" w:cs="宋体"/>
          <w:b w:val="0"/>
          <w:bCs/>
          <w:color w:val="auto"/>
          <w:sz w:val="24"/>
          <w:szCs w:val="24"/>
          <w:highlight w:val="none"/>
          <w:lang w:eastAsia="zh-CN"/>
        </w:rPr>
        <w:t>为</w:t>
      </w:r>
      <w:r>
        <w:rPr>
          <w:rFonts w:hint="eastAsia" w:ascii="宋体" w:hAnsi="宋体" w:eastAsia="宋体" w:cs="宋体"/>
          <w:b w:val="0"/>
          <w:bCs/>
          <w:color w:val="auto"/>
          <w:sz w:val="24"/>
          <w:szCs w:val="24"/>
          <w:highlight w:val="none"/>
        </w:rPr>
        <w:t>符合国家利率政策规定和浙江省市场利率定价自律机制约定范围的同期限定期存款利率</w:t>
      </w:r>
      <w:r>
        <w:rPr>
          <w:rFonts w:hint="eastAsia" w:ascii="宋体" w:hAnsi="宋体" w:eastAsia="宋体" w:cs="宋体"/>
          <w:b w:val="0"/>
          <w:bCs/>
          <w:color w:val="auto"/>
          <w:sz w:val="24"/>
          <w:szCs w:val="24"/>
          <w:highlight w:val="none"/>
          <w:lang w:eastAsia="zh-CN"/>
        </w:rPr>
        <w:t>或协定存款利率</w:t>
      </w:r>
      <w:r>
        <w:rPr>
          <w:rFonts w:hint="eastAsia" w:ascii="宋体" w:hAnsi="宋体" w:eastAsia="宋体" w:cs="宋体"/>
          <w:b w:val="0"/>
          <w:bCs/>
          <w:color w:val="auto"/>
          <w:sz w:val="24"/>
          <w:szCs w:val="24"/>
          <w:highlight w:val="none"/>
        </w:rPr>
        <w:t>，不符合利率政策规定或浙江省市场利率定价自律机制</w:t>
      </w:r>
      <w:r>
        <w:rPr>
          <w:rFonts w:hint="eastAsia" w:ascii="宋体" w:hAnsi="宋体" w:eastAsia="宋体" w:cs="宋体"/>
          <w:b w:val="0"/>
          <w:bCs/>
          <w:color w:val="auto"/>
          <w:sz w:val="24"/>
          <w:szCs w:val="24"/>
          <w:highlight w:val="none"/>
          <w:lang w:eastAsia="zh-CN"/>
        </w:rPr>
        <w:t>约定</w:t>
      </w:r>
      <w:r>
        <w:rPr>
          <w:rFonts w:hint="eastAsia" w:ascii="宋体" w:hAnsi="宋体" w:eastAsia="宋体" w:cs="宋体"/>
          <w:b w:val="0"/>
          <w:bCs/>
          <w:color w:val="auto"/>
          <w:sz w:val="24"/>
          <w:szCs w:val="24"/>
          <w:highlight w:val="none"/>
        </w:rPr>
        <w:t>的为无效标。</w:t>
      </w:r>
    </w:p>
    <w:p w14:paraId="5124B9CF">
      <w:pPr>
        <w:pStyle w:val="36"/>
        <w:keepNext w:val="0"/>
        <w:keepLines w:val="0"/>
        <w:pageBreakBefore w:val="0"/>
        <w:kinsoku/>
        <w:wordWrap/>
        <w:overflowPunct/>
        <w:topLinePunct w:val="0"/>
        <w:bidi w:val="0"/>
        <w:adjustRightInd w:val="0"/>
        <w:snapToGrid/>
        <w:spacing w:before="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各有效投标人应明确协定存款起点金额，并根据各有效投标人加BP后的协定存款利率投标报价，确定各有效投标人的最终协定存款利率（按四舍五入后保留三位小数）。</w:t>
      </w:r>
    </w:p>
    <w:p w14:paraId="4718F362">
      <w:pPr>
        <w:adjustRightIn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如遇央行调整存款利率，存款利率</w:t>
      </w:r>
      <w:r>
        <w:rPr>
          <w:rFonts w:hint="eastAsia" w:ascii="宋体" w:hAnsi="宋体" w:eastAsia="宋体" w:cs="宋体"/>
          <w:b/>
          <w:sz w:val="24"/>
          <w:szCs w:val="24"/>
          <w:highlight w:val="none"/>
          <w:lang w:eastAsia="zh-CN"/>
        </w:rPr>
        <w:t>可</w:t>
      </w:r>
      <w:r>
        <w:rPr>
          <w:rFonts w:hint="eastAsia" w:ascii="宋体" w:hAnsi="宋体" w:eastAsia="宋体" w:cs="宋体"/>
          <w:b/>
          <w:sz w:val="24"/>
          <w:szCs w:val="24"/>
          <w:highlight w:val="none"/>
        </w:rPr>
        <w:t>同比例调整。</w:t>
      </w:r>
    </w:p>
    <w:p w14:paraId="5EE43E8A">
      <w:pPr>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lang w:val="en-US" w:eastAsia="zh-CN"/>
        </w:rPr>
        <w:t>、</w:t>
      </w:r>
      <w:r>
        <w:rPr>
          <w:rFonts w:hint="eastAsia" w:ascii="宋体" w:hAnsi="宋体" w:eastAsia="宋体" w:cs="宋体"/>
          <w:b/>
          <w:color w:val="000000"/>
          <w:sz w:val="24"/>
          <w:szCs w:val="24"/>
          <w:highlight w:val="none"/>
        </w:rPr>
        <w:t>中标银行出现以下情形之一的，招标单位有权提前收回存放公款（即协议终止条件）：</w:t>
      </w:r>
    </w:p>
    <w:p w14:paraId="1830AA28">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（一）出现资金安全事故、重大违法违规情况或财务恶化；</w:t>
      </w:r>
    </w:p>
    <w:p w14:paraId="1D8D727A">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（二）监管评级降低，监管部门认为存在较大运营风险；</w:t>
      </w:r>
    </w:p>
    <w:p w14:paraId="37C94B75">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（三）进行严重不正当投标；</w:t>
      </w:r>
    </w:p>
    <w:p w14:paraId="00245DAC">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（四）未按照中标协议承诺履行相应的责任和义务；</w:t>
      </w:r>
    </w:p>
    <w:p w14:paraId="7CB73D97">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（五）擅自降低服务条件和服务内容的；</w:t>
      </w:r>
    </w:p>
    <w:p w14:paraId="249E4330">
      <w:pPr>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（六）出现银行挤兑、存款被盗或其他可能妨害公款安全的情形。</w:t>
      </w:r>
    </w:p>
    <w:p w14:paraId="55D37452">
      <w:pPr>
        <w:numPr>
          <w:ilvl w:val="0"/>
          <w:numId w:val="0"/>
        </w:numPr>
        <w:tabs>
          <w:tab w:val="left" w:pos="706"/>
        </w:tabs>
        <w:spacing w:line="360" w:lineRule="auto"/>
        <w:ind w:left="0" w:firstLine="480" w:firstLineChars="200"/>
        <w:rPr>
          <w:rFonts w:hint="eastAsia"/>
          <w:highlight w:val="none"/>
        </w:rPr>
      </w:pPr>
      <w:r>
        <w:rPr>
          <w:rFonts w:hint="eastAsia" w:ascii="宋体" w:hAnsi="宋体" w:cs="宋体"/>
          <w:color w:val="000000"/>
          <w:sz w:val="24"/>
          <w:szCs w:val="24"/>
          <w:highlight w:val="none"/>
          <w:lang w:eastAsia="zh-CN"/>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）如招标条件与后续</w:t>
      </w:r>
      <w:r>
        <w:rPr>
          <w:rFonts w:hint="eastAsia" w:ascii="宋体" w:hAnsi="宋体" w:cs="宋体"/>
          <w:color w:val="auto"/>
          <w:sz w:val="24"/>
          <w:szCs w:val="24"/>
          <w:highlight w:val="none"/>
          <w:lang w:val="en-US" w:eastAsia="zh-CN"/>
        </w:rPr>
        <w:t>上级监管</w:t>
      </w:r>
      <w:r>
        <w:rPr>
          <w:rFonts w:hint="eastAsia" w:ascii="宋体" w:hAnsi="宋体" w:eastAsia="宋体" w:cs="宋体"/>
          <w:color w:val="auto"/>
          <w:sz w:val="24"/>
          <w:szCs w:val="24"/>
          <w:highlight w:val="none"/>
          <w:lang w:eastAsia="zh-CN"/>
        </w:rPr>
        <w:t>要求</w:t>
      </w:r>
      <w:r>
        <w:rPr>
          <w:rFonts w:hint="eastAsia" w:ascii="宋体" w:hAnsi="宋体" w:cs="宋体"/>
          <w:color w:val="auto"/>
          <w:sz w:val="24"/>
          <w:szCs w:val="24"/>
          <w:highlight w:val="none"/>
          <w:lang w:val="en-US" w:eastAsia="zh-CN"/>
        </w:rPr>
        <w:t>相冲突</w:t>
      </w:r>
      <w:r>
        <w:rPr>
          <w:rFonts w:hint="eastAsia" w:ascii="宋体" w:hAnsi="宋体" w:eastAsia="宋体" w:cs="宋体"/>
          <w:color w:val="auto"/>
          <w:sz w:val="24"/>
          <w:szCs w:val="24"/>
          <w:highlight w:val="none"/>
          <w:lang w:eastAsia="zh-CN"/>
        </w:rPr>
        <w:t>，可提前中止合作关系。</w:t>
      </w:r>
    </w:p>
    <w:p w14:paraId="3A9CC959">
      <w:pPr>
        <w:pageBreakBefore/>
        <w:adjustRightInd w:val="0"/>
        <w:snapToGrid w:val="0"/>
        <w:spacing w:line="360" w:lineRule="auto"/>
        <w:jc w:val="center"/>
        <w:outlineLvl w:val="0"/>
        <w:rPr>
          <w:rFonts w:hint="eastAsia" w:ascii="宋体" w:hAnsi="宋体" w:eastAsia="宋体" w:cs="宋体"/>
          <w:b/>
          <w:color w:val="auto"/>
          <w:sz w:val="36"/>
          <w:szCs w:val="36"/>
          <w:highlight w:val="none"/>
        </w:rPr>
      </w:pPr>
      <w:bookmarkStart w:id="95" w:name="_Toc31210"/>
      <w:r>
        <w:rPr>
          <w:rFonts w:hint="eastAsia" w:ascii="宋体" w:hAnsi="宋体" w:eastAsia="宋体" w:cs="宋体"/>
          <w:b/>
          <w:color w:val="auto"/>
          <w:sz w:val="36"/>
          <w:szCs w:val="36"/>
          <w:highlight w:val="none"/>
        </w:rPr>
        <w:t xml:space="preserve">第四部分  </w:t>
      </w:r>
      <w:bookmarkEnd w:id="89"/>
      <w:r>
        <w:rPr>
          <w:rFonts w:hint="eastAsia" w:ascii="宋体" w:hAnsi="宋体" w:eastAsia="宋体" w:cs="宋体"/>
          <w:b/>
          <w:color w:val="auto"/>
          <w:sz w:val="36"/>
          <w:szCs w:val="36"/>
          <w:highlight w:val="none"/>
        </w:rPr>
        <w:t>评标标准和方法</w:t>
      </w:r>
      <w:bookmarkEnd w:id="90"/>
      <w:bookmarkEnd w:id="91"/>
      <w:bookmarkEnd w:id="92"/>
      <w:bookmarkEnd w:id="95"/>
    </w:p>
    <w:p w14:paraId="03ADFC07">
      <w:pPr>
        <w:adjustRightInd w:val="0"/>
        <w:snapToGrid w:val="0"/>
        <w:spacing w:line="360" w:lineRule="auto"/>
        <w:ind w:firstLine="482" w:firstLineChars="200"/>
        <w:rPr>
          <w:rFonts w:hint="eastAsia" w:ascii="宋体" w:hAnsi="宋体" w:eastAsia="宋体" w:cs="宋体"/>
          <w:b/>
          <w:bCs/>
          <w:color w:val="auto"/>
          <w:sz w:val="24"/>
          <w:highlight w:val="none"/>
        </w:rPr>
      </w:pPr>
    </w:p>
    <w:p w14:paraId="45D1195F">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一、评标程序</w:t>
      </w:r>
    </w:p>
    <w:p w14:paraId="71A6BF16">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、宣布评标会议注意事项</w:t>
      </w:r>
      <w:r>
        <w:rPr>
          <w:rFonts w:hint="eastAsia" w:ascii="宋体" w:hAnsi="宋体" w:eastAsia="宋体" w:cs="宋体"/>
          <w:color w:val="auto"/>
          <w:sz w:val="24"/>
          <w:highlight w:val="none"/>
          <w:lang w:eastAsia="zh-CN"/>
        </w:rPr>
        <w:t>；</w:t>
      </w:r>
    </w:p>
    <w:p w14:paraId="66A41A21">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、采用推举的方式确定评标组长</w:t>
      </w:r>
      <w:r>
        <w:rPr>
          <w:rFonts w:hint="eastAsia" w:ascii="宋体" w:hAnsi="宋体" w:eastAsia="宋体" w:cs="宋体"/>
          <w:color w:val="auto"/>
          <w:sz w:val="24"/>
          <w:highlight w:val="none"/>
          <w:lang w:eastAsia="zh-CN"/>
        </w:rPr>
        <w:t>；</w:t>
      </w:r>
    </w:p>
    <w:p w14:paraId="4A0DB5A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、招标人代表对项目概况、服务要求、评标方法、评标方式等情况进行简要介绍</w:t>
      </w:r>
      <w:r>
        <w:rPr>
          <w:rFonts w:hint="eastAsia" w:ascii="宋体" w:hAnsi="宋体" w:eastAsia="宋体" w:cs="宋体"/>
          <w:color w:val="auto"/>
          <w:sz w:val="24"/>
          <w:highlight w:val="none"/>
          <w:lang w:eastAsia="zh-CN"/>
        </w:rPr>
        <w:t>；</w:t>
      </w:r>
    </w:p>
    <w:p w14:paraId="537A4C82">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、由评标委员会根据评标办法进行评审。</w:t>
      </w:r>
    </w:p>
    <w:p w14:paraId="00247BEB">
      <w:pPr>
        <w:adjustRightInd w:val="0"/>
        <w:snapToGrid w:val="0"/>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二、评标标准</w:t>
      </w:r>
      <w:r>
        <w:rPr>
          <w:rFonts w:hint="eastAsia" w:ascii="宋体" w:hAnsi="宋体" w:cs="宋体"/>
          <w:b/>
          <w:color w:val="auto"/>
          <w:sz w:val="24"/>
          <w:highlight w:val="none"/>
          <w:lang w:eastAsia="zh-CN"/>
        </w:rPr>
        <w:t>及</w:t>
      </w:r>
      <w:r>
        <w:rPr>
          <w:rFonts w:hint="eastAsia" w:ascii="宋体" w:hAnsi="宋体" w:eastAsia="宋体" w:cs="宋体"/>
          <w:b/>
          <w:color w:val="auto"/>
          <w:sz w:val="24"/>
          <w:highlight w:val="none"/>
        </w:rPr>
        <w:t>方法</w:t>
      </w:r>
    </w:p>
    <w:p w14:paraId="2FDC0AC4">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1、本次评标采用综合评分法，满分为100分，评标委员会对满足招标文件实质性要求的投标文件，按照本部分规定的评分标准推荐中标候选人。</w:t>
      </w:r>
    </w:p>
    <w:p w14:paraId="7C5B91F2">
      <w:pPr>
        <w:shd w:val="clear" w:color="auto" w:fill="FFFFFF"/>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2、评标委员会对通过</w:t>
      </w:r>
      <w:r>
        <w:rPr>
          <w:rFonts w:hint="eastAsia" w:ascii="宋体" w:hAnsi="宋体" w:eastAsia="宋体" w:cs="宋体"/>
          <w:color w:val="auto"/>
          <w:sz w:val="24"/>
          <w:highlight w:val="none"/>
          <w:lang w:eastAsia="zh-CN"/>
        </w:rPr>
        <w:t>资格性通过的投标文件进行</w:t>
      </w:r>
      <w:r>
        <w:rPr>
          <w:rFonts w:hint="eastAsia" w:ascii="宋体" w:hAnsi="宋体" w:eastAsia="宋体" w:cs="宋体"/>
          <w:color w:val="auto"/>
          <w:sz w:val="24"/>
          <w:highlight w:val="none"/>
        </w:rPr>
        <w:t>符合性审查</w:t>
      </w:r>
      <w:r>
        <w:rPr>
          <w:rFonts w:hint="eastAsia" w:ascii="宋体" w:hAnsi="宋体" w:eastAsia="宋体" w:cs="宋体"/>
          <w:color w:val="auto"/>
          <w:sz w:val="24"/>
          <w:highlight w:val="none"/>
          <w:lang w:eastAsia="zh-CN"/>
        </w:rPr>
        <w:t>，符合性通过的</w:t>
      </w:r>
      <w:r>
        <w:rPr>
          <w:rFonts w:hint="eastAsia" w:ascii="宋体" w:hAnsi="宋体" w:eastAsia="宋体" w:cs="宋体"/>
          <w:color w:val="auto"/>
          <w:sz w:val="24"/>
          <w:highlight w:val="none"/>
        </w:rPr>
        <w:t>投标文件的</w:t>
      </w:r>
      <w:r>
        <w:rPr>
          <w:rFonts w:hint="eastAsia" w:ascii="宋体" w:hAnsi="宋体" w:eastAsia="宋体" w:cs="宋体"/>
          <w:color w:val="auto"/>
          <w:sz w:val="24"/>
          <w:highlight w:val="none"/>
          <w:lang w:eastAsia="zh-CN"/>
        </w:rPr>
        <w:t>进行</w:t>
      </w:r>
      <w:r>
        <w:rPr>
          <w:rFonts w:hint="eastAsia" w:ascii="宋体" w:hAnsi="宋体" w:eastAsia="宋体" w:cs="宋体"/>
          <w:color w:val="auto"/>
          <w:sz w:val="24"/>
          <w:highlight w:val="none"/>
        </w:rPr>
        <w:t>详细评审，由评标委员会根据评分细则统一对各投标人的情况进行综合评审后得出各投标人的综合得分（</w:t>
      </w:r>
      <w:r>
        <w:rPr>
          <w:rFonts w:hint="eastAsia" w:ascii="宋体" w:hAnsi="宋体" w:cs="宋体"/>
          <w:color w:val="auto"/>
          <w:sz w:val="24"/>
          <w:highlight w:val="none"/>
          <w:lang w:eastAsia="zh-CN"/>
        </w:rPr>
        <w:t>其中主观分取各评标委员会成员的算术平均分）。</w:t>
      </w:r>
      <w:r>
        <w:rPr>
          <w:rFonts w:hint="eastAsia" w:ascii="宋体" w:hAnsi="宋体" w:eastAsia="宋体" w:cs="宋体"/>
          <w:color w:val="auto"/>
          <w:sz w:val="24"/>
          <w:highlight w:val="none"/>
        </w:rPr>
        <w:t>分值保留二位小数，小数点后第三位四舍五入</w:t>
      </w:r>
      <w:r>
        <w:rPr>
          <w:rFonts w:hint="eastAsia" w:ascii="宋体" w:hAnsi="宋体" w:cs="宋体"/>
          <w:color w:val="auto"/>
          <w:sz w:val="24"/>
          <w:highlight w:val="none"/>
          <w:lang w:eastAsia="zh-CN"/>
        </w:rPr>
        <w:t>。</w:t>
      </w:r>
    </w:p>
    <w:p w14:paraId="157D4448">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、确定评标结果</w:t>
      </w:r>
    </w:p>
    <w:p w14:paraId="25505102">
      <w:pPr>
        <w:shd w:val="clear" w:color="auto" w:fill="FFFFFF"/>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按照本招标文件确定的评标标准和方法对投标文件进行评审，对各投标文件进行打分并根据最终综合得分从高到低顺序推荐中标候选人。若中标候选人综合得分相同的情况下，按</w:t>
      </w:r>
      <w:r>
        <w:rPr>
          <w:rFonts w:hint="eastAsia" w:ascii="宋体" w:hAnsi="宋体" w:eastAsia="宋体" w:cs="宋体"/>
          <w:color w:val="auto"/>
          <w:kern w:val="0"/>
          <w:sz w:val="24"/>
          <w:szCs w:val="24"/>
          <w:highlight w:val="none"/>
        </w:rPr>
        <w:t>投标报价低的排名在前</w:t>
      </w:r>
      <w:r>
        <w:rPr>
          <w:rFonts w:hint="eastAsia" w:ascii="宋体" w:hAnsi="宋体" w:eastAsia="宋体" w:cs="宋体"/>
          <w:color w:val="auto"/>
          <w:sz w:val="24"/>
          <w:highlight w:val="none"/>
        </w:rPr>
        <w:t>；综合得分且</w:t>
      </w:r>
      <w:r>
        <w:rPr>
          <w:rFonts w:hint="eastAsia" w:ascii="宋体" w:hAnsi="宋体" w:eastAsia="宋体" w:cs="宋体"/>
          <w:color w:val="auto"/>
          <w:kern w:val="0"/>
          <w:sz w:val="24"/>
          <w:szCs w:val="24"/>
          <w:highlight w:val="none"/>
        </w:rPr>
        <w:t>投标报价</w:t>
      </w:r>
      <w:r>
        <w:rPr>
          <w:rFonts w:hint="eastAsia" w:ascii="宋体" w:hAnsi="宋体" w:eastAsia="宋体" w:cs="宋体"/>
          <w:color w:val="auto"/>
          <w:sz w:val="24"/>
          <w:highlight w:val="none"/>
        </w:rPr>
        <w:t>也相同的，</w:t>
      </w:r>
      <w:r>
        <w:rPr>
          <w:rFonts w:hint="eastAsia" w:ascii="宋体" w:hAnsi="宋体" w:eastAsia="宋体" w:cs="宋体"/>
          <w:color w:val="auto"/>
          <w:sz w:val="24"/>
          <w:szCs w:val="24"/>
          <w:highlight w:val="none"/>
        </w:rPr>
        <w:t>则由评标委员会统一讨论后投票决定</w:t>
      </w:r>
      <w:r>
        <w:rPr>
          <w:rFonts w:hint="eastAsia" w:ascii="宋体" w:hAnsi="宋体" w:eastAsia="宋体" w:cs="宋体"/>
          <w:color w:val="auto"/>
          <w:sz w:val="24"/>
          <w:highlight w:val="none"/>
        </w:rPr>
        <w:t>。</w:t>
      </w:r>
    </w:p>
    <w:p w14:paraId="08659198">
      <w:pPr>
        <w:pStyle w:val="2"/>
        <w:rPr>
          <w:rFonts w:hint="eastAsia" w:eastAsia="宋体"/>
          <w:b/>
          <w:bCs/>
          <w:lang w:eastAsia="zh-CN"/>
        </w:rPr>
      </w:pPr>
      <w:r>
        <w:rPr>
          <w:rFonts w:hint="eastAsia" w:ascii="宋体" w:hAnsi="宋体" w:cs="宋体"/>
          <w:b/>
          <w:bCs/>
          <w:color w:val="auto"/>
          <w:sz w:val="24"/>
          <w:highlight w:val="none"/>
          <w:lang w:eastAsia="zh-CN"/>
        </w:rPr>
        <w:t>评标标准如下：</w:t>
      </w:r>
    </w:p>
    <w:tbl>
      <w:tblPr>
        <w:tblStyle w:val="17"/>
        <w:tblW w:w="9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9"/>
        <w:gridCol w:w="1230"/>
        <w:gridCol w:w="2829"/>
        <w:gridCol w:w="4224"/>
      </w:tblGrid>
      <w:tr w14:paraId="6D94E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726592">
            <w:pPr>
              <w:widowControl/>
              <w:autoSpaceDE w:val="0"/>
              <w:spacing w:before="0" w:beforeAutospacing="0" w:after="0" w:afterAutospacing="0" w:line="360" w:lineRule="auto"/>
              <w:ind w:left="0" w:leftChars="0" w:right="0" w:firstLine="199" w:firstLineChars="100"/>
              <w:jc w:val="both"/>
              <w:textAlignment w:val="center"/>
              <w:rPr>
                <w:rFonts w:hint="eastAsia" w:ascii="宋体" w:hAnsi="宋体" w:eastAsia="宋体" w:cs="宋体"/>
                <w:b/>
                <w:bCs w:val="0"/>
                <w:color w:val="000000"/>
                <w:spacing w:val="-6"/>
                <w:sz w:val="21"/>
                <w:szCs w:val="21"/>
                <w:highlight w:val="none"/>
                <w:lang w:val="en-US"/>
              </w:rPr>
            </w:pPr>
            <w:r>
              <w:rPr>
                <w:rFonts w:hint="eastAsia" w:ascii="宋体" w:hAnsi="宋体" w:eastAsia="宋体" w:cs="宋体"/>
                <w:b/>
                <w:bCs w:val="0"/>
                <w:color w:val="000000"/>
                <w:spacing w:val="-6"/>
                <w:kern w:val="0"/>
                <w:sz w:val="21"/>
                <w:szCs w:val="21"/>
                <w:highlight w:val="none"/>
                <w:lang w:val="en-US" w:eastAsia="zh-CN" w:bidi="ar-SA"/>
              </w:rPr>
              <w:t>一级指标</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5C8C41">
            <w:pPr>
              <w:widowControl/>
              <w:autoSpaceDE w:val="0"/>
              <w:spacing w:before="0" w:beforeAutospacing="0" w:after="0" w:afterAutospacing="0" w:line="360" w:lineRule="auto"/>
              <w:ind w:left="0" w:leftChars="0" w:right="0" w:firstLine="199" w:firstLineChars="100"/>
              <w:jc w:val="both"/>
              <w:textAlignment w:val="center"/>
              <w:rPr>
                <w:rFonts w:hint="eastAsia" w:ascii="宋体" w:hAnsi="宋体" w:eastAsia="宋体" w:cs="宋体"/>
                <w:b/>
                <w:bCs w:val="0"/>
                <w:color w:val="000000"/>
                <w:spacing w:val="-6"/>
                <w:sz w:val="21"/>
                <w:szCs w:val="21"/>
                <w:highlight w:val="none"/>
                <w:lang w:val="en-US"/>
              </w:rPr>
            </w:pPr>
            <w:r>
              <w:rPr>
                <w:rFonts w:hint="eastAsia" w:ascii="宋体" w:hAnsi="宋体" w:eastAsia="宋体" w:cs="宋体"/>
                <w:b/>
                <w:bCs w:val="0"/>
                <w:color w:val="000000"/>
                <w:spacing w:val="-6"/>
                <w:kern w:val="0"/>
                <w:sz w:val="21"/>
                <w:szCs w:val="21"/>
                <w:highlight w:val="none"/>
                <w:lang w:val="en-US" w:eastAsia="zh-CN" w:bidi="ar-SA"/>
              </w:rPr>
              <w:t>二级指标</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37525D">
            <w:pPr>
              <w:widowControl/>
              <w:autoSpaceDE w:val="0"/>
              <w:spacing w:before="0" w:beforeAutospacing="0" w:after="0" w:afterAutospacing="0" w:line="360" w:lineRule="auto"/>
              <w:ind w:left="280" w:leftChars="100" w:right="0"/>
              <w:jc w:val="center"/>
              <w:textAlignment w:val="center"/>
              <w:rPr>
                <w:rFonts w:hint="eastAsia" w:ascii="宋体" w:hAnsi="宋体" w:eastAsia="宋体" w:cs="宋体"/>
                <w:b/>
                <w:bCs w:val="0"/>
                <w:color w:val="000000"/>
                <w:spacing w:val="-6"/>
                <w:sz w:val="21"/>
                <w:szCs w:val="21"/>
                <w:highlight w:val="none"/>
                <w:lang w:val="en-US"/>
              </w:rPr>
            </w:pPr>
            <w:r>
              <w:rPr>
                <w:rFonts w:hint="eastAsia" w:ascii="宋体" w:hAnsi="宋体" w:eastAsia="宋体" w:cs="宋体"/>
                <w:b/>
                <w:bCs w:val="0"/>
                <w:color w:val="000000"/>
                <w:spacing w:val="-6"/>
                <w:kern w:val="0"/>
                <w:sz w:val="21"/>
                <w:szCs w:val="21"/>
                <w:highlight w:val="none"/>
                <w:lang w:val="en-US" w:eastAsia="zh-CN" w:bidi="ar-SA"/>
              </w:rPr>
              <w:t>三级指标及分值计算等说明</w:t>
            </w:r>
          </w:p>
        </w:tc>
      </w:tr>
      <w:tr w14:paraId="2AA04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1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BAFE0">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一、投标银行经营状况（40分）</w:t>
            </w: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893C83C">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1、不良贷款率（6分）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B11C9B">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①根据有效投标人总行上年不良贷款率评分（3分），低于基准不良贷款率（1%）得满分，其余有效投标人本项得分按每递增基准值的10%扣减相应分值（相应分值=该项分值*10%*N，N&gt;=1）后的得分。</w:t>
            </w:r>
          </w:p>
        </w:tc>
      </w:tr>
      <w:tr w14:paraId="5E6E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7EBE92">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444296E">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B0519B">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②根据有效投标人总行上年不良贷款率，从低到高排名计算得分（3分）。第1名得满分，其余有效投标人本项得分按每递减一个名次扣减相应分值（相应分值=该项分值/有效的投标人数量 ）后的得分。</w:t>
            </w:r>
          </w:p>
        </w:tc>
      </w:tr>
      <w:tr w14:paraId="6845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1DA793">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CBF450">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2、资本充足率（6分）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929278">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①根据有效投标人总行上年资本充足率评分（3分），高于基准资本充足率（10.5%）得满分，其余有效投标人本项得分按每递减基准值的10%扣减相应分值（相应分值=该项分值*10%*N，N&gt;=1）后的得分。</w:t>
            </w:r>
          </w:p>
        </w:tc>
      </w:tr>
      <w:tr w14:paraId="16171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B0BCC4B">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D28329">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11EFF5">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②根据有效投标人总行上年资本充足率，从高到低排名计算得分（3分）。第1名得满分，其余有效投标人本项得分按每递减一个名次扣减相应分值（相应分值=该项分值/有效的投标人数量 ）后的得分。</w:t>
            </w:r>
          </w:p>
        </w:tc>
      </w:tr>
      <w:tr w14:paraId="422CD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B76650">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A0FE2EA">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3、人行综合评价（10分）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8851785">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有效投标</w:t>
            </w:r>
            <w:r>
              <w:rPr>
                <w:rFonts w:hint="eastAsia" w:ascii="宋体" w:hAnsi="宋体" w:eastAsia="宋体" w:cs="宋体"/>
                <w:color w:val="auto"/>
                <w:spacing w:val="-6"/>
                <w:kern w:val="0"/>
                <w:sz w:val="21"/>
                <w:szCs w:val="21"/>
                <w:highlight w:val="none"/>
                <w:lang w:val="en-US" w:eastAsia="zh-CN" w:bidi="ar-SA"/>
              </w:rPr>
              <w:t>人上</w:t>
            </w:r>
            <w:r>
              <w:rPr>
                <w:rFonts w:hint="eastAsia" w:ascii="宋体" w:hAnsi="宋体" w:eastAsia="宋体" w:cs="宋体"/>
                <w:color w:val="000000"/>
                <w:spacing w:val="-6"/>
                <w:kern w:val="0"/>
                <w:sz w:val="21"/>
                <w:szCs w:val="21"/>
                <w:highlight w:val="none"/>
                <w:lang w:val="en-US" w:eastAsia="zh-CN" w:bidi="ar-SA"/>
              </w:rPr>
              <w:t>年人行综合评价为：A级的得10分，B级的8分。</w:t>
            </w:r>
          </w:p>
        </w:tc>
      </w:tr>
      <w:tr w14:paraId="3546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34B540">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2C9CE9">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4、营运能力（5分）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0B8C4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根据有效投标人总行上年净资产收益率，从高到低排名计算得分。第1名得满分，其余有效投标人本项得分按每递减一个名次扣减相应分值（相应分值=该项分值/有效的投标人数量 ）后的得分。</w:t>
            </w:r>
          </w:p>
        </w:tc>
      </w:tr>
      <w:tr w14:paraId="7DE82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886548">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2D6542">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5、偿付能力（6分）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2DAFCFD">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①根据有效投标人总行上年法人拨备覆盖率评分（3分），高于基准法人拨备覆盖率（150%）得满分，其余有效投标人本项得分按每递减基准值的10%扣减相应分值（相应分值=该项分值*10%*N，N&gt;=1）后的得分。</w:t>
            </w:r>
          </w:p>
        </w:tc>
      </w:tr>
      <w:tr w14:paraId="631A0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105A880">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26ED96">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A13B6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②根据有效投标人总行上年法人拨备覆盖率，从高到低排名计算得分（3分）。第1名得满分，其余有效投标人本项得分按每递减一个名次扣减相应分值（相应分值=该项分值/有效的投标人数量 ）后的得分。</w:t>
            </w:r>
          </w:p>
        </w:tc>
      </w:tr>
      <w:tr w14:paraId="3EF60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98AFC9">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D01D70">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6、存贷比（6分）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04A60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根据上季末有效投标人本外币贷款余额与本外币存款余额的比率从高到低排名计算得分。第1名得满分，其余有效投标人本项得分按每递减一个名次扣减相应分值（相应分值=该项分值/有效的投标人数量 ）后的得分。</w:t>
            </w:r>
          </w:p>
        </w:tc>
      </w:tr>
      <w:tr w14:paraId="49EF4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20F97C8">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7494B5">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7、内部控制水平（1分）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96F0A5">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根据一年内被监管部门行政处罚的数量减分，未被处罚的得满分，每处罚一次扣0.5分，减完为止。</w:t>
            </w:r>
          </w:p>
        </w:tc>
      </w:tr>
      <w:tr w14:paraId="1612B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AA3A93">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二、投标利率水平（5分）</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33AA37">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8、投标利率水平（5分）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75DC64">
            <w:pPr>
              <w:widowControl/>
              <w:wordWrap/>
              <w:autoSpaceDE w:val="0"/>
              <w:adjustRightInd/>
              <w:snapToGrid/>
              <w:spacing w:before="0" w:beforeAutospacing="0" w:after="0" w:afterAutospacing="0" w:line="312" w:lineRule="auto"/>
              <w:ind w:left="280" w:leftChars="100" w:right="0" w:firstLine="396" w:firstLineChars="200"/>
              <w:jc w:val="left"/>
              <w:textAlignment w:val="center"/>
              <w:rPr>
                <w:rFonts w:hint="eastAsia" w:ascii="宋体" w:hAnsi="宋体" w:eastAsia="宋体" w:cs="宋体"/>
                <w:color w:val="000000"/>
                <w:spacing w:val="-6"/>
                <w:kern w:val="0"/>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投标人在政策规定和浙江省市场利率定价自律机制约定范围内给出的同期限存款利率，不符合利率政策规定或浙江省市场利率定价自律机制约定的为无效标。</w:t>
            </w:r>
          </w:p>
          <w:p w14:paraId="20646DB8">
            <w:pPr>
              <w:widowControl/>
              <w:wordWrap/>
              <w:autoSpaceDE w:val="0"/>
              <w:adjustRightInd/>
              <w:snapToGrid/>
              <w:spacing w:before="0" w:beforeAutospacing="0" w:after="0" w:afterAutospacing="0" w:line="312" w:lineRule="auto"/>
              <w:ind w:left="280" w:leftChars="100" w:right="0" w:firstLine="396" w:firstLineChars="200"/>
              <w:jc w:val="left"/>
              <w:textAlignment w:val="center"/>
              <w:rPr>
                <w:rFonts w:hint="eastAsia" w:ascii="宋体" w:hAnsi="宋体" w:eastAsia="宋体" w:cs="宋体"/>
                <w:color w:val="000000"/>
                <w:spacing w:val="-6"/>
                <w:kern w:val="0"/>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账户招标：根据各有效投标人协定存款</w:t>
            </w:r>
            <w:r>
              <w:rPr>
                <w:rFonts w:hint="eastAsia" w:ascii="宋体" w:hAnsi="宋体" w:cs="宋体"/>
                <w:color w:val="000000"/>
                <w:spacing w:val="-6"/>
                <w:kern w:val="0"/>
                <w:sz w:val="21"/>
                <w:szCs w:val="21"/>
                <w:highlight w:val="none"/>
                <w:lang w:val="en-US" w:eastAsia="zh-CN" w:bidi="ar-SA"/>
              </w:rPr>
              <w:t>利率</w:t>
            </w:r>
            <w:r>
              <w:rPr>
                <w:rFonts w:hint="eastAsia" w:ascii="宋体" w:hAnsi="宋体" w:eastAsia="宋体" w:cs="宋体"/>
                <w:color w:val="000000"/>
                <w:spacing w:val="-6"/>
                <w:kern w:val="0"/>
                <w:sz w:val="21"/>
                <w:szCs w:val="21"/>
                <w:highlight w:val="none"/>
                <w:lang w:val="en-US" w:eastAsia="zh-CN" w:bidi="ar-SA"/>
              </w:rPr>
              <w:t>加BP后的投标报价，确定各有效投标人的最终协定存款利率（按四舍五入后保留三位小数）；以各有效投标人中的最高协定存款利率为基准价，得满分5分，其他投标人按其与基准价的占比计分，计算公式：（投标人协定存款利率/基准价）×5。</w:t>
            </w:r>
          </w:p>
        </w:tc>
      </w:tr>
      <w:tr w14:paraId="6825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115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377A423B">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三、对地方经济贡献（40分）</w:t>
            </w: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460466">
            <w:pPr>
              <w:widowControl/>
              <w:wordWrap/>
              <w:autoSpaceDE w:val="0"/>
              <w:bidi/>
              <w:adjustRightInd/>
              <w:snapToGrid/>
              <w:spacing w:before="0" w:beforeAutospacing="0" w:after="0" w:afterAutospacing="0" w:line="312" w:lineRule="auto"/>
              <w:ind w:left="0" w:leftChars="0" w:right="0"/>
              <w:jc w:val="center"/>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9、贷款总额（</w:t>
            </w:r>
            <w:r>
              <w:rPr>
                <w:rFonts w:hint="eastAsia" w:ascii="宋体" w:hAnsi="宋体" w:cs="宋体"/>
                <w:color w:val="000000"/>
                <w:spacing w:val="-6"/>
                <w:kern w:val="0"/>
                <w:sz w:val="21"/>
                <w:szCs w:val="21"/>
                <w:highlight w:val="none"/>
                <w:lang w:val="en-US" w:eastAsia="zh-CN" w:bidi="ar-SA"/>
              </w:rPr>
              <w:t>3</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3C1135">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①根据上季末有效投标人贷款余额从高到低排名（</w:t>
            </w:r>
            <w:r>
              <w:rPr>
                <w:rFonts w:hint="eastAsia" w:ascii="宋体" w:hAnsi="宋体" w:cs="宋体"/>
                <w:color w:val="000000"/>
                <w:spacing w:val="-6"/>
                <w:kern w:val="0"/>
                <w:sz w:val="21"/>
                <w:szCs w:val="21"/>
                <w:highlight w:val="none"/>
                <w:lang w:val="en-US" w:eastAsia="zh-CN" w:bidi="ar-SA"/>
              </w:rPr>
              <w:t>1.5</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4A6CD7">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15E55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24C3B0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F690E54">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1F037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②根据一个年度有效投标人贷款增量从高到低排名（</w:t>
            </w:r>
            <w:r>
              <w:rPr>
                <w:rFonts w:hint="eastAsia" w:ascii="宋体" w:hAnsi="宋体" w:cs="宋体"/>
                <w:color w:val="000000"/>
                <w:spacing w:val="-6"/>
                <w:kern w:val="0"/>
                <w:sz w:val="21"/>
                <w:szCs w:val="21"/>
                <w:highlight w:val="none"/>
                <w:lang w:val="en-US" w:eastAsia="zh-CN" w:bidi="ar-SA"/>
              </w:rPr>
              <w:t>1.5</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70E5E9">
            <w:pPr>
              <w:widowControl/>
              <w:wordWrap/>
              <w:adjustRightInd/>
              <w:snapToGrid/>
              <w:spacing w:line="312" w:lineRule="auto"/>
              <w:ind w:leftChars="100"/>
              <w:rPr>
                <w:rFonts w:hint="eastAsia" w:ascii="宋体" w:hAnsi="宋体" w:eastAsia="宋体" w:cs="宋体"/>
                <w:sz w:val="21"/>
                <w:szCs w:val="21"/>
                <w:highlight w:val="none"/>
              </w:rPr>
            </w:pPr>
          </w:p>
        </w:tc>
      </w:tr>
      <w:tr w14:paraId="33918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236293F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11EC36B">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10、小微企业贷款（</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F80840">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①根据上季末有效投标人对余杭区内小微企业贷款余额从高到低排名（</w:t>
            </w:r>
            <w:r>
              <w:rPr>
                <w:rFonts w:hint="eastAsia" w:ascii="宋体" w:hAnsi="宋体" w:cs="宋体"/>
                <w:color w:val="000000"/>
                <w:spacing w:val="-6"/>
                <w:kern w:val="0"/>
                <w:sz w:val="21"/>
                <w:szCs w:val="21"/>
                <w:highlight w:val="none"/>
                <w:lang w:val="en-US" w:eastAsia="zh-CN" w:bidi="ar-SA"/>
              </w:rPr>
              <w:t>2</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8FCCD2">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7C10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472A5A1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529CD35">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D1FD9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②根据上季末有效投标人对余杭区内小微企业贷款余额占该投标人对余杭区贷款余额总量比例从高到低排名（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5分）。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582EF8">
            <w:pPr>
              <w:widowControl/>
              <w:wordWrap/>
              <w:adjustRightInd/>
              <w:snapToGrid/>
              <w:spacing w:line="312" w:lineRule="auto"/>
              <w:ind w:leftChars="100"/>
              <w:rPr>
                <w:rFonts w:hint="eastAsia" w:ascii="宋体" w:hAnsi="宋体" w:eastAsia="宋体" w:cs="宋体"/>
                <w:sz w:val="21"/>
                <w:szCs w:val="21"/>
                <w:highlight w:val="none"/>
              </w:rPr>
            </w:pPr>
          </w:p>
        </w:tc>
      </w:tr>
      <w:tr w14:paraId="0121A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46E50169">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8566EA">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64AB80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③根据一个年度有效投标人对余杭区内小微企业贷款增量从高到低排名（1</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6762AD">
            <w:pPr>
              <w:widowControl/>
              <w:wordWrap/>
              <w:adjustRightInd/>
              <w:snapToGrid/>
              <w:spacing w:line="312" w:lineRule="auto"/>
              <w:ind w:leftChars="100"/>
              <w:rPr>
                <w:rFonts w:hint="eastAsia" w:ascii="宋体" w:hAnsi="宋体" w:eastAsia="宋体" w:cs="宋体"/>
                <w:sz w:val="21"/>
                <w:szCs w:val="21"/>
                <w:highlight w:val="none"/>
              </w:rPr>
            </w:pPr>
          </w:p>
        </w:tc>
      </w:tr>
      <w:tr w14:paraId="6E8B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7C5AEDE0">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844C54">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11、制造业贷款（</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67FAFA">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①根据上季末有效投标人对余杭区内制造业企业贷款余额从高到低排名（</w:t>
            </w:r>
            <w:r>
              <w:rPr>
                <w:rFonts w:hint="eastAsia" w:ascii="宋体" w:hAnsi="宋体" w:cs="宋体"/>
                <w:color w:val="000000"/>
                <w:spacing w:val="-6"/>
                <w:kern w:val="0"/>
                <w:sz w:val="21"/>
                <w:szCs w:val="21"/>
                <w:highlight w:val="none"/>
                <w:lang w:val="en-US" w:eastAsia="zh-CN" w:bidi="ar-SA"/>
              </w:rPr>
              <w:t>2</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37B0DD">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5B06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422D9D1E">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6BDF27">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FF9BD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②根据上季末有效投标人对余杭区内制造业企业贷款余额占该投标人对余杭区贷款余额总量比例从高到低排名（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.5分）。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E5942E">
            <w:pPr>
              <w:widowControl/>
              <w:wordWrap/>
              <w:adjustRightInd/>
              <w:snapToGrid/>
              <w:spacing w:line="312" w:lineRule="auto"/>
              <w:ind w:leftChars="100"/>
              <w:rPr>
                <w:rFonts w:hint="eastAsia" w:ascii="宋体" w:hAnsi="宋体" w:eastAsia="宋体" w:cs="宋体"/>
                <w:sz w:val="21"/>
                <w:szCs w:val="21"/>
                <w:highlight w:val="none"/>
              </w:rPr>
            </w:pPr>
          </w:p>
        </w:tc>
      </w:tr>
      <w:tr w14:paraId="76C1B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32ED8889">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E506BD">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3CA0DFF">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③根据一个年度有效投标人对余杭区内制造业企业贷款增量从高到低排名（1</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F08D3D">
            <w:pPr>
              <w:widowControl/>
              <w:wordWrap/>
              <w:adjustRightInd/>
              <w:snapToGrid/>
              <w:spacing w:line="312" w:lineRule="auto"/>
              <w:ind w:leftChars="100"/>
              <w:rPr>
                <w:rFonts w:hint="eastAsia" w:ascii="宋体" w:hAnsi="宋体" w:eastAsia="宋体" w:cs="宋体"/>
                <w:sz w:val="21"/>
                <w:szCs w:val="21"/>
                <w:highlight w:val="none"/>
              </w:rPr>
            </w:pPr>
          </w:p>
        </w:tc>
      </w:tr>
      <w:tr w14:paraId="4F844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3F8491E8">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5864C4">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12、涉农及绿色贷款（</w:t>
            </w:r>
            <w:r>
              <w:rPr>
                <w:rFonts w:hint="eastAsia" w:ascii="宋体" w:hAnsi="宋体" w:cs="宋体"/>
                <w:color w:val="000000"/>
                <w:spacing w:val="-6"/>
                <w:kern w:val="0"/>
                <w:sz w:val="21"/>
                <w:szCs w:val="21"/>
                <w:highlight w:val="none"/>
                <w:lang w:val="en-US" w:eastAsia="zh-CN" w:bidi="ar-SA"/>
              </w:rPr>
              <w:t>3</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1EED3A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①根据上季末有效投标人对余杭区“涉农”和绿色贷款余额合计排名（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0693AD">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56FE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D2F0228">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010419">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09C3050">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②根据上季末有效投标人对余杭区“涉农”和绿色贷款余额合计占该投标人对余杭区贷款余额总量比例从高到低排名（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F364E4">
            <w:pPr>
              <w:widowControl/>
              <w:wordWrap/>
              <w:adjustRightInd/>
              <w:snapToGrid/>
              <w:spacing w:line="312" w:lineRule="auto"/>
              <w:ind w:leftChars="100"/>
              <w:rPr>
                <w:rFonts w:hint="eastAsia" w:ascii="宋体" w:hAnsi="宋体" w:eastAsia="宋体" w:cs="宋体"/>
                <w:sz w:val="21"/>
                <w:szCs w:val="21"/>
                <w:highlight w:val="none"/>
              </w:rPr>
            </w:pPr>
          </w:p>
        </w:tc>
      </w:tr>
      <w:tr w14:paraId="4CF6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09AC9387">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81E16B">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0F8C0F">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③根据一个年度有效投标人对余杭区“涉农”和绿色贷款增量合计从高到低排名（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819A26">
            <w:pPr>
              <w:widowControl/>
              <w:wordWrap/>
              <w:adjustRightInd/>
              <w:snapToGrid/>
              <w:spacing w:line="312" w:lineRule="auto"/>
              <w:ind w:leftChars="100"/>
              <w:rPr>
                <w:rFonts w:hint="eastAsia" w:ascii="宋体" w:hAnsi="宋体" w:eastAsia="宋体" w:cs="宋体"/>
                <w:sz w:val="21"/>
                <w:szCs w:val="21"/>
                <w:highlight w:val="none"/>
              </w:rPr>
            </w:pPr>
          </w:p>
        </w:tc>
      </w:tr>
      <w:tr w14:paraId="1F6B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0C5722C">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67D2C64">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13、科技企业贷款（</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5D90A">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①根据上季末有效投标人对余杭区内科技企业贷款余额从高到低排名（2分）。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8F7632">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7EBD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286447D7">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B10E77">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989B82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②根据一个年度有效投标人对余杭区内科技企业贷款余额增量从高到低排名（2分）。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E2ED88E">
            <w:pPr>
              <w:widowControl/>
              <w:wordWrap/>
              <w:adjustRightInd/>
              <w:snapToGrid/>
              <w:spacing w:line="312" w:lineRule="auto"/>
              <w:ind w:leftChars="100"/>
              <w:rPr>
                <w:rFonts w:hint="eastAsia" w:ascii="宋体" w:hAnsi="宋体" w:eastAsia="宋体" w:cs="宋体"/>
                <w:sz w:val="21"/>
                <w:szCs w:val="21"/>
                <w:highlight w:val="none"/>
              </w:rPr>
            </w:pPr>
          </w:p>
        </w:tc>
      </w:tr>
      <w:tr w14:paraId="2F433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49A122AE">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3FAC710">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9F77E8">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③根据一个年度有效投标人对余杭区内科技企业纯信用贷款余额从高到低排名（</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5EA5A71">
            <w:pPr>
              <w:widowControl/>
              <w:wordWrap/>
              <w:adjustRightInd/>
              <w:snapToGrid/>
              <w:spacing w:line="312" w:lineRule="auto"/>
              <w:ind w:leftChars="100"/>
              <w:rPr>
                <w:rFonts w:hint="eastAsia" w:ascii="宋体" w:hAnsi="宋体" w:eastAsia="宋体" w:cs="宋体"/>
                <w:sz w:val="21"/>
                <w:szCs w:val="21"/>
                <w:highlight w:val="none"/>
              </w:rPr>
            </w:pPr>
          </w:p>
        </w:tc>
      </w:tr>
      <w:tr w14:paraId="053E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591A3609">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539F42">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14、债务融资工具认购额（</w:t>
            </w:r>
            <w:r>
              <w:rPr>
                <w:rFonts w:hint="eastAsia" w:ascii="宋体" w:hAnsi="宋体" w:cs="宋体"/>
                <w:color w:val="000000"/>
                <w:spacing w:val="-6"/>
                <w:kern w:val="0"/>
                <w:sz w:val="21"/>
                <w:szCs w:val="21"/>
                <w:highlight w:val="none"/>
                <w:lang w:val="en-US" w:eastAsia="zh-CN" w:bidi="ar-SA"/>
              </w:rPr>
              <w:t>4</w:t>
            </w:r>
            <w:r>
              <w:rPr>
                <w:rFonts w:hint="eastAsia" w:ascii="宋体" w:hAnsi="宋体" w:eastAsia="宋体" w:cs="宋体"/>
                <w:color w:val="000000"/>
                <w:spacing w:val="-6"/>
                <w:kern w:val="0"/>
                <w:sz w:val="21"/>
                <w:szCs w:val="21"/>
                <w:highlight w:val="none"/>
                <w:lang w:val="en-US" w:eastAsia="zh-CN" w:bidi="ar-SA"/>
              </w:rPr>
              <w:t>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CB900AD">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①根据一个年度有效投标人对余杭区债务融资工具认购额从高到低排名计算得分（</w:t>
            </w:r>
            <w:r>
              <w:rPr>
                <w:rFonts w:hint="eastAsia" w:ascii="宋体" w:hAnsi="宋体" w:cs="宋体"/>
                <w:color w:val="000000"/>
                <w:spacing w:val="-6"/>
                <w:kern w:val="0"/>
                <w:sz w:val="21"/>
                <w:szCs w:val="21"/>
                <w:highlight w:val="none"/>
                <w:lang w:val="en-US" w:eastAsia="zh-CN" w:bidi="ar-SA"/>
              </w:rPr>
              <w:t>2</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74446E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）后的得分。注：为0或负数不参与排名，得0分。</w:t>
            </w:r>
          </w:p>
        </w:tc>
      </w:tr>
      <w:tr w14:paraId="4CC2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1B186C2B">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AF3F998">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F0ED30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②根据一个年度有效投标人对余杭区债务融资工具认购额增量从高到低排名（</w:t>
            </w:r>
            <w:r>
              <w:rPr>
                <w:rFonts w:hint="eastAsia" w:ascii="宋体" w:hAnsi="宋体" w:cs="宋体"/>
                <w:color w:val="000000"/>
                <w:spacing w:val="-6"/>
                <w:kern w:val="0"/>
                <w:sz w:val="21"/>
                <w:szCs w:val="21"/>
                <w:highlight w:val="none"/>
                <w:lang w:val="en-US" w:eastAsia="zh-CN" w:bidi="ar-SA"/>
              </w:rPr>
              <w:t>2</w:t>
            </w:r>
            <w:r>
              <w:rPr>
                <w:rFonts w:hint="eastAsia" w:ascii="宋体" w:hAnsi="宋体" w:eastAsia="宋体" w:cs="宋体"/>
                <w:color w:val="000000"/>
                <w:spacing w:val="-6"/>
                <w:kern w:val="0"/>
                <w:sz w:val="21"/>
                <w:szCs w:val="21"/>
                <w:highlight w:val="none"/>
                <w:lang w:val="en-US" w:eastAsia="zh-CN" w:bidi="ar-SA"/>
              </w:rPr>
              <w:t>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A4080C">
            <w:pPr>
              <w:widowControl/>
              <w:wordWrap/>
              <w:adjustRightInd/>
              <w:snapToGrid/>
              <w:spacing w:line="312" w:lineRule="auto"/>
              <w:ind w:leftChars="100"/>
              <w:rPr>
                <w:rFonts w:hint="eastAsia" w:ascii="宋体" w:hAnsi="宋体" w:eastAsia="宋体" w:cs="宋体"/>
                <w:sz w:val="21"/>
                <w:szCs w:val="21"/>
                <w:highlight w:val="none"/>
              </w:rPr>
            </w:pPr>
          </w:p>
        </w:tc>
      </w:tr>
      <w:tr w14:paraId="7512A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5C1F3028">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8A0C1F">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15、国有控股企业融资额（4分）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6B4494F">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①根据上季末有效投标人对余杭区国有控股企业的融资余额从高到低排名（1.5分）。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AB98DF">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）后的得分。注：为0或负数不参与排名，得0分。</w:t>
            </w:r>
          </w:p>
        </w:tc>
      </w:tr>
      <w:tr w14:paraId="5F9F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158A888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0D99433">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B87A9E">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②根据一个年度有效投标人对余杭区国有控股企业融资额增量从高到低排名（1.5分）。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B51ABB8">
            <w:pPr>
              <w:widowControl/>
              <w:wordWrap/>
              <w:adjustRightInd/>
              <w:snapToGrid/>
              <w:spacing w:line="312" w:lineRule="auto"/>
              <w:ind w:leftChars="100"/>
              <w:rPr>
                <w:rFonts w:hint="eastAsia" w:ascii="宋体" w:hAnsi="宋体" w:eastAsia="宋体" w:cs="宋体"/>
                <w:sz w:val="21"/>
                <w:szCs w:val="21"/>
                <w:highlight w:val="none"/>
              </w:rPr>
            </w:pPr>
          </w:p>
        </w:tc>
      </w:tr>
      <w:tr w14:paraId="3459B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2CA44D06">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6C075B">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FB697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③国有控股企业贷款利率指标 （1分）</w:t>
            </w:r>
          </w:p>
        </w:tc>
        <w:tc>
          <w:tcPr>
            <w:tcW w:w="42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D548539">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一个年度投标人对余杭区国有控股企业新发放贷款（包括银行贷款和信托）综合利率，综合利率根据每笔贷款基准上浮比例加权平均计算。其中按LPR计价方式的贷款，以下面的公式计算上浮比例，上浮比例＝（实际利率-发放日LPR）/LPR，5年期以下的贷</w:t>
            </w:r>
            <w:r>
              <w:rPr>
                <w:rFonts w:hint="eastAsia" w:ascii="宋体" w:hAnsi="宋体" w:eastAsia="宋体" w:cs="宋体"/>
                <w:color w:val="auto"/>
                <w:spacing w:val="-6"/>
                <w:kern w:val="0"/>
                <w:sz w:val="21"/>
                <w:szCs w:val="21"/>
                <w:highlight w:val="none"/>
                <w:lang w:val="en-US" w:eastAsia="zh-CN" w:bidi="ar-SA"/>
              </w:rPr>
              <w:t>款均按</w:t>
            </w:r>
            <w:r>
              <w:rPr>
                <w:rFonts w:hint="eastAsia" w:ascii="宋体" w:hAnsi="宋体" w:cs="宋体"/>
                <w:color w:val="auto"/>
                <w:spacing w:val="-6"/>
                <w:kern w:val="0"/>
                <w:sz w:val="21"/>
                <w:szCs w:val="21"/>
                <w:highlight w:val="none"/>
                <w:lang w:val="en-US" w:eastAsia="zh-CN" w:bidi="ar-SA"/>
              </w:rPr>
              <w:t>1</w:t>
            </w:r>
            <w:r>
              <w:rPr>
                <w:rFonts w:hint="eastAsia" w:ascii="宋体" w:hAnsi="宋体" w:eastAsia="宋体" w:cs="宋体"/>
                <w:color w:val="auto"/>
                <w:spacing w:val="-6"/>
                <w:kern w:val="0"/>
                <w:sz w:val="21"/>
                <w:szCs w:val="21"/>
                <w:highlight w:val="none"/>
                <w:lang w:val="en-US" w:eastAsia="zh-CN" w:bidi="ar-SA"/>
              </w:rPr>
              <w:t>年期计算。评分标准：上浮比例0%（含）以下的得</w:t>
            </w:r>
            <w:r>
              <w:rPr>
                <w:rFonts w:hint="eastAsia" w:ascii="宋体" w:hAnsi="宋体" w:cs="宋体"/>
                <w:color w:val="auto"/>
                <w:spacing w:val="-6"/>
                <w:kern w:val="0"/>
                <w:sz w:val="21"/>
                <w:szCs w:val="21"/>
                <w:highlight w:val="none"/>
                <w:lang w:val="en-US" w:eastAsia="zh-CN" w:bidi="ar-SA"/>
              </w:rPr>
              <w:t>1</w:t>
            </w:r>
            <w:r>
              <w:rPr>
                <w:rFonts w:hint="eastAsia" w:ascii="宋体" w:hAnsi="宋体" w:eastAsia="宋体" w:cs="宋体"/>
                <w:color w:val="auto"/>
                <w:spacing w:val="-6"/>
                <w:kern w:val="0"/>
                <w:sz w:val="21"/>
                <w:szCs w:val="21"/>
                <w:highlight w:val="none"/>
                <w:lang w:val="en-US" w:eastAsia="zh-CN" w:bidi="ar-SA"/>
              </w:rPr>
              <w:t>分，上浮比例0%-10%(含)的得</w:t>
            </w:r>
            <w:r>
              <w:rPr>
                <w:rFonts w:hint="eastAsia" w:ascii="宋体" w:hAnsi="宋体" w:cs="宋体"/>
                <w:color w:val="auto"/>
                <w:spacing w:val="-6"/>
                <w:kern w:val="0"/>
                <w:sz w:val="21"/>
                <w:szCs w:val="21"/>
                <w:highlight w:val="none"/>
                <w:lang w:val="en-US" w:eastAsia="zh-CN" w:bidi="ar-SA"/>
              </w:rPr>
              <w:t>0.5</w:t>
            </w:r>
            <w:r>
              <w:rPr>
                <w:rFonts w:hint="eastAsia" w:ascii="宋体" w:hAnsi="宋体" w:eastAsia="宋体" w:cs="宋体"/>
                <w:color w:val="auto"/>
                <w:spacing w:val="-6"/>
                <w:kern w:val="0"/>
                <w:sz w:val="21"/>
                <w:szCs w:val="21"/>
                <w:highlight w:val="none"/>
                <w:lang w:val="en-US" w:eastAsia="zh-CN" w:bidi="ar-SA"/>
              </w:rPr>
              <w:t>分,上浮比例10%-20%(含)的得</w:t>
            </w:r>
            <w:r>
              <w:rPr>
                <w:rFonts w:hint="eastAsia" w:ascii="宋体" w:hAnsi="宋体" w:cs="宋体"/>
                <w:color w:val="auto"/>
                <w:spacing w:val="-6"/>
                <w:kern w:val="0"/>
                <w:sz w:val="21"/>
                <w:szCs w:val="21"/>
                <w:highlight w:val="none"/>
                <w:lang w:val="en-US" w:eastAsia="zh-CN" w:bidi="ar-SA"/>
              </w:rPr>
              <w:t>0.25</w:t>
            </w:r>
            <w:r>
              <w:rPr>
                <w:rFonts w:hint="eastAsia" w:ascii="宋体" w:hAnsi="宋体" w:eastAsia="宋体" w:cs="宋体"/>
                <w:color w:val="auto"/>
                <w:spacing w:val="-6"/>
                <w:kern w:val="0"/>
                <w:sz w:val="21"/>
                <w:szCs w:val="21"/>
                <w:highlight w:val="none"/>
                <w:lang w:val="en-US" w:eastAsia="zh-CN" w:bidi="ar-SA"/>
              </w:rPr>
              <w:t>分</w:t>
            </w:r>
            <w:r>
              <w:rPr>
                <w:rFonts w:hint="eastAsia" w:ascii="宋体" w:hAnsi="宋体" w:cs="宋体"/>
                <w:color w:val="auto"/>
                <w:spacing w:val="-6"/>
                <w:kern w:val="0"/>
                <w:sz w:val="21"/>
                <w:szCs w:val="21"/>
                <w:highlight w:val="none"/>
                <w:lang w:val="en-US" w:eastAsia="zh-CN" w:bidi="ar-SA"/>
              </w:rPr>
              <w:t>，</w:t>
            </w:r>
            <w:r>
              <w:rPr>
                <w:rFonts w:hint="eastAsia" w:ascii="宋体" w:hAnsi="宋体" w:eastAsia="宋体" w:cs="宋体"/>
                <w:color w:val="auto"/>
                <w:spacing w:val="-6"/>
                <w:kern w:val="0"/>
                <w:sz w:val="21"/>
                <w:szCs w:val="21"/>
                <w:highlight w:val="none"/>
                <w:lang w:val="en-US" w:eastAsia="zh-CN" w:bidi="ar-SA"/>
              </w:rPr>
              <w:t>上浮比例20%以上的不得分。注：一个年度投标人对余杭区国有控股企业新发放贷款额（包括银行贷款和信托）为0的则该项得0分。</w:t>
            </w:r>
            <w:r>
              <w:rPr>
                <w:rStyle w:val="25"/>
                <w:rFonts w:hint="eastAsia" w:ascii="宋体" w:hAnsi="宋体" w:eastAsia="宋体" w:cs="宋体"/>
                <w:color w:val="auto"/>
                <w:spacing w:val="-6"/>
                <w:kern w:val="0"/>
                <w:sz w:val="21"/>
                <w:szCs w:val="21"/>
                <w:highlight w:val="none"/>
                <w:lang w:val="en-US" w:eastAsia="zh-CN" w:bidi="ar-SA"/>
              </w:rPr>
              <w:footnoteReference w:id="0"/>
            </w:r>
            <w:r>
              <w:rPr>
                <w:rFonts w:hint="eastAsia" w:ascii="宋体" w:hAnsi="宋体" w:eastAsia="宋体" w:cs="宋体"/>
                <w:color w:val="auto"/>
                <w:spacing w:val="-6"/>
                <w:kern w:val="0"/>
                <w:sz w:val="21"/>
                <w:szCs w:val="21"/>
                <w:highlight w:val="none"/>
                <w:lang w:val="en-US" w:eastAsia="zh-CN" w:bidi="ar-SA"/>
              </w:rPr>
              <w:t xml:space="preserve"> </w:t>
            </w:r>
          </w:p>
        </w:tc>
      </w:tr>
      <w:tr w14:paraId="60A13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265F09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CEAABE6">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16、服务企业创新贷款（3分）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5A0ACAC">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①根据一个年度有效投标人对余杭区企业政府产业基金“投贷联动”贷款发生额从高到低排名（1.5分）。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780C16E">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）后的得分。注：为0不参与排名，得0分。</w:t>
            </w:r>
          </w:p>
        </w:tc>
      </w:tr>
      <w:tr w14:paraId="5657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1A15EBA8">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339BAD">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2CC24E">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②根据一个年度有效投标人对余杭区企业专利权质押贷款、政策性担保贷款、省金融综合平台在线受理贷款、无还本续贷、出口信用保险保单质押贷款合计贷款发生额从高到低排名（1.5分）。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40FDCD">
            <w:pPr>
              <w:widowControl/>
              <w:wordWrap/>
              <w:adjustRightInd/>
              <w:snapToGrid/>
              <w:spacing w:line="312" w:lineRule="auto"/>
              <w:ind w:leftChars="100"/>
              <w:rPr>
                <w:rFonts w:hint="eastAsia" w:ascii="宋体" w:hAnsi="宋体" w:eastAsia="宋体" w:cs="宋体"/>
                <w:sz w:val="21"/>
                <w:szCs w:val="21"/>
                <w:highlight w:val="none"/>
              </w:rPr>
            </w:pPr>
          </w:p>
        </w:tc>
      </w:tr>
      <w:tr w14:paraId="0FD0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200CEE8B">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7BDE009">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17、投标银行纳税情况（3分）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0DFC17A">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①在余杭区范围内进行税务登记并每月按期进行纳税申报的得1分。</w:t>
            </w:r>
          </w:p>
        </w:tc>
      </w:tr>
      <w:tr w14:paraId="67F56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290005BD">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6F3547">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7C2E05">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②在余杭区范围内进行房产税、土地使用税等地方税种或社保、工会经费、残保金等缴纳的得1分。</w:t>
            </w:r>
          </w:p>
        </w:tc>
      </w:tr>
      <w:tr w14:paraId="5637C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0417E6CD">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4ADF147">
            <w:pPr>
              <w:widowControl/>
              <w:wordWrap/>
              <w:bidi/>
              <w:adjustRightInd/>
              <w:snapToGrid/>
              <w:spacing w:line="312" w:lineRule="auto"/>
              <w:ind w:leftChars="100"/>
              <w:jc w:val="center"/>
              <w:rPr>
                <w:rFonts w:hint="eastAsia" w:ascii="宋体" w:hAnsi="宋体" w:eastAsia="宋体" w:cs="宋体"/>
                <w:sz w:val="21"/>
                <w:szCs w:val="21"/>
                <w:highlight w:val="none"/>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E32E14">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在余杭区范围内或省三分局缴纳的增值税和企业所得税金额之和从高到低排名（1分），第1名得该项满分，其余有效投标人本项得分按每递减一个名次扣减相应分值（相应分值=该项分值/有效的投标人数量 ）后的得分，金额为0不参与排名，得0分。</w:t>
            </w:r>
          </w:p>
        </w:tc>
      </w:tr>
      <w:tr w14:paraId="1F62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3E6F1397">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A31459">
            <w:pPr>
              <w:widowControl/>
              <w:wordWrap/>
              <w:autoSpaceDE w:val="0"/>
              <w:bidi/>
              <w:adjustRightInd/>
              <w:snapToGrid/>
              <w:spacing w:before="0" w:beforeAutospacing="0" w:after="0" w:afterAutospacing="0" w:line="312" w:lineRule="auto"/>
              <w:ind w:left="0" w:leftChars="0" w:right="0"/>
              <w:jc w:val="both"/>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18、首贷户、首办户拓展情况（5分）</w:t>
            </w: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E5517C1">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①根据上季末有效投标人对余杭区小微企业首贷户拓展户数从高到低排名（1.5分）</w:t>
            </w:r>
          </w:p>
        </w:tc>
        <w:tc>
          <w:tcPr>
            <w:tcW w:w="42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BD9B9B3">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第1名得该项满分，其余有效投标人本项得分按每递减一个名次扣减相应分值（相应分值=该项分值/有效的投标人数量 ）后的得分。为0或负数不参与排名，得0分。</w:t>
            </w:r>
          </w:p>
        </w:tc>
      </w:tr>
      <w:tr w14:paraId="1F10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E6C2ABF">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F6EBEE">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D6FB43">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②根据上季末有效投标人对余杭区首办户拓展户数从高到低排名（1.5分）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EF1E977">
            <w:pPr>
              <w:widowControl/>
              <w:wordWrap/>
              <w:adjustRightInd/>
              <w:snapToGrid/>
              <w:spacing w:line="312" w:lineRule="auto"/>
              <w:ind w:leftChars="100"/>
              <w:rPr>
                <w:rFonts w:hint="eastAsia" w:ascii="宋体" w:hAnsi="宋体" w:eastAsia="宋体" w:cs="宋体"/>
                <w:sz w:val="21"/>
                <w:szCs w:val="21"/>
                <w:highlight w:val="none"/>
              </w:rPr>
            </w:pPr>
          </w:p>
        </w:tc>
      </w:tr>
      <w:tr w14:paraId="72E97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609C4A83">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A343EE">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F70E7F">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③根据一个年度有效投标人对余杭区小微企业首贷户拓展户数占该投标人对余杭区小微企业新发放贷款户数的比例从高到低排名（1分）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0020EB">
            <w:pPr>
              <w:widowControl/>
              <w:wordWrap/>
              <w:adjustRightInd/>
              <w:snapToGrid/>
              <w:spacing w:line="312" w:lineRule="auto"/>
              <w:ind w:leftChars="100"/>
              <w:rPr>
                <w:rFonts w:hint="eastAsia" w:ascii="宋体" w:hAnsi="宋体" w:eastAsia="宋体" w:cs="宋体"/>
                <w:sz w:val="21"/>
                <w:szCs w:val="21"/>
                <w:highlight w:val="none"/>
              </w:rPr>
            </w:pPr>
          </w:p>
        </w:tc>
      </w:tr>
      <w:tr w14:paraId="1FDA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59"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50BEE4F2">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E91EA30">
            <w:pPr>
              <w:widowControl/>
              <w:wordWrap/>
              <w:adjustRightInd/>
              <w:snapToGrid/>
              <w:spacing w:line="312" w:lineRule="auto"/>
              <w:ind w:leftChars="100"/>
              <w:jc w:val="center"/>
              <w:rPr>
                <w:rFonts w:hint="eastAsia" w:ascii="宋体" w:hAnsi="宋体" w:eastAsia="宋体" w:cs="宋体"/>
                <w:sz w:val="21"/>
                <w:szCs w:val="21"/>
                <w:highlight w:val="none"/>
              </w:rPr>
            </w:pPr>
          </w:p>
        </w:tc>
        <w:tc>
          <w:tcPr>
            <w:tcW w:w="28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FD6A006">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sz w:val="21"/>
                <w:szCs w:val="21"/>
                <w:highlight w:val="none"/>
                <w:lang w:val="en-US"/>
              </w:rPr>
            </w:pPr>
            <w:r>
              <w:rPr>
                <w:rFonts w:hint="eastAsia" w:ascii="宋体" w:hAnsi="宋体" w:eastAsia="宋体" w:cs="宋体"/>
                <w:color w:val="000000"/>
                <w:spacing w:val="-6"/>
                <w:kern w:val="0"/>
                <w:sz w:val="21"/>
                <w:szCs w:val="21"/>
                <w:highlight w:val="none"/>
                <w:lang w:val="en-US" w:eastAsia="zh-CN" w:bidi="ar-SA"/>
              </w:rPr>
              <w:t>④根据一个年度有效投标人对余杭区首办户拓展户数占跨境人民币结算户数比例从高到低排名（1分）</w:t>
            </w:r>
          </w:p>
        </w:tc>
        <w:tc>
          <w:tcPr>
            <w:tcW w:w="4224"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7679A34">
            <w:pPr>
              <w:widowControl/>
              <w:wordWrap/>
              <w:adjustRightInd/>
              <w:snapToGrid/>
              <w:spacing w:line="312" w:lineRule="auto"/>
              <w:ind w:leftChars="100"/>
              <w:rPr>
                <w:rFonts w:hint="eastAsia" w:ascii="宋体" w:hAnsi="宋体" w:eastAsia="宋体" w:cs="宋体"/>
                <w:sz w:val="21"/>
                <w:szCs w:val="21"/>
                <w:highlight w:val="none"/>
              </w:rPr>
            </w:pPr>
          </w:p>
        </w:tc>
      </w:tr>
      <w:tr w14:paraId="6411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02228311">
            <w:pPr>
              <w:widowControl/>
              <w:wordWrap/>
              <w:autoSpaceDE w:val="0"/>
              <w:adjustRightInd/>
              <w:snapToGrid/>
              <w:spacing w:before="0" w:beforeAutospacing="0" w:after="0" w:afterAutospacing="0" w:line="312" w:lineRule="auto"/>
              <w:ind w:left="280" w:leftChars="100" w:right="0"/>
              <w:jc w:val="center"/>
              <w:textAlignment w:val="center"/>
              <w:rPr>
                <w:rFonts w:hint="default"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四、服务定制化指标（15分）</w:t>
            </w: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BC814BF">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0" w:leftChars="0" w:right="0" w:rightChars="0"/>
              <w:jc w:val="center"/>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sz w:val="21"/>
                <w:szCs w:val="21"/>
                <w:highlight w:val="none"/>
                <w:lang w:val="en-US" w:eastAsia="zh-CN"/>
              </w:rPr>
              <w:t>19、最低留存额（3分）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65CB4D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firstLine="0" w:firstLineChars="0"/>
              <w:jc w:val="left"/>
              <w:textAlignment w:val="center"/>
              <w:rPr>
                <w:rFonts w:hint="eastAsia" w:ascii="宋体" w:hAnsi="宋体" w:cs="宋体"/>
                <w:color w:val="000000"/>
                <w:spacing w:val="0"/>
                <w:kern w:val="0"/>
                <w:sz w:val="21"/>
                <w:szCs w:val="21"/>
                <w:highlight w:val="none"/>
                <w:lang w:val="en-US" w:eastAsia="zh-CN" w:bidi="ar-SA"/>
              </w:rPr>
            </w:pPr>
            <w:r>
              <w:rPr>
                <w:rFonts w:hint="eastAsia" w:ascii="宋体" w:hAnsi="宋体" w:cs="宋体"/>
                <w:color w:val="000000"/>
                <w:spacing w:val="0"/>
                <w:kern w:val="0"/>
                <w:sz w:val="21"/>
                <w:szCs w:val="21"/>
                <w:highlight w:val="none"/>
                <w:lang w:val="en-US" w:eastAsia="zh-CN" w:bidi="ar-SA"/>
              </w:rPr>
              <w:t>根据投标人承诺的最低留存额进行打分：</w:t>
            </w:r>
          </w:p>
          <w:p w14:paraId="2E99FA54">
            <w:pPr>
              <w:widowControl/>
              <w:autoSpaceDE w:val="0"/>
              <w:spacing w:line="312" w:lineRule="auto"/>
              <w:ind w:leftChars="100"/>
              <w:jc w:val="left"/>
              <w:textAlignment w:val="center"/>
              <w:rPr>
                <w:rFonts w:hint="eastAsia" w:ascii="宋体" w:hAnsi="宋体" w:cs="宋体"/>
                <w:color w:val="000000"/>
                <w:spacing w:val="0"/>
                <w:kern w:val="0"/>
                <w:sz w:val="21"/>
                <w:szCs w:val="21"/>
                <w:highlight w:val="none"/>
                <w:lang w:val="en-US" w:eastAsia="zh-CN" w:bidi="ar-SA"/>
              </w:rPr>
            </w:pPr>
            <w:r>
              <w:rPr>
                <w:rFonts w:hint="eastAsia" w:ascii="宋体" w:hAnsi="宋体" w:cs="宋体"/>
                <w:color w:val="000000"/>
                <w:spacing w:val="0"/>
                <w:kern w:val="0"/>
                <w:sz w:val="21"/>
                <w:szCs w:val="21"/>
                <w:highlight w:val="none"/>
                <w:lang w:val="en-US" w:eastAsia="zh-CN" w:bidi="ar-SA"/>
              </w:rPr>
              <w:t>0-10万（含）3分；</w:t>
            </w:r>
          </w:p>
          <w:p w14:paraId="7ACC0DF7">
            <w:pPr>
              <w:widowControl/>
              <w:autoSpaceDE w:val="0"/>
              <w:spacing w:line="312" w:lineRule="auto"/>
              <w:ind w:leftChars="100"/>
              <w:jc w:val="left"/>
              <w:textAlignment w:val="center"/>
              <w:rPr>
                <w:rFonts w:hint="eastAsia" w:ascii="宋体" w:hAnsi="宋体" w:cs="宋体"/>
                <w:color w:val="000000"/>
                <w:spacing w:val="0"/>
                <w:kern w:val="0"/>
                <w:sz w:val="21"/>
                <w:szCs w:val="21"/>
                <w:highlight w:val="none"/>
                <w:lang w:val="en-US" w:eastAsia="zh-CN" w:bidi="ar-SA"/>
              </w:rPr>
            </w:pPr>
            <w:r>
              <w:rPr>
                <w:rFonts w:hint="eastAsia" w:ascii="宋体" w:hAnsi="宋体" w:cs="宋体"/>
                <w:color w:val="000000"/>
                <w:spacing w:val="0"/>
                <w:kern w:val="0"/>
                <w:sz w:val="21"/>
                <w:szCs w:val="21"/>
                <w:highlight w:val="none"/>
                <w:lang w:val="en-US" w:eastAsia="zh-CN" w:bidi="ar-SA"/>
              </w:rPr>
              <w:t>10万-30万（含）2分；</w:t>
            </w:r>
          </w:p>
          <w:p w14:paraId="33D8988D">
            <w:pPr>
              <w:widowControl/>
              <w:autoSpaceDE w:val="0"/>
              <w:spacing w:line="312" w:lineRule="auto"/>
              <w:ind w:leftChars="100"/>
              <w:jc w:val="left"/>
              <w:textAlignment w:val="center"/>
              <w:rPr>
                <w:rFonts w:hint="eastAsia" w:ascii="宋体" w:hAnsi="宋体" w:cs="宋体"/>
                <w:color w:val="000000"/>
                <w:spacing w:val="0"/>
                <w:kern w:val="0"/>
                <w:sz w:val="21"/>
                <w:szCs w:val="21"/>
                <w:highlight w:val="none"/>
                <w:lang w:val="en-US" w:eastAsia="zh-CN" w:bidi="ar-SA"/>
              </w:rPr>
            </w:pPr>
            <w:r>
              <w:rPr>
                <w:rFonts w:hint="eastAsia" w:ascii="宋体" w:hAnsi="宋体" w:cs="宋体"/>
                <w:color w:val="000000"/>
                <w:spacing w:val="0"/>
                <w:kern w:val="0"/>
                <w:sz w:val="21"/>
                <w:szCs w:val="21"/>
                <w:highlight w:val="none"/>
                <w:lang w:val="en-US" w:eastAsia="zh-CN" w:bidi="ar-SA"/>
              </w:rPr>
              <w:t>30万-50万（含）1分；</w:t>
            </w:r>
          </w:p>
          <w:p w14:paraId="1DBEE36C">
            <w:pPr>
              <w:widowControl/>
              <w:autoSpaceDE w:val="0"/>
              <w:spacing w:line="312" w:lineRule="auto"/>
              <w:ind w:leftChars="100"/>
              <w:jc w:val="left"/>
              <w:textAlignment w:val="center"/>
              <w:rPr>
                <w:rFonts w:hint="eastAsia" w:ascii="宋体" w:hAnsi="宋体" w:cs="宋体"/>
                <w:color w:val="000000"/>
                <w:spacing w:val="0"/>
                <w:kern w:val="0"/>
                <w:sz w:val="21"/>
                <w:szCs w:val="21"/>
                <w:highlight w:val="none"/>
                <w:lang w:val="en-US" w:eastAsia="zh-CN" w:bidi="ar-SA"/>
              </w:rPr>
            </w:pPr>
            <w:r>
              <w:rPr>
                <w:rFonts w:hint="eastAsia" w:ascii="宋体" w:hAnsi="宋体" w:cs="宋体"/>
                <w:color w:val="000000"/>
                <w:spacing w:val="0"/>
                <w:kern w:val="0"/>
                <w:sz w:val="21"/>
                <w:szCs w:val="21"/>
                <w:highlight w:val="none"/>
                <w:lang w:val="en-US" w:eastAsia="zh-CN" w:bidi="ar-SA"/>
              </w:rPr>
              <w:t>50万以上不得分；</w:t>
            </w:r>
          </w:p>
          <w:p w14:paraId="3325FB2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rightChars="0"/>
              <w:jc w:val="left"/>
              <w:textAlignment w:val="center"/>
              <w:rPr>
                <w:rFonts w:hint="default" w:ascii="宋体" w:hAnsi="宋体" w:eastAsia="宋体" w:cs="宋体"/>
                <w:color w:val="000000"/>
                <w:spacing w:val="-6"/>
                <w:kern w:val="0"/>
                <w:sz w:val="21"/>
                <w:szCs w:val="21"/>
                <w:highlight w:val="none"/>
                <w:lang w:val="en-US" w:eastAsia="zh-CN" w:bidi="ar-SA"/>
              </w:rPr>
            </w:pPr>
            <w:r>
              <w:rPr>
                <w:rFonts w:hint="eastAsia" w:ascii="宋体" w:hAnsi="宋体" w:cs="宋体"/>
                <w:b/>
                <w:bCs/>
                <w:color w:val="000000"/>
                <w:spacing w:val="0"/>
                <w:kern w:val="0"/>
                <w:sz w:val="21"/>
                <w:szCs w:val="21"/>
                <w:highlight w:val="none"/>
                <w:lang w:val="en-US" w:eastAsia="zh-CN" w:bidi="ar-SA"/>
              </w:rPr>
              <w:t>提供承诺函并加盖公章，格式自拟。不提供不得分。</w:t>
            </w:r>
          </w:p>
        </w:tc>
      </w:tr>
      <w:tr w14:paraId="32AF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3E995C46">
            <w:pPr>
              <w:widowControl/>
              <w:wordWrap/>
              <w:autoSpaceDE w:val="0"/>
              <w:adjustRightInd/>
              <w:snapToGrid/>
              <w:spacing w:before="0" w:beforeAutospacing="0" w:after="0" w:afterAutospacing="0" w:line="312" w:lineRule="auto"/>
              <w:ind w:left="280" w:leftChars="100" w:right="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123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1844711">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0" w:leftChars="0" w:right="0" w:rightChars="0"/>
              <w:jc w:val="center"/>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rPr>
              <w:t>对账服务</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3分）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16715C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rightChars="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kern w:val="0"/>
                <w:sz w:val="21"/>
                <w:szCs w:val="21"/>
                <w:highlight w:val="none"/>
                <w:lang w:eastAsia="zh-CN"/>
              </w:rPr>
              <w:t>①</w:t>
            </w:r>
            <w:r>
              <w:rPr>
                <w:rFonts w:hint="eastAsia" w:ascii="宋体" w:hAnsi="宋体" w:eastAsia="宋体" w:cs="宋体"/>
                <w:color w:val="000000"/>
                <w:kern w:val="0"/>
                <w:sz w:val="21"/>
                <w:szCs w:val="21"/>
                <w:highlight w:val="none"/>
              </w:rPr>
              <w:t>承诺提供柜面、网上、电话等</w:t>
            </w:r>
            <w:r>
              <w:rPr>
                <w:rFonts w:hint="eastAsia" w:ascii="宋体" w:hAnsi="宋体" w:eastAsia="宋体" w:cs="宋体"/>
                <w:color w:val="000000"/>
                <w:sz w:val="21"/>
                <w:szCs w:val="21"/>
                <w:highlight w:val="none"/>
              </w:rPr>
              <w:t>对账</w:t>
            </w:r>
            <w:r>
              <w:rPr>
                <w:rFonts w:hint="eastAsia" w:ascii="宋体" w:hAnsi="宋体" w:eastAsia="宋体" w:cs="宋体"/>
                <w:color w:val="000000"/>
                <w:kern w:val="0"/>
                <w:sz w:val="21"/>
                <w:szCs w:val="21"/>
                <w:highlight w:val="none"/>
              </w:rPr>
              <w:t>查询服务得</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分</w:t>
            </w:r>
            <w:r>
              <w:rPr>
                <w:rFonts w:hint="eastAsia" w:ascii="宋体" w:hAnsi="宋体" w:eastAsia="宋体" w:cs="宋体"/>
                <w:color w:val="000000"/>
                <w:kern w:val="0"/>
                <w:sz w:val="21"/>
                <w:szCs w:val="21"/>
                <w:highlight w:val="none"/>
                <w:lang w:eastAsia="zh-CN"/>
              </w:rPr>
              <w:t>。</w:t>
            </w:r>
            <w:r>
              <w:rPr>
                <w:rFonts w:hint="eastAsia" w:ascii="宋体" w:hAnsi="宋体" w:eastAsia="宋体" w:cs="宋体"/>
                <w:b/>
                <w:bCs/>
                <w:color w:val="000000"/>
                <w:sz w:val="21"/>
                <w:szCs w:val="21"/>
                <w:highlight w:val="none"/>
                <w:lang w:eastAsia="zh-CN"/>
              </w:rPr>
              <w:t>投标人</w:t>
            </w:r>
            <w:r>
              <w:rPr>
                <w:rFonts w:hint="eastAsia" w:ascii="宋体" w:hAnsi="宋体" w:eastAsia="宋体" w:cs="宋体"/>
                <w:b/>
                <w:bCs/>
                <w:color w:val="000000"/>
                <w:kern w:val="0"/>
                <w:sz w:val="21"/>
                <w:szCs w:val="21"/>
                <w:highlight w:val="none"/>
                <w:lang w:val="en-US" w:eastAsia="zh-CN"/>
              </w:rPr>
              <w:t>须</w:t>
            </w:r>
            <w:r>
              <w:rPr>
                <w:rFonts w:hint="eastAsia" w:ascii="宋体" w:hAnsi="宋体" w:eastAsia="宋体" w:cs="宋体"/>
                <w:b/>
                <w:bCs/>
                <w:color w:val="000000"/>
                <w:sz w:val="21"/>
                <w:szCs w:val="21"/>
                <w:highlight w:val="none"/>
                <w:lang w:val="en-US" w:eastAsia="zh-CN"/>
              </w:rPr>
              <w:t>提供承诺书</w:t>
            </w:r>
            <w:r>
              <w:rPr>
                <w:rFonts w:hint="eastAsia" w:ascii="宋体" w:hAnsi="宋体" w:eastAsia="宋体" w:cs="宋体"/>
                <w:b/>
                <w:bCs/>
                <w:color w:val="000000"/>
                <w:kern w:val="0"/>
                <w:sz w:val="21"/>
                <w:szCs w:val="21"/>
                <w:highlight w:val="none"/>
                <w:lang w:val="en-US" w:eastAsia="zh-CN"/>
              </w:rPr>
              <w:t>，不提供不得分</w:t>
            </w:r>
            <w:r>
              <w:rPr>
                <w:rFonts w:hint="eastAsia" w:ascii="宋体" w:hAnsi="宋体" w:cs="宋体"/>
                <w:b/>
                <w:bCs/>
                <w:color w:val="000000"/>
                <w:kern w:val="0"/>
                <w:sz w:val="21"/>
                <w:szCs w:val="21"/>
                <w:highlight w:val="none"/>
                <w:lang w:val="en-US" w:eastAsia="zh-CN"/>
              </w:rPr>
              <w:t>。</w:t>
            </w:r>
          </w:p>
        </w:tc>
      </w:tr>
      <w:tr w14:paraId="2DC5B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083FCA17">
            <w:pPr>
              <w:widowControl/>
              <w:wordWrap/>
              <w:autoSpaceDE w:val="0"/>
              <w:adjustRightInd/>
              <w:snapToGrid/>
              <w:spacing w:before="0" w:beforeAutospacing="0" w:after="0" w:afterAutospacing="0" w:line="312" w:lineRule="auto"/>
              <w:ind w:left="280" w:leftChars="100" w:right="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123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251EBB1">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280" w:leftChars="100" w:right="0" w:rightChars="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86115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80" w:leftChars="100" w:right="0" w:rightChars="0"/>
              <w:jc w:val="left"/>
              <w:textAlignment w:val="auto"/>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②</w:t>
            </w:r>
            <w:r>
              <w:rPr>
                <w:rFonts w:hint="eastAsia" w:ascii="宋体" w:hAnsi="宋体" w:eastAsia="宋体" w:cs="宋体"/>
                <w:color w:val="000000"/>
                <w:sz w:val="21"/>
                <w:szCs w:val="21"/>
                <w:highlight w:val="none"/>
              </w:rPr>
              <w:t>投标文件具有实质性优惠内容，且实质性优惠内容具有可实施性及合理性进行打分</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0.5-1分）；不提供</w:t>
            </w:r>
            <w:r>
              <w:rPr>
                <w:rFonts w:hint="eastAsia" w:ascii="宋体" w:hAnsi="宋体" w:eastAsia="宋体" w:cs="宋体"/>
                <w:color w:val="000000"/>
                <w:sz w:val="21"/>
                <w:szCs w:val="21"/>
                <w:highlight w:val="none"/>
              </w:rPr>
              <w:t>不得分</w:t>
            </w:r>
            <w:r>
              <w:rPr>
                <w:rFonts w:hint="eastAsia" w:ascii="宋体" w:hAnsi="宋体" w:eastAsia="宋体" w:cs="宋体"/>
                <w:color w:val="000000"/>
                <w:sz w:val="21"/>
                <w:szCs w:val="21"/>
                <w:highlight w:val="none"/>
                <w:lang w:eastAsia="zh-CN"/>
              </w:rPr>
              <w:t>。</w:t>
            </w:r>
          </w:p>
        </w:tc>
      </w:tr>
      <w:tr w14:paraId="01E29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1929427E">
            <w:pPr>
              <w:widowControl/>
              <w:wordWrap/>
              <w:autoSpaceDE w:val="0"/>
              <w:adjustRightInd/>
              <w:snapToGrid/>
              <w:spacing w:before="0" w:beforeAutospacing="0" w:after="0" w:afterAutospacing="0" w:line="312" w:lineRule="auto"/>
              <w:ind w:left="280" w:leftChars="100" w:right="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B3E627">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0" w:leftChars="0" w:right="0" w:rightChars="0"/>
              <w:jc w:val="center"/>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21、</w:t>
            </w:r>
            <w:r>
              <w:rPr>
                <w:rFonts w:hint="eastAsia" w:ascii="宋体" w:hAnsi="宋体" w:eastAsia="宋体" w:cs="宋体"/>
                <w:color w:val="000000"/>
                <w:kern w:val="0"/>
                <w:sz w:val="21"/>
                <w:szCs w:val="21"/>
                <w:highlight w:val="none"/>
                <w:lang w:val="en-US" w:eastAsia="zh-CN"/>
              </w:rPr>
              <w:t>服务方案</w:t>
            </w:r>
            <w:r>
              <w:rPr>
                <w:rFonts w:hint="eastAsia" w:ascii="宋体" w:hAnsi="宋体" w:cs="宋体"/>
                <w:color w:val="000000"/>
                <w:kern w:val="0"/>
                <w:sz w:val="21"/>
                <w:szCs w:val="21"/>
                <w:highlight w:val="none"/>
                <w:lang w:val="en-US" w:eastAsia="zh-CN"/>
              </w:rPr>
              <w:t>（2分）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814803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rightChars="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rPr>
              <w:t>投标人根据招标人的日常资金存放与结算</w:t>
            </w:r>
            <w:r>
              <w:rPr>
                <w:rFonts w:hint="eastAsia" w:ascii="宋体" w:hAnsi="宋体" w:cs="宋体"/>
                <w:color w:val="000000"/>
                <w:kern w:val="0"/>
                <w:sz w:val="21"/>
                <w:szCs w:val="21"/>
                <w:highlight w:val="none"/>
                <w:lang w:val="en-US" w:eastAsia="zh-CN"/>
              </w:rPr>
              <w:t>的</w:t>
            </w:r>
            <w:r>
              <w:rPr>
                <w:rFonts w:hint="eastAsia" w:ascii="宋体" w:hAnsi="宋体" w:eastAsia="宋体" w:cs="宋体"/>
                <w:color w:val="000000"/>
                <w:kern w:val="0"/>
                <w:sz w:val="21"/>
                <w:szCs w:val="21"/>
                <w:highlight w:val="none"/>
                <w:lang w:val="en-US" w:eastAsia="zh-CN"/>
              </w:rPr>
              <w:t>服务方案</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进行</w:t>
            </w:r>
            <w:r>
              <w:rPr>
                <w:rFonts w:hint="eastAsia" w:ascii="宋体" w:hAnsi="宋体" w:cs="宋体"/>
                <w:color w:val="000000"/>
                <w:kern w:val="0"/>
                <w:sz w:val="21"/>
                <w:szCs w:val="21"/>
                <w:highlight w:val="none"/>
                <w:lang w:val="en-US" w:eastAsia="zh-CN"/>
              </w:rPr>
              <w:t>综合评分</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val="en-US" w:eastAsia="zh-CN"/>
              </w:rPr>
              <w:t>分）</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包括不限于：是否专设客户经理并提供上门服务，以及特色服务内容是否有针对性</w:t>
            </w:r>
            <w:r>
              <w:rPr>
                <w:rFonts w:hint="eastAsia" w:ascii="宋体" w:hAnsi="宋体" w:cs="宋体"/>
                <w:color w:val="000000"/>
                <w:kern w:val="0"/>
                <w:sz w:val="21"/>
                <w:szCs w:val="21"/>
                <w:highlight w:val="none"/>
                <w:lang w:val="en-US" w:eastAsia="zh-CN"/>
              </w:rPr>
              <w:t>等；不提供不得分。</w:t>
            </w:r>
          </w:p>
        </w:tc>
      </w:tr>
      <w:tr w14:paraId="76027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continue"/>
            <w:tcBorders>
              <w:left w:val="single" w:color="000000" w:sz="4" w:space="0"/>
              <w:right w:val="single" w:color="000000" w:sz="4" w:space="0"/>
            </w:tcBorders>
            <w:tcMar>
              <w:top w:w="15" w:type="dxa"/>
              <w:left w:w="15" w:type="dxa"/>
              <w:bottom w:w="15" w:type="dxa"/>
              <w:right w:w="15" w:type="dxa"/>
            </w:tcMar>
            <w:vAlign w:val="center"/>
          </w:tcPr>
          <w:p w14:paraId="34909544">
            <w:pPr>
              <w:widowControl/>
              <w:wordWrap/>
              <w:autoSpaceDE w:val="0"/>
              <w:adjustRightInd/>
              <w:snapToGrid/>
              <w:spacing w:before="0" w:beforeAutospacing="0" w:after="0" w:afterAutospacing="0" w:line="312" w:lineRule="auto"/>
              <w:ind w:left="280" w:leftChars="100" w:right="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B81B8D4">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0" w:leftChars="0" w:right="0" w:rightChars="0"/>
              <w:jc w:val="center"/>
              <w:textAlignment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22、</w:t>
            </w:r>
            <w:r>
              <w:rPr>
                <w:rFonts w:hint="eastAsia" w:ascii="宋体" w:hAnsi="宋体" w:eastAsia="宋体" w:cs="宋体"/>
                <w:color w:val="000000"/>
                <w:kern w:val="0"/>
                <w:sz w:val="21"/>
                <w:szCs w:val="21"/>
                <w:highlight w:val="none"/>
              </w:rPr>
              <w:t>储户风险保障方案</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2分）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83F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80" w:leftChars="100" w:right="0" w:right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根据投标人对招标人资金的安全保障方案规范性和合理性</w:t>
            </w:r>
            <w:r>
              <w:rPr>
                <w:rFonts w:hint="eastAsia" w:ascii="宋体" w:hAnsi="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方案完善</w:t>
            </w:r>
            <w:r>
              <w:rPr>
                <w:rFonts w:hint="eastAsia" w:ascii="宋体" w:hAnsi="宋体" w:eastAsia="宋体" w:cs="宋体"/>
                <w:color w:val="000000"/>
                <w:kern w:val="0"/>
                <w:sz w:val="21"/>
                <w:szCs w:val="21"/>
                <w:highlight w:val="none"/>
                <w:lang w:eastAsia="zh-CN"/>
              </w:rPr>
              <w:t>度以及</w:t>
            </w:r>
            <w:r>
              <w:rPr>
                <w:rFonts w:hint="eastAsia" w:ascii="宋体" w:hAnsi="宋体" w:eastAsia="宋体" w:cs="宋体"/>
                <w:color w:val="000000"/>
                <w:kern w:val="0"/>
                <w:sz w:val="21"/>
                <w:szCs w:val="21"/>
                <w:highlight w:val="none"/>
              </w:rPr>
              <w:t>数据安全保障情况、操作流程是否清晰、便捷，</w:t>
            </w:r>
            <w:r>
              <w:rPr>
                <w:rFonts w:hint="eastAsia" w:ascii="宋体" w:hAnsi="宋体" w:cs="宋体"/>
                <w:color w:val="000000"/>
                <w:kern w:val="0"/>
                <w:sz w:val="21"/>
                <w:szCs w:val="21"/>
                <w:highlight w:val="none"/>
                <w:lang w:val="en-US" w:eastAsia="zh-CN"/>
              </w:rPr>
              <w:t>密钥</w:t>
            </w:r>
            <w:r>
              <w:rPr>
                <w:rFonts w:hint="eastAsia" w:ascii="宋体" w:hAnsi="宋体" w:eastAsia="宋体" w:cs="宋体"/>
                <w:color w:val="000000"/>
                <w:kern w:val="0"/>
                <w:sz w:val="21"/>
                <w:szCs w:val="21"/>
                <w:highlight w:val="none"/>
              </w:rPr>
              <w:t>等远程操作的安全性</w:t>
            </w:r>
            <w:r>
              <w:rPr>
                <w:rFonts w:hint="eastAsia" w:ascii="宋体" w:hAnsi="宋体" w:cs="宋体"/>
                <w:color w:val="000000"/>
                <w:kern w:val="0"/>
                <w:sz w:val="21"/>
                <w:szCs w:val="21"/>
                <w:highlight w:val="none"/>
                <w:lang w:val="en-US" w:eastAsia="zh-CN"/>
              </w:rPr>
              <w:t>和</w:t>
            </w:r>
            <w:r>
              <w:rPr>
                <w:rFonts w:hint="eastAsia" w:ascii="宋体" w:hAnsi="宋体" w:eastAsia="宋体" w:cs="宋体"/>
                <w:color w:val="000000"/>
                <w:kern w:val="0"/>
                <w:sz w:val="21"/>
                <w:szCs w:val="21"/>
                <w:highlight w:val="none"/>
              </w:rPr>
              <w:t>便捷</w:t>
            </w:r>
            <w:r>
              <w:rPr>
                <w:rFonts w:hint="eastAsia" w:ascii="宋体" w:hAnsi="宋体" w:cs="宋体"/>
                <w:color w:val="000000"/>
                <w:kern w:val="0"/>
                <w:sz w:val="21"/>
                <w:szCs w:val="21"/>
                <w:highlight w:val="none"/>
                <w:lang w:val="en-US" w:eastAsia="zh-CN"/>
              </w:rPr>
              <w:t>性，进行综合评分</w:t>
            </w:r>
            <w:r>
              <w:rPr>
                <w:rFonts w:hint="eastAsia" w:ascii="宋体" w:hAnsi="宋体" w:eastAsia="宋体" w:cs="宋体"/>
                <w:kern w:val="0"/>
                <w:sz w:val="21"/>
                <w:szCs w:val="21"/>
                <w:highlight w:val="none"/>
                <w:lang w:eastAsia="zh-CN"/>
              </w:rPr>
              <w:t>（</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lang w:val="en-US" w:eastAsia="zh-CN"/>
              </w:rPr>
              <w:t>分）</w:t>
            </w:r>
            <w:r>
              <w:rPr>
                <w:rFonts w:hint="eastAsia" w:ascii="宋体" w:hAnsi="宋体" w:cs="宋体"/>
                <w:color w:val="000000"/>
                <w:kern w:val="0"/>
                <w:sz w:val="21"/>
                <w:szCs w:val="21"/>
                <w:highlight w:val="none"/>
                <w:lang w:val="en-US" w:eastAsia="zh-CN"/>
              </w:rPr>
              <w:t>；</w:t>
            </w:r>
            <w:r>
              <w:rPr>
                <w:rFonts w:hint="eastAsia" w:ascii="宋体" w:hAnsi="宋体" w:cs="宋体"/>
                <w:kern w:val="0"/>
                <w:sz w:val="21"/>
                <w:szCs w:val="21"/>
                <w:highlight w:val="none"/>
                <w:lang w:val="en-US" w:eastAsia="zh-CN"/>
              </w:rPr>
              <w:t>不提供不得分。</w:t>
            </w:r>
          </w:p>
        </w:tc>
      </w:tr>
      <w:tr w14:paraId="2E37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159"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66F1AB94">
            <w:pPr>
              <w:widowControl/>
              <w:wordWrap/>
              <w:autoSpaceDE w:val="0"/>
              <w:adjustRightInd/>
              <w:snapToGrid/>
              <w:spacing w:before="0" w:beforeAutospacing="0" w:after="0" w:afterAutospacing="0" w:line="312" w:lineRule="auto"/>
              <w:ind w:left="280" w:leftChars="100" w:right="0"/>
              <w:jc w:val="center"/>
              <w:textAlignment w:val="center"/>
              <w:rPr>
                <w:rFonts w:hint="eastAsia" w:ascii="宋体" w:hAnsi="宋体" w:eastAsia="宋体" w:cs="宋体"/>
                <w:color w:val="000000"/>
                <w:spacing w:val="-6"/>
                <w:kern w:val="0"/>
                <w:sz w:val="21"/>
                <w:szCs w:val="21"/>
                <w:highlight w:val="none"/>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6635BCC">
            <w:pPr>
              <w:keepNext w:val="0"/>
              <w:keepLines w:val="0"/>
              <w:pageBreakBefore w:val="0"/>
              <w:widowControl/>
              <w:suppressLineNumbers w:val="0"/>
              <w:kinsoku/>
              <w:wordWrap/>
              <w:overflowPunct/>
              <w:topLinePunct w:val="0"/>
              <w:autoSpaceDE w:val="0"/>
              <w:autoSpaceDN/>
              <w:bidi/>
              <w:adjustRightInd/>
              <w:snapToGrid/>
              <w:spacing w:before="0" w:beforeAutospacing="0" w:after="0" w:afterAutospacing="0" w:line="312" w:lineRule="auto"/>
              <w:ind w:left="0" w:leftChars="0" w:right="0" w:rightChars="0"/>
              <w:jc w:val="center"/>
              <w:textAlignment w:val="center"/>
              <w:rPr>
                <w:rFonts w:hint="eastAsia" w:ascii="宋体" w:hAnsi="宋体" w:cs="宋体"/>
                <w:color w:val="000000"/>
                <w:kern w:val="0"/>
                <w:sz w:val="21"/>
                <w:szCs w:val="21"/>
                <w:highlight w:val="yellow"/>
                <w:lang w:val="en-US" w:eastAsia="zh-CN"/>
              </w:rPr>
            </w:pPr>
            <w:r>
              <w:rPr>
                <w:rFonts w:hint="eastAsia" w:ascii="宋体" w:hAnsi="宋体" w:cs="宋体"/>
                <w:color w:val="000000"/>
                <w:spacing w:val="-6"/>
                <w:kern w:val="0"/>
                <w:sz w:val="21"/>
                <w:szCs w:val="21"/>
                <w:highlight w:val="none"/>
                <w:lang w:val="en-US" w:eastAsia="zh-CN" w:bidi="ar-SA"/>
              </w:rPr>
              <w:t>23、</w:t>
            </w:r>
            <w:r>
              <w:rPr>
                <w:rFonts w:hint="eastAsia" w:ascii="宋体" w:hAnsi="宋体" w:eastAsia="宋体" w:cs="宋体"/>
                <w:color w:val="000000"/>
                <w:spacing w:val="-6"/>
                <w:kern w:val="0"/>
                <w:sz w:val="21"/>
                <w:szCs w:val="21"/>
                <w:highlight w:val="none"/>
                <w:lang w:val="en-US" w:eastAsia="zh-CN" w:bidi="ar-SA"/>
              </w:rPr>
              <w:t>服务费用减免情况（</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w:t>
            </w:r>
          </w:p>
        </w:tc>
        <w:tc>
          <w:tcPr>
            <w:tcW w:w="705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D5BE8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rightChars="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银行的各项服务费用（含询证费用</w:t>
            </w:r>
            <w:r>
              <w:rPr>
                <w:rFonts w:hint="eastAsia" w:ascii="宋体" w:hAnsi="宋体" w:cs="宋体"/>
                <w:color w:val="000000"/>
                <w:spacing w:val="-6"/>
                <w:kern w:val="0"/>
                <w:sz w:val="21"/>
                <w:szCs w:val="21"/>
                <w:highlight w:val="none"/>
                <w:lang w:val="en-US" w:eastAsia="zh-CN" w:bidi="ar-SA"/>
              </w:rPr>
              <w:t>、账户查询服务费、加急转账收费、自助打印回单手续费、网上银行结算手续费、跨行转账手续费、短信服务费</w:t>
            </w:r>
            <w:r>
              <w:rPr>
                <w:rFonts w:hint="eastAsia" w:ascii="宋体" w:hAnsi="宋体" w:eastAsia="宋体" w:cs="宋体"/>
                <w:color w:val="000000"/>
                <w:spacing w:val="-6"/>
                <w:kern w:val="0"/>
                <w:sz w:val="21"/>
                <w:szCs w:val="21"/>
                <w:highlight w:val="none"/>
                <w:lang w:val="en-US" w:eastAsia="zh-CN" w:bidi="ar-SA"/>
              </w:rPr>
              <w:t>）全免（含已经不收费的）得</w:t>
            </w:r>
            <w:r>
              <w:rPr>
                <w:rFonts w:hint="eastAsia" w:ascii="宋体" w:hAnsi="宋体" w:cs="宋体"/>
                <w:color w:val="000000"/>
                <w:spacing w:val="-6"/>
                <w:kern w:val="0"/>
                <w:sz w:val="21"/>
                <w:szCs w:val="21"/>
                <w:highlight w:val="none"/>
                <w:lang w:val="en-US" w:eastAsia="zh-CN" w:bidi="ar-SA"/>
              </w:rPr>
              <w:t>5</w:t>
            </w:r>
            <w:r>
              <w:rPr>
                <w:rFonts w:hint="eastAsia" w:ascii="宋体" w:hAnsi="宋体" w:eastAsia="宋体" w:cs="宋体"/>
                <w:color w:val="000000"/>
                <w:spacing w:val="-6"/>
                <w:kern w:val="0"/>
                <w:sz w:val="21"/>
                <w:szCs w:val="21"/>
                <w:highlight w:val="none"/>
                <w:lang w:val="en-US" w:eastAsia="zh-CN" w:bidi="ar-SA"/>
              </w:rPr>
              <w:t>分，每收取1项扣</w:t>
            </w:r>
            <w:r>
              <w:rPr>
                <w:rFonts w:hint="eastAsia" w:ascii="宋体" w:hAnsi="宋体" w:cs="宋体"/>
                <w:color w:val="000000"/>
                <w:spacing w:val="-6"/>
                <w:kern w:val="0"/>
                <w:sz w:val="21"/>
                <w:szCs w:val="21"/>
                <w:highlight w:val="none"/>
                <w:lang w:val="en-US" w:eastAsia="zh-CN" w:bidi="ar-SA"/>
              </w:rPr>
              <w:t>1</w:t>
            </w:r>
            <w:r>
              <w:rPr>
                <w:rFonts w:hint="eastAsia" w:ascii="宋体" w:hAnsi="宋体" w:eastAsia="宋体" w:cs="宋体"/>
                <w:color w:val="000000"/>
                <w:spacing w:val="-6"/>
                <w:kern w:val="0"/>
                <w:sz w:val="21"/>
                <w:szCs w:val="21"/>
                <w:highlight w:val="none"/>
                <w:lang w:val="en-US" w:eastAsia="zh-CN" w:bidi="ar-SA"/>
              </w:rPr>
              <w:t>分。</w:t>
            </w:r>
            <w:r>
              <w:rPr>
                <w:rFonts w:hint="eastAsia" w:ascii="宋体" w:hAnsi="宋体" w:cs="宋体"/>
                <w:color w:val="000000"/>
                <w:spacing w:val="-6"/>
                <w:kern w:val="0"/>
                <w:sz w:val="21"/>
                <w:szCs w:val="21"/>
                <w:highlight w:val="none"/>
                <w:lang w:val="en-US" w:eastAsia="zh-CN" w:bidi="ar-SA"/>
              </w:rPr>
              <w:t>扣完为止。</w:t>
            </w:r>
          </w:p>
          <w:p w14:paraId="0E02E7C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12" w:lineRule="auto"/>
              <w:ind w:left="280" w:leftChars="100" w:right="0" w:rightChars="0"/>
              <w:jc w:val="left"/>
              <w:textAlignment w:val="center"/>
              <w:rPr>
                <w:rFonts w:hint="eastAsia" w:ascii="宋体" w:hAnsi="宋体" w:eastAsia="宋体" w:cs="宋体"/>
                <w:color w:val="000000"/>
                <w:kern w:val="0"/>
                <w:sz w:val="21"/>
                <w:szCs w:val="21"/>
                <w:highlight w:val="yellow"/>
                <w:lang w:val="en-US" w:eastAsia="zh-CN"/>
              </w:rPr>
            </w:pPr>
            <w:r>
              <w:rPr>
                <w:rFonts w:hint="eastAsia" w:ascii="宋体" w:hAnsi="宋体" w:cs="宋体"/>
                <w:b/>
                <w:bCs/>
                <w:color w:val="000000"/>
                <w:spacing w:val="-6"/>
                <w:kern w:val="0"/>
                <w:sz w:val="21"/>
                <w:szCs w:val="21"/>
                <w:highlight w:val="none"/>
                <w:lang w:val="en-US" w:eastAsia="zh-CN" w:bidi="ar-SA"/>
              </w:rPr>
              <w:t>提供服务费用减免承诺书加盖公章，不提供不得分。</w:t>
            </w:r>
          </w:p>
        </w:tc>
      </w:tr>
      <w:tr w14:paraId="77ECC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944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3C29C7C">
            <w:pPr>
              <w:widowControl/>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备注：（1）以上贷款指标为零或负数的该项不得分；</w:t>
            </w:r>
          </w:p>
          <w:p w14:paraId="18A5D75E">
            <w:pPr>
              <w:widowControl/>
              <w:numPr>
                <w:ilvl w:val="2"/>
                <w:numId w:val="6"/>
              </w:numPr>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指标口径：余额按上季度末、增量按一个年度同比（有特殊要求除外），一个年度为指标收集所在季度的季末最后一日开始的过去一整个年度。</w:t>
            </w:r>
          </w:p>
          <w:p w14:paraId="468672F6">
            <w:pPr>
              <w:widowControl/>
              <w:numPr>
                <w:ilvl w:val="-1"/>
                <w:numId w:val="0"/>
              </w:numPr>
              <w:wordWrap/>
              <w:autoSpaceDE w:val="0"/>
              <w:adjustRightInd/>
              <w:snapToGrid/>
              <w:spacing w:before="0" w:beforeAutospacing="0" w:after="0" w:afterAutospacing="0" w:line="312" w:lineRule="auto"/>
              <w:ind w:left="0" w:leftChars="0" w:right="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cs="宋体"/>
                <w:color w:val="000000"/>
                <w:spacing w:val="-6"/>
                <w:kern w:val="0"/>
                <w:sz w:val="21"/>
                <w:szCs w:val="21"/>
                <w:highlight w:val="none"/>
                <w:lang w:val="en-US" w:eastAsia="zh-CN" w:bidi="ar-SA"/>
              </w:rPr>
              <w:t xml:space="preserve">  （3）</w:t>
            </w:r>
            <w:r>
              <w:rPr>
                <w:rFonts w:hint="eastAsia" w:ascii="宋体" w:hAnsi="宋体" w:eastAsia="宋体" w:cs="宋体"/>
                <w:color w:val="000000"/>
                <w:spacing w:val="-6"/>
                <w:kern w:val="0"/>
                <w:sz w:val="21"/>
                <w:szCs w:val="21"/>
                <w:highlight w:val="none"/>
                <w:lang w:val="en-US" w:eastAsia="zh-CN" w:bidi="ar-SA"/>
              </w:rPr>
              <w:t>数据相同的为同一名次，每递减一个名次，扣减的分值为“名次*该项分值/有效投标人数量”。“每递减一个名次”中“名次”操作示例：如某打分项有ABCDEFG共7个有效投标人，A排名第一，BC排名并列第二，D排名第三，EF排名并列第四，G排名第五；则A名次为第一，BC名次为第二，D名次为第四，EF名次为第五，G名次为第七；</w:t>
            </w:r>
          </w:p>
          <w:p w14:paraId="58B371D4">
            <w:pPr>
              <w:widowControl/>
              <w:numPr>
                <w:ilvl w:val="2"/>
                <w:numId w:val="0"/>
              </w:numPr>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color w:val="000000"/>
                <w:spacing w:val="-6"/>
                <w:kern w:val="0"/>
                <w:sz w:val="21"/>
                <w:szCs w:val="21"/>
                <w:highlight w:val="none"/>
                <w:lang w:val="en-US" w:eastAsia="zh-CN" w:bidi="ar-SA"/>
              </w:rPr>
            </w:pPr>
            <w:r>
              <w:rPr>
                <w:rFonts w:hint="eastAsia" w:ascii="宋体" w:hAnsi="宋体" w:eastAsia="宋体" w:cs="宋体"/>
                <w:color w:val="000000"/>
                <w:spacing w:val="-6"/>
                <w:kern w:val="0"/>
                <w:sz w:val="21"/>
                <w:szCs w:val="21"/>
                <w:highlight w:val="none"/>
                <w:lang w:val="en-US" w:eastAsia="zh-CN" w:bidi="ar-SA"/>
              </w:rPr>
              <w:t>（4）总得分相同的有效投标人，先比较经营状况得分情况，得分高的总名次列前，如再次同分的，比较对地方经济贡献得分情况，得分高的总名次列前。</w:t>
            </w:r>
          </w:p>
          <w:p w14:paraId="078D20FF">
            <w:pPr>
              <w:widowControl/>
              <w:numPr>
                <w:ilvl w:val="2"/>
                <w:numId w:val="0"/>
              </w:numPr>
              <w:wordWrap/>
              <w:autoSpaceDE w:val="0"/>
              <w:adjustRightInd/>
              <w:snapToGrid/>
              <w:spacing w:before="0" w:beforeAutospacing="0" w:after="0" w:afterAutospacing="0" w:line="312" w:lineRule="auto"/>
              <w:ind w:left="280" w:leftChars="100" w:right="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b/>
                <w:kern w:val="0"/>
                <w:sz w:val="21"/>
                <w:szCs w:val="21"/>
                <w:highlight w:val="none"/>
                <w:lang w:val="en-US" w:eastAsia="zh-CN" w:bidi="ar-SA"/>
              </w:rPr>
              <w:t>（5）除二级指标第1项①、第2项 ①、第3项、第5项①、第7项、 第8项、第15项③、第17项①、</w:t>
            </w:r>
            <w:r>
              <w:rPr>
                <w:rFonts w:hint="eastAsia" w:ascii="宋体" w:hAnsi="宋体" w:eastAsia="宋体" w:cs="宋体"/>
                <w:b/>
                <w:kern w:val="0"/>
                <w:sz w:val="21"/>
                <w:szCs w:val="21"/>
                <w:highlight w:val="none"/>
                <w:lang w:val="en-US" w:eastAsia="zh-CN" w:bidi="ar-SA"/>
              </w:rPr>
              <w:fldChar w:fldCharType="begin"/>
            </w:r>
            <w:r>
              <w:rPr>
                <w:rFonts w:hint="eastAsia" w:ascii="宋体" w:hAnsi="宋体" w:eastAsia="宋体" w:cs="宋体"/>
                <w:b/>
                <w:kern w:val="0"/>
                <w:sz w:val="21"/>
                <w:szCs w:val="21"/>
                <w:highlight w:val="none"/>
                <w:lang w:val="en-US" w:eastAsia="zh-CN" w:bidi="ar-SA"/>
              </w:rPr>
              <w:instrText xml:space="preserve"> = 2 \* GB3 \* MERGEFORMAT </w:instrText>
            </w:r>
            <w:r>
              <w:rPr>
                <w:rFonts w:hint="eastAsia" w:ascii="宋体" w:hAnsi="宋体" w:eastAsia="宋体" w:cs="宋体"/>
                <w:b/>
                <w:kern w:val="0"/>
                <w:sz w:val="21"/>
                <w:szCs w:val="21"/>
                <w:highlight w:val="none"/>
                <w:lang w:val="en-US" w:eastAsia="zh-CN" w:bidi="ar-SA"/>
              </w:rPr>
              <w:fldChar w:fldCharType="separate"/>
            </w:r>
            <w:r>
              <w:rPr>
                <w:rFonts w:hint="eastAsia" w:ascii="宋体" w:hAnsi="宋体" w:cs="宋体"/>
                <w:b/>
                <w:kern w:val="0"/>
                <w:sz w:val="21"/>
                <w:szCs w:val="21"/>
                <w:highlight w:val="none"/>
              </w:rPr>
              <w:t>②</w:t>
            </w:r>
            <w:r>
              <w:rPr>
                <w:rFonts w:hint="eastAsia" w:ascii="宋体" w:hAnsi="宋体" w:eastAsia="宋体" w:cs="宋体"/>
                <w:b/>
                <w:kern w:val="0"/>
                <w:sz w:val="21"/>
                <w:szCs w:val="21"/>
                <w:highlight w:val="none"/>
                <w:lang w:val="en-US" w:eastAsia="zh-CN" w:bidi="ar-SA"/>
              </w:rPr>
              <w:fldChar w:fldCharType="end"/>
            </w:r>
            <w:r>
              <w:rPr>
                <w:rFonts w:hint="eastAsia" w:ascii="宋体" w:hAnsi="宋体" w:eastAsia="宋体" w:cs="宋体"/>
                <w:b/>
                <w:kern w:val="0"/>
                <w:sz w:val="21"/>
                <w:szCs w:val="21"/>
                <w:highlight w:val="none"/>
                <w:lang w:val="en-US" w:eastAsia="zh-CN" w:bidi="ar-SA"/>
              </w:rPr>
              <w:t>及服务定制化指标应由投标人响应外，其他指标以财政局提供的相关数据为准，投标人无需提供。</w:t>
            </w:r>
          </w:p>
        </w:tc>
      </w:tr>
      <w:bookmarkEnd w:id="93"/>
      <w:bookmarkEnd w:id="94"/>
    </w:tbl>
    <w:p w14:paraId="4CFB58CA">
      <w:pPr>
        <w:pStyle w:val="36"/>
        <w:adjustRightInd w:val="0"/>
        <w:snapToGrid w:val="0"/>
        <w:spacing w:before="0"/>
        <w:ind w:firstLine="482"/>
        <w:rPr>
          <w:rFonts w:hint="eastAsia" w:ascii="宋体" w:hAnsi="宋体" w:eastAsia="宋体"/>
          <w:b/>
          <w:color w:val="000000"/>
          <w:szCs w:val="24"/>
          <w:highlight w:val="none"/>
          <w:lang w:val="en-US" w:eastAsia="zh-CN"/>
        </w:rPr>
      </w:pPr>
      <w:bookmarkStart w:id="96" w:name="_Toc15423"/>
      <w:r>
        <w:rPr>
          <w:rFonts w:hint="eastAsia" w:ascii="宋体" w:hAnsi="宋体"/>
          <w:b/>
          <w:color w:val="000000"/>
          <w:szCs w:val="24"/>
          <w:highlight w:val="none"/>
          <w:lang w:val="en-US" w:eastAsia="zh-CN"/>
        </w:rPr>
        <w:t>注：</w:t>
      </w:r>
    </w:p>
    <w:p w14:paraId="7E821422">
      <w:pPr>
        <w:pStyle w:val="36"/>
        <w:adjustRightInd w:val="0"/>
        <w:snapToGrid w:val="0"/>
        <w:spacing w:before="0"/>
        <w:ind w:firstLine="482"/>
        <w:rPr>
          <w:rFonts w:ascii="宋体" w:hAnsi="宋体"/>
          <w:b/>
          <w:color w:val="000000"/>
          <w:szCs w:val="24"/>
          <w:highlight w:val="none"/>
        </w:rPr>
      </w:pPr>
      <w:r>
        <w:rPr>
          <w:rFonts w:hint="eastAsia" w:ascii="宋体" w:hAnsi="宋体"/>
          <w:b/>
          <w:color w:val="000000"/>
          <w:szCs w:val="24"/>
          <w:highlight w:val="none"/>
        </w:rPr>
        <w:t>①以上各项计分四舍五入后最多保留两位小数，每项最低得0分；</w:t>
      </w:r>
    </w:p>
    <w:p w14:paraId="0D0DCF84">
      <w:pPr>
        <w:pStyle w:val="36"/>
        <w:adjustRightInd w:val="0"/>
        <w:snapToGrid w:val="0"/>
        <w:spacing w:before="0"/>
        <w:ind w:firstLine="482"/>
        <w:rPr>
          <w:rFonts w:hint="eastAsia" w:ascii="宋体" w:hAnsi="宋体"/>
          <w:b/>
          <w:color w:val="000000"/>
          <w:szCs w:val="24"/>
          <w:highlight w:val="none"/>
        </w:rPr>
      </w:pPr>
      <w:r>
        <w:rPr>
          <w:rFonts w:hint="eastAsia" w:ascii="宋体" w:hAnsi="宋体"/>
          <w:b/>
          <w:color w:val="000000"/>
          <w:szCs w:val="24"/>
          <w:highlight w:val="none"/>
        </w:rPr>
        <w:t>②以上除了投标利率以外，同一银行在余杭区有多家一级支行且选择全部合并为一家一级支行的名义作为投标人参加投标的：相关数据以参与合并的各家一级支行的数据相加计算。</w:t>
      </w:r>
    </w:p>
    <w:p w14:paraId="64CEF678">
      <w:pPr>
        <w:pageBreakBefore/>
        <w:adjustRightInd w:val="0"/>
        <w:snapToGrid w:val="0"/>
        <w:spacing w:line="360" w:lineRule="auto"/>
        <w:jc w:val="center"/>
        <w:outlineLvl w:val="0"/>
        <w:rPr>
          <w:rFonts w:hint="eastAsia" w:ascii="宋体" w:hAnsi="宋体" w:cs="宋体"/>
          <w:b/>
          <w:color w:val="auto"/>
          <w:sz w:val="36"/>
          <w:szCs w:val="36"/>
          <w:highlight w:val="none"/>
        </w:rPr>
      </w:pPr>
      <w:bookmarkStart w:id="97" w:name="_Toc28029"/>
      <w:bookmarkStart w:id="98" w:name="_Toc434248573"/>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部分  协议主要条款</w:t>
      </w:r>
      <w:bookmarkEnd w:id="97"/>
      <w:bookmarkEnd w:id="98"/>
    </w:p>
    <w:p w14:paraId="57490ABE">
      <w:pPr>
        <w:pStyle w:val="2"/>
        <w:jc w:val="center"/>
        <w:rPr>
          <w:rFonts w:hint="eastAsia" w:eastAsia="宋体"/>
          <w:b/>
          <w:bCs/>
          <w:lang w:eastAsia="zh-CN"/>
        </w:rPr>
      </w:pPr>
      <w:r>
        <w:rPr>
          <w:rFonts w:hint="eastAsia"/>
          <w:b/>
          <w:bCs/>
          <w:lang w:eastAsia="zh-CN"/>
        </w:rPr>
        <w:t>（</w:t>
      </w:r>
      <w:r>
        <w:rPr>
          <w:rFonts w:hint="eastAsia"/>
          <w:b/>
          <w:bCs/>
          <w:lang w:val="en-US" w:eastAsia="zh-CN"/>
        </w:rPr>
        <w:t>仅供参考</w:t>
      </w:r>
      <w:r>
        <w:rPr>
          <w:rFonts w:hint="eastAsia"/>
          <w:b/>
          <w:bCs/>
          <w:lang w:eastAsia="zh-CN"/>
        </w:rPr>
        <w:t>）</w:t>
      </w:r>
    </w:p>
    <w:p w14:paraId="2AAB3327">
      <w:pPr>
        <w:pStyle w:val="8"/>
        <w:spacing w:line="440" w:lineRule="exact"/>
        <w:ind w:firstLine="0" w:firstLineChars="0"/>
        <w:rPr>
          <w:rFonts w:hint="eastAsia" w:hAnsi="宋体"/>
          <w:color w:val="000000"/>
          <w:sz w:val="24"/>
          <w:szCs w:val="24"/>
          <w:lang w:val="en-US" w:eastAsia="zh-CN"/>
        </w:rPr>
      </w:pPr>
    </w:p>
    <w:p w14:paraId="61F4B467">
      <w:pPr>
        <w:pStyle w:val="8"/>
        <w:spacing w:line="440" w:lineRule="exact"/>
        <w:ind w:firstLine="535" w:firstLineChars="223"/>
        <w:rPr>
          <w:rFonts w:hint="eastAsia" w:hAnsi="宋体"/>
          <w:color w:val="000000"/>
          <w:sz w:val="24"/>
          <w:szCs w:val="24"/>
          <w:lang w:val="en-US" w:eastAsia="zh-CN"/>
        </w:rPr>
      </w:pPr>
      <w:r>
        <w:rPr>
          <w:rFonts w:hint="eastAsia" w:hAnsi="宋体"/>
          <w:color w:val="000000"/>
          <w:sz w:val="24"/>
          <w:szCs w:val="24"/>
          <w:lang w:val="en-US" w:eastAsia="zh-CN"/>
        </w:rPr>
        <w:t>招标单位（甲方）：</w:t>
      </w:r>
    </w:p>
    <w:p w14:paraId="483CCB36">
      <w:pPr>
        <w:pStyle w:val="8"/>
        <w:spacing w:line="440" w:lineRule="exact"/>
        <w:ind w:firstLine="535" w:firstLineChars="223"/>
        <w:rPr>
          <w:rFonts w:hint="eastAsia" w:hAnsi="宋体"/>
          <w:color w:val="000000"/>
          <w:sz w:val="24"/>
          <w:szCs w:val="24"/>
          <w:lang w:val="en-US" w:eastAsia="zh-CN"/>
        </w:rPr>
      </w:pPr>
      <w:r>
        <w:rPr>
          <w:rFonts w:hint="eastAsia" w:hAnsi="宋体"/>
          <w:color w:val="000000"/>
          <w:sz w:val="24"/>
          <w:szCs w:val="24"/>
          <w:lang w:val="en-US" w:eastAsia="zh-CN"/>
        </w:rPr>
        <w:t>服务银行（乙方）：</w:t>
      </w:r>
    </w:p>
    <w:p w14:paraId="5553AB64">
      <w:pPr>
        <w:pStyle w:val="8"/>
        <w:spacing w:line="440" w:lineRule="exact"/>
        <w:ind w:firstLine="535" w:firstLineChars="223"/>
        <w:rPr>
          <w:rFonts w:hint="eastAsia" w:hAnsi="宋体"/>
          <w:color w:val="000000"/>
          <w:sz w:val="24"/>
          <w:szCs w:val="24"/>
          <w:lang w:val="en-US" w:eastAsia="zh-CN"/>
        </w:rPr>
      </w:pPr>
      <w:r>
        <w:rPr>
          <w:rFonts w:hint="eastAsia" w:hAnsi="宋体"/>
          <w:color w:val="000000"/>
          <w:sz w:val="24"/>
          <w:szCs w:val="24"/>
          <w:lang w:val="en-US" w:eastAsia="zh-CN"/>
        </w:rPr>
        <w:t xml:space="preserve"> 根据城投集团财政拨款账户战略合作服务采购（编号：       ）和相关文件要求，双方经协商，达成以下条款： </w:t>
      </w:r>
    </w:p>
    <w:p w14:paraId="72510CAC">
      <w:pPr>
        <w:snapToGrid w:val="0"/>
        <w:spacing w:line="420" w:lineRule="exact"/>
        <w:ind w:firstLine="480"/>
        <w:rPr>
          <w:rFonts w:hint="eastAsia" w:ascii="宋体" w:hAnsi="宋体"/>
          <w:color w:val="000000"/>
          <w:sz w:val="24"/>
          <w:szCs w:val="24"/>
        </w:rPr>
      </w:pPr>
      <w:r>
        <w:rPr>
          <w:rFonts w:hint="eastAsia" w:ascii="宋体" w:hAnsi="宋体"/>
          <w:color w:val="000000"/>
          <w:sz w:val="24"/>
          <w:szCs w:val="24"/>
        </w:rPr>
        <w:t>第一条  服务期为本协议生效之日起至</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日止。</w:t>
      </w:r>
    </w:p>
    <w:p w14:paraId="0D23D6F6">
      <w:pPr>
        <w:pStyle w:val="8"/>
        <w:spacing w:line="360" w:lineRule="auto"/>
        <w:ind w:firstLine="535" w:firstLineChars="223"/>
        <w:rPr>
          <w:rFonts w:hint="eastAsia" w:ascii="宋体" w:hAnsi="宋体" w:eastAsia="宋体" w:cs="宋体"/>
          <w:bCs/>
          <w:color w:val="000000"/>
          <w:sz w:val="24"/>
          <w:szCs w:val="24"/>
          <w:highlight w:val="none"/>
        </w:rPr>
      </w:pPr>
      <w:r>
        <w:rPr>
          <w:rFonts w:hint="eastAsia" w:ascii="宋体" w:hAnsi="宋体"/>
          <w:color w:val="000000"/>
          <w:sz w:val="24"/>
          <w:szCs w:val="24"/>
        </w:rPr>
        <w:t>第二条  乙方应根据招标文件的要求和投标文件的承诺，</w:t>
      </w:r>
      <w:r>
        <w:rPr>
          <w:rFonts w:hint="eastAsia" w:ascii="宋体" w:hAnsi="宋体"/>
          <w:color w:val="000000"/>
          <w:sz w:val="24"/>
          <w:szCs w:val="24"/>
          <w:lang w:val="en-US" w:eastAsia="zh-CN"/>
        </w:rPr>
        <w:t>向甲方</w:t>
      </w:r>
      <w:r>
        <w:rPr>
          <w:rFonts w:hint="eastAsia" w:ascii="宋体" w:hAnsi="宋体" w:eastAsia="宋体" w:cs="宋体"/>
          <w:color w:val="auto"/>
          <w:kern w:val="0"/>
          <w:sz w:val="24"/>
          <w:szCs w:val="24"/>
          <w:highlight w:val="none"/>
          <w:lang w:eastAsia="zh-CN"/>
        </w:rPr>
        <w:t>城投集团</w:t>
      </w:r>
      <w:r>
        <w:rPr>
          <w:rFonts w:hint="eastAsia" w:ascii="宋体" w:hAnsi="宋体" w:eastAsia="宋体" w:cs="宋体"/>
          <w:kern w:val="0"/>
          <w:sz w:val="24"/>
          <w:szCs w:val="24"/>
          <w:highlight w:val="none"/>
        </w:rPr>
        <w:t>财政拨款账户</w:t>
      </w:r>
      <w:r>
        <w:rPr>
          <w:rFonts w:hint="eastAsia" w:hAnsi="宋体" w:cs="宋体"/>
          <w:kern w:val="0"/>
          <w:sz w:val="24"/>
          <w:szCs w:val="24"/>
          <w:highlight w:val="none"/>
          <w:lang w:val="en-US" w:eastAsia="zh-CN"/>
        </w:rPr>
        <w:t>提供</w:t>
      </w:r>
      <w:r>
        <w:rPr>
          <w:rFonts w:hint="eastAsia" w:ascii="宋体" w:hAnsi="宋体" w:cs="宋体"/>
          <w:kern w:val="0"/>
          <w:sz w:val="24"/>
          <w:szCs w:val="24"/>
          <w:highlight w:val="none"/>
          <w:lang w:val="en-US" w:eastAsia="zh-CN"/>
        </w:rPr>
        <w:t>开设</w:t>
      </w:r>
      <w:r>
        <w:rPr>
          <w:rFonts w:hint="eastAsia" w:ascii="宋体" w:hAnsi="宋体" w:eastAsia="宋体" w:cs="宋体"/>
          <w:kern w:val="0"/>
          <w:sz w:val="24"/>
          <w:szCs w:val="24"/>
          <w:highlight w:val="none"/>
        </w:rPr>
        <w:t>、资金存放</w:t>
      </w:r>
      <w:r>
        <w:rPr>
          <w:rFonts w:hint="eastAsia" w:ascii="宋体" w:hAnsi="宋体" w:cs="宋体"/>
          <w:kern w:val="0"/>
          <w:sz w:val="24"/>
          <w:szCs w:val="24"/>
          <w:highlight w:val="none"/>
          <w:lang w:val="en-US" w:eastAsia="zh-CN"/>
        </w:rPr>
        <w:t>及其他专用账户的开设</w:t>
      </w:r>
      <w:r>
        <w:rPr>
          <w:rFonts w:hint="eastAsia" w:ascii="宋体" w:hAnsi="宋体" w:eastAsia="宋体" w:cs="宋体"/>
          <w:bCs/>
          <w:color w:val="000000"/>
          <w:sz w:val="24"/>
          <w:szCs w:val="24"/>
          <w:highlight w:val="none"/>
        </w:rPr>
        <w:t>等相关服务。</w:t>
      </w:r>
    </w:p>
    <w:p w14:paraId="77FB08E5">
      <w:pPr>
        <w:snapToGrid w:val="0"/>
        <w:spacing w:line="420" w:lineRule="exact"/>
        <w:ind w:firstLine="480"/>
        <w:rPr>
          <w:rFonts w:hint="eastAsia" w:ascii="宋体" w:hAnsi="宋体"/>
          <w:color w:val="000000"/>
          <w:sz w:val="24"/>
          <w:szCs w:val="24"/>
        </w:rPr>
      </w:pPr>
      <w:r>
        <w:rPr>
          <w:rFonts w:hint="eastAsia" w:ascii="宋体" w:hAnsi="宋体"/>
          <w:color w:val="000000"/>
          <w:sz w:val="24"/>
          <w:szCs w:val="24"/>
          <w:lang w:val="en-US" w:eastAsia="zh-CN"/>
        </w:rPr>
        <w:t>服务内容包括</w:t>
      </w:r>
      <w:r>
        <w:rPr>
          <w:rFonts w:hint="eastAsia" w:ascii="宋体" w:hAnsi="宋体"/>
          <w:color w:val="000000"/>
          <w:sz w:val="24"/>
          <w:szCs w:val="24"/>
        </w:rPr>
        <w:t>向甲方提供保密及解锁、对帐服务、分账核算、各类查询、原路退款、电话咨询、网上银行服务等，不得提出本协议书内容之外的任何附加条件。</w:t>
      </w:r>
    </w:p>
    <w:p w14:paraId="59CD31A6">
      <w:pPr>
        <w:pStyle w:val="8"/>
        <w:snapToGrid w:val="0"/>
        <w:spacing w:line="420" w:lineRule="exact"/>
        <w:ind w:firstLine="465"/>
        <w:rPr>
          <w:rFonts w:hint="eastAsia" w:hAnsi="宋体"/>
          <w:color w:val="000000"/>
          <w:sz w:val="24"/>
          <w:szCs w:val="24"/>
        </w:rPr>
      </w:pPr>
      <w:r>
        <w:rPr>
          <w:rFonts w:hint="eastAsia" w:hAnsi="宋体"/>
          <w:color w:val="000000"/>
          <w:sz w:val="24"/>
          <w:szCs w:val="24"/>
        </w:rPr>
        <w:t>第三条  协议书签订后，乙方根据甲方管理的需求，结合</w:t>
      </w:r>
      <w:r>
        <w:rPr>
          <w:rFonts w:hint="eastAsia" w:hAnsi="宋体"/>
          <w:color w:val="000000"/>
          <w:sz w:val="24"/>
          <w:szCs w:val="24"/>
          <w:lang w:eastAsia="zh-CN"/>
        </w:rPr>
        <w:t>政府</w:t>
      </w:r>
      <w:r>
        <w:rPr>
          <w:rFonts w:hint="eastAsia" w:hAnsi="宋体"/>
          <w:color w:val="000000"/>
          <w:sz w:val="24"/>
          <w:szCs w:val="24"/>
        </w:rPr>
        <w:t>监管、银行管理的规定，协助甲方新开账户，存放资金。</w:t>
      </w:r>
    </w:p>
    <w:p w14:paraId="5910E484">
      <w:pPr>
        <w:pStyle w:val="8"/>
        <w:snapToGrid w:val="0"/>
        <w:spacing w:line="420" w:lineRule="exact"/>
        <w:ind w:firstLine="465"/>
        <w:rPr>
          <w:rFonts w:hint="eastAsia" w:hAnsi="宋体"/>
          <w:color w:val="000000"/>
          <w:sz w:val="24"/>
          <w:szCs w:val="24"/>
        </w:rPr>
      </w:pPr>
      <w:r>
        <w:rPr>
          <w:rFonts w:hint="eastAsia" w:hAnsi="宋体"/>
          <w:color w:val="000000"/>
          <w:sz w:val="24"/>
          <w:szCs w:val="24"/>
        </w:rPr>
        <w:t>第四条  在账户正式运行过程中，乙方除要向甲方提供银行账户基本功能外，还要提供日常维护、按需更新等无偿后续服务。</w:t>
      </w:r>
    </w:p>
    <w:p w14:paraId="7C091C12">
      <w:pPr>
        <w:pStyle w:val="8"/>
        <w:snapToGrid w:val="0"/>
        <w:spacing w:line="420" w:lineRule="exact"/>
        <w:ind w:firstLine="465"/>
        <w:rPr>
          <w:rFonts w:hint="eastAsia" w:hAnsi="宋体"/>
          <w:color w:val="000000"/>
          <w:kern w:val="0"/>
          <w:sz w:val="24"/>
          <w:szCs w:val="24"/>
        </w:rPr>
      </w:pPr>
      <w:r>
        <w:rPr>
          <w:rFonts w:hint="eastAsia" w:hAnsi="宋体"/>
          <w:color w:val="000000"/>
          <w:sz w:val="24"/>
          <w:szCs w:val="24"/>
        </w:rPr>
        <w:t xml:space="preserve">第五条  </w:t>
      </w:r>
      <w:r>
        <w:rPr>
          <w:rFonts w:hint="eastAsia" w:ascii="宋体" w:hAnsi="宋体" w:cs="仿宋"/>
          <w:color w:val="000000"/>
          <w:sz w:val="24"/>
          <w:szCs w:val="24"/>
          <w:highlight w:val="none"/>
          <w:lang w:bidi="ar"/>
        </w:rPr>
        <w:t>协定存款利率为</w:t>
      </w:r>
      <w:r>
        <w:rPr>
          <w:rFonts w:hint="eastAsia" w:ascii="宋体" w:hAnsi="宋体"/>
          <w:color w:val="000000"/>
          <w:sz w:val="24"/>
          <w:highlight w:val="none"/>
        </w:rPr>
        <w:t>央行</w:t>
      </w:r>
      <w:r>
        <w:rPr>
          <w:rFonts w:hint="eastAsia" w:ascii="宋体" w:hAnsi="宋体" w:cs="仿宋"/>
          <w:color w:val="000000"/>
          <w:sz w:val="24"/>
          <w:szCs w:val="24"/>
          <w:highlight w:val="none"/>
          <w:lang w:bidi="ar"/>
        </w:rPr>
        <w:t>存款基准利率</w:t>
      </w:r>
      <w:r>
        <w:rPr>
          <w:rFonts w:hint="eastAsia" w:ascii="宋体" w:hAnsi="宋体"/>
          <w:color w:val="000000"/>
          <w:sz w:val="24"/>
          <w:highlight w:val="none"/>
          <w:u w:val="single"/>
          <w:lang w:val="en-US" w:eastAsia="zh-CN"/>
        </w:rPr>
        <w:t>增加</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个基点</w:t>
      </w:r>
      <w:r>
        <w:rPr>
          <w:rFonts w:hint="eastAsia" w:ascii="宋体" w:hAnsi="宋体"/>
          <w:color w:val="000000"/>
          <w:sz w:val="24"/>
          <w:highlight w:val="none"/>
        </w:rPr>
        <w:t>，</w:t>
      </w:r>
      <w:r>
        <w:rPr>
          <w:rFonts w:hint="eastAsia" w:ascii="宋体" w:hAnsi="宋体"/>
          <w:color w:val="000000"/>
          <w:sz w:val="24"/>
          <w:highlight w:val="none"/>
          <w:lang w:val="en-US" w:eastAsia="zh-CN"/>
        </w:rPr>
        <w:t>确认利</w:t>
      </w:r>
      <w:r>
        <w:rPr>
          <w:rFonts w:hint="eastAsia" w:ascii="宋体" w:hAnsi="宋体"/>
          <w:color w:val="auto"/>
          <w:sz w:val="24"/>
          <w:highlight w:val="none"/>
          <w:lang w:val="en-US" w:eastAsia="zh-CN"/>
        </w:rPr>
        <w:t>率为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000000"/>
          <w:sz w:val="24"/>
          <w:highlight w:val="none"/>
        </w:rPr>
        <w:t>。</w:t>
      </w:r>
      <w:r>
        <w:rPr>
          <w:rFonts w:hint="eastAsia" w:hAnsi="宋体"/>
          <w:color w:val="000000"/>
          <w:kern w:val="0"/>
          <w:sz w:val="24"/>
          <w:szCs w:val="24"/>
        </w:rPr>
        <w:t>（</w:t>
      </w:r>
      <w:r>
        <w:rPr>
          <w:rFonts w:hint="eastAsia" w:hAnsi="宋体"/>
          <w:color w:val="000000"/>
          <w:sz w:val="24"/>
          <w:szCs w:val="24"/>
        </w:rPr>
        <w:t>如遇央行调整存款利率，存款利率同比例调整）。</w:t>
      </w:r>
      <w:r>
        <w:rPr>
          <w:rFonts w:hint="eastAsia" w:hAnsi="宋体"/>
          <w:color w:val="000000"/>
          <w:kern w:val="0"/>
          <w:sz w:val="24"/>
          <w:szCs w:val="24"/>
        </w:rPr>
        <w:t>服务收费详见投标文件中开标一览表报价（或全免）。</w:t>
      </w:r>
    </w:p>
    <w:p w14:paraId="11D553EF">
      <w:pPr>
        <w:pStyle w:val="8"/>
        <w:snapToGrid w:val="0"/>
        <w:spacing w:line="420" w:lineRule="exact"/>
        <w:ind w:firstLine="465"/>
        <w:rPr>
          <w:rFonts w:hint="default" w:hAnsi="宋体" w:eastAsia="宋体"/>
          <w:color w:val="000000"/>
          <w:kern w:val="0"/>
          <w:sz w:val="24"/>
          <w:szCs w:val="24"/>
          <w:lang w:val="en-US" w:eastAsia="zh-CN"/>
        </w:rPr>
      </w:pPr>
      <w:r>
        <w:rPr>
          <w:rFonts w:hint="eastAsia" w:hAnsi="宋体"/>
          <w:color w:val="000000"/>
          <w:kern w:val="0"/>
          <w:sz w:val="24"/>
          <w:szCs w:val="24"/>
          <w:lang w:val="en-US" w:eastAsia="zh-CN"/>
        </w:rPr>
        <w:t xml:space="preserve">甲方在乙方办理协定存款业务的账户名称：                   账号：                         </w:t>
      </w:r>
    </w:p>
    <w:p w14:paraId="14203D32">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第六条  在</w:t>
      </w:r>
      <w:r>
        <w:rPr>
          <w:rFonts w:hint="eastAsia" w:ascii="宋体" w:hAnsi="宋体"/>
          <w:color w:val="000000"/>
          <w:kern w:val="0"/>
          <w:sz w:val="24"/>
          <w:szCs w:val="24"/>
        </w:rPr>
        <w:t>委托协议</w:t>
      </w:r>
      <w:r>
        <w:rPr>
          <w:rFonts w:hint="eastAsia" w:ascii="宋体" w:hAnsi="宋体"/>
          <w:color w:val="000000"/>
          <w:sz w:val="24"/>
          <w:szCs w:val="24"/>
        </w:rPr>
        <w:t>期间，如发现乙方出现下列情形之一的，招标单位将按照协议约定的方式进行处理，直接追究乙方的违约责任。情节严重的，报经财政部门批准，将乙方列入不良名单。</w:t>
      </w:r>
    </w:p>
    <w:p w14:paraId="48F136C1">
      <w:pPr>
        <w:snapToGrid w:val="0"/>
        <w:spacing w:line="4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（1）将协议部分或全部内容非法转让的；</w:t>
      </w:r>
    </w:p>
    <w:p w14:paraId="6C348D73">
      <w:pPr>
        <w:snapToGrid w:val="0"/>
        <w:spacing w:line="420" w:lineRule="exact"/>
        <w:ind w:firstLine="480" w:firstLineChars="200"/>
        <w:jc w:val="left"/>
        <w:rPr>
          <w:rFonts w:hint="eastAsia" w:ascii="宋体" w:hAnsi="宋体"/>
          <w:color w:val="000000"/>
          <w:kern w:val="0"/>
          <w:sz w:val="24"/>
          <w:szCs w:val="24"/>
        </w:rPr>
      </w:pPr>
      <w:r>
        <w:rPr>
          <w:rFonts w:hint="eastAsia" w:ascii="宋体" w:hAnsi="宋体" w:cs="仿宋_GB2312"/>
          <w:color w:val="000000"/>
          <w:kern w:val="0"/>
          <w:sz w:val="24"/>
          <w:szCs w:val="24"/>
        </w:rPr>
        <w:t>（2）</w:t>
      </w:r>
      <w:r>
        <w:rPr>
          <w:rFonts w:hint="eastAsia" w:ascii="宋体" w:hAnsi="宋体"/>
          <w:color w:val="000000"/>
          <w:sz w:val="24"/>
          <w:szCs w:val="24"/>
        </w:rPr>
        <w:t>向甲方行贿或者提供其他不正当利益的；</w:t>
      </w:r>
      <w:r>
        <w:rPr>
          <w:rFonts w:hint="eastAsia" w:ascii="宋体" w:hAnsi="宋体"/>
          <w:color w:val="000000"/>
          <w:kern w:val="0"/>
          <w:sz w:val="24"/>
          <w:szCs w:val="24"/>
        </w:rPr>
        <w:t xml:space="preserve"> </w:t>
      </w:r>
    </w:p>
    <w:p w14:paraId="3F571F81">
      <w:pPr>
        <w:snapToGrid w:val="0"/>
        <w:spacing w:line="420" w:lineRule="exact"/>
        <w:ind w:firstLine="480" w:firstLineChars="200"/>
        <w:rPr>
          <w:rFonts w:hint="eastAsia" w:ascii="宋体" w:hAnsi="宋体"/>
          <w:color w:val="000000"/>
          <w:sz w:val="24"/>
          <w:szCs w:val="24"/>
        </w:rPr>
      </w:pPr>
      <w:r>
        <w:rPr>
          <w:rFonts w:hint="eastAsia" w:ascii="宋体" w:hAnsi="宋体" w:cs="仿宋_GB2312"/>
          <w:color w:val="000000"/>
          <w:kern w:val="0"/>
          <w:sz w:val="24"/>
          <w:szCs w:val="24"/>
        </w:rPr>
        <w:t>（3）</w:t>
      </w:r>
      <w:r>
        <w:rPr>
          <w:rFonts w:hint="eastAsia" w:ascii="宋体" w:hAnsi="宋体"/>
          <w:color w:val="000000"/>
          <w:sz w:val="24"/>
          <w:szCs w:val="24"/>
        </w:rPr>
        <w:t>拒绝有关部门监督检查或者提供虚假情况的。</w:t>
      </w:r>
    </w:p>
    <w:p w14:paraId="71900CCA">
      <w:pPr>
        <w:snapToGrid w:val="0"/>
        <w:spacing w:line="42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（4）违反法律法规和协议约定的其他情形的。</w:t>
      </w:r>
    </w:p>
    <w:p w14:paraId="3216B162">
      <w:pPr>
        <w:snapToGrid w:val="0"/>
        <w:spacing w:line="420" w:lineRule="exact"/>
        <w:ind w:firstLine="480"/>
        <w:rPr>
          <w:rFonts w:hint="eastAsia" w:ascii="宋体" w:hAnsi="宋体"/>
          <w:color w:val="000000"/>
          <w:sz w:val="24"/>
          <w:szCs w:val="24"/>
        </w:rPr>
      </w:pPr>
      <w:r>
        <w:rPr>
          <w:rFonts w:hint="eastAsia" w:ascii="宋体" w:hAnsi="宋体"/>
          <w:color w:val="000000"/>
          <w:sz w:val="24"/>
          <w:szCs w:val="24"/>
        </w:rPr>
        <w:t>第七条  乙方出现以下情形之一的，甲方有权提前收回存放资金。</w:t>
      </w:r>
    </w:p>
    <w:p w14:paraId="7383FA2A">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（1）出现资金安全事故、重大违法违规情况或财务恶化；</w:t>
      </w:r>
    </w:p>
    <w:p w14:paraId="4520994C">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（2）监管评级降低，监管部门认为存在较大运营风险；</w:t>
      </w:r>
    </w:p>
    <w:p w14:paraId="630E0933">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（3）进行严重不正当投标；</w:t>
      </w:r>
    </w:p>
    <w:p w14:paraId="14495EB4">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（4）未按照中标协议承诺履行相应的责任和义务；</w:t>
      </w:r>
    </w:p>
    <w:p w14:paraId="7E32C7AC">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（5）擅自降低服务条件和服务内容的；</w:t>
      </w:r>
    </w:p>
    <w:p w14:paraId="34EDD91C">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（6）出现银行挤兑、存款被盗或其他可能妨害公款安全的情形。</w:t>
      </w:r>
    </w:p>
    <w:p w14:paraId="527776A7">
      <w:pPr>
        <w:numPr>
          <w:ilvl w:val="0"/>
          <w:numId w:val="0"/>
        </w:numPr>
        <w:tabs>
          <w:tab w:val="left" w:pos="706"/>
        </w:tabs>
        <w:spacing w:line="360" w:lineRule="auto"/>
        <w:ind w:left="0" w:firstLine="480" w:firstLineChars="200"/>
        <w:rPr>
          <w:rFonts w:hint="eastAsia"/>
          <w:highlight w:val="none"/>
        </w:rPr>
      </w:pPr>
      <w:r>
        <w:rPr>
          <w:rFonts w:hint="eastAsia" w:ascii="宋体" w:hAnsi="宋体" w:cs="宋体"/>
          <w:color w:val="000000"/>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）如招标条件与后续国资要求存在出入，可提前中止合作关系。</w:t>
      </w:r>
    </w:p>
    <w:p w14:paraId="62168459">
      <w:pPr>
        <w:snapToGrid w:val="0"/>
        <w:spacing w:line="420" w:lineRule="exact"/>
        <w:ind w:firstLine="480" w:firstLineChars="200"/>
        <w:rPr>
          <w:rFonts w:hint="eastAsia" w:ascii="宋体" w:hAnsi="宋体"/>
          <w:color w:val="000000"/>
          <w:sz w:val="24"/>
          <w:szCs w:val="24"/>
        </w:rPr>
      </w:pPr>
      <w:r>
        <w:rPr>
          <w:rFonts w:hint="eastAsia" w:ascii="宋体" w:hAnsi="宋体"/>
          <w:color w:val="000000"/>
          <w:sz w:val="24"/>
          <w:szCs w:val="24"/>
        </w:rPr>
        <w:t>第八条  违约责任：</w:t>
      </w:r>
    </w:p>
    <w:p w14:paraId="2F04B18B">
      <w:pPr>
        <w:snapToGrid w:val="0"/>
        <w:spacing w:line="420" w:lineRule="exact"/>
        <w:ind w:firstLine="480" w:firstLineChars="200"/>
        <w:jc w:val="left"/>
        <w:rPr>
          <w:rFonts w:hint="eastAsia" w:ascii="宋体" w:hAnsi="宋体"/>
          <w:color w:val="000000"/>
          <w:sz w:val="24"/>
          <w:szCs w:val="24"/>
        </w:rPr>
      </w:pPr>
      <w:r>
        <w:rPr>
          <w:rFonts w:hint="eastAsia" w:ascii="宋体" w:hAnsi="宋体"/>
          <w:color w:val="000000"/>
          <w:sz w:val="24"/>
          <w:szCs w:val="24"/>
        </w:rPr>
        <w:t>1、双方要严格按协议履约。</w:t>
      </w:r>
    </w:p>
    <w:p w14:paraId="5BA5BDCD">
      <w:pPr>
        <w:pStyle w:val="8"/>
        <w:snapToGrid w:val="0"/>
        <w:spacing w:line="420" w:lineRule="exact"/>
        <w:ind w:firstLine="465"/>
        <w:rPr>
          <w:rFonts w:hint="eastAsia" w:hAnsi="宋体"/>
          <w:color w:val="000000"/>
          <w:sz w:val="24"/>
          <w:szCs w:val="24"/>
        </w:rPr>
      </w:pPr>
      <w:r>
        <w:rPr>
          <w:rFonts w:hint="eastAsia" w:hAnsi="宋体"/>
          <w:color w:val="000000"/>
          <w:sz w:val="24"/>
          <w:szCs w:val="24"/>
        </w:rPr>
        <w:t>2、如发现乙方违反招投标文件和协议的有关规定，甲方有权根据招标文件和相应的法律法规要求对乙方进行处罚，并有权提前终止协议书。</w:t>
      </w:r>
    </w:p>
    <w:p w14:paraId="1CDA1344">
      <w:pPr>
        <w:snapToGrid w:val="0"/>
        <w:spacing w:line="420" w:lineRule="exact"/>
        <w:ind w:firstLine="470" w:firstLineChars="196"/>
        <w:rPr>
          <w:rFonts w:hint="eastAsia" w:ascii="宋体" w:hAnsi="宋体"/>
          <w:color w:val="000000"/>
          <w:sz w:val="24"/>
          <w:szCs w:val="24"/>
        </w:rPr>
      </w:pPr>
      <w:r>
        <w:rPr>
          <w:rFonts w:hint="eastAsia" w:ascii="宋体" w:hAnsi="宋体"/>
          <w:color w:val="000000"/>
          <w:sz w:val="24"/>
          <w:szCs w:val="24"/>
        </w:rPr>
        <w:t>第九条  本协议如发生纠纷，甲、乙应当及时协商解决，如协商不成，可选择：1）向杭州市仲裁委员会申请仲裁；2）向余杭区人民法院起诉。</w:t>
      </w:r>
    </w:p>
    <w:p w14:paraId="5DB142DD">
      <w:pPr>
        <w:snapToGrid w:val="0"/>
        <w:spacing w:line="420" w:lineRule="exact"/>
        <w:ind w:firstLine="470" w:firstLineChars="196"/>
        <w:rPr>
          <w:rFonts w:hint="eastAsia" w:ascii="宋体" w:hAnsi="宋体"/>
          <w:color w:val="000000"/>
          <w:sz w:val="24"/>
          <w:szCs w:val="24"/>
        </w:rPr>
      </w:pPr>
      <w:r>
        <w:rPr>
          <w:rFonts w:hint="eastAsia" w:ascii="宋体" w:hAnsi="宋体"/>
          <w:color w:val="000000"/>
          <w:sz w:val="24"/>
          <w:szCs w:val="24"/>
        </w:rPr>
        <w:t>第十条  除受政策影响，甲方有权无条件解除本协议外，协议履行期内甲乙双方均不得随意变更或解除协议。协议书若有未尽事宜，需经双方共同协商，作出补充规定，补充规定与本协议书有同等法律效力。</w:t>
      </w:r>
    </w:p>
    <w:p w14:paraId="4113B8B2">
      <w:pPr>
        <w:snapToGrid w:val="0"/>
        <w:spacing w:line="420" w:lineRule="exact"/>
        <w:ind w:firstLine="470" w:firstLineChars="196"/>
        <w:rPr>
          <w:rFonts w:hint="eastAsia" w:ascii="宋体" w:hAnsi="宋体"/>
          <w:color w:val="000000"/>
          <w:sz w:val="24"/>
          <w:szCs w:val="24"/>
        </w:rPr>
      </w:pPr>
      <w:r>
        <w:rPr>
          <w:rFonts w:hint="eastAsia" w:ascii="宋体" w:hAnsi="宋体"/>
          <w:color w:val="000000"/>
          <w:sz w:val="24"/>
          <w:szCs w:val="24"/>
        </w:rPr>
        <w:t>第十一条  与本项目有关的招标文件、乙方的投标文件及评标过程中形成的文字资料、询标纪要等均作为本协议的组成部分，具有同等效力。</w:t>
      </w:r>
    </w:p>
    <w:p w14:paraId="5F475706">
      <w:pPr>
        <w:snapToGrid w:val="0"/>
        <w:spacing w:line="420" w:lineRule="exact"/>
        <w:ind w:left="473"/>
        <w:rPr>
          <w:rFonts w:hint="eastAsia" w:ascii="宋体" w:hAnsi="宋体"/>
          <w:color w:val="000000"/>
          <w:sz w:val="24"/>
          <w:szCs w:val="24"/>
        </w:rPr>
      </w:pPr>
      <w:r>
        <w:rPr>
          <w:rFonts w:hint="eastAsia" w:ascii="宋体" w:hAnsi="宋体"/>
          <w:color w:val="000000"/>
          <w:sz w:val="24"/>
          <w:szCs w:val="24"/>
        </w:rPr>
        <w:t>第十二条  本协议一式贰份，甲方、乙方各执壹份。</w:t>
      </w:r>
    </w:p>
    <w:p w14:paraId="1D7EBDEB">
      <w:pPr>
        <w:snapToGrid w:val="0"/>
        <w:spacing w:line="420" w:lineRule="exact"/>
        <w:jc w:val="left"/>
        <w:rPr>
          <w:rFonts w:hint="eastAsia" w:ascii="宋体" w:hAnsi="宋体"/>
          <w:color w:val="000000"/>
          <w:sz w:val="24"/>
          <w:szCs w:val="24"/>
        </w:rPr>
      </w:pPr>
    </w:p>
    <w:p w14:paraId="36FFAD68">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 xml:space="preserve">甲方（盖章）：                                乙方（盖章）： </w:t>
      </w:r>
    </w:p>
    <w:p w14:paraId="70461F6E">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 xml:space="preserve">法定代表人：                                 法定代表人： </w:t>
      </w:r>
    </w:p>
    <w:p w14:paraId="07F26FAB">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 xml:space="preserve">或受委托人（签字）：                          或受委托人（签字）： </w:t>
      </w:r>
    </w:p>
    <w:p w14:paraId="151DDB74">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联系人：                                    项目负责人：</w:t>
      </w:r>
    </w:p>
    <w:p w14:paraId="5DB99EEB">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 xml:space="preserve">地址：                                       地址： </w:t>
      </w:r>
    </w:p>
    <w:p w14:paraId="1775FD9E">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邮编：                                       邮编</w:t>
      </w:r>
    </w:p>
    <w:p w14:paraId="55C44057">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电话：                                       电话：</w:t>
      </w:r>
    </w:p>
    <w:p w14:paraId="29A86A56">
      <w:pPr>
        <w:snapToGrid w:val="0"/>
        <w:spacing w:line="420" w:lineRule="exact"/>
        <w:jc w:val="left"/>
        <w:rPr>
          <w:rFonts w:hint="eastAsia" w:ascii="宋体" w:hAnsi="宋体"/>
          <w:color w:val="000000"/>
          <w:sz w:val="24"/>
          <w:szCs w:val="24"/>
        </w:rPr>
      </w:pPr>
      <w:r>
        <w:rPr>
          <w:rFonts w:hint="eastAsia" w:ascii="宋体" w:hAnsi="宋体"/>
          <w:color w:val="000000"/>
          <w:sz w:val="24"/>
          <w:szCs w:val="24"/>
        </w:rPr>
        <w:t>传真：                                       传真：</w:t>
      </w:r>
    </w:p>
    <w:p w14:paraId="65EF2B1B">
      <w:pPr>
        <w:snapToGrid w:val="0"/>
        <w:spacing w:line="420" w:lineRule="exact"/>
        <w:rPr>
          <w:rFonts w:hint="eastAsia" w:ascii="宋体" w:hAnsi="宋体"/>
          <w:color w:val="000000"/>
          <w:sz w:val="24"/>
          <w:szCs w:val="24"/>
        </w:rPr>
      </w:pPr>
      <w:r>
        <w:rPr>
          <w:rFonts w:hint="eastAsia" w:ascii="宋体" w:hAnsi="宋体"/>
          <w:color w:val="000000"/>
          <w:sz w:val="24"/>
          <w:szCs w:val="24"/>
        </w:rPr>
        <w:t xml:space="preserve">签约日期：     年    月   日     </w:t>
      </w:r>
    </w:p>
    <w:p w14:paraId="1B3545E1">
      <w:pPr>
        <w:snapToGrid w:val="0"/>
        <w:spacing w:line="420" w:lineRule="exact"/>
        <w:rPr>
          <w:rFonts w:hint="eastAsia" w:ascii="宋体" w:hAnsi="宋体"/>
          <w:color w:val="000000"/>
          <w:sz w:val="24"/>
          <w:szCs w:val="24"/>
        </w:rPr>
      </w:pPr>
      <w:r>
        <w:rPr>
          <w:rFonts w:hint="eastAsia" w:ascii="宋体" w:hAnsi="宋体"/>
          <w:color w:val="000000"/>
          <w:sz w:val="24"/>
          <w:szCs w:val="24"/>
        </w:rPr>
        <w:t>签约地点：</w:t>
      </w:r>
    </w:p>
    <w:p w14:paraId="2CAD77E9">
      <w:pPr>
        <w:pStyle w:val="8"/>
        <w:spacing w:line="440" w:lineRule="exact"/>
        <w:ind w:firstLine="535" w:firstLineChars="223"/>
        <w:rPr>
          <w:rFonts w:hint="eastAsia" w:hAnsi="宋体"/>
          <w:color w:val="000000"/>
          <w:sz w:val="24"/>
          <w:szCs w:val="24"/>
        </w:rPr>
      </w:pPr>
    </w:p>
    <w:p w14:paraId="06FE3FC5">
      <w:pPr>
        <w:pStyle w:val="8"/>
        <w:spacing w:line="440" w:lineRule="exact"/>
        <w:ind w:firstLine="535" w:firstLineChars="223"/>
        <w:rPr>
          <w:rFonts w:hint="eastAsia" w:hAnsi="宋体"/>
          <w:color w:val="000000"/>
          <w:sz w:val="24"/>
          <w:szCs w:val="24"/>
          <w:lang w:val="en-US" w:eastAsia="zh-CN"/>
        </w:rPr>
      </w:pPr>
      <w:r>
        <w:rPr>
          <w:rFonts w:hint="eastAsia" w:hAnsi="宋体"/>
          <w:color w:val="000000"/>
          <w:sz w:val="24"/>
          <w:szCs w:val="24"/>
        </w:rPr>
        <w:t>（协议书以最终签订版本为准）</w:t>
      </w:r>
    </w:p>
    <w:p w14:paraId="552EAD01">
      <w:pPr>
        <w:spacing w:line="540" w:lineRule="exact"/>
        <w:rPr>
          <w:rFonts w:hint="eastAsia" w:ascii="仿宋_GB2312" w:eastAsia="仿宋_GB2312"/>
          <w:color w:val="000000"/>
          <w:sz w:val="32"/>
          <w:szCs w:val="32"/>
        </w:rPr>
      </w:pPr>
    </w:p>
    <w:p w14:paraId="62E76EA8">
      <w:pPr>
        <w:pageBreakBefore/>
        <w:adjustRightInd w:val="0"/>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六</w:t>
      </w:r>
      <w:r>
        <w:rPr>
          <w:rFonts w:hint="eastAsia" w:ascii="宋体" w:hAnsi="宋体" w:eastAsia="宋体" w:cs="宋体"/>
          <w:b/>
          <w:color w:val="auto"/>
          <w:sz w:val="36"/>
          <w:szCs w:val="36"/>
          <w:highlight w:val="none"/>
        </w:rPr>
        <w:t>部分  应提交的有关格式范例</w:t>
      </w:r>
      <w:bookmarkEnd w:id="96"/>
    </w:p>
    <w:p w14:paraId="6307CF58">
      <w:pPr>
        <w:spacing w:line="360" w:lineRule="auto"/>
        <w:rPr>
          <w:rFonts w:hint="eastAsia" w:ascii="宋体" w:hAnsi="宋体" w:eastAsia="宋体" w:cs="宋体"/>
          <w:b/>
          <w:color w:val="auto"/>
          <w:sz w:val="24"/>
          <w:szCs w:val="24"/>
          <w:highlight w:val="none"/>
        </w:rPr>
      </w:pPr>
    </w:p>
    <w:p w14:paraId="328DFA50">
      <w:pPr>
        <w:spacing w:line="360" w:lineRule="auto"/>
        <w:rPr>
          <w:rFonts w:hint="eastAsia" w:ascii="宋体" w:hAnsi="宋体"/>
          <w:b/>
          <w:color w:val="000000"/>
          <w:sz w:val="24"/>
          <w:szCs w:val="24"/>
          <w:highlight w:val="none"/>
        </w:rPr>
      </w:pPr>
      <w:r>
        <w:rPr>
          <w:rFonts w:hint="eastAsia" w:ascii="宋体" w:hAnsi="宋体"/>
          <w:b/>
          <w:color w:val="000000"/>
          <w:sz w:val="24"/>
          <w:szCs w:val="24"/>
          <w:highlight w:val="none"/>
        </w:rPr>
        <w:t>一、投标人提交投标文件须知：</w:t>
      </w:r>
    </w:p>
    <w:p w14:paraId="2CA5682D">
      <w:pPr>
        <w:spacing w:line="360" w:lineRule="auto"/>
        <w:ind w:left="2"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1、投标人应严格按照以下顺序填写和提交下述规定的全部格式文件以及其他有关资料，混乱的编排导致投标文件被误读或评标委员会查找不到有效文件是投标人的风险。</w:t>
      </w:r>
    </w:p>
    <w:p w14:paraId="054D679B">
      <w:pPr>
        <w:spacing w:line="360" w:lineRule="auto"/>
        <w:ind w:left="2"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2、所附表格中要求回答的全部问题或信息都必须正面回答。</w:t>
      </w:r>
    </w:p>
    <w:p w14:paraId="071FA6B5">
      <w:pPr>
        <w:spacing w:line="360" w:lineRule="auto"/>
        <w:ind w:left="2"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3、声明书的签字人应保证全部声明和问题的回答是真实的和准确的。</w:t>
      </w:r>
    </w:p>
    <w:p w14:paraId="00338621">
      <w:pPr>
        <w:spacing w:line="360" w:lineRule="auto"/>
        <w:ind w:left="2"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4、评标委员会将应用投标人提交的资料根据自己的判断和考虑决定投标人履行协议的合格性及能力。</w:t>
      </w:r>
    </w:p>
    <w:p w14:paraId="066B2DE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5、投标人提交的材料将在一定期限内被保密保存，但不退还。</w:t>
      </w:r>
    </w:p>
    <w:p w14:paraId="4A8D0351">
      <w:pPr>
        <w:spacing w:line="360" w:lineRule="auto"/>
        <w:ind w:firstLine="480" w:firstLineChars="200"/>
        <w:rPr>
          <w:rFonts w:hint="eastAsia" w:ascii="宋体" w:hAnsi="宋体"/>
          <w:color w:val="000000"/>
          <w:sz w:val="24"/>
          <w:szCs w:val="24"/>
          <w:highlight w:val="none"/>
          <w:lang w:val="zh-CN"/>
        </w:rPr>
      </w:pPr>
      <w:r>
        <w:rPr>
          <w:rFonts w:hint="eastAsia" w:ascii="宋体" w:hAnsi="宋体"/>
          <w:color w:val="000000"/>
          <w:sz w:val="24"/>
          <w:szCs w:val="24"/>
          <w:highlight w:val="none"/>
        </w:rPr>
        <w:t>6、全部文件应按投标人须知中规定的语言和份数提交。</w:t>
      </w:r>
      <w:r>
        <w:rPr>
          <w:rFonts w:hint="eastAsia" w:ascii="宋体" w:hAnsi="宋体" w:cs="仿宋_GB2312"/>
          <w:color w:val="000000"/>
          <w:sz w:val="24"/>
          <w:szCs w:val="24"/>
          <w:highlight w:val="none"/>
        </w:rPr>
        <w:t>投标文件组成漏项或未按规定的格式编制或投标文件正、副本份数不足，内容不全或内容字迹模糊辨认不清的情况，</w:t>
      </w:r>
      <w:r>
        <w:rPr>
          <w:rFonts w:hint="eastAsia" w:ascii="宋体" w:hAnsi="宋体" w:cs="仿宋_GB2312"/>
          <w:b/>
          <w:color w:val="000000"/>
          <w:sz w:val="24"/>
          <w:szCs w:val="24"/>
          <w:highlight w:val="none"/>
        </w:rPr>
        <w:t>将被认定为投标无效。</w:t>
      </w:r>
    </w:p>
    <w:p w14:paraId="39E0BA5D">
      <w:pPr>
        <w:spacing w:line="360" w:lineRule="auto"/>
        <w:rPr>
          <w:rFonts w:hint="eastAsia" w:ascii="宋体" w:hAnsi="宋体"/>
          <w:b/>
          <w:color w:val="000000"/>
          <w:sz w:val="24"/>
          <w:szCs w:val="24"/>
          <w:highlight w:val="none"/>
          <w:lang w:val="zh-CN"/>
        </w:rPr>
      </w:pPr>
      <w:bookmarkStart w:id="99" w:name="_Toc233618988"/>
      <w:r>
        <w:rPr>
          <w:rFonts w:hint="eastAsia" w:ascii="宋体" w:hAnsi="宋体"/>
          <w:b/>
          <w:color w:val="000000"/>
          <w:sz w:val="24"/>
          <w:szCs w:val="24"/>
          <w:highlight w:val="none"/>
          <w:lang w:val="zh-CN"/>
        </w:rPr>
        <w:t>二、投标文件编制格式及规范要求：</w:t>
      </w:r>
      <w:bookmarkEnd w:id="99"/>
    </w:p>
    <w:p w14:paraId="38989B70">
      <w:pPr>
        <w:spacing w:line="360" w:lineRule="auto"/>
        <w:ind w:firstLine="480" w:firstLineChars="200"/>
        <w:rPr>
          <w:rFonts w:hint="eastAsia" w:ascii="宋体" w:hAnsi="宋体" w:cs="仿宋_GB2312"/>
          <w:color w:val="000000"/>
          <w:sz w:val="24"/>
          <w:szCs w:val="24"/>
          <w:highlight w:val="none"/>
        </w:rPr>
      </w:pPr>
      <w:r>
        <w:rPr>
          <w:rFonts w:hint="eastAsia" w:ascii="宋体" w:hAnsi="宋体" w:cs="仿宋_GB2312"/>
          <w:color w:val="000000"/>
          <w:sz w:val="24"/>
          <w:szCs w:val="24"/>
          <w:highlight w:val="none"/>
        </w:rPr>
        <w:t>投标文件正本一份、副本四份，各投标人在编制投标文件时请按照以下格式进行，按正副本分开装订后密封包装。没有密封包装的投标文件，将被当场拒绝。</w:t>
      </w:r>
    </w:p>
    <w:p w14:paraId="49BDA042">
      <w:pP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br w:type="page"/>
      </w:r>
    </w:p>
    <w:p w14:paraId="763B7A90">
      <w:pPr>
        <w:jc w:val="center"/>
        <w:rPr>
          <w:rFonts w:hint="eastAsia" w:ascii="宋体" w:hAnsi="宋体" w:eastAsia="宋体" w:cs="宋体"/>
          <w:sz w:val="32"/>
          <w:szCs w:val="32"/>
          <w:highlight w:val="none"/>
          <w:lang w:eastAsia="zh-CN"/>
        </w:rPr>
      </w:pPr>
      <w:r>
        <w:rPr>
          <w:rFonts w:hint="eastAsia" w:ascii="宋体" w:hAnsi="宋体" w:eastAsia="宋体" w:cs="宋体"/>
          <w:b/>
          <w:kern w:val="0"/>
          <w:sz w:val="32"/>
          <w:szCs w:val="32"/>
          <w:highlight w:val="none"/>
        </w:rPr>
        <w:t>评</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rPr>
        <w:t>分</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rPr>
        <w:t>索</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rPr>
        <w:t>引</w:t>
      </w:r>
      <w:r>
        <w:rPr>
          <w:rFonts w:hint="eastAsia" w:ascii="宋体" w:hAnsi="宋体" w:eastAsia="宋体" w:cs="宋体"/>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表</w:t>
      </w:r>
    </w:p>
    <w:p w14:paraId="74BA59C2">
      <w:pPr>
        <w:snapToGrid w:val="0"/>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（按招标文件评标办法中“投标文件中评标标准相应的商务技术资料目录”提供资料）</w:t>
      </w:r>
    </w:p>
    <w:tbl>
      <w:tblPr>
        <w:tblStyle w:val="17"/>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8"/>
        <w:gridCol w:w="981"/>
        <w:gridCol w:w="1441"/>
      </w:tblGrid>
      <w:tr w14:paraId="198B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018D8962">
            <w:pPr>
              <w:widowControl/>
              <w:wordWrap/>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评审内容及评分细则</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80FAA77">
            <w:pPr>
              <w:widowControl/>
              <w:wordWrap/>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自评</w:t>
            </w:r>
          </w:p>
          <w:p w14:paraId="058C3E3E">
            <w:pPr>
              <w:widowControl/>
              <w:wordWrap/>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分值</w:t>
            </w:r>
          </w:p>
        </w:tc>
        <w:tc>
          <w:tcPr>
            <w:tcW w:w="1441" w:type="dxa"/>
            <w:tcBorders>
              <w:top w:val="single" w:color="auto" w:sz="4" w:space="0"/>
              <w:left w:val="single" w:color="auto" w:sz="4" w:space="0"/>
              <w:bottom w:val="single" w:color="auto" w:sz="4" w:space="0"/>
              <w:right w:val="single" w:color="auto" w:sz="4" w:space="0"/>
            </w:tcBorders>
            <w:noWrap w:val="0"/>
            <w:vAlign w:val="top"/>
          </w:tcPr>
          <w:p w14:paraId="1EAF0857">
            <w:pPr>
              <w:widowControl/>
              <w:wordWrap/>
              <w:spacing w:line="24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投标文件中评标标准相应的商务技术资料目录 </w:t>
            </w:r>
          </w:p>
        </w:tc>
      </w:tr>
      <w:tr w14:paraId="1026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100C00B5">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07AA90F3">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1F3B30C7">
            <w:pPr>
              <w:widowControl/>
              <w:wordWrap/>
              <w:spacing w:line="240" w:lineRule="auto"/>
              <w:jc w:val="center"/>
              <w:textAlignment w:val="auto"/>
              <w:rPr>
                <w:rFonts w:hint="eastAsia" w:ascii="宋体" w:hAnsi="宋体" w:eastAsia="宋体" w:cs="宋体"/>
                <w:b/>
                <w:bCs/>
                <w:kern w:val="0"/>
                <w:sz w:val="24"/>
                <w:szCs w:val="24"/>
                <w:highlight w:val="none"/>
              </w:rPr>
            </w:pPr>
          </w:p>
        </w:tc>
      </w:tr>
      <w:tr w14:paraId="443C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1E4979CA">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52872FC">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2BC958C">
            <w:pPr>
              <w:widowControl/>
              <w:wordWrap/>
              <w:spacing w:line="240" w:lineRule="auto"/>
              <w:jc w:val="center"/>
              <w:textAlignment w:val="auto"/>
              <w:rPr>
                <w:rFonts w:hint="eastAsia" w:ascii="宋体" w:hAnsi="宋体" w:eastAsia="宋体" w:cs="宋体"/>
                <w:b/>
                <w:bCs/>
                <w:kern w:val="0"/>
                <w:sz w:val="24"/>
                <w:szCs w:val="24"/>
                <w:highlight w:val="none"/>
              </w:rPr>
            </w:pPr>
          </w:p>
        </w:tc>
      </w:tr>
      <w:tr w14:paraId="7B1B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2B841C78">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3AA5AF8">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51A9DFE">
            <w:pPr>
              <w:widowControl/>
              <w:wordWrap/>
              <w:spacing w:line="240" w:lineRule="auto"/>
              <w:jc w:val="center"/>
              <w:textAlignment w:val="auto"/>
              <w:rPr>
                <w:rFonts w:hint="eastAsia" w:ascii="宋体" w:hAnsi="宋体" w:eastAsia="宋体" w:cs="宋体"/>
                <w:b/>
                <w:bCs/>
                <w:kern w:val="0"/>
                <w:sz w:val="24"/>
                <w:szCs w:val="24"/>
                <w:highlight w:val="none"/>
              </w:rPr>
            </w:pPr>
          </w:p>
        </w:tc>
      </w:tr>
      <w:tr w14:paraId="7EB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65482059">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E1D98B5">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2CE35280">
            <w:pPr>
              <w:widowControl/>
              <w:wordWrap/>
              <w:spacing w:line="240" w:lineRule="auto"/>
              <w:jc w:val="center"/>
              <w:textAlignment w:val="auto"/>
              <w:rPr>
                <w:rFonts w:hint="eastAsia" w:ascii="宋体" w:hAnsi="宋体" w:eastAsia="宋体" w:cs="宋体"/>
                <w:b/>
                <w:bCs/>
                <w:kern w:val="0"/>
                <w:sz w:val="24"/>
                <w:szCs w:val="24"/>
                <w:highlight w:val="none"/>
              </w:rPr>
            </w:pPr>
          </w:p>
        </w:tc>
      </w:tr>
      <w:tr w14:paraId="6A52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30E0387C">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67F74F7">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012D75F7">
            <w:pPr>
              <w:widowControl/>
              <w:wordWrap/>
              <w:spacing w:line="240" w:lineRule="auto"/>
              <w:jc w:val="center"/>
              <w:textAlignment w:val="auto"/>
              <w:rPr>
                <w:rFonts w:hint="eastAsia" w:ascii="宋体" w:hAnsi="宋体" w:eastAsia="宋体" w:cs="宋体"/>
                <w:b/>
                <w:bCs/>
                <w:kern w:val="0"/>
                <w:sz w:val="24"/>
                <w:szCs w:val="24"/>
                <w:highlight w:val="none"/>
              </w:rPr>
            </w:pPr>
          </w:p>
        </w:tc>
      </w:tr>
      <w:tr w14:paraId="13F4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6F1F9E8D">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0E312F5">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65D48C12">
            <w:pPr>
              <w:widowControl/>
              <w:wordWrap/>
              <w:spacing w:line="240" w:lineRule="auto"/>
              <w:jc w:val="center"/>
              <w:textAlignment w:val="auto"/>
              <w:rPr>
                <w:rFonts w:hint="eastAsia" w:ascii="宋体" w:hAnsi="宋体" w:eastAsia="宋体" w:cs="宋体"/>
                <w:b/>
                <w:bCs/>
                <w:kern w:val="0"/>
                <w:sz w:val="24"/>
                <w:szCs w:val="24"/>
                <w:highlight w:val="none"/>
              </w:rPr>
            </w:pPr>
          </w:p>
        </w:tc>
      </w:tr>
      <w:tr w14:paraId="3C36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6675318A">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3F6CBD99">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525224D2">
            <w:pPr>
              <w:widowControl/>
              <w:wordWrap/>
              <w:spacing w:line="240" w:lineRule="auto"/>
              <w:jc w:val="center"/>
              <w:textAlignment w:val="auto"/>
              <w:rPr>
                <w:rFonts w:hint="eastAsia" w:ascii="宋体" w:hAnsi="宋体" w:eastAsia="宋体" w:cs="宋体"/>
                <w:b/>
                <w:bCs/>
                <w:kern w:val="0"/>
                <w:sz w:val="24"/>
                <w:szCs w:val="24"/>
                <w:highlight w:val="none"/>
              </w:rPr>
            </w:pPr>
          </w:p>
        </w:tc>
      </w:tr>
      <w:tr w14:paraId="4F0C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38B4BFC6">
            <w:pPr>
              <w:widowControl/>
              <w:wordWrap/>
              <w:spacing w:line="240" w:lineRule="auto"/>
              <w:jc w:val="center"/>
              <w:textAlignment w:val="auto"/>
              <w:rPr>
                <w:rFonts w:hint="eastAsia" w:ascii="宋体" w:hAnsi="宋体" w:eastAsia="宋体" w:cs="宋体"/>
                <w:b/>
                <w:bCs/>
                <w:kern w:val="0"/>
                <w:sz w:val="24"/>
                <w:szCs w:val="24"/>
                <w:highlight w:val="none"/>
              </w:rPr>
            </w:pPr>
          </w:p>
        </w:tc>
        <w:tc>
          <w:tcPr>
            <w:tcW w:w="981" w:type="dxa"/>
            <w:tcBorders>
              <w:top w:val="single" w:color="auto" w:sz="4" w:space="0"/>
              <w:left w:val="single" w:color="auto" w:sz="4" w:space="0"/>
              <w:bottom w:val="single" w:color="auto" w:sz="4" w:space="0"/>
              <w:right w:val="single" w:color="auto" w:sz="4" w:space="0"/>
            </w:tcBorders>
            <w:noWrap w:val="0"/>
            <w:vAlign w:val="center"/>
          </w:tcPr>
          <w:p w14:paraId="56109317">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31A3EE10">
            <w:pPr>
              <w:widowControl/>
              <w:wordWrap/>
              <w:spacing w:line="240" w:lineRule="auto"/>
              <w:jc w:val="center"/>
              <w:textAlignment w:val="auto"/>
              <w:rPr>
                <w:rFonts w:hint="eastAsia" w:ascii="宋体" w:hAnsi="宋体" w:eastAsia="宋体" w:cs="宋体"/>
                <w:b/>
                <w:bCs/>
                <w:kern w:val="0"/>
                <w:sz w:val="24"/>
                <w:szCs w:val="24"/>
                <w:highlight w:val="none"/>
              </w:rPr>
            </w:pPr>
          </w:p>
        </w:tc>
      </w:tr>
      <w:tr w14:paraId="74B0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58" w:type="dxa"/>
            <w:tcBorders>
              <w:top w:val="single" w:color="auto" w:sz="4" w:space="0"/>
              <w:left w:val="single" w:color="auto" w:sz="4" w:space="0"/>
              <w:bottom w:val="single" w:color="auto" w:sz="4" w:space="0"/>
              <w:right w:val="single" w:color="auto" w:sz="4" w:space="0"/>
            </w:tcBorders>
            <w:noWrap w:val="0"/>
            <w:vAlign w:val="center"/>
          </w:tcPr>
          <w:p w14:paraId="0F0AB415">
            <w:pPr>
              <w:widowControl/>
              <w:wordWrap/>
              <w:spacing w:line="240" w:lineRule="auto"/>
              <w:jc w:val="center"/>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w:t>
            </w:r>
          </w:p>
        </w:tc>
        <w:tc>
          <w:tcPr>
            <w:tcW w:w="981" w:type="dxa"/>
            <w:tcBorders>
              <w:top w:val="single" w:color="auto" w:sz="4" w:space="0"/>
              <w:left w:val="single" w:color="auto" w:sz="4" w:space="0"/>
              <w:bottom w:val="single" w:color="auto" w:sz="4" w:space="0"/>
              <w:right w:val="single" w:color="auto" w:sz="4" w:space="0"/>
            </w:tcBorders>
            <w:noWrap w:val="0"/>
            <w:vAlign w:val="center"/>
          </w:tcPr>
          <w:p w14:paraId="012B418E">
            <w:pPr>
              <w:widowControl/>
              <w:wordWrap/>
              <w:spacing w:line="240" w:lineRule="auto"/>
              <w:jc w:val="center"/>
              <w:textAlignment w:val="auto"/>
              <w:rPr>
                <w:rFonts w:hint="eastAsia" w:ascii="宋体" w:hAnsi="宋体" w:eastAsia="宋体" w:cs="宋体"/>
                <w:b/>
                <w:bCs/>
                <w:kern w:val="0"/>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noWrap w:val="0"/>
            <w:vAlign w:val="top"/>
          </w:tcPr>
          <w:p w14:paraId="46A999CB">
            <w:pPr>
              <w:widowControl/>
              <w:wordWrap/>
              <w:spacing w:line="240" w:lineRule="auto"/>
              <w:jc w:val="center"/>
              <w:textAlignment w:val="auto"/>
              <w:rPr>
                <w:rFonts w:hint="eastAsia" w:ascii="宋体" w:hAnsi="宋体" w:eastAsia="宋体" w:cs="宋体"/>
                <w:b/>
                <w:bCs/>
                <w:kern w:val="0"/>
                <w:sz w:val="24"/>
                <w:szCs w:val="24"/>
                <w:highlight w:val="none"/>
              </w:rPr>
            </w:pPr>
          </w:p>
        </w:tc>
      </w:tr>
    </w:tbl>
    <w:p w14:paraId="48542533">
      <w:pPr>
        <w:pStyle w:val="27"/>
        <w:rPr>
          <w:rFonts w:hint="eastAsia" w:ascii="仿宋_GB2312" w:hAnsi="仿宋" w:eastAsia="仿宋_GB2312" w:cs="仿宋_GB2312"/>
          <w:b/>
          <w:sz w:val="24"/>
          <w:highlight w:val="none"/>
        </w:rPr>
      </w:pPr>
    </w:p>
    <w:p w14:paraId="7D8ED3FB">
      <w:pPr>
        <w:snapToGrid w:val="0"/>
        <w:spacing w:before="50" w:after="50"/>
        <w:ind w:firstLine="600" w:firstLineChars="250"/>
        <w:rPr>
          <w:rFonts w:ascii="宋体" w:hAnsi="宋体" w:cs="宋体"/>
          <w:color w:val="auto"/>
          <w:sz w:val="24"/>
          <w:highlight w:val="none"/>
        </w:rPr>
      </w:pPr>
      <w:r>
        <w:rPr>
          <w:rFonts w:hint="eastAsia" w:ascii="宋体" w:hAnsi="宋体" w:cs="宋体"/>
          <w:color w:val="auto"/>
          <w:sz w:val="24"/>
          <w:highlight w:val="none"/>
        </w:rPr>
        <w:t>注：评分对应表主要用于作为专家评分的一个参考及查阅依据。</w:t>
      </w:r>
    </w:p>
    <w:p w14:paraId="7C638F8D">
      <w:pPr>
        <w:pStyle w:val="27"/>
        <w:rPr>
          <w:rFonts w:hint="eastAsia" w:ascii="宋体" w:hAnsi="宋体"/>
          <w:color w:val="000000"/>
          <w:sz w:val="24"/>
          <w:szCs w:val="24"/>
          <w:highlight w:val="none"/>
        </w:rPr>
      </w:pPr>
    </w:p>
    <w:p w14:paraId="443FD56F">
      <w:pPr>
        <w:pStyle w:val="27"/>
        <w:rPr>
          <w:rFonts w:hint="eastAsia" w:ascii="宋体" w:hAnsi="宋体"/>
          <w:color w:val="000000"/>
          <w:sz w:val="24"/>
          <w:szCs w:val="24"/>
          <w:highlight w:val="none"/>
        </w:rPr>
      </w:pPr>
    </w:p>
    <w:p w14:paraId="17D8A975">
      <w:pPr>
        <w:spacing w:line="360" w:lineRule="auto"/>
        <w:rPr>
          <w:rFonts w:hint="eastAsia" w:ascii="宋体" w:hAnsi="宋体" w:eastAsia="宋体" w:cs="宋体"/>
          <w:color w:val="auto"/>
          <w:sz w:val="24"/>
          <w:szCs w:val="24"/>
          <w:highlight w:val="none"/>
        </w:rPr>
      </w:pPr>
    </w:p>
    <w:p w14:paraId="20E15E3B">
      <w:pPr>
        <w:spacing w:line="360" w:lineRule="auto"/>
        <w:rPr>
          <w:rFonts w:hint="eastAsia" w:ascii="宋体" w:hAnsi="宋体" w:eastAsia="宋体" w:cs="宋体"/>
          <w:color w:val="auto"/>
          <w:sz w:val="24"/>
          <w:szCs w:val="24"/>
          <w:highlight w:val="none"/>
        </w:rPr>
      </w:pPr>
    </w:p>
    <w:p w14:paraId="4B0D813D">
      <w:pPr>
        <w:spacing w:line="360" w:lineRule="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投标文件封面</w:t>
      </w:r>
    </w:p>
    <w:p w14:paraId="2FEDD8B6">
      <w:pPr>
        <w:spacing w:line="360" w:lineRule="auto"/>
        <w:jc w:val="right"/>
        <w:rPr>
          <w:rFonts w:hint="eastAsia" w:ascii="宋体" w:hAnsi="宋体" w:eastAsia="宋体" w:cs="宋体"/>
          <w:b/>
          <w:color w:val="auto"/>
          <w:sz w:val="24"/>
          <w:szCs w:val="24"/>
          <w:highlight w:val="none"/>
          <w:lang w:val="zh-CN"/>
        </w:rPr>
      </w:pPr>
      <w:r>
        <w:rPr>
          <w:rFonts w:hint="eastAsia" w:ascii="宋体" w:hAnsi="宋体" w:eastAsia="宋体" w:cs="宋体"/>
          <w:color w:val="auto"/>
          <w:szCs w:val="28"/>
          <w:highlight w:val="none"/>
        </w:rPr>
        <w:t>正（副）本</w:t>
      </w:r>
    </w:p>
    <w:p w14:paraId="48260561">
      <w:pPr>
        <w:spacing w:line="360" w:lineRule="auto"/>
        <w:jc w:val="center"/>
        <w:rPr>
          <w:rFonts w:hint="eastAsia" w:ascii="宋体" w:hAnsi="宋体" w:eastAsia="宋体" w:cs="宋体"/>
          <w:b/>
          <w:color w:val="auto"/>
          <w:sz w:val="48"/>
          <w:szCs w:val="48"/>
          <w:highlight w:val="none"/>
          <w:lang w:eastAsia="zh-CN"/>
        </w:rPr>
      </w:pPr>
    </w:p>
    <w:p w14:paraId="083985A3">
      <w:pPr>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b/>
          <w:color w:val="auto"/>
          <w:sz w:val="48"/>
          <w:szCs w:val="48"/>
          <w:highlight w:val="none"/>
          <w:lang w:eastAsia="zh-CN"/>
        </w:rPr>
        <w:t>城投集团财政拨款账户战略合作服务采购</w:t>
      </w:r>
    </w:p>
    <w:p w14:paraId="51C8112B">
      <w:pPr>
        <w:spacing w:line="360" w:lineRule="auto"/>
        <w:jc w:val="center"/>
        <w:rPr>
          <w:rFonts w:hint="eastAsia" w:ascii="宋体" w:hAnsi="宋体" w:eastAsia="宋体" w:cs="宋体"/>
          <w:color w:val="auto"/>
          <w:sz w:val="72"/>
          <w:szCs w:val="72"/>
          <w:highlight w:val="none"/>
        </w:rPr>
      </w:pPr>
    </w:p>
    <w:p w14:paraId="51983EE7">
      <w:pPr>
        <w:spacing w:line="360" w:lineRule="auto"/>
        <w:jc w:val="center"/>
        <w:rPr>
          <w:rFonts w:hint="eastAsia" w:ascii="宋体" w:hAnsi="宋体" w:eastAsia="宋体" w:cs="宋体"/>
          <w:color w:val="auto"/>
          <w:sz w:val="84"/>
          <w:szCs w:val="84"/>
          <w:highlight w:val="none"/>
        </w:rPr>
      </w:pPr>
    </w:p>
    <w:p w14:paraId="755E2892">
      <w:pPr>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投</w:t>
      </w:r>
      <w:r>
        <w:rPr>
          <w:rFonts w:hint="eastAsia" w:ascii="宋体" w:hAnsi="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标</w:t>
      </w:r>
      <w:r>
        <w:rPr>
          <w:rFonts w:hint="eastAsia" w:ascii="宋体" w:hAnsi="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文</w:t>
      </w:r>
      <w:r>
        <w:rPr>
          <w:rFonts w:hint="eastAsia" w:ascii="宋体" w:hAnsi="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5D4E05BC">
      <w:pPr>
        <w:spacing w:line="360" w:lineRule="auto"/>
        <w:jc w:val="center"/>
        <w:rPr>
          <w:rFonts w:hint="eastAsia" w:ascii="宋体" w:hAnsi="宋体" w:eastAsia="宋体" w:cs="宋体"/>
          <w:b/>
          <w:color w:val="auto"/>
          <w:sz w:val="30"/>
          <w:szCs w:val="30"/>
          <w:highlight w:val="none"/>
        </w:rPr>
      </w:pPr>
    </w:p>
    <w:p w14:paraId="10B09347">
      <w:pPr>
        <w:spacing w:line="360" w:lineRule="auto"/>
        <w:jc w:val="center"/>
        <w:rPr>
          <w:rFonts w:hint="eastAsia" w:ascii="宋体" w:hAnsi="宋体" w:eastAsia="宋体" w:cs="宋体"/>
          <w:color w:val="auto"/>
          <w:sz w:val="72"/>
          <w:szCs w:val="72"/>
          <w:highlight w:val="none"/>
          <w:lang w:eastAsia="zh-CN"/>
        </w:rPr>
      </w:pPr>
      <w:r>
        <w:rPr>
          <w:rFonts w:hint="eastAsia" w:ascii="宋体" w:hAnsi="宋体" w:eastAsia="宋体" w:cs="宋体"/>
          <w:b/>
          <w:color w:val="auto"/>
          <w:sz w:val="30"/>
          <w:szCs w:val="30"/>
          <w:highlight w:val="none"/>
        </w:rPr>
        <w:t>项目编号：</w:t>
      </w:r>
    </w:p>
    <w:p w14:paraId="6EFF58AA">
      <w:pPr>
        <w:spacing w:line="360" w:lineRule="auto"/>
        <w:jc w:val="center"/>
        <w:rPr>
          <w:rFonts w:hint="eastAsia" w:ascii="宋体" w:hAnsi="宋体" w:eastAsia="宋体" w:cs="宋体"/>
          <w:b/>
          <w:color w:val="auto"/>
          <w:sz w:val="30"/>
          <w:szCs w:val="30"/>
          <w:highlight w:val="none"/>
          <w:lang w:val="en-US" w:eastAsia="zh-CN"/>
        </w:rPr>
      </w:pPr>
    </w:p>
    <w:p w14:paraId="75B04314">
      <w:pPr>
        <w:spacing w:line="360" w:lineRule="auto"/>
        <w:jc w:val="center"/>
        <w:rPr>
          <w:rFonts w:hint="eastAsia" w:ascii="宋体" w:hAnsi="宋体" w:eastAsia="宋体" w:cs="宋体"/>
          <w:color w:val="auto"/>
          <w:sz w:val="44"/>
          <w:szCs w:val="44"/>
          <w:highlight w:val="none"/>
        </w:rPr>
      </w:pPr>
    </w:p>
    <w:p w14:paraId="661EA3F4">
      <w:pPr>
        <w:spacing w:line="360" w:lineRule="auto"/>
        <w:jc w:val="center"/>
        <w:rPr>
          <w:rFonts w:hint="eastAsia" w:ascii="宋体" w:hAnsi="宋体" w:eastAsia="宋体" w:cs="宋体"/>
          <w:color w:val="auto"/>
          <w:sz w:val="24"/>
          <w:szCs w:val="24"/>
          <w:highlight w:val="none"/>
        </w:rPr>
      </w:pPr>
    </w:p>
    <w:p w14:paraId="2FB27B9D">
      <w:pPr>
        <w:spacing w:line="360" w:lineRule="auto"/>
        <w:jc w:val="center"/>
        <w:rPr>
          <w:rFonts w:hint="eastAsia" w:ascii="宋体" w:hAnsi="宋体" w:eastAsia="宋体" w:cs="宋体"/>
          <w:color w:val="auto"/>
          <w:sz w:val="24"/>
          <w:szCs w:val="24"/>
          <w:highlight w:val="none"/>
        </w:rPr>
      </w:pPr>
    </w:p>
    <w:p w14:paraId="1E2F779E">
      <w:pPr>
        <w:pStyle w:val="28"/>
        <w:spacing w:line="360" w:lineRule="auto"/>
        <w:rPr>
          <w:rFonts w:hint="eastAsia" w:ascii="宋体" w:hAnsi="宋体" w:eastAsia="宋体" w:cs="宋体"/>
          <w:color w:val="auto"/>
          <w:sz w:val="24"/>
          <w:szCs w:val="24"/>
          <w:highlight w:val="none"/>
        </w:rPr>
      </w:pPr>
    </w:p>
    <w:p w14:paraId="7A8FFA46">
      <w:pPr>
        <w:pStyle w:val="28"/>
        <w:spacing w:line="360" w:lineRule="auto"/>
        <w:rPr>
          <w:rFonts w:hint="eastAsia" w:ascii="宋体" w:hAnsi="宋体" w:eastAsia="宋体" w:cs="宋体"/>
          <w:color w:val="auto"/>
          <w:sz w:val="24"/>
          <w:szCs w:val="24"/>
          <w:highlight w:val="none"/>
        </w:rPr>
      </w:pPr>
    </w:p>
    <w:p w14:paraId="21CD4B07">
      <w:pPr>
        <w:pStyle w:val="28"/>
        <w:spacing w:line="360" w:lineRule="auto"/>
        <w:rPr>
          <w:rFonts w:hint="eastAsia" w:ascii="宋体" w:hAnsi="宋体" w:eastAsia="宋体" w:cs="宋体"/>
          <w:color w:val="auto"/>
          <w:sz w:val="24"/>
          <w:szCs w:val="24"/>
          <w:highlight w:val="none"/>
        </w:rPr>
      </w:pPr>
    </w:p>
    <w:p w14:paraId="52FE3916">
      <w:pPr>
        <w:pStyle w:val="28"/>
        <w:spacing w:line="360" w:lineRule="auto"/>
        <w:rPr>
          <w:rFonts w:hint="eastAsia" w:ascii="宋体" w:hAnsi="宋体" w:eastAsia="宋体" w:cs="宋体"/>
          <w:color w:val="auto"/>
          <w:sz w:val="24"/>
          <w:szCs w:val="24"/>
          <w:highlight w:val="none"/>
        </w:rPr>
      </w:pPr>
    </w:p>
    <w:p w14:paraId="0DF674BF">
      <w:pPr>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投标人全称：（加盖单位公章）</w:t>
      </w:r>
    </w:p>
    <w:p w14:paraId="38947899">
      <w:pPr>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法定代表人(或</w:t>
      </w:r>
      <w:r>
        <w:rPr>
          <w:rFonts w:hint="eastAsia" w:ascii="宋体" w:hAnsi="宋体" w:eastAsia="宋体" w:cs="宋体"/>
          <w:color w:val="auto"/>
          <w:sz w:val="32"/>
          <w:szCs w:val="32"/>
          <w:highlight w:val="none"/>
          <w:lang w:eastAsia="zh-CN"/>
        </w:rPr>
        <w:t>单位</w:t>
      </w:r>
      <w:r>
        <w:rPr>
          <w:rFonts w:hint="eastAsia" w:ascii="宋体" w:hAnsi="宋体" w:eastAsia="宋体" w:cs="宋体"/>
          <w:color w:val="auto"/>
          <w:sz w:val="32"/>
          <w:szCs w:val="32"/>
          <w:highlight w:val="none"/>
        </w:rPr>
        <w:t>负责人)(签字或盖章)：</w:t>
      </w:r>
    </w:p>
    <w:p w14:paraId="37551AA5">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7F9D78E">
      <w:pPr>
        <w:spacing w:line="360" w:lineRule="auto"/>
        <w:jc w:val="center"/>
        <w:outlineLvl w:val="0"/>
        <w:rPr>
          <w:rFonts w:hint="eastAsia" w:ascii="宋体" w:hAnsi="宋体" w:cs="宋体"/>
          <w:b/>
          <w:color w:val="000000"/>
          <w:kern w:val="0"/>
          <w:sz w:val="32"/>
          <w:szCs w:val="32"/>
          <w:highlight w:val="none"/>
        </w:rPr>
      </w:pPr>
      <w:bookmarkStart w:id="100" w:name="_Toc15284"/>
      <w:bookmarkStart w:id="101" w:name="_Toc233618989"/>
    </w:p>
    <w:p w14:paraId="25AABFE1">
      <w:pPr>
        <w:spacing w:line="360" w:lineRule="auto"/>
        <w:jc w:val="center"/>
        <w:outlineLvl w:val="0"/>
        <w:rPr>
          <w:rFonts w:hint="eastAsia" w:ascii="宋体" w:hAnsi="宋体" w:cs="宋体"/>
          <w:b/>
          <w:color w:val="000000"/>
          <w:kern w:val="0"/>
          <w:sz w:val="32"/>
          <w:szCs w:val="32"/>
          <w:highlight w:val="none"/>
        </w:rPr>
      </w:pPr>
    </w:p>
    <w:p w14:paraId="16AE183A">
      <w:pPr>
        <w:spacing w:line="360" w:lineRule="auto"/>
        <w:jc w:val="center"/>
        <w:outlineLvl w:val="0"/>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目</w:t>
      </w:r>
      <w:r>
        <w:rPr>
          <w:rFonts w:hint="eastAsia" w:ascii="宋体" w:hAnsi="宋体" w:cs="宋体"/>
          <w:b/>
          <w:color w:val="000000"/>
          <w:kern w:val="0"/>
          <w:sz w:val="32"/>
          <w:szCs w:val="32"/>
          <w:highlight w:val="none"/>
          <w:lang w:val="en-US" w:eastAsia="zh-CN"/>
        </w:rPr>
        <w:t xml:space="preserve"> </w:t>
      </w:r>
      <w:r>
        <w:rPr>
          <w:rFonts w:hint="eastAsia" w:ascii="宋体" w:hAnsi="宋体" w:cs="宋体"/>
          <w:b/>
          <w:color w:val="000000"/>
          <w:kern w:val="0"/>
          <w:sz w:val="32"/>
          <w:szCs w:val="32"/>
          <w:highlight w:val="none"/>
        </w:rPr>
        <w:t>录</w:t>
      </w:r>
      <w:bookmarkEnd w:id="100"/>
    </w:p>
    <w:p w14:paraId="11EBBBA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）投标响应函…………………………………………………………………………（页码）</w:t>
      </w:r>
    </w:p>
    <w:p w14:paraId="3954F10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）开标一览表…………………………………………………………………………（页码）</w:t>
      </w:r>
    </w:p>
    <w:p w14:paraId="0840B51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）法定代表人（或负责人）授权委托书及授权委托人的身份证…………………（页码）</w:t>
      </w:r>
    </w:p>
    <w:p w14:paraId="786CA3AB">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）营业执照……………………………………………………………………………（页码）</w:t>
      </w:r>
    </w:p>
    <w:p w14:paraId="372B5A4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）纳入监管评级银行的人民银行上一评审年度评价文件…………………………（页码）</w:t>
      </w:r>
    </w:p>
    <w:p w14:paraId="23FEC4E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承诺函</w:t>
      </w:r>
      <w:r>
        <w:rPr>
          <w:rFonts w:hint="eastAsia" w:ascii="宋体" w:hAnsi="宋体" w:eastAsia="宋体" w:cs="宋体"/>
          <w:color w:val="auto"/>
          <w:kern w:val="0"/>
          <w:sz w:val="24"/>
          <w:szCs w:val="24"/>
          <w:highlight w:val="none"/>
        </w:rPr>
        <w:t>……………………………………………………………………………（页码）</w:t>
      </w:r>
    </w:p>
    <w:p w14:paraId="0229F3CE">
      <w:pPr>
        <w:pStyle w:val="8"/>
        <w:adjustRightInd w:val="0"/>
        <w:snapToGrid w:val="0"/>
        <w:spacing w:line="360" w:lineRule="auto"/>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7</w:t>
      </w:r>
      <w:r>
        <w:rPr>
          <w:rFonts w:hint="eastAsia" w:hAnsi="宋体" w:eastAsia="宋体" w:cs="宋体"/>
          <w:color w:val="auto"/>
          <w:kern w:val="0"/>
          <w:sz w:val="24"/>
          <w:szCs w:val="24"/>
          <w:highlight w:val="none"/>
        </w:rPr>
        <w:t>）声明书………………………………………………………………………………（页码）</w:t>
      </w:r>
    </w:p>
    <w:p w14:paraId="11E85B83">
      <w:pPr>
        <w:pStyle w:val="8"/>
        <w:adjustRightInd w:val="0"/>
        <w:snapToGrid w:val="0"/>
        <w:spacing w:line="360" w:lineRule="auto"/>
        <w:rPr>
          <w:rFonts w:hint="eastAsia" w:hAnsi="宋体" w:eastAsia="宋体" w:cs="宋体"/>
          <w:color w:val="auto"/>
          <w:kern w:val="0"/>
          <w:sz w:val="24"/>
          <w:szCs w:val="24"/>
          <w:highlight w:val="none"/>
        </w:rPr>
      </w:pPr>
      <w:r>
        <w:rPr>
          <w:rFonts w:hint="eastAsia"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8</w:t>
      </w:r>
      <w:r>
        <w:rPr>
          <w:rFonts w:hint="eastAsia" w:hAnsi="宋体" w:eastAsia="宋体" w:cs="宋体"/>
          <w:color w:val="auto"/>
          <w:kern w:val="0"/>
          <w:sz w:val="24"/>
          <w:szCs w:val="24"/>
          <w:highlight w:val="none"/>
        </w:rPr>
        <w:t>）廉政承诺书…………………………………………………………………………（页码）</w:t>
      </w:r>
    </w:p>
    <w:p w14:paraId="217B2ADD">
      <w:pPr>
        <w:pStyle w:val="8"/>
        <w:adjustRightInd w:val="0"/>
        <w:snapToGrid w:val="0"/>
        <w:spacing w:line="360" w:lineRule="auto"/>
        <w:rPr>
          <w:rFonts w:hint="eastAsia" w:hAnsi="宋体" w:eastAsia="宋体" w:cs="宋体"/>
          <w:color w:val="auto"/>
          <w:kern w:val="0"/>
          <w:sz w:val="24"/>
          <w:szCs w:val="24"/>
          <w:highlight w:val="none"/>
          <w:lang w:eastAsia="zh-CN"/>
        </w:rPr>
      </w:pPr>
      <w:r>
        <w:rPr>
          <w:rFonts w:hint="eastAsia"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9</w:t>
      </w:r>
      <w:r>
        <w:rPr>
          <w:rFonts w:hint="eastAsia" w:hAnsi="宋体" w:eastAsia="宋体" w:cs="宋体"/>
          <w:color w:val="auto"/>
          <w:kern w:val="0"/>
          <w:sz w:val="24"/>
          <w:szCs w:val="24"/>
          <w:highlight w:val="none"/>
        </w:rPr>
        <w:t>）对招标人提供的服务情况…………………………………………………………（页码）</w:t>
      </w:r>
    </w:p>
    <w:p w14:paraId="2D617C59">
      <w:pPr>
        <w:pStyle w:val="8"/>
        <w:adjustRightInd w:val="0"/>
        <w:snapToGrid w:val="0"/>
        <w:spacing w:line="360" w:lineRule="auto"/>
        <w:rPr>
          <w:rFonts w:hint="eastAsia" w:hAnsi="宋体" w:eastAsia="宋体" w:cs="宋体"/>
          <w:color w:val="auto"/>
          <w:sz w:val="24"/>
          <w:highlight w:val="none"/>
        </w:rPr>
      </w:pPr>
      <w:r>
        <w:rPr>
          <w:rFonts w:hint="eastAsia" w:hAnsi="宋体" w:eastAsia="宋体" w:cs="宋体"/>
          <w:color w:val="auto"/>
          <w:kern w:val="0"/>
          <w:sz w:val="24"/>
          <w:szCs w:val="24"/>
          <w:highlight w:val="none"/>
        </w:rPr>
        <w:t>（</w:t>
      </w:r>
      <w:r>
        <w:rPr>
          <w:rFonts w:hint="eastAsia" w:hAnsi="宋体" w:cs="宋体"/>
          <w:color w:val="auto"/>
          <w:kern w:val="0"/>
          <w:sz w:val="24"/>
          <w:szCs w:val="24"/>
          <w:highlight w:val="none"/>
          <w:lang w:val="en-US" w:eastAsia="zh-CN"/>
        </w:rPr>
        <w:t>10</w:t>
      </w:r>
      <w:r>
        <w:rPr>
          <w:rFonts w:hint="eastAsia" w:hAnsi="宋体" w:eastAsia="宋体" w:cs="宋体"/>
          <w:color w:val="auto"/>
          <w:kern w:val="0"/>
          <w:sz w:val="24"/>
          <w:szCs w:val="24"/>
          <w:highlight w:val="none"/>
        </w:rPr>
        <w:t>）</w:t>
      </w:r>
      <w:r>
        <w:rPr>
          <w:rFonts w:hint="eastAsia" w:hAnsi="宋体" w:eastAsia="宋体" w:cs="宋体"/>
          <w:color w:val="auto"/>
          <w:sz w:val="24"/>
          <w:highlight w:val="none"/>
          <w:lang w:eastAsia="zh-CN"/>
        </w:rPr>
        <w:t>根据评审标准要求提供相关证明材料</w:t>
      </w:r>
      <w:r>
        <w:rPr>
          <w:rFonts w:hint="eastAsia" w:hAnsi="宋体" w:eastAsia="宋体" w:cs="宋体"/>
          <w:color w:val="auto"/>
          <w:kern w:val="0"/>
          <w:sz w:val="24"/>
          <w:szCs w:val="24"/>
          <w:highlight w:val="none"/>
        </w:rPr>
        <w:t>…………………………………………（页码）</w:t>
      </w:r>
    </w:p>
    <w:p w14:paraId="1C00DF81">
      <w:pPr>
        <w:pStyle w:val="8"/>
        <w:adjustRightInd w:val="0"/>
        <w:snapToGrid w:val="0"/>
        <w:spacing w:line="360" w:lineRule="auto"/>
        <w:rPr>
          <w:rFonts w:hint="eastAsia" w:hAnsi="宋体" w:eastAsia="宋体" w:cs="宋体"/>
          <w:color w:val="000000"/>
          <w:sz w:val="24"/>
          <w:highlight w:val="none"/>
        </w:rPr>
      </w:pPr>
      <w:r>
        <w:rPr>
          <w:rFonts w:hint="eastAsia" w:hAnsi="宋体" w:eastAsia="宋体" w:cs="宋体"/>
          <w:color w:val="auto"/>
          <w:kern w:val="0"/>
          <w:sz w:val="24"/>
          <w:szCs w:val="24"/>
          <w:highlight w:val="none"/>
        </w:rPr>
        <w:t>（</w:t>
      </w:r>
      <w:r>
        <w:rPr>
          <w:rFonts w:hint="eastAsia" w:hAnsi="宋体" w:eastAsia="宋体" w:cs="宋体"/>
          <w:color w:val="auto"/>
          <w:kern w:val="0"/>
          <w:sz w:val="24"/>
          <w:szCs w:val="24"/>
          <w:highlight w:val="none"/>
          <w:lang w:val="en-US" w:eastAsia="zh-CN"/>
        </w:rPr>
        <w:t>1</w:t>
      </w:r>
      <w:r>
        <w:rPr>
          <w:rFonts w:hint="eastAsia" w:hAnsi="宋体" w:cs="宋体"/>
          <w:color w:val="auto"/>
          <w:kern w:val="0"/>
          <w:sz w:val="24"/>
          <w:szCs w:val="24"/>
          <w:highlight w:val="none"/>
          <w:lang w:val="en-US" w:eastAsia="zh-CN"/>
        </w:rPr>
        <w:t>1</w:t>
      </w:r>
      <w:r>
        <w:rPr>
          <w:rFonts w:hint="eastAsia" w:hAnsi="宋体" w:eastAsia="宋体" w:cs="宋体"/>
          <w:color w:val="auto"/>
          <w:kern w:val="0"/>
          <w:sz w:val="24"/>
          <w:szCs w:val="24"/>
          <w:highlight w:val="none"/>
        </w:rPr>
        <w:t>）</w:t>
      </w:r>
      <w:r>
        <w:rPr>
          <w:rFonts w:hint="eastAsia" w:hAnsi="宋体" w:eastAsia="宋体" w:cs="宋体"/>
          <w:color w:val="auto"/>
          <w:sz w:val="24"/>
          <w:highlight w:val="none"/>
        </w:rPr>
        <w:t>投标人认为需要的其他说明</w:t>
      </w:r>
      <w:r>
        <w:rPr>
          <w:rFonts w:hint="eastAsia" w:hAnsi="宋体" w:eastAsia="宋体" w:cs="宋体"/>
          <w:color w:val="auto"/>
          <w:kern w:val="0"/>
          <w:sz w:val="24"/>
          <w:szCs w:val="24"/>
          <w:highlight w:val="none"/>
        </w:rPr>
        <w:t>……………………………………………………</w:t>
      </w:r>
      <w:r>
        <w:rPr>
          <w:rFonts w:hint="eastAsia" w:hAnsi="宋体" w:eastAsia="宋体" w:cs="宋体"/>
          <w:color w:val="auto"/>
          <w:kern w:val="0"/>
          <w:sz w:val="24"/>
          <w:szCs w:val="24"/>
          <w:highlight w:val="none"/>
          <w:lang w:val="en-US" w:eastAsia="zh-CN"/>
        </w:rPr>
        <w:t xml:space="preserve"> </w:t>
      </w:r>
      <w:r>
        <w:rPr>
          <w:rFonts w:hint="eastAsia" w:hAnsi="宋体" w:eastAsia="宋体" w:cs="宋体"/>
          <w:color w:val="auto"/>
          <w:kern w:val="0"/>
          <w:sz w:val="24"/>
          <w:szCs w:val="24"/>
          <w:highlight w:val="none"/>
          <w:lang w:eastAsia="zh-CN"/>
        </w:rPr>
        <w:t>（</w:t>
      </w:r>
      <w:r>
        <w:rPr>
          <w:rFonts w:hint="eastAsia" w:hAnsi="宋体" w:eastAsia="宋体" w:cs="宋体"/>
          <w:color w:val="auto"/>
          <w:kern w:val="0"/>
          <w:sz w:val="24"/>
          <w:szCs w:val="24"/>
          <w:highlight w:val="none"/>
        </w:rPr>
        <w:t>页码）</w:t>
      </w:r>
    </w:p>
    <w:p w14:paraId="5392FC2E">
      <w:pPr>
        <w:pStyle w:val="8"/>
        <w:adjustRightInd w:val="0"/>
        <w:snapToGrid w:val="0"/>
        <w:spacing w:line="360" w:lineRule="auto"/>
        <w:rPr>
          <w:rFonts w:hint="eastAsia" w:hAnsi="宋体" w:cs="宋体"/>
          <w:color w:val="000000"/>
          <w:kern w:val="0"/>
          <w:sz w:val="24"/>
          <w:szCs w:val="24"/>
          <w:highlight w:val="none"/>
        </w:rPr>
      </w:pPr>
    </w:p>
    <w:p w14:paraId="2967EF80">
      <w:pPr>
        <w:pStyle w:val="8"/>
        <w:adjustRightInd w:val="0"/>
        <w:snapToGrid w:val="0"/>
        <w:spacing w:line="360" w:lineRule="auto"/>
        <w:rPr>
          <w:rFonts w:hint="eastAsia" w:hAnsi="宋体" w:cs="宋体"/>
          <w:color w:val="000000"/>
          <w:kern w:val="0"/>
          <w:sz w:val="24"/>
          <w:szCs w:val="24"/>
          <w:highlight w:val="none"/>
        </w:rPr>
      </w:pPr>
    </w:p>
    <w:p w14:paraId="531A3855">
      <w:pPr>
        <w:pStyle w:val="8"/>
        <w:adjustRightInd w:val="0"/>
        <w:snapToGrid w:val="0"/>
        <w:spacing w:line="360" w:lineRule="auto"/>
        <w:rPr>
          <w:rFonts w:hint="eastAsia" w:hAnsi="宋体" w:cs="宋体"/>
          <w:color w:val="000000"/>
          <w:kern w:val="0"/>
          <w:sz w:val="24"/>
          <w:szCs w:val="24"/>
          <w:highlight w:val="none"/>
        </w:rPr>
      </w:pPr>
    </w:p>
    <w:p w14:paraId="1F6B2D25">
      <w:pPr>
        <w:pStyle w:val="8"/>
        <w:adjustRightInd w:val="0"/>
        <w:snapToGrid w:val="0"/>
        <w:spacing w:line="360" w:lineRule="auto"/>
        <w:rPr>
          <w:rFonts w:hint="eastAsia" w:hAnsi="宋体" w:cs="宋体"/>
          <w:color w:val="000000"/>
          <w:kern w:val="0"/>
          <w:sz w:val="24"/>
          <w:szCs w:val="24"/>
          <w:highlight w:val="none"/>
        </w:rPr>
      </w:pPr>
    </w:p>
    <w:p w14:paraId="08B6354C">
      <w:pPr>
        <w:pStyle w:val="8"/>
        <w:adjustRightInd w:val="0"/>
        <w:snapToGrid w:val="0"/>
        <w:spacing w:line="360" w:lineRule="auto"/>
        <w:rPr>
          <w:rFonts w:hint="eastAsia" w:hAnsi="宋体" w:cs="宋体"/>
          <w:color w:val="000000"/>
          <w:kern w:val="0"/>
          <w:sz w:val="24"/>
          <w:szCs w:val="24"/>
          <w:highlight w:val="none"/>
        </w:rPr>
      </w:pPr>
    </w:p>
    <w:p w14:paraId="60A9CEC7">
      <w:pPr>
        <w:pStyle w:val="8"/>
        <w:adjustRightInd w:val="0"/>
        <w:snapToGrid w:val="0"/>
        <w:spacing w:line="360" w:lineRule="auto"/>
        <w:rPr>
          <w:rFonts w:hint="eastAsia" w:hAnsi="宋体" w:cs="宋体"/>
          <w:color w:val="000000"/>
          <w:kern w:val="0"/>
          <w:sz w:val="24"/>
          <w:szCs w:val="24"/>
          <w:highlight w:val="none"/>
        </w:rPr>
      </w:pPr>
    </w:p>
    <w:p w14:paraId="1DB40BDE">
      <w:pPr>
        <w:pStyle w:val="8"/>
        <w:adjustRightInd w:val="0"/>
        <w:snapToGrid w:val="0"/>
        <w:spacing w:line="360" w:lineRule="auto"/>
        <w:rPr>
          <w:rFonts w:hint="eastAsia" w:hAnsi="宋体" w:cs="宋体"/>
          <w:color w:val="000000"/>
          <w:kern w:val="0"/>
          <w:sz w:val="24"/>
          <w:szCs w:val="24"/>
          <w:highlight w:val="none"/>
        </w:rPr>
      </w:pPr>
    </w:p>
    <w:p w14:paraId="010277E9">
      <w:pPr>
        <w:pStyle w:val="8"/>
        <w:adjustRightInd w:val="0"/>
        <w:snapToGrid w:val="0"/>
        <w:spacing w:line="360" w:lineRule="auto"/>
        <w:rPr>
          <w:rFonts w:hint="eastAsia" w:hAnsi="宋体" w:cs="宋体"/>
          <w:color w:val="000000"/>
          <w:kern w:val="0"/>
          <w:sz w:val="24"/>
          <w:szCs w:val="24"/>
          <w:highlight w:val="none"/>
        </w:rPr>
      </w:pPr>
    </w:p>
    <w:p w14:paraId="598D153C">
      <w:pPr>
        <w:pStyle w:val="8"/>
        <w:adjustRightInd w:val="0"/>
        <w:snapToGrid w:val="0"/>
        <w:spacing w:line="360" w:lineRule="auto"/>
        <w:rPr>
          <w:rFonts w:hint="eastAsia" w:hAnsi="宋体" w:cs="宋体"/>
          <w:color w:val="000000"/>
          <w:kern w:val="0"/>
          <w:sz w:val="24"/>
          <w:szCs w:val="24"/>
          <w:highlight w:val="none"/>
        </w:rPr>
      </w:pPr>
    </w:p>
    <w:p w14:paraId="07271590">
      <w:pPr>
        <w:adjustRightInd/>
        <w:snapToGrid/>
        <w:spacing w:line="240" w:lineRule="auto"/>
        <w:jc w:val="left"/>
        <w:rPr>
          <w:rFonts w:hint="eastAsia"/>
          <w:highlight w:val="none"/>
        </w:rPr>
      </w:pPr>
    </w:p>
    <w:p w14:paraId="5D853C2C">
      <w:pPr>
        <w:adjustRightInd/>
        <w:snapToGrid/>
        <w:spacing w:line="240" w:lineRule="auto"/>
        <w:jc w:val="left"/>
        <w:rPr>
          <w:rFonts w:hint="eastAsia"/>
          <w:highlight w:val="none"/>
        </w:rPr>
      </w:pPr>
    </w:p>
    <w:p w14:paraId="262FDB1E">
      <w:pPr>
        <w:adjustRightInd/>
        <w:snapToGrid/>
        <w:spacing w:line="240" w:lineRule="auto"/>
        <w:jc w:val="left"/>
        <w:rPr>
          <w:rFonts w:hint="eastAsia"/>
          <w:highlight w:val="none"/>
        </w:rPr>
      </w:pPr>
    </w:p>
    <w:p w14:paraId="48781C91">
      <w:pPr>
        <w:adjustRightInd w:val="0"/>
        <w:snapToGrid w:val="0"/>
        <w:spacing w:line="360" w:lineRule="auto"/>
        <w:jc w:val="center"/>
        <w:outlineLvl w:val="2"/>
        <w:rPr>
          <w:rFonts w:hint="eastAsia" w:ascii="宋体" w:hAnsi="宋体"/>
          <w:b/>
          <w:color w:val="000000"/>
          <w:sz w:val="32"/>
          <w:szCs w:val="32"/>
          <w:highlight w:val="none"/>
        </w:rPr>
      </w:pPr>
      <w:r>
        <w:rPr>
          <w:rFonts w:hint="eastAsia" w:ascii="宋体" w:hAnsi="宋体"/>
          <w:b/>
          <w:color w:val="000000"/>
          <w:kern w:val="0"/>
          <w:sz w:val="32"/>
          <w:szCs w:val="32"/>
          <w:highlight w:val="none"/>
          <w:lang w:eastAsia="zh-CN"/>
        </w:rPr>
        <w:br w:type="page"/>
      </w:r>
      <w:r>
        <w:rPr>
          <w:rFonts w:hint="eastAsia" w:ascii="宋体" w:hAnsi="宋体"/>
          <w:b/>
          <w:color w:val="000000"/>
          <w:kern w:val="0"/>
          <w:sz w:val="32"/>
          <w:szCs w:val="32"/>
          <w:highlight w:val="none"/>
          <w:lang w:eastAsia="zh-CN"/>
        </w:rPr>
        <w:t>一</w:t>
      </w:r>
      <w:r>
        <w:rPr>
          <w:rFonts w:hint="eastAsia" w:ascii="宋体" w:hAnsi="宋体"/>
          <w:b/>
          <w:color w:val="000000"/>
          <w:kern w:val="0"/>
          <w:sz w:val="32"/>
          <w:szCs w:val="32"/>
          <w:highlight w:val="none"/>
        </w:rPr>
        <w:t>、投标响应</w:t>
      </w:r>
      <w:r>
        <w:rPr>
          <w:rFonts w:hint="eastAsia" w:ascii="宋体" w:hAnsi="宋体"/>
          <w:b/>
          <w:color w:val="000000"/>
          <w:sz w:val="32"/>
          <w:szCs w:val="32"/>
          <w:highlight w:val="none"/>
        </w:rPr>
        <w:t>函</w:t>
      </w:r>
    </w:p>
    <w:p w14:paraId="7BC77D96">
      <w:pPr>
        <w:adjustRightInd w:val="0"/>
        <w:snapToGrid w:val="0"/>
        <w:spacing w:line="360" w:lineRule="auto"/>
        <w:rPr>
          <w:rFonts w:hint="eastAsia" w:ascii="宋体" w:hAnsi="宋体"/>
          <w:snapToGrid w:val="0"/>
          <w:color w:val="000000"/>
          <w:kern w:val="0"/>
          <w:sz w:val="24"/>
          <w:highlight w:val="none"/>
        </w:rPr>
      </w:pPr>
    </w:p>
    <w:p w14:paraId="5957EBA1">
      <w:pPr>
        <w:adjustRightInd w:val="0"/>
        <w:snapToGrid w:val="0"/>
        <w:spacing w:line="360" w:lineRule="auto"/>
        <w:rPr>
          <w:rFonts w:hint="eastAsia" w:ascii="宋体" w:hAnsi="宋体"/>
          <w:color w:val="000000"/>
          <w:sz w:val="24"/>
          <w:szCs w:val="24"/>
          <w:highlight w:val="none"/>
        </w:rPr>
      </w:pPr>
      <w:r>
        <w:rPr>
          <w:rFonts w:hint="eastAsia" w:ascii="宋体" w:hAnsi="宋体"/>
          <w:snapToGrid w:val="0"/>
          <w:color w:val="000000"/>
          <w:kern w:val="0"/>
          <w:sz w:val="24"/>
          <w:highlight w:val="none"/>
          <w:lang w:eastAsia="zh-CN"/>
        </w:rPr>
        <w:t>杭州余杭城市发展投资集团有限公司</w:t>
      </w:r>
      <w:r>
        <w:rPr>
          <w:rFonts w:hint="eastAsia" w:ascii="宋体" w:hAnsi="宋体"/>
          <w:color w:val="000000"/>
          <w:sz w:val="24"/>
          <w:szCs w:val="24"/>
          <w:highlight w:val="none"/>
        </w:rPr>
        <w:t>：</w:t>
      </w:r>
    </w:p>
    <w:p w14:paraId="40E5FDE1">
      <w:pPr>
        <w:widowControl/>
        <w:numPr>
          <w:ilvl w:val="0"/>
          <w:numId w:val="0"/>
        </w:numPr>
        <w:spacing w:before="0" w:after="0" w:line="360" w:lineRule="auto"/>
        <w:ind w:firstLine="480" w:firstLineChars="200"/>
        <w:jc w:val="left"/>
        <w:rPr>
          <w:rFonts w:hint="eastAsia" w:ascii="宋体" w:hAnsi="宋体"/>
          <w:color w:val="000000"/>
          <w:sz w:val="24"/>
          <w:szCs w:val="24"/>
          <w:highlight w:val="none"/>
        </w:rPr>
      </w:pPr>
      <w:r>
        <w:rPr>
          <w:rFonts w:hint="eastAsia" w:ascii="宋体" w:hAnsi="宋体"/>
          <w:color w:val="000000"/>
          <w:kern w:val="0"/>
          <w:sz w:val="24"/>
          <w:szCs w:val="24"/>
          <w:highlight w:val="none"/>
          <w:u w:val="single"/>
          <w:lang w:val="zh-CN"/>
        </w:rPr>
        <w:t xml:space="preserve">                  </w:t>
      </w:r>
      <w:r>
        <w:rPr>
          <w:rFonts w:hint="eastAsia" w:ascii="宋体" w:hAnsi="宋体"/>
          <w:color w:val="000000"/>
          <w:sz w:val="24"/>
          <w:szCs w:val="24"/>
          <w:highlight w:val="none"/>
        </w:rPr>
        <w:t>(投标人全称)授权</w:t>
      </w:r>
      <w:r>
        <w:rPr>
          <w:rFonts w:hint="eastAsia" w:ascii="宋体" w:hAnsi="宋体"/>
          <w:color w:val="000000"/>
          <w:kern w:val="0"/>
          <w:sz w:val="24"/>
          <w:szCs w:val="24"/>
          <w:highlight w:val="none"/>
          <w:u w:val="single"/>
          <w:lang w:val="zh-CN"/>
        </w:rPr>
        <w:t xml:space="preserve">          </w:t>
      </w:r>
      <w:r>
        <w:rPr>
          <w:rFonts w:hint="eastAsia" w:ascii="宋体" w:hAnsi="宋体"/>
          <w:color w:val="000000"/>
          <w:sz w:val="24"/>
          <w:szCs w:val="24"/>
          <w:highlight w:val="none"/>
        </w:rPr>
        <w:t>(全权代表姓名)</w:t>
      </w:r>
      <w:r>
        <w:rPr>
          <w:rFonts w:hint="eastAsia" w:ascii="宋体" w:hAnsi="宋体"/>
          <w:color w:val="000000"/>
          <w:kern w:val="0"/>
          <w:sz w:val="24"/>
          <w:szCs w:val="24"/>
          <w:highlight w:val="none"/>
          <w:u w:val="single"/>
          <w:lang w:val="zh-CN"/>
        </w:rPr>
        <w:t xml:space="preserve">              </w:t>
      </w:r>
      <w:r>
        <w:rPr>
          <w:rFonts w:hint="eastAsia" w:ascii="宋体" w:hAnsi="宋体"/>
          <w:color w:val="000000"/>
          <w:sz w:val="24"/>
          <w:szCs w:val="24"/>
          <w:highlight w:val="none"/>
        </w:rPr>
        <w:t>(职务、职称)为全权代表，参加贵方组织的</w:t>
      </w:r>
      <w:r>
        <w:rPr>
          <w:rFonts w:hint="eastAsia" w:ascii="宋体" w:hAnsi="宋体" w:eastAsia="宋体" w:cs="宋体"/>
          <w:color w:val="auto"/>
          <w:kern w:val="0"/>
          <w:sz w:val="24"/>
          <w:szCs w:val="24"/>
          <w:highlight w:val="none"/>
          <w:lang w:eastAsia="zh-CN"/>
        </w:rPr>
        <w:t>城投集团财政拨款账户战略合作服务采购</w:t>
      </w:r>
      <w:r>
        <w:rPr>
          <w:rFonts w:hint="eastAsia" w:ascii="宋体" w:hAnsi="宋体"/>
          <w:b/>
          <w:bCs/>
          <w:color w:val="000000"/>
          <w:sz w:val="24"/>
          <w:szCs w:val="24"/>
          <w:highlight w:val="none"/>
        </w:rPr>
        <w:t>(招标编号：</w:t>
      </w:r>
      <w:r>
        <w:rPr>
          <w:rFonts w:hint="eastAsia" w:ascii="宋体" w:hAnsi="宋体"/>
          <w:b/>
          <w:bCs/>
          <w:color w:val="000000"/>
          <w:sz w:val="24"/>
          <w:szCs w:val="24"/>
          <w:highlight w:val="none"/>
          <w:lang w:val="en-US" w:eastAsia="zh-CN"/>
        </w:rPr>
        <w:t xml:space="preserve">           </w:t>
      </w:r>
      <w:r>
        <w:rPr>
          <w:rFonts w:hint="eastAsia" w:ascii="宋体" w:hAnsi="宋体" w:cs="仿宋_GB2312"/>
          <w:b/>
          <w:bCs/>
          <w:color w:val="000000"/>
          <w:kern w:val="0"/>
          <w:sz w:val="24"/>
          <w:szCs w:val="24"/>
          <w:highlight w:val="none"/>
          <w:lang w:val="zh-CN"/>
        </w:rPr>
        <w:t>)</w:t>
      </w:r>
      <w:r>
        <w:rPr>
          <w:rFonts w:hint="eastAsia" w:ascii="宋体" w:hAnsi="宋体"/>
          <w:color w:val="000000"/>
          <w:sz w:val="24"/>
          <w:szCs w:val="24"/>
          <w:highlight w:val="none"/>
        </w:rPr>
        <w:t>招标的有关活动，并对此项目进行投标。为此：</w:t>
      </w:r>
    </w:p>
    <w:p w14:paraId="1CBFD8FC">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1、我方同意在投标人编制和提交投标文件须知规定的开标日期起遵守本投标书中的承诺且在投标有效期满之前均具有约束力。</w:t>
      </w:r>
    </w:p>
    <w:p w14:paraId="5B962A2D">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2、我方承诺已经具备本项目招标公告中要求的投标资格条件。</w:t>
      </w:r>
    </w:p>
    <w:p w14:paraId="2562AF4C">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3、提供编制和提交投标文件须知规定的全部投标文件，包括投标文件正本1份，副本4份。</w:t>
      </w:r>
    </w:p>
    <w:p w14:paraId="601D6E0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4、按招标文件要求提供和交付的服务的投标报价详见开标一览表。</w:t>
      </w:r>
    </w:p>
    <w:p w14:paraId="70064E40">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5、保证忠实地执行双方所签订的协议，并承担协议规定的责任和义务。</w:t>
      </w:r>
    </w:p>
    <w:p w14:paraId="18D0DF6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6、保证遵守招标文件中的其他有关规定。</w:t>
      </w:r>
    </w:p>
    <w:p w14:paraId="2136649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7、如果在开标后规定的投标有效期内我方撤回投标，贵方有权将我方不良行为报请监管部门，并根据有关条例及文件给予处理。</w:t>
      </w:r>
    </w:p>
    <w:p w14:paraId="46B10F79">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8、我方愿意向贵方提供任何与该项投标有关的数据、情况和技术资料。若贵方需要，我方愿意提供我方作出的一切承诺的证明材料。</w:t>
      </w:r>
    </w:p>
    <w:p w14:paraId="47A2A10C">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9、我方已详细审核全部招标文件，包括招标文件修改书（如果有）、参考资料及有关附件，确认无误。</w:t>
      </w:r>
    </w:p>
    <w:p w14:paraId="6FAC33CF">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10、我方将严格遵守相关规定，投标人有下列情形之一的，列入不良行为记录名单；有违法所得的，并处没收违法所得；情节严重的，由行政管理机关吊销营业执照；构成犯罪的，依法追究刑事责任：</w:t>
      </w:r>
    </w:p>
    <w:p w14:paraId="670E2778">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（1)提供虚假材料谋取中标、成交的；</w:t>
      </w:r>
    </w:p>
    <w:p w14:paraId="5ACF343C">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（2)采取不正当手段诋毁、排挤其他投标人的；</w:t>
      </w:r>
    </w:p>
    <w:p w14:paraId="63639A93">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（3)与招标单位、其它投标人恶意串通的；</w:t>
      </w:r>
    </w:p>
    <w:p w14:paraId="540A71C3">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（4)向招标单位提供其他不正当利益的；</w:t>
      </w:r>
    </w:p>
    <w:p w14:paraId="7452A024">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（5)在招标过程中与招标单位进行协商谈判的；</w:t>
      </w:r>
    </w:p>
    <w:p w14:paraId="459298E4">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（6)拒绝有关部门监督检查或提供虚假情况的。</w:t>
      </w:r>
    </w:p>
    <w:p w14:paraId="6536C31E">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投标人有上述第（1)至（6）项情形之一的，中标、成交无效。</w:t>
      </w:r>
    </w:p>
    <w:p w14:paraId="5AAD95DB">
      <w:pPr>
        <w:autoSpaceDE w:val="0"/>
        <w:autoSpaceDN w:val="0"/>
        <w:adjustRightInd w:val="0"/>
        <w:spacing w:line="360" w:lineRule="auto"/>
        <w:ind w:firstLine="4680" w:firstLineChars="1950"/>
        <w:rPr>
          <w:rFonts w:hint="eastAsia" w:ascii="宋体" w:hAnsi="宋体" w:cs="仿宋_GB2312"/>
          <w:color w:val="000000"/>
          <w:kern w:val="0"/>
          <w:sz w:val="24"/>
          <w:highlight w:val="none"/>
          <w:lang w:val="zh-CN"/>
        </w:rPr>
      </w:pPr>
    </w:p>
    <w:p w14:paraId="72B89A90">
      <w:pPr>
        <w:autoSpaceDE w:val="0"/>
        <w:autoSpaceDN w:val="0"/>
        <w:adjustRightInd w:val="0"/>
        <w:spacing w:line="360" w:lineRule="auto"/>
        <w:rPr>
          <w:rFonts w:hint="eastAsia" w:ascii="宋体" w:hAnsi="宋体" w:cs="仿宋_GB2312"/>
          <w:color w:val="000000"/>
          <w:kern w:val="0"/>
          <w:sz w:val="24"/>
          <w:highlight w:val="none"/>
          <w:u w:val="single"/>
          <w:lang w:val="zh-CN"/>
        </w:rPr>
      </w:pPr>
      <w:r>
        <w:rPr>
          <w:rFonts w:hint="eastAsia" w:ascii="宋体" w:hAnsi="宋体"/>
          <w:color w:val="000000"/>
          <w:sz w:val="24"/>
          <w:highlight w:val="none"/>
        </w:rPr>
        <w:t>法定代表人（或负责人）或授权委托人（签字或盖章）：</w:t>
      </w:r>
      <w:r>
        <w:rPr>
          <w:rFonts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u w:val="single"/>
          <w:lang w:val="zh-CN"/>
        </w:rPr>
        <w:t xml:space="preserve">           </w:t>
      </w:r>
      <w:r>
        <w:rPr>
          <w:rFonts w:ascii="宋体" w:hAnsi="宋体" w:cs="仿宋_GB2312"/>
          <w:color w:val="000000"/>
          <w:kern w:val="0"/>
          <w:sz w:val="24"/>
          <w:highlight w:val="none"/>
          <w:u w:val="single"/>
          <w:lang w:val="zh-CN"/>
        </w:rPr>
        <w:t xml:space="preserve">  </w:t>
      </w:r>
    </w:p>
    <w:p w14:paraId="75E2C6E7">
      <w:pPr>
        <w:autoSpaceDE w:val="0"/>
        <w:autoSpaceDN w:val="0"/>
        <w:adjustRightInd w:val="0"/>
        <w:spacing w:line="360" w:lineRule="auto"/>
        <w:rPr>
          <w:rFonts w:hint="eastAsia" w:ascii="宋体" w:hAnsi="宋体" w:cs="仿宋_GB2312"/>
          <w:color w:val="000000"/>
          <w:kern w:val="0"/>
          <w:sz w:val="24"/>
          <w:highlight w:val="none"/>
          <w:u w:val="single"/>
          <w:lang w:val="zh-CN"/>
        </w:rPr>
      </w:pPr>
      <w:r>
        <w:rPr>
          <w:rFonts w:hint="eastAsia" w:ascii="宋体" w:hAnsi="宋体" w:cs="仿宋_GB2312"/>
          <w:color w:val="000000"/>
          <w:kern w:val="0"/>
          <w:sz w:val="24"/>
          <w:highlight w:val="none"/>
          <w:lang w:val="zh-CN"/>
        </w:rPr>
        <w:t>投标人盖章</w:t>
      </w:r>
      <w:r>
        <w:rPr>
          <w:rFonts w:ascii="宋体" w:hAnsi="宋体" w:cs="仿宋_GB2312"/>
          <w:color w:val="000000"/>
          <w:kern w:val="0"/>
          <w:sz w:val="24"/>
          <w:highlight w:val="none"/>
          <w:lang w:val="zh-CN"/>
        </w:rPr>
        <w:t xml:space="preserve">:  </w:t>
      </w:r>
      <w:r>
        <w:rPr>
          <w:rFonts w:ascii="宋体" w:hAnsi="宋体" w:cs="仿宋_GB2312"/>
          <w:color w:val="000000"/>
          <w:kern w:val="0"/>
          <w:sz w:val="24"/>
          <w:highlight w:val="none"/>
          <w:u w:val="single"/>
          <w:lang w:val="zh-CN"/>
        </w:rPr>
        <w:t xml:space="preserve">                     </w:t>
      </w:r>
    </w:p>
    <w:p w14:paraId="3421F735">
      <w:pPr>
        <w:autoSpaceDE w:val="0"/>
        <w:autoSpaceDN w:val="0"/>
        <w:adjustRightInd w:val="0"/>
        <w:spacing w:line="360" w:lineRule="auto"/>
        <w:rPr>
          <w:rFonts w:ascii="宋体" w:hAnsi="宋体"/>
          <w:color w:val="000000"/>
          <w:kern w:val="0"/>
          <w:sz w:val="24"/>
          <w:highlight w:val="none"/>
        </w:rPr>
      </w:pPr>
      <w:r>
        <w:rPr>
          <w:rFonts w:hint="eastAsia" w:ascii="宋体" w:hAnsi="宋体" w:cs="仿宋_GB2312"/>
          <w:color w:val="000000"/>
          <w:kern w:val="0"/>
          <w:sz w:val="24"/>
          <w:highlight w:val="none"/>
          <w:lang w:val="zh-CN"/>
        </w:rPr>
        <w:t>联系人：</w:t>
      </w:r>
      <w:r>
        <w:rPr>
          <w:rFonts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联系电话</w:t>
      </w:r>
      <w:r>
        <w:rPr>
          <w:rFonts w:ascii="宋体" w:hAnsi="宋体" w:cs="仿宋_GB2312"/>
          <w:color w:val="000000"/>
          <w:kern w:val="0"/>
          <w:sz w:val="24"/>
          <w:highlight w:val="none"/>
          <w:lang w:val="zh-CN"/>
        </w:rPr>
        <w:t xml:space="preserve">: </w:t>
      </w:r>
      <w:r>
        <w:rPr>
          <w:rFonts w:ascii="宋体" w:hAnsi="宋体" w:cs="仿宋_GB2312"/>
          <w:color w:val="000000"/>
          <w:kern w:val="0"/>
          <w:sz w:val="24"/>
          <w:highlight w:val="none"/>
          <w:u w:val="single"/>
          <w:lang w:val="zh-CN"/>
        </w:rPr>
        <w:t xml:space="preserve">                </w:t>
      </w:r>
    </w:p>
    <w:p w14:paraId="5F356FD6">
      <w:pPr>
        <w:autoSpaceDE w:val="0"/>
        <w:autoSpaceDN w:val="0"/>
        <w:adjustRightInd w:val="0"/>
        <w:spacing w:line="360" w:lineRule="auto"/>
        <w:rPr>
          <w:rFonts w:ascii="宋体" w:hAnsi="宋体"/>
          <w:color w:val="000000"/>
          <w:kern w:val="0"/>
          <w:sz w:val="24"/>
          <w:highlight w:val="none"/>
        </w:rPr>
      </w:pPr>
      <w:r>
        <w:rPr>
          <w:rFonts w:hint="eastAsia" w:ascii="宋体" w:hAnsi="宋体" w:cs="仿宋_GB2312"/>
          <w:color w:val="000000"/>
          <w:kern w:val="0"/>
          <w:sz w:val="24"/>
          <w:highlight w:val="none"/>
          <w:lang w:val="zh-CN"/>
        </w:rPr>
        <w:t>联系地址：</w:t>
      </w:r>
      <w:r>
        <w:rPr>
          <w:rFonts w:ascii="宋体" w:hAnsi="宋体" w:cs="仿宋_GB2312"/>
          <w:color w:val="000000"/>
          <w:kern w:val="0"/>
          <w:sz w:val="24"/>
          <w:highlight w:val="none"/>
          <w:u w:val="single"/>
          <w:lang w:val="zh-CN"/>
        </w:rPr>
        <w:t xml:space="preserve">                                                        </w:t>
      </w:r>
    </w:p>
    <w:p w14:paraId="24630B48">
      <w:pPr>
        <w:autoSpaceDE w:val="0"/>
        <w:autoSpaceDN w:val="0"/>
        <w:adjustRightInd w:val="0"/>
        <w:spacing w:line="360" w:lineRule="auto"/>
        <w:rPr>
          <w:rFonts w:hint="eastAsia" w:ascii="宋体" w:hAnsi="宋体" w:cs="仿宋_GB2312"/>
          <w:color w:val="000000"/>
          <w:kern w:val="0"/>
          <w:sz w:val="24"/>
          <w:highlight w:val="none"/>
          <w:u w:val="single"/>
          <w:lang w:val="zh-CN"/>
        </w:rPr>
      </w:pPr>
      <w:r>
        <w:rPr>
          <w:rFonts w:hint="eastAsia" w:ascii="宋体" w:hAnsi="宋体" w:cs="仿宋_GB2312"/>
          <w:color w:val="000000"/>
          <w:kern w:val="0"/>
          <w:sz w:val="24"/>
          <w:highlight w:val="none"/>
          <w:lang w:val="zh-CN"/>
        </w:rPr>
        <w:t>邮政编码：</w:t>
      </w:r>
      <w:r>
        <w:rPr>
          <w:rFonts w:ascii="宋体" w:hAnsi="宋体" w:cs="仿宋_GB2312"/>
          <w:color w:val="000000"/>
          <w:kern w:val="0"/>
          <w:sz w:val="24"/>
          <w:highlight w:val="none"/>
          <w:u w:val="single"/>
          <w:lang w:val="zh-CN"/>
        </w:rPr>
        <w:t xml:space="preserve">                     </w:t>
      </w:r>
      <w:r>
        <w:rPr>
          <w:rFonts w:hint="eastAsia" w:ascii="宋体" w:hAnsi="宋体" w:cs="仿宋_GB2312"/>
          <w:color w:val="000000"/>
          <w:kern w:val="0"/>
          <w:sz w:val="24"/>
          <w:highlight w:val="none"/>
          <w:lang w:val="zh-CN"/>
        </w:rPr>
        <w:t>传真号码：</w:t>
      </w:r>
      <w:r>
        <w:rPr>
          <w:rFonts w:ascii="宋体" w:hAnsi="宋体" w:cs="仿宋_GB2312"/>
          <w:color w:val="000000"/>
          <w:kern w:val="0"/>
          <w:sz w:val="24"/>
          <w:highlight w:val="none"/>
          <w:u w:val="single"/>
          <w:lang w:val="zh-CN"/>
        </w:rPr>
        <w:t xml:space="preserve">                         </w:t>
      </w:r>
    </w:p>
    <w:p w14:paraId="06CBEB96">
      <w:pPr>
        <w:spacing w:line="360" w:lineRule="auto"/>
        <w:rPr>
          <w:rFonts w:hint="eastAsia" w:ascii="宋体" w:hAnsi="宋体"/>
          <w:color w:val="000000"/>
          <w:sz w:val="24"/>
          <w:highlight w:val="none"/>
        </w:rPr>
      </w:pPr>
      <w:r>
        <w:rPr>
          <w:rFonts w:hint="eastAsia" w:ascii="宋体" w:hAnsi="宋体" w:cs="仿宋_GB2312"/>
          <w:color w:val="000000"/>
          <w:kern w:val="0"/>
          <w:sz w:val="24"/>
          <w:highlight w:val="none"/>
          <w:lang w:val="zh-CN"/>
        </w:rPr>
        <w:t>日</w:t>
      </w:r>
      <w:r>
        <w:rPr>
          <w:rFonts w:ascii="宋体" w:hAnsi="宋体" w:cs="仿宋_GB2312"/>
          <w:color w:val="000000"/>
          <w:kern w:val="0"/>
          <w:sz w:val="24"/>
          <w:highlight w:val="none"/>
        </w:rPr>
        <w:t xml:space="preserve">    </w:t>
      </w:r>
      <w:r>
        <w:rPr>
          <w:rFonts w:hint="eastAsia" w:ascii="宋体" w:hAnsi="宋体" w:cs="仿宋_GB2312"/>
          <w:color w:val="000000"/>
          <w:kern w:val="0"/>
          <w:sz w:val="24"/>
          <w:highlight w:val="none"/>
          <w:lang w:val="zh-CN"/>
        </w:rPr>
        <w:t>期</w:t>
      </w:r>
      <w:r>
        <w:rPr>
          <w:rFonts w:hint="eastAsia" w:ascii="宋体" w:hAnsi="宋体" w:cs="仿宋_GB2312"/>
          <w:color w:val="000000"/>
          <w:kern w:val="0"/>
          <w:sz w:val="24"/>
          <w:highlight w:val="none"/>
        </w:rPr>
        <w:t>：</w:t>
      </w:r>
      <w:r>
        <w:rPr>
          <w:rFonts w:ascii="宋体" w:hAnsi="宋体" w:cs="仿宋_GB2312"/>
          <w:color w:val="000000"/>
          <w:kern w:val="0"/>
          <w:sz w:val="24"/>
          <w:highlight w:val="none"/>
        </w:rPr>
        <w:t xml:space="preserve"> </w:t>
      </w:r>
      <w:r>
        <w:rPr>
          <w:rFonts w:ascii="宋体" w:hAnsi="宋体" w:cs="仿宋_GB2312"/>
          <w:color w:val="000000"/>
          <w:kern w:val="0"/>
          <w:sz w:val="24"/>
          <w:highlight w:val="none"/>
          <w:u w:val="single"/>
        </w:rPr>
        <w:t xml:space="preserve">       </w:t>
      </w:r>
      <w:r>
        <w:rPr>
          <w:rFonts w:hint="eastAsia" w:ascii="宋体" w:hAnsi="宋体" w:cs="仿宋_GB2312"/>
          <w:color w:val="000000"/>
          <w:kern w:val="0"/>
          <w:sz w:val="24"/>
          <w:highlight w:val="none"/>
          <w:lang w:val="zh-CN"/>
        </w:rPr>
        <w:t>年</w:t>
      </w:r>
      <w:r>
        <w:rPr>
          <w:rFonts w:ascii="宋体" w:hAnsi="宋体" w:cs="仿宋_GB2312"/>
          <w:color w:val="000000"/>
          <w:kern w:val="0"/>
          <w:sz w:val="24"/>
          <w:highlight w:val="none"/>
        </w:rPr>
        <w:t xml:space="preserve">  </w:t>
      </w:r>
      <w:r>
        <w:rPr>
          <w:rFonts w:ascii="宋体" w:hAnsi="宋体"/>
          <w:color w:val="000000"/>
          <w:kern w:val="0"/>
          <w:sz w:val="24"/>
          <w:highlight w:val="none"/>
          <w:u w:val="single"/>
        </w:rPr>
        <w:tab/>
      </w:r>
      <w:r>
        <w:rPr>
          <w:rFonts w:hint="eastAsia" w:ascii="宋体" w:hAnsi="宋体" w:cs="仿宋_GB2312"/>
          <w:color w:val="000000"/>
          <w:kern w:val="0"/>
          <w:sz w:val="24"/>
          <w:highlight w:val="none"/>
          <w:lang w:val="zh-CN"/>
        </w:rPr>
        <w:t>月</w:t>
      </w:r>
      <w:r>
        <w:rPr>
          <w:rFonts w:ascii="宋体" w:hAnsi="宋体" w:cs="仿宋_GB2312"/>
          <w:color w:val="000000"/>
          <w:kern w:val="0"/>
          <w:sz w:val="24"/>
          <w:highlight w:val="none"/>
        </w:rPr>
        <w:t xml:space="preserve"> </w:t>
      </w:r>
      <w:r>
        <w:rPr>
          <w:rFonts w:ascii="宋体" w:hAnsi="宋体"/>
          <w:color w:val="000000"/>
          <w:kern w:val="0"/>
          <w:sz w:val="24"/>
          <w:highlight w:val="none"/>
          <w:u w:val="single"/>
        </w:rPr>
        <w:tab/>
      </w:r>
      <w:r>
        <w:rPr>
          <w:rFonts w:ascii="宋体" w:hAnsi="宋体"/>
          <w:color w:val="000000"/>
          <w:kern w:val="0"/>
          <w:sz w:val="24"/>
          <w:highlight w:val="none"/>
          <w:u w:val="single"/>
        </w:rPr>
        <w:tab/>
      </w:r>
      <w:r>
        <w:rPr>
          <w:rFonts w:hint="eastAsia" w:ascii="宋体" w:hAnsi="宋体" w:cs="仿宋_GB2312"/>
          <w:color w:val="000000"/>
          <w:kern w:val="0"/>
          <w:sz w:val="24"/>
          <w:highlight w:val="none"/>
          <w:lang w:val="zh-CN"/>
        </w:rPr>
        <w:t>日</w:t>
      </w:r>
      <w:r>
        <w:rPr>
          <w:rFonts w:ascii="宋体" w:hAnsi="宋体" w:cs="仿宋_GB2312"/>
          <w:color w:val="000000"/>
          <w:kern w:val="0"/>
          <w:sz w:val="24"/>
          <w:highlight w:val="none"/>
        </w:rPr>
        <w:t xml:space="preserve"> </w:t>
      </w:r>
    </w:p>
    <w:p w14:paraId="5BEBD35E">
      <w:pPr>
        <w:spacing w:line="360" w:lineRule="auto"/>
        <w:rPr>
          <w:rFonts w:hint="eastAsia" w:ascii="宋体" w:hAnsi="宋体"/>
          <w:color w:val="000000"/>
          <w:sz w:val="24"/>
          <w:highlight w:val="none"/>
        </w:rPr>
      </w:pPr>
    </w:p>
    <w:p w14:paraId="4FF5A26D">
      <w:pPr>
        <w:spacing w:line="360" w:lineRule="auto"/>
        <w:rPr>
          <w:rFonts w:hint="eastAsia" w:ascii="宋体" w:hAnsi="宋体"/>
          <w:color w:val="000000"/>
          <w:sz w:val="24"/>
          <w:highlight w:val="none"/>
        </w:rPr>
      </w:pPr>
    </w:p>
    <w:p w14:paraId="4D03A18D">
      <w:pPr>
        <w:spacing w:line="360" w:lineRule="auto"/>
        <w:rPr>
          <w:rFonts w:hint="eastAsia" w:ascii="宋体" w:hAnsi="宋体"/>
          <w:color w:val="000000"/>
          <w:sz w:val="24"/>
          <w:highlight w:val="none"/>
        </w:rPr>
      </w:pPr>
      <w:r>
        <w:rPr>
          <w:rFonts w:hint="eastAsia" w:ascii="宋体" w:hAnsi="宋体"/>
          <w:color w:val="000000"/>
          <w:sz w:val="24"/>
          <w:highlight w:val="none"/>
        </w:rPr>
        <w:t>注：未按照本投标</w:t>
      </w:r>
      <w:r>
        <w:rPr>
          <w:rFonts w:hint="eastAsia" w:ascii="宋体" w:hAnsi="宋体" w:cs="宋体"/>
          <w:color w:val="000000"/>
          <w:kern w:val="0"/>
          <w:sz w:val="24"/>
          <w:highlight w:val="none"/>
        </w:rPr>
        <w:t>响应</w:t>
      </w:r>
      <w:r>
        <w:rPr>
          <w:rFonts w:hint="eastAsia" w:ascii="宋体" w:hAnsi="宋体"/>
          <w:color w:val="000000"/>
          <w:sz w:val="24"/>
          <w:highlight w:val="none"/>
        </w:rPr>
        <w:t>函要求填报的将被视为非实质性响应投标，从而可能导致该投标被拒绝。</w:t>
      </w:r>
    </w:p>
    <w:p w14:paraId="0CDD5D38">
      <w:pPr>
        <w:adjustRightInd w:val="0"/>
        <w:snapToGrid w:val="0"/>
        <w:spacing w:line="360" w:lineRule="auto"/>
        <w:rPr>
          <w:rFonts w:hint="eastAsia" w:ascii="宋体" w:hAnsi="宋体"/>
          <w:b/>
          <w:color w:val="000000"/>
          <w:kern w:val="0"/>
          <w:sz w:val="24"/>
          <w:szCs w:val="24"/>
          <w:highlight w:val="none"/>
        </w:rPr>
      </w:pPr>
    </w:p>
    <w:p w14:paraId="16CA9A2B">
      <w:pPr>
        <w:rPr>
          <w:highlight w:val="none"/>
        </w:rPr>
      </w:pPr>
      <w:r>
        <w:rPr>
          <w:highlight w:val="none"/>
        </w:rPr>
        <w:br w:type="page"/>
      </w:r>
      <w:bookmarkStart w:id="102" w:name="_Toc5069"/>
      <w:bookmarkStart w:id="103" w:name="_Toc434248576"/>
    </w:p>
    <w:p w14:paraId="51E5816B">
      <w:pPr>
        <w:pStyle w:val="38"/>
        <w:keepNext w:val="0"/>
        <w:pageBreakBefore w:val="0"/>
        <w:tabs>
          <w:tab w:val="clear" w:pos="720"/>
        </w:tabs>
        <w:adjustRightInd w:val="0"/>
        <w:snapToGrid w:val="0"/>
        <w:outlineLvl w:val="2"/>
        <w:rPr>
          <w:rFonts w:hint="eastAsia" w:ascii="宋体" w:hAnsi="宋体" w:eastAsia="宋体"/>
          <w:color w:val="000000"/>
          <w:kern w:val="2"/>
          <w:sz w:val="32"/>
          <w:szCs w:val="32"/>
          <w:highlight w:val="none"/>
        </w:rPr>
      </w:pPr>
      <w:r>
        <w:rPr>
          <w:rFonts w:hint="eastAsia" w:ascii="宋体" w:hAnsi="宋体" w:eastAsia="宋体" w:cs="Times New Roman"/>
          <w:color w:val="000000"/>
          <w:kern w:val="2"/>
          <w:sz w:val="32"/>
          <w:szCs w:val="32"/>
          <w:highlight w:val="none"/>
          <w:lang w:eastAsia="zh-CN"/>
        </w:rPr>
        <w:t>二</w:t>
      </w:r>
      <w:r>
        <w:rPr>
          <w:rFonts w:hint="eastAsia" w:ascii="宋体" w:hAnsi="宋体" w:eastAsia="宋体" w:cs="Times New Roman"/>
          <w:color w:val="000000"/>
          <w:kern w:val="2"/>
          <w:sz w:val="32"/>
          <w:szCs w:val="32"/>
          <w:highlight w:val="none"/>
        </w:rPr>
        <w:t>、开</w:t>
      </w:r>
      <w:r>
        <w:rPr>
          <w:rFonts w:hint="eastAsia" w:ascii="宋体" w:hAnsi="宋体" w:eastAsia="宋体"/>
          <w:color w:val="000000"/>
          <w:kern w:val="2"/>
          <w:sz w:val="32"/>
          <w:szCs w:val="32"/>
          <w:highlight w:val="none"/>
        </w:rPr>
        <w:t>标一览表</w:t>
      </w:r>
      <w:bookmarkEnd w:id="102"/>
      <w:bookmarkEnd w:id="103"/>
    </w:p>
    <w:p w14:paraId="24F8C87A">
      <w:pPr>
        <w:adjustRightInd w:val="0"/>
        <w:snapToGrid w:val="0"/>
        <w:spacing w:line="360" w:lineRule="auto"/>
        <w:rPr>
          <w:rFonts w:hint="eastAsia" w:ascii="宋体" w:hAnsi="宋体"/>
          <w:snapToGrid w:val="0"/>
          <w:color w:val="000000"/>
          <w:kern w:val="0"/>
          <w:sz w:val="24"/>
          <w:highlight w:val="none"/>
          <w:lang w:eastAsia="zh-CN"/>
        </w:rPr>
      </w:pPr>
    </w:p>
    <w:p w14:paraId="493DBD27">
      <w:pPr>
        <w:adjustRightInd w:val="0"/>
        <w:snapToGrid w:val="0"/>
        <w:spacing w:line="360" w:lineRule="auto"/>
        <w:rPr>
          <w:rFonts w:hint="eastAsia" w:ascii="宋体" w:hAnsi="宋体"/>
          <w:b/>
          <w:bCs/>
          <w:color w:val="000000"/>
          <w:sz w:val="24"/>
          <w:szCs w:val="24"/>
          <w:highlight w:val="none"/>
        </w:rPr>
      </w:pPr>
      <w:r>
        <w:rPr>
          <w:rFonts w:hint="eastAsia" w:ascii="宋体" w:hAnsi="宋体"/>
          <w:snapToGrid w:val="0"/>
          <w:color w:val="000000"/>
          <w:kern w:val="0"/>
          <w:sz w:val="24"/>
          <w:highlight w:val="none"/>
          <w:lang w:eastAsia="zh-CN"/>
        </w:rPr>
        <w:t>杭州余杭城市发展投资集团有限公司</w:t>
      </w:r>
      <w:r>
        <w:rPr>
          <w:rFonts w:hint="eastAsia" w:ascii="宋体" w:hAnsi="宋体"/>
          <w:color w:val="000000"/>
          <w:sz w:val="24"/>
          <w:szCs w:val="24"/>
          <w:highlight w:val="none"/>
        </w:rPr>
        <w:t>：</w:t>
      </w:r>
    </w:p>
    <w:p w14:paraId="171C04D3">
      <w:pPr>
        <w:spacing w:line="360" w:lineRule="auto"/>
        <w:ind w:firstLine="480" w:firstLineChars="200"/>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按你方招标文件要求，我们，本投标文件签字方，谨此向你方发出要约如下：</w:t>
      </w:r>
    </w:p>
    <w:p w14:paraId="57191D63">
      <w:pPr>
        <w:widowControl/>
        <w:numPr>
          <w:ilvl w:val="0"/>
          <w:numId w:val="0"/>
        </w:numPr>
        <w:spacing w:before="0" w:after="0" w:line="360" w:lineRule="auto"/>
        <w:ind w:firstLine="480" w:firstLineChars="200"/>
        <w:jc w:val="left"/>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如你方接受本投标文件，我方承诺按照如下开标一览表的价格完成</w:t>
      </w:r>
      <w:r>
        <w:rPr>
          <w:rFonts w:hint="eastAsia" w:ascii="宋体" w:hAnsi="宋体" w:eastAsia="宋体" w:cs="宋体"/>
          <w:color w:val="auto"/>
          <w:kern w:val="0"/>
          <w:sz w:val="24"/>
          <w:szCs w:val="24"/>
          <w:highlight w:val="none"/>
          <w:lang w:eastAsia="zh-CN"/>
        </w:rPr>
        <w:t>城投集团财政拨款账户战略合作服务采购</w:t>
      </w:r>
      <w:r>
        <w:rPr>
          <w:rFonts w:hint="eastAsia" w:ascii="宋体" w:hAnsi="宋体"/>
          <w:b/>
          <w:bCs/>
          <w:color w:val="000000"/>
          <w:kern w:val="0"/>
          <w:sz w:val="24"/>
          <w:szCs w:val="24"/>
          <w:highlight w:val="none"/>
          <w:u w:val="single"/>
          <w:lang w:val="zh-CN"/>
        </w:rPr>
        <w:t>(招标编号</w:t>
      </w:r>
      <w:r>
        <w:rPr>
          <w:rFonts w:hint="eastAsia" w:ascii="宋体" w:hAnsi="宋体"/>
          <w:b/>
          <w:bCs/>
          <w:color w:val="000000"/>
          <w:kern w:val="0"/>
          <w:sz w:val="24"/>
          <w:szCs w:val="24"/>
          <w:highlight w:val="none"/>
          <w:u w:val="single"/>
          <w:lang w:val="en-US" w:eastAsia="zh-CN"/>
        </w:rPr>
        <w:t xml:space="preserve"> </w:t>
      </w:r>
      <w:r>
        <w:rPr>
          <w:rFonts w:hint="eastAsia" w:ascii="宋体" w:hAnsi="宋体"/>
          <w:b/>
          <w:bCs/>
          <w:color w:val="000000"/>
          <w:kern w:val="0"/>
          <w:sz w:val="24"/>
          <w:szCs w:val="24"/>
          <w:highlight w:val="none"/>
          <w:u w:val="single"/>
          <w:lang w:val="zh-CN"/>
        </w:rPr>
        <w:t>：</w:t>
      </w:r>
      <w:r>
        <w:rPr>
          <w:rFonts w:hint="eastAsia" w:ascii="宋体" w:hAnsi="宋体"/>
          <w:b/>
          <w:bCs/>
          <w:color w:val="000000"/>
          <w:kern w:val="0"/>
          <w:sz w:val="24"/>
          <w:szCs w:val="24"/>
          <w:highlight w:val="none"/>
          <w:u w:val="single"/>
          <w:lang w:val="en-US" w:eastAsia="zh-CN"/>
        </w:rPr>
        <w:t xml:space="preserve">        </w:t>
      </w:r>
      <w:r>
        <w:rPr>
          <w:rFonts w:hint="eastAsia" w:ascii="宋体" w:hAnsi="宋体"/>
          <w:b/>
          <w:bCs/>
          <w:color w:val="000000"/>
          <w:kern w:val="0"/>
          <w:sz w:val="24"/>
          <w:szCs w:val="24"/>
          <w:highlight w:val="none"/>
          <w:u w:val="single"/>
          <w:lang w:val="zh-CN"/>
        </w:rPr>
        <w:t>)</w:t>
      </w:r>
      <w:r>
        <w:rPr>
          <w:rFonts w:hint="eastAsia" w:ascii="宋体" w:hAnsi="宋体"/>
          <w:color w:val="000000"/>
          <w:kern w:val="0"/>
          <w:sz w:val="24"/>
          <w:szCs w:val="24"/>
          <w:highlight w:val="none"/>
          <w:lang w:val="zh-CN"/>
        </w:rPr>
        <w:t>实施。</w:t>
      </w:r>
    </w:p>
    <w:tbl>
      <w:tblPr>
        <w:tblStyle w:val="17"/>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962"/>
        <w:gridCol w:w="1965"/>
      </w:tblGrid>
      <w:tr w14:paraId="1F27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75" w:type="dxa"/>
            <w:tcBorders>
              <w:top w:val="single" w:color="auto" w:sz="4" w:space="0"/>
              <w:left w:val="single" w:color="auto" w:sz="4" w:space="0"/>
              <w:bottom w:val="single" w:color="auto" w:sz="4" w:space="0"/>
              <w:right w:val="single" w:color="auto" w:sz="4" w:space="0"/>
            </w:tcBorders>
            <w:noWrap w:val="0"/>
            <w:vAlign w:val="center"/>
          </w:tcPr>
          <w:p w14:paraId="0A6D4FD5">
            <w:pPr>
              <w:adjustRightInd w:val="0"/>
              <w:snapToGrid w:val="0"/>
              <w:spacing w:line="360" w:lineRule="auto"/>
              <w:jc w:val="center"/>
              <w:rPr>
                <w:rFonts w:hint="eastAsia" w:ascii="宋体" w:hAnsi="宋体"/>
                <w:b/>
                <w:color w:val="000000"/>
                <w:sz w:val="24"/>
                <w:szCs w:val="24"/>
                <w:highlight w:val="none"/>
              </w:rPr>
            </w:pPr>
            <w:r>
              <w:rPr>
                <w:rFonts w:hint="eastAsia" w:ascii="宋体" w:hAnsi="宋体"/>
                <w:b/>
                <w:color w:val="000000"/>
                <w:sz w:val="24"/>
                <w:szCs w:val="24"/>
                <w:highlight w:val="none"/>
              </w:rPr>
              <w:t>招标项目</w:t>
            </w:r>
          </w:p>
        </w:tc>
        <w:tc>
          <w:tcPr>
            <w:tcW w:w="5962" w:type="dxa"/>
            <w:tcBorders>
              <w:top w:val="single" w:color="auto" w:sz="4" w:space="0"/>
              <w:left w:val="single" w:color="auto" w:sz="4" w:space="0"/>
              <w:bottom w:val="single" w:color="auto" w:sz="4" w:space="0"/>
              <w:right w:val="single" w:color="auto" w:sz="4" w:space="0"/>
            </w:tcBorders>
            <w:noWrap w:val="0"/>
            <w:vAlign w:val="center"/>
          </w:tcPr>
          <w:p w14:paraId="196E0B95">
            <w:pPr>
              <w:adjustRightInd w:val="0"/>
              <w:snapToGrid w:val="0"/>
              <w:spacing w:line="360" w:lineRule="auto"/>
              <w:ind w:left="-126" w:leftChars="-45"/>
              <w:jc w:val="center"/>
              <w:rPr>
                <w:rFonts w:hint="eastAsia" w:ascii="宋体" w:hAnsi="宋体"/>
                <w:b/>
                <w:color w:val="000000"/>
                <w:sz w:val="24"/>
                <w:szCs w:val="24"/>
                <w:highlight w:val="none"/>
              </w:rPr>
            </w:pPr>
            <w:r>
              <w:rPr>
                <w:rFonts w:hint="eastAsia" w:ascii="宋体" w:hAnsi="宋体"/>
                <w:b/>
                <w:color w:val="000000"/>
                <w:sz w:val="24"/>
                <w:szCs w:val="24"/>
                <w:highlight w:val="none"/>
                <w:lang w:eastAsia="zh-CN"/>
              </w:rPr>
              <w:t>投标响应</w:t>
            </w:r>
            <w:r>
              <w:rPr>
                <w:rFonts w:hint="eastAsia" w:ascii="宋体" w:hAnsi="宋体"/>
                <w:b/>
                <w:color w:val="000000"/>
                <w:sz w:val="24"/>
                <w:szCs w:val="24"/>
                <w:highlight w:val="none"/>
              </w:rPr>
              <w:t>报价</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BD1B5CB">
            <w:pPr>
              <w:adjustRightInd w:val="0"/>
              <w:snapToGrid w:val="0"/>
              <w:spacing w:line="360" w:lineRule="auto"/>
              <w:jc w:val="center"/>
              <w:rPr>
                <w:rFonts w:hint="eastAsia" w:ascii="宋体" w:hAnsi="宋体"/>
                <w:b/>
                <w:color w:val="000000"/>
                <w:sz w:val="24"/>
                <w:szCs w:val="24"/>
                <w:highlight w:val="none"/>
              </w:rPr>
            </w:pPr>
            <w:r>
              <w:rPr>
                <w:rFonts w:hint="eastAsia" w:ascii="宋体" w:hAnsi="宋体"/>
                <w:b/>
                <w:color w:val="000000"/>
                <w:sz w:val="24"/>
                <w:szCs w:val="24"/>
                <w:highlight w:val="none"/>
              </w:rPr>
              <w:t>极值</w:t>
            </w:r>
          </w:p>
        </w:tc>
      </w:tr>
      <w:tr w14:paraId="08D0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475" w:type="dxa"/>
            <w:vMerge w:val="restart"/>
            <w:tcBorders>
              <w:top w:val="single" w:color="auto" w:sz="4" w:space="0"/>
              <w:left w:val="single" w:color="auto" w:sz="4" w:space="0"/>
              <w:right w:val="single" w:color="auto" w:sz="4" w:space="0"/>
            </w:tcBorders>
            <w:noWrap w:val="0"/>
            <w:vAlign w:val="center"/>
          </w:tcPr>
          <w:p w14:paraId="60CC8FD9">
            <w:pPr>
              <w:widowControl/>
              <w:numPr>
                <w:ilvl w:val="-1"/>
                <w:numId w:val="0"/>
              </w:numPr>
              <w:spacing w:before="0" w:after="0" w:line="360" w:lineRule="auto"/>
              <w:ind w:left="0" w:leftChars="0" w:firstLine="0" w:firstLineChars="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城投集团财政拨款账户战略合作服务采购</w:t>
            </w:r>
          </w:p>
          <w:p w14:paraId="277B346B">
            <w:pPr>
              <w:adjustRightInd w:val="0"/>
              <w:snapToGrid w:val="0"/>
              <w:spacing w:line="360" w:lineRule="auto"/>
              <w:jc w:val="center"/>
              <w:rPr>
                <w:rFonts w:hint="eastAsia" w:ascii="宋体" w:hAnsi="宋体" w:eastAsia="宋体"/>
                <w:color w:val="000000"/>
                <w:sz w:val="24"/>
                <w:szCs w:val="24"/>
                <w:highlight w:val="none"/>
                <w:lang w:eastAsia="zh-CN"/>
              </w:rPr>
            </w:pPr>
          </w:p>
        </w:tc>
        <w:tc>
          <w:tcPr>
            <w:tcW w:w="5962" w:type="dxa"/>
            <w:tcBorders>
              <w:top w:val="single" w:color="auto" w:sz="4" w:space="0"/>
              <w:left w:val="single" w:color="auto" w:sz="4" w:space="0"/>
              <w:bottom w:val="single" w:color="auto" w:sz="4" w:space="0"/>
              <w:right w:val="single" w:color="auto" w:sz="4" w:space="0"/>
            </w:tcBorders>
            <w:noWrap w:val="0"/>
            <w:vAlign w:val="center"/>
          </w:tcPr>
          <w:p w14:paraId="6F01205F">
            <w:pPr>
              <w:adjustRightInd w:val="0"/>
              <w:snapToGrid w:val="0"/>
              <w:spacing w:line="360" w:lineRule="auto"/>
              <w:rPr>
                <w:rFonts w:hint="eastAsia" w:ascii="宋体" w:hAnsi="宋体"/>
                <w:color w:val="000000"/>
                <w:sz w:val="24"/>
                <w:szCs w:val="24"/>
                <w:highlight w:val="none"/>
              </w:rPr>
            </w:pPr>
            <w:r>
              <w:rPr>
                <w:rFonts w:hint="eastAsia" w:ascii="宋体" w:hAnsi="宋体"/>
                <w:color w:val="000000"/>
                <w:sz w:val="24"/>
                <w:szCs w:val="24"/>
                <w:highlight w:val="none"/>
              </w:rPr>
              <w:t>本银行承诺</w:t>
            </w:r>
            <w:r>
              <w:rPr>
                <w:rFonts w:hint="eastAsia" w:ascii="宋体" w:hAnsi="宋体"/>
                <w:color w:val="000000"/>
                <w:sz w:val="24"/>
                <w:highlight w:val="none"/>
              </w:rPr>
              <w:t>除监管部门统一规定收费项目外各项</w:t>
            </w:r>
            <w:r>
              <w:rPr>
                <w:rFonts w:hint="eastAsia" w:ascii="宋体" w:hAnsi="宋体"/>
                <w:color w:val="000000"/>
                <w:sz w:val="24"/>
                <w:szCs w:val="24"/>
                <w:highlight w:val="none"/>
              </w:rPr>
              <w:t>服务费用：投标人需明确服务费用是否全免，如不能全免需详细列示全部收费项目及收费标准（可另附页说明）</w:t>
            </w:r>
          </w:p>
        </w:tc>
        <w:tc>
          <w:tcPr>
            <w:tcW w:w="1965" w:type="dxa"/>
            <w:tcBorders>
              <w:top w:val="single" w:color="auto" w:sz="4" w:space="0"/>
              <w:left w:val="single" w:color="auto" w:sz="4" w:space="0"/>
              <w:right w:val="single" w:color="auto" w:sz="4" w:space="0"/>
            </w:tcBorders>
            <w:noWrap w:val="0"/>
            <w:vAlign w:val="center"/>
          </w:tcPr>
          <w:p w14:paraId="198ADA79">
            <w:pPr>
              <w:adjustRightInd w:val="0"/>
              <w:snapToGrid w:val="0"/>
              <w:spacing w:line="360" w:lineRule="auto"/>
              <w:jc w:val="both"/>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rPr>
              <w:t>本银行承诺本次服务费用全免</w:t>
            </w:r>
            <w:r>
              <w:rPr>
                <w:rFonts w:hint="eastAsia" w:ascii="宋体" w:hAnsi="宋体"/>
                <w:color w:val="000000"/>
                <w:sz w:val="24"/>
                <w:szCs w:val="24"/>
                <w:highlight w:val="none"/>
                <w:lang w:val="en-US" w:eastAsia="zh-CN"/>
              </w:rPr>
              <w:t>；</w:t>
            </w:r>
          </w:p>
        </w:tc>
      </w:tr>
      <w:tr w14:paraId="738C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1475" w:type="dxa"/>
            <w:vMerge w:val="continue"/>
            <w:tcBorders>
              <w:left w:val="single" w:color="auto" w:sz="4" w:space="0"/>
              <w:right w:val="single" w:color="auto" w:sz="4" w:space="0"/>
            </w:tcBorders>
            <w:noWrap w:val="0"/>
            <w:vAlign w:val="center"/>
          </w:tcPr>
          <w:p w14:paraId="56AB0B80">
            <w:pPr>
              <w:adjustRightInd w:val="0"/>
              <w:snapToGrid w:val="0"/>
              <w:spacing w:line="360" w:lineRule="auto"/>
              <w:jc w:val="center"/>
              <w:rPr>
                <w:rFonts w:hint="eastAsia" w:ascii="宋体" w:hAnsi="宋体"/>
                <w:color w:val="000000"/>
                <w:sz w:val="24"/>
                <w:szCs w:val="24"/>
                <w:highlight w:val="none"/>
              </w:rPr>
            </w:pPr>
          </w:p>
        </w:tc>
        <w:tc>
          <w:tcPr>
            <w:tcW w:w="5962" w:type="dxa"/>
            <w:tcBorders>
              <w:top w:val="single" w:color="auto" w:sz="4" w:space="0"/>
              <w:left w:val="single" w:color="auto" w:sz="4" w:space="0"/>
              <w:bottom w:val="single" w:color="auto" w:sz="4" w:space="0"/>
              <w:right w:val="single" w:color="auto" w:sz="4" w:space="0"/>
            </w:tcBorders>
            <w:noWrap w:val="0"/>
            <w:vAlign w:val="center"/>
          </w:tcPr>
          <w:p w14:paraId="31CCECDC">
            <w:pPr>
              <w:adjustRightInd w:val="0"/>
              <w:snapToGrid w:val="0"/>
              <w:spacing w:line="360" w:lineRule="auto"/>
              <w:rPr>
                <w:rFonts w:hint="eastAsia" w:ascii="宋体" w:hAnsi="宋体"/>
                <w:color w:val="000000"/>
                <w:sz w:val="24"/>
                <w:highlight w:val="none"/>
              </w:rPr>
            </w:pPr>
            <w:r>
              <w:rPr>
                <w:rFonts w:hint="eastAsia" w:ascii="宋体" w:hAnsi="宋体"/>
                <w:color w:val="000000"/>
                <w:sz w:val="24"/>
                <w:highlight w:val="none"/>
              </w:rPr>
              <w:t>本银行承诺本次投标利率为：</w:t>
            </w:r>
          </w:p>
          <w:p w14:paraId="4CA9E43A">
            <w:pPr>
              <w:numPr>
                <w:ilvl w:val="0"/>
                <w:numId w:val="0"/>
              </w:numPr>
              <w:adjustRightInd w:val="0"/>
              <w:snapToGrid w:val="0"/>
              <w:spacing w:line="360" w:lineRule="auto"/>
              <w:ind w:left="0"/>
              <w:rPr>
                <w:rFonts w:hint="eastAsia" w:ascii="宋体" w:hAnsi="宋体"/>
                <w:color w:val="000000"/>
                <w:sz w:val="24"/>
                <w:highlight w:val="none"/>
              </w:rPr>
            </w:pPr>
            <w:r>
              <w:rPr>
                <w:rFonts w:hint="eastAsia" w:ascii="宋体" w:hAnsi="宋体" w:cs="仿宋"/>
                <w:color w:val="000000"/>
                <w:sz w:val="24"/>
                <w:szCs w:val="24"/>
                <w:highlight w:val="none"/>
                <w:lang w:bidi="ar"/>
              </w:rPr>
              <w:t>协定存款利率为</w:t>
            </w:r>
            <w:r>
              <w:rPr>
                <w:rFonts w:hint="eastAsia" w:ascii="宋体" w:hAnsi="宋体"/>
                <w:color w:val="000000"/>
                <w:sz w:val="24"/>
                <w:highlight w:val="none"/>
              </w:rPr>
              <w:t>央行</w:t>
            </w:r>
            <w:r>
              <w:rPr>
                <w:rFonts w:hint="eastAsia" w:ascii="宋体" w:hAnsi="宋体" w:cs="仿宋"/>
                <w:color w:val="000000"/>
                <w:sz w:val="24"/>
                <w:szCs w:val="24"/>
                <w:highlight w:val="none"/>
                <w:lang w:bidi="ar"/>
              </w:rPr>
              <w:t>存款基准利率</w:t>
            </w:r>
            <w:r>
              <w:rPr>
                <w:rFonts w:hint="eastAsia" w:ascii="宋体" w:hAnsi="宋体"/>
                <w:color w:val="000000"/>
                <w:sz w:val="24"/>
                <w:highlight w:val="none"/>
                <w:lang w:val="en-US" w:eastAsia="zh-CN"/>
              </w:rPr>
              <w:t>增加</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lang w:val="en-US" w:eastAsia="zh-CN"/>
              </w:rPr>
              <w:t>个基点</w:t>
            </w:r>
            <w:r>
              <w:rPr>
                <w:rFonts w:hint="eastAsia" w:ascii="宋体" w:hAnsi="宋体"/>
                <w:color w:val="000000"/>
                <w:sz w:val="24"/>
                <w:highlight w:val="none"/>
              </w:rPr>
              <w:t>，</w:t>
            </w:r>
            <w:r>
              <w:rPr>
                <w:rFonts w:hint="eastAsia" w:ascii="宋体" w:hAnsi="宋体"/>
                <w:color w:val="000000"/>
                <w:sz w:val="24"/>
                <w:highlight w:val="none"/>
                <w:lang w:val="en-US" w:eastAsia="zh-CN"/>
              </w:rPr>
              <w:t>确认利</w:t>
            </w:r>
            <w:r>
              <w:rPr>
                <w:rFonts w:hint="eastAsia" w:ascii="宋体" w:hAnsi="宋体"/>
                <w:color w:val="auto"/>
                <w:sz w:val="24"/>
                <w:highlight w:val="none"/>
                <w:lang w:val="en-US" w:eastAsia="zh-CN"/>
              </w:rPr>
              <w:t>率为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000000"/>
                <w:sz w:val="24"/>
                <w:highlight w:val="none"/>
              </w:rPr>
              <w:t>。</w:t>
            </w:r>
          </w:p>
          <w:p w14:paraId="6DB9149E">
            <w:pPr>
              <w:numPr>
                <w:ilvl w:val="0"/>
                <w:numId w:val="0"/>
              </w:numPr>
              <w:adjustRightInd w:val="0"/>
              <w:snapToGrid w:val="0"/>
              <w:spacing w:line="360" w:lineRule="auto"/>
              <w:ind w:left="0"/>
              <w:rPr>
                <w:rFonts w:hint="eastAsia" w:ascii="宋体" w:hAnsi="宋体"/>
                <w:color w:val="000000"/>
                <w:sz w:val="24"/>
                <w:highlight w:val="none"/>
                <w:u w:val="single"/>
              </w:rPr>
            </w:pPr>
            <w:r>
              <w:rPr>
                <w:rFonts w:hint="eastAsia"/>
                <w:color w:val="000000"/>
                <w:sz w:val="24"/>
                <w:szCs w:val="24"/>
                <w:highlight w:val="none"/>
              </w:rPr>
              <w:t>协定</w:t>
            </w:r>
            <w:r>
              <w:rPr>
                <w:color w:val="000000"/>
                <w:sz w:val="24"/>
                <w:szCs w:val="24"/>
                <w:highlight w:val="none"/>
              </w:rPr>
              <w:t>存款在结算账户约定保留的最低留存额度</w:t>
            </w:r>
            <w:r>
              <w:rPr>
                <w:rFonts w:hint="eastAsia"/>
                <w:color w:val="000000"/>
                <w:sz w:val="24"/>
                <w:szCs w:val="24"/>
                <w:highlight w:val="none"/>
              </w:rPr>
              <w:t>为</w:t>
            </w:r>
            <w:r>
              <w:rPr>
                <w:rFonts w:hint="eastAsia"/>
                <w:color w:val="000000"/>
                <w:sz w:val="24"/>
                <w:szCs w:val="24"/>
                <w:highlight w:val="none"/>
                <w:u w:val="single"/>
                <w:lang w:val="en-US" w:eastAsia="zh-CN"/>
              </w:rPr>
              <w:t xml:space="preserve">  </w:t>
            </w:r>
            <w:r>
              <w:rPr>
                <w:rFonts w:hint="eastAsia"/>
                <w:color w:val="000000"/>
                <w:sz w:val="24"/>
                <w:szCs w:val="24"/>
                <w:highlight w:val="none"/>
              </w:rPr>
              <w:t>万元，大写</w:t>
            </w:r>
            <w:r>
              <w:rPr>
                <w:rFonts w:hint="eastAsia"/>
                <w:color w:val="000000"/>
                <w:sz w:val="24"/>
                <w:szCs w:val="24"/>
                <w:highlight w:val="none"/>
                <w:u w:val="single"/>
              </w:rPr>
              <w:t xml:space="preserve">  </w:t>
            </w:r>
            <w:r>
              <w:rPr>
                <w:rFonts w:hint="eastAsia"/>
                <w:color w:val="000000"/>
                <w:sz w:val="24"/>
                <w:szCs w:val="24"/>
                <w:highlight w:val="none"/>
                <w:u w:val="single"/>
                <w:lang w:val="en-US" w:eastAsia="zh-CN"/>
              </w:rPr>
              <w:t xml:space="preserve">     </w:t>
            </w:r>
            <w:r>
              <w:rPr>
                <w:rFonts w:hint="eastAsia"/>
                <w:color w:val="000000"/>
                <w:sz w:val="24"/>
                <w:szCs w:val="24"/>
                <w:highlight w:val="none"/>
              </w:rPr>
              <w:t>万元。</w:t>
            </w:r>
          </w:p>
          <w:p w14:paraId="3A6D818D">
            <w:pPr>
              <w:numPr>
                <w:ilvl w:val="0"/>
                <w:numId w:val="0"/>
              </w:numPr>
              <w:adjustRightInd w:val="0"/>
              <w:snapToGrid w:val="0"/>
              <w:spacing w:line="360" w:lineRule="auto"/>
              <w:ind w:left="0"/>
              <w:rPr>
                <w:rFonts w:hint="eastAsia" w:ascii="宋体" w:hAnsi="宋体"/>
                <w:color w:val="000000"/>
                <w:sz w:val="24"/>
                <w:highlight w:val="none"/>
              </w:rPr>
            </w:pPr>
            <w:r>
              <w:rPr>
                <w:rFonts w:hint="eastAsia" w:ascii="宋体" w:hAnsi="宋体"/>
                <w:color w:val="000000"/>
                <w:sz w:val="24"/>
                <w:szCs w:val="24"/>
                <w:highlight w:val="none"/>
                <w:lang w:eastAsia="zh-CN"/>
              </w:rPr>
              <w:t>注：</w:t>
            </w:r>
            <w:r>
              <w:rPr>
                <w:rFonts w:hint="eastAsia" w:ascii="宋体" w:hAnsi="宋体"/>
                <w:color w:val="000000"/>
                <w:sz w:val="24"/>
                <w:szCs w:val="24"/>
                <w:highlight w:val="none"/>
              </w:rPr>
              <w:t>如遇央行调整存款利率，服务期内存款利率同比例调整。</w:t>
            </w:r>
          </w:p>
          <w:p w14:paraId="20D47652">
            <w:pPr>
              <w:adjustRightInd w:val="0"/>
              <w:snapToGrid w:val="0"/>
              <w:spacing w:line="360" w:lineRule="auto"/>
              <w:rPr>
                <w:rFonts w:hint="eastAsia" w:ascii="宋体" w:hAnsi="宋体"/>
                <w:color w:val="000000"/>
                <w:sz w:val="24"/>
                <w:szCs w:val="24"/>
                <w:highlight w:val="none"/>
              </w:rPr>
            </w:pPr>
          </w:p>
        </w:tc>
        <w:tc>
          <w:tcPr>
            <w:tcW w:w="1965" w:type="dxa"/>
            <w:tcBorders>
              <w:left w:val="single" w:color="auto" w:sz="4" w:space="0"/>
              <w:right w:val="single" w:color="auto" w:sz="4" w:space="0"/>
            </w:tcBorders>
            <w:noWrap w:val="0"/>
            <w:vAlign w:val="center"/>
          </w:tcPr>
          <w:p w14:paraId="71383CC8">
            <w:pPr>
              <w:adjustRightInd w:val="0"/>
              <w:snapToGrid w:val="0"/>
              <w:spacing w:line="360" w:lineRule="auto"/>
              <w:jc w:val="both"/>
              <w:rPr>
                <w:rFonts w:hint="eastAsia" w:ascii="宋体" w:hAnsi="宋体" w:eastAsia="宋体"/>
                <w:color w:val="000000"/>
                <w:sz w:val="24"/>
                <w:szCs w:val="24"/>
                <w:highlight w:val="none"/>
                <w:lang w:eastAsia="zh-CN"/>
              </w:rPr>
            </w:pPr>
            <w:r>
              <w:rPr>
                <w:rFonts w:hint="eastAsia" w:ascii="宋体" w:hAnsi="宋体"/>
                <w:color w:val="000000"/>
                <w:sz w:val="24"/>
                <w:szCs w:val="24"/>
                <w:highlight w:val="none"/>
              </w:rPr>
              <w:t>本银行承诺本次利率在央行允许范围内</w:t>
            </w:r>
            <w:r>
              <w:rPr>
                <w:rFonts w:hint="eastAsia" w:ascii="宋体" w:hAnsi="宋体"/>
                <w:color w:val="000000"/>
                <w:sz w:val="24"/>
                <w:szCs w:val="24"/>
                <w:highlight w:val="none"/>
                <w:lang w:eastAsia="zh-CN"/>
              </w:rPr>
              <w:t>；</w:t>
            </w:r>
          </w:p>
        </w:tc>
      </w:tr>
    </w:tbl>
    <w:p w14:paraId="1FE81C44">
      <w:pPr>
        <w:spacing w:line="360" w:lineRule="auto"/>
        <w:ind w:firstLine="5040" w:firstLineChars="2100"/>
        <w:rPr>
          <w:rFonts w:hint="eastAsia" w:ascii="宋体" w:hAnsi="宋体"/>
          <w:color w:val="000000"/>
          <w:sz w:val="24"/>
          <w:highlight w:val="none"/>
        </w:rPr>
      </w:pPr>
      <w:r>
        <w:rPr>
          <w:rFonts w:hint="eastAsia" w:ascii="宋体" w:hAnsi="宋体"/>
          <w:color w:val="000000"/>
          <w:sz w:val="24"/>
          <w:highlight w:val="none"/>
        </w:rPr>
        <w:t xml:space="preserve">投标人名称（公章）： </w:t>
      </w:r>
    </w:p>
    <w:p w14:paraId="663FB15C">
      <w:pPr>
        <w:spacing w:line="360" w:lineRule="auto"/>
        <w:ind w:left="4598" w:leftChars="228" w:hanging="3960" w:hangingChars="1650"/>
        <w:rPr>
          <w:rFonts w:hint="eastAsia" w:ascii="宋体" w:hAnsi="宋体"/>
          <w:color w:val="000000"/>
          <w:sz w:val="24"/>
          <w:highlight w:val="none"/>
        </w:rPr>
      </w:pPr>
      <w:r>
        <w:rPr>
          <w:rFonts w:hint="eastAsia" w:ascii="宋体" w:hAnsi="宋体"/>
          <w:color w:val="000000"/>
          <w:sz w:val="24"/>
          <w:highlight w:val="none"/>
        </w:rPr>
        <w:t xml:space="preserve">                         法定代表人（或负责人）或授权委托人（签字或盖章）：                  </w:t>
      </w:r>
    </w:p>
    <w:p w14:paraId="59D21828">
      <w:pPr>
        <w:spacing w:line="360" w:lineRule="auto"/>
        <w:ind w:left="5740" w:hanging="5740" w:hangingChars="2050"/>
        <w:rPr>
          <w:rFonts w:hint="eastAsia" w:ascii="宋体" w:hAnsi="宋体"/>
          <w:color w:val="000000"/>
          <w:sz w:val="24"/>
          <w:highlight w:val="none"/>
        </w:rPr>
      </w:pPr>
      <w:r>
        <w:rPr>
          <w:rFonts w:hint="eastAsia"/>
          <w:color w:val="000000"/>
          <w:highlight w:val="none"/>
        </w:rPr>
        <w:t xml:space="preserve">                                        </w:t>
      </w:r>
      <w:r>
        <w:rPr>
          <w:rFonts w:hint="eastAsia" w:ascii="宋体" w:hAnsi="宋体"/>
          <w:color w:val="000000"/>
          <w:sz w:val="24"/>
          <w:highlight w:val="none"/>
        </w:rPr>
        <w:t xml:space="preserve">  日期：</w:t>
      </w:r>
      <w:r>
        <w:rPr>
          <w:rFonts w:hint="eastAsia" w:ascii="宋体" w:hAnsi="宋体"/>
          <w:color w:val="000000"/>
          <w:highlight w:val="none"/>
        </w:rPr>
        <w:t>20</w:t>
      </w:r>
      <w:r>
        <w:rPr>
          <w:rFonts w:hint="eastAsia" w:ascii="宋体" w:hAnsi="宋体"/>
          <w:color w:val="000000"/>
          <w:highlight w:val="none"/>
          <w:lang w:val="en-US" w:eastAsia="zh-CN"/>
        </w:rPr>
        <w:t xml:space="preserve">   </w:t>
      </w:r>
      <w:r>
        <w:rPr>
          <w:rFonts w:hint="eastAsia" w:ascii="宋体" w:hAnsi="宋体"/>
          <w:color w:val="000000"/>
          <w:highlight w:val="none"/>
        </w:rPr>
        <w:t>年  月   日</w:t>
      </w:r>
    </w:p>
    <w:p w14:paraId="5AE2BE96">
      <w:pPr>
        <w:pageBreakBefore/>
        <w:spacing w:line="360" w:lineRule="auto"/>
        <w:jc w:val="center"/>
        <w:outlineLvl w:val="2"/>
        <w:rPr>
          <w:rFonts w:hint="eastAsia" w:ascii="宋体" w:hAnsi="宋体"/>
          <w:b/>
          <w:bCs/>
          <w:color w:val="000000"/>
          <w:sz w:val="32"/>
          <w:szCs w:val="32"/>
          <w:highlight w:val="none"/>
        </w:rPr>
      </w:pPr>
      <w:r>
        <w:rPr>
          <w:rFonts w:hint="eastAsia" w:ascii="宋体" w:hAnsi="宋体"/>
          <w:b/>
          <w:bCs/>
          <w:color w:val="000000"/>
          <w:sz w:val="32"/>
          <w:szCs w:val="32"/>
          <w:highlight w:val="none"/>
          <w:lang w:eastAsia="zh-CN"/>
        </w:rPr>
        <w:t>三</w:t>
      </w:r>
      <w:r>
        <w:rPr>
          <w:rFonts w:hint="eastAsia" w:ascii="宋体" w:hAnsi="宋体"/>
          <w:b/>
          <w:bCs/>
          <w:color w:val="000000"/>
          <w:sz w:val="32"/>
          <w:szCs w:val="32"/>
          <w:highlight w:val="none"/>
        </w:rPr>
        <w:t>、法定代表人(或负责人)授权委托书</w:t>
      </w:r>
    </w:p>
    <w:p w14:paraId="0F62BA95">
      <w:pPr>
        <w:spacing w:line="360" w:lineRule="auto"/>
        <w:rPr>
          <w:rFonts w:hint="eastAsia" w:ascii="宋体" w:hAnsi="宋体"/>
          <w:snapToGrid w:val="0"/>
          <w:color w:val="000000"/>
          <w:kern w:val="0"/>
          <w:sz w:val="24"/>
          <w:highlight w:val="none"/>
        </w:rPr>
      </w:pPr>
    </w:p>
    <w:p w14:paraId="42EBA4C7">
      <w:pPr>
        <w:spacing w:line="360" w:lineRule="auto"/>
        <w:rPr>
          <w:rFonts w:hint="eastAsia" w:ascii="宋体" w:hAnsi="宋体"/>
          <w:color w:val="000000"/>
          <w:sz w:val="24"/>
          <w:szCs w:val="24"/>
          <w:highlight w:val="none"/>
        </w:rPr>
      </w:pPr>
      <w:r>
        <w:rPr>
          <w:rFonts w:hint="eastAsia" w:ascii="宋体" w:hAnsi="宋体"/>
          <w:snapToGrid w:val="0"/>
          <w:color w:val="000000"/>
          <w:kern w:val="0"/>
          <w:sz w:val="24"/>
          <w:highlight w:val="none"/>
          <w:lang w:eastAsia="zh-CN"/>
        </w:rPr>
        <w:t>杭州余杭城市发展投资集团有限公司</w:t>
      </w:r>
      <w:r>
        <w:rPr>
          <w:rFonts w:hint="eastAsia" w:ascii="宋体" w:hAnsi="宋体"/>
          <w:color w:val="000000"/>
          <w:kern w:val="0"/>
          <w:sz w:val="24"/>
          <w:szCs w:val="24"/>
          <w:highlight w:val="none"/>
          <w:lang w:val="zh-CN"/>
        </w:rPr>
        <w:t>：</w:t>
      </w:r>
    </w:p>
    <w:p w14:paraId="0D4D96F1">
      <w:pPr>
        <w:widowControl/>
        <w:numPr>
          <w:ilvl w:val="0"/>
          <w:numId w:val="0"/>
        </w:numPr>
        <w:spacing w:before="0" w:after="0" w:line="360" w:lineRule="auto"/>
        <w:ind w:firstLine="480" w:firstLineChars="200"/>
        <w:jc w:val="left"/>
        <w:rPr>
          <w:rFonts w:hint="eastAsia" w:ascii="宋体" w:hAnsi="宋体"/>
          <w:color w:val="000000"/>
          <w:sz w:val="24"/>
          <w:szCs w:val="24"/>
          <w:highlight w:val="none"/>
        </w:rPr>
      </w:pPr>
      <w:r>
        <w:rPr>
          <w:rFonts w:hint="eastAsia" w:ascii="宋体" w:hAnsi="宋体"/>
          <w:color w:val="000000"/>
          <w:kern w:val="0"/>
          <w:sz w:val="24"/>
          <w:szCs w:val="24"/>
          <w:highlight w:val="none"/>
          <w:lang w:val="zh-CN"/>
        </w:rPr>
        <w:t>兹委派我公司</w:t>
      </w:r>
      <w:r>
        <w:rPr>
          <w:rFonts w:hint="eastAsia" w:ascii="宋体" w:hAnsi="宋体"/>
          <w:color w:val="000000"/>
          <w:kern w:val="0"/>
          <w:sz w:val="24"/>
          <w:szCs w:val="24"/>
          <w:highlight w:val="none"/>
          <w:u w:val="single"/>
          <w:lang w:val="zh-CN"/>
        </w:rPr>
        <w:t xml:space="preserve">                </w:t>
      </w:r>
      <w:r>
        <w:rPr>
          <w:rFonts w:hint="eastAsia" w:ascii="宋体" w:hAnsi="宋体"/>
          <w:color w:val="000000"/>
          <w:kern w:val="0"/>
          <w:sz w:val="24"/>
          <w:szCs w:val="24"/>
          <w:highlight w:val="none"/>
          <w:lang w:val="zh-CN"/>
        </w:rPr>
        <w:t>先生/女士(其在本单位的职务是：</w:t>
      </w:r>
      <w:r>
        <w:rPr>
          <w:rFonts w:hint="eastAsia" w:ascii="宋体" w:hAnsi="宋体"/>
          <w:color w:val="000000"/>
          <w:kern w:val="0"/>
          <w:sz w:val="24"/>
          <w:szCs w:val="24"/>
          <w:highlight w:val="none"/>
          <w:u w:val="single"/>
          <w:lang w:val="zh-CN"/>
        </w:rPr>
        <w:t xml:space="preserve">                </w:t>
      </w:r>
      <w:r>
        <w:rPr>
          <w:rFonts w:hint="eastAsia" w:ascii="宋体" w:hAnsi="宋体"/>
          <w:color w:val="000000"/>
          <w:kern w:val="0"/>
          <w:sz w:val="24"/>
          <w:szCs w:val="24"/>
          <w:highlight w:val="none"/>
          <w:lang w:val="zh-CN"/>
        </w:rPr>
        <w:t xml:space="preserve"> ，联系电话：</w:t>
      </w:r>
      <w:r>
        <w:rPr>
          <w:rFonts w:hint="eastAsia" w:ascii="宋体" w:hAnsi="宋体"/>
          <w:color w:val="000000"/>
          <w:kern w:val="0"/>
          <w:sz w:val="24"/>
          <w:szCs w:val="24"/>
          <w:highlight w:val="none"/>
          <w:u w:val="single"/>
          <w:lang w:val="zh-CN"/>
        </w:rPr>
        <w:t xml:space="preserve">       </w:t>
      </w:r>
      <w:r>
        <w:rPr>
          <w:rFonts w:hint="eastAsia" w:ascii="宋体" w:hAnsi="宋体"/>
          <w:color w:val="000000"/>
          <w:kern w:val="0"/>
          <w:sz w:val="24"/>
          <w:szCs w:val="24"/>
          <w:highlight w:val="none"/>
          <w:lang w:val="zh-CN"/>
        </w:rPr>
        <w:t>手机：</w:t>
      </w:r>
      <w:r>
        <w:rPr>
          <w:rFonts w:hint="eastAsia" w:ascii="宋体" w:hAnsi="宋体"/>
          <w:color w:val="000000"/>
          <w:kern w:val="0"/>
          <w:sz w:val="24"/>
          <w:szCs w:val="24"/>
          <w:highlight w:val="none"/>
          <w:u w:val="single"/>
          <w:lang w:val="zh-CN"/>
        </w:rPr>
        <w:t xml:space="preserve">        </w:t>
      </w:r>
      <w:r>
        <w:rPr>
          <w:rFonts w:hint="eastAsia" w:ascii="宋体" w:hAnsi="宋体"/>
          <w:color w:val="000000"/>
          <w:kern w:val="0"/>
          <w:sz w:val="24"/>
          <w:szCs w:val="24"/>
          <w:highlight w:val="none"/>
          <w:lang w:val="zh-CN"/>
        </w:rPr>
        <w:t>传真：</w:t>
      </w:r>
      <w:r>
        <w:rPr>
          <w:rFonts w:hint="eastAsia" w:ascii="宋体" w:hAnsi="宋体"/>
          <w:color w:val="000000"/>
          <w:kern w:val="0"/>
          <w:sz w:val="24"/>
          <w:szCs w:val="24"/>
          <w:highlight w:val="none"/>
          <w:u w:val="single"/>
          <w:lang w:val="zh-CN"/>
        </w:rPr>
        <w:t xml:space="preserve">           </w:t>
      </w:r>
      <w:r>
        <w:rPr>
          <w:rFonts w:hint="eastAsia" w:ascii="宋体" w:hAnsi="宋体"/>
          <w:color w:val="000000"/>
          <w:kern w:val="0"/>
          <w:sz w:val="24"/>
          <w:szCs w:val="24"/>
          <w:highlight w:val="none"/>
          <w:lang w:val="zh-CN"/>
        </w:rPr>
        <w:t>)，代表我行全权处理</w:t>
      </w:r>
      <w:r>
        <w:rPr>
          <w:rFonts w:hint="eastAsia" w:ascii="宋体" w:hAnsi="宋体" w:eastAsia="宋体" w:cs="宋体"/>
          <w:color w:val="auto"/>
          <w:kern w:val="0"/>
          <w:sz w:val="24"/>
          <w:szCs w:val="24"/>
          <w:highlight w:val="none"/>
          <w:lang w:eastAsia="zh-CN"/>
        </w:rPr>
        <w:t>城投集团财政拨款账户战略合作服务采购</w:t>
      </w:r>
      <w:r>
        <w:rPr>
          <w:rFonts w:hint="eastAsia" w:ascii="宋体" w:hAnsi="宋体"/>
          <w:color w:val="000000"/>
          <w:sz w:val="24"/>
          <w:szCs w:val="24"/>
          <w:highlight w:val="none"/>
        </w:rPr>
        <w:t>(招</w:t>
      </w:r>
      <w:r>
        <w:rPr>
          <w:rFonts w:hint="eastAsia" w:ascii="宋体" w:hAnsi="宋体"/>
          <w:b w:val="0"/>
          <w:bCs w:val="0"/>
          <w:color w:val="000000"/>
          <w:sz w:val="24"/>
          <w:szCs w:val="24"/>
          <w:highlight w:val="none"/>
        </w:rPr>
        <w:t>标编号：</w:t>
      </w:r>
      <w:r>
        <w:rPr>
          <w:rFonts w:hint="eastAsia" w:ascii="宋体" w:hAnsi="宋体"/>
          <w:b w:val="0"/>
          <w:bCs w:val="0"/>
          <w:color w:val="000000"/>
          <w:sz w:val="24"/>
          <w:szCs w:val="24"/>
          <w:highlight w:val="none"/>
          <w:lang w:val="en-US" w:eastAsia="zh-CN"/>
        </w:rPr>
        <w:t xml:space="preserve">  </w:t>
      </w:r>
      <w:r>
        <w:rPr>
          <w:rFonts w:hint="eastAsia" w:ascii="宋体" w:hAnsi="宋体"/>
          <w:b/>
          <w:bCs/>
          <w:color w:val="000000"/>
          <w:sz w:val="24"/>
          <w:szCs w:val="24"/>
          <w:highlight w:val="none"/>
          <w:lang w:val="en-US" w:eastAsia="zh-CN"/>
        </w:rPr>
        <w:t xml:space="preserve">       </w:t>
      </w:r>
      <w:r>
        <w:rPr>
          <w:rFonts w:hint="eastAsia" w:ascii="宋体" w:hAnsi="宋体" w:cs="仿宋_GB2312"/>
          <w:b/>
          <w:bCs/>
          <w:color w:val="000000"/>
          <w:kern w:val="0"/>
          <w:sz w:val="24"/>
          <w:szCs w:val="24"/>
          <w:highlight w:val="none"/>
          <w:lang w:val="zh-CN"/>
        </w:rPr>
        <w:t>)</w:t>
      </w:r>
      <w:r>
        <w:rPr>
          <w:rFonts w:hint="eastAsia" w:ascii="宋体" w:hAnsi="宋体"/>
          <w:color w:val="000000"/>
          <w:kern w:val="0"/>
          <w:sz w:val="24"/>
          <w:szCs w:val="24"/>
          <w:highlight w:val="none"/>
          <w:lang w:val="zh-CN"/>
        </w:rPr>
        <w:t>招标投标的一切事项，若中标则全权代表本公司签订相关协议，并负责处理协议履行等事宜。</w:t>
      </w:r>
    </w:p>
    <w:p w14:paraId="57491678">
      <w:pPr>
        <w:adjustRightInd w:val="0"/>
        <w:snapToGrid w:val="0"/>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特此告知。</w:t>
      </w:r>
    </w:p>
    <w:p w14:paraId="4AC3EF7C">
      <w:pPr>
        <w:adjustRightInd w:val="0"/>
        <w:snapToGrid w:val="0"/>
        <w:spacing w:line="360" w:lineRule="auto"/>
        <w:rPr>
          <w:rFonts w:hint="eastAsia" w:ascii="宋体" w:hAnsi="宋体"/>
          <w:color w:val="000000"/>
          <w:kern w:val="0"/>
          <w:sz w:val="24"/>
          <w:szCs w:val="24"/>
          <w:highlight w:val="none"/>
        </w:rPr>
      </w:pPr>
    </w:p>
    <w:p w14:paraId="17450D8E">
      <w:pPr>
        <w:adjustRightInd w:val="0"/>
        <w:snapToGrid w:val="0"/>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投标人名称(公章)：</w:t>
      </w:r>
    </w:p>
    <w:p w14:paraId="2A04C4E3">
      <w:pPr>
        <w:adjustRightInd w:val="0"/>
        <w:snapToGrid w:val="0"/>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法定代表人(或负责人)(签字或盖章)：</w:t>
      </w:r>
    </w:p>
    <w:p w14:paraId="78E9ECB0">
      <w:pPr>
        <w:adjustRightInd w:val="0"/>
        <w:snapToGrid w:val="0"/>
        <w:spacing w:line="360" w:lineRule="auto"/>
        <w:ind w:firstLine="5160" w:firstLineChars="2150"/>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日期</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年</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月</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日</w:t>
      </w:r>
    </w:p>
    <w:p w14:paraId="44BAA5F7">
      <w:pPr>
        <w:adjustRightInd w:val="0"/>
        <w:snapToGrid w:val="0"/>
        <w:spacing w:line="360" w:lineRule="auto"/>
        <w:ind w:right="480"/>
        <w:jc w:val="center"/>
        <w:rPr>
          <w:rFonts w:hint="eastAsia" w:ascii="宋体" w:hAnsi="宋体"/>
          <w:b/>
          <w:color w:val="000000"/>
          <w:kern w:val="0"/>
          <w:sz w:val="24"/>
          <w:szCs w:val="24"/>
          <w:highlight w:val="none"/>
          <w:lang w:val="zh-CN"/>
        </w:rPr>
      </w:pPr>
    </w:p>
    <w:p w14:paraId="1555A3D4">
      <w:pPr>
        <w:adjustRightInd w:val="0"/>
        <w:snapToGrid w:val="0"/>
        <w:spacing w:line="360" w:lineRule="auto"/>
        <w:ind w:right="480"/>
        <w:jc w:val="center"/>
        <w:rPr>
          <w:rFonts w:hint="eastAsia" w:ascii="宋体" w:hAnsi="宋体"/>
          <w:b/>
          <w:color w:val="000000"/>
          <w:kern w:val="0"/>
          <w:sz w:val="24"/>
          <w:szCs w:val="24"/>
          <w:highlight w:val="none"/>
          <w:lang w:val="zh-CN"/>
        </w:rPr>
      </w:pPr>
    </w:p>
    <w:p w14:paraId="27825C6D">
      <w:pPr>
        <w:adjustRightInd w:val="0"/>
        <w:snapToGrid w:val="0"/>
        <w:spacing w:line="360" w:lineRule="auto"/>
        <w:ind w:right="480"/>
        <w:jc w:val="center"/>
        <w:rPr>
          <w:rFonts w:hint="eastAsia" w:ascii="宋体" w:hAnsi="宋体"/>
          <w:b/>
          <w:color w:val="000000"/>
          <w:kern w:val="0"/>
          <w:sz w:val="24"/>
          <w:szCs w:val="24"/>
          <w:highlight w:val="none"/>
          <w:lang w:val="zh-CN"/>
        </w:rPr>
      </w:pPr>
    </w:p>
    <w:p w14:paraId="72765CEF">
      <w:pPr>
        <w:numPr>
          <w:ilvl w:val="0"/>
          <w:numId w:val="0"/>
        </w:numPr>
        <w:ind w:left="560" w:firstLine="0"/>
        <w:rPr>
          <w:rFonts w:hint="eastAsia"/>
          <w:sz w:val="30"/>
          <w:szCs w:val="30"/>
          <w:highlight w:val="none"/>
          <w:lang w:val="zh-CN"/>
        </w:rPr>
      </w:pPr>
    </w:p>
    <w:p w14:paraId="31F8CA84">
      <w:pPr>
        <w:adjustRightInd w:val="0"/>
        <w:snapToGrid w:val="0"/>
        <w:spacing w:line="360" w:lineRule="auto"/>
        <w:jc w:val="left"/>
        <w:outlineLvl w:val="2"/>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附：</w:t>
      </w:r>
      <w:r>
        <w:rPr>
          <w:rFonts w:hint="eastAsia" w:ascii="宋体" w:hAnsi="宋体"/>
          <w:b/>
          <w:bCs/>
          <w:color w:val="000000"/>
          <w:sz w:val="24"/>
          <w:szCs w:val="24"/>
          <w:highlight w:val="none"/>
          <w:lang w:val="en-US" w:eastAsia="zh-CN"/>
        </w:rPr>
        <w:t>1.</w:t>
      </w:r>
      <w:r>
        <w:rPr>
          <w:rFonts w:hint="eastAsia" w:ascii="宋体" w:hAnsi="宋体"/>
          <w:b/>
          <w:bCs/>
          <w:color w:val="000000"/>
          <w:sz w:val="24"/>
          <w:szCs w:val="24"/>
          <w:highlight w:val="none"/>
        </w:rPr>
        <w:t>授权委托人的身份证(复印件加盖公章)</w:t>
      </w:r>
      <w:r>
        <w:rPr>
          <w:rFonts w:hint="eastAsia" w:ascii="宋体" w:hAnsi="宋体"/>
          <w:b/>
          <w:bCs/>
          <w:color w:val="000000"/>
          <w:sz w:val="24"/>
          <w:szCs w:val="24"/>
          <w:highlight w:val="none"/>
          <w:lang w:eastAsia="zh-CN"/>
        </w:rPr>
        <w:t>；</w:t>
      </w:r>
    </w:p>
    <w:p w14:paraId="146F4E72">
      <w:pPr>
        <w:adjustRightInd/>
        <w:snapToGrid/>
        <w:spacing w:line="240" w:lineRule="auto"/>
        <w:jc w:val="left"/>
        <w:outlineLvl w:val="9"/>
        <w:rPr>
          <w:rFonts w:hint="eastAsia" w:ascii="宋体" w:hAnsi="宋体" w:eastAsia="宋体" w:cs="宋体"/>
          <w:b/>
          <w:color w:val="000000"/>
          <w:sz w:val="24"/>
          <w:szCs w:val="22"/>
          <w:highlight w:val="none"/>
          <w:lang w:eastAsia="zh-CN"/>
        </w:rPr>
      </w:pPr>
      <w:r>
        <w:rPr>
          <w:rFonts w:hint="eastAsia" w:ascii="宋体" w:hAnsi="宋体" w:cs="宋体"/>
          <w:b/>
          <w:color w:val="000000"/>
          <w:sz w:val="24"/>
          <w:highlight w:val="none"/>
          <w:lang w:val="en-US" w:eastAsia="zh-CN"/>
        </w:rPr>
        <w:t>2.</w:t>
      </w:r>
      <w:r>
        <w:rPr>
          <w:rFonts w:hint="eastAsia" w:ascii="宋体" w:hAnsi="宋体" w:eastAsia="宋体" w:cs="宋体"/>
          <w:b/>
          <w:color w:val="000000"/>
          <w:sz w:val="24"/>
          <w:highlight w:val="none"/>
          <w:lang w:val="en-US" w:eastAsia="zh-CN"/>
        </w:rPr>
        <w:t>投标人应以同城内总行或一级支行名义参与投标，以一级支行名义参与投标的须提供总行或省分行（杭州分行）针对本项目的授权</w:t>
      </w:r>
      <w:r>
        <w:rPr>
          <w:rFonts w:hint="eastAsia" w:ascii="宋体" w:hAnsi="宋体" w:eastAsia="宋体" w:cs="宋体"/>
          <w:b/>
          <w:color w:val="000000"/>
          <w:sz w:val="24"/>
          <w:szCs w:val="22"/>
          <w:highlight w:val="none"/>
          <w:lang w:val="en-US" w:eastAsia="zh-CN"/>
        </w:rPr>
        <w:t>书。</w:t>
      </w:r>
      <w:r>
        <w:rPr>
          <w:rFonts w:hint="eastAsia" w:ascii="宋体" w:hAnsi="宋体" w:cs="宋体"/>
          <w:b/>
          <w:color w:val="000000"/>
          <w:sz w:val="24"/>
          <w:szCs w:val="22"/>
          <w:highlight w:val="none"/>
          <w:lang w:eastAsia="zh-CN"/>
        </w:rPr>
        <w:t>格式内容自拟（如有）</w:t>
      </w:r>
    </w:p>
    <w:p w14:paraId="6AD9FEDF">
      <w:pPr>
        <w:spacing w:line="240" w:lineRule="auto"/>
        <w:jc w:val="left"/>
        <w:outlineLvl w:val="9"/>
        <w:rPr>
          <w:rFonts w:hint="eastAsia"/>
          <w:highlight w:val="none"/>
          <w:lang w:eastAsia="zh-CN"/>
        </w:rPr>
      </w:pPr>
    </w:p>
    <w:p w14:paraId="7CA61BB7">
      <w:pPr>
        <w:pStyle w:val="2"/>
        <w:rPr>
          <w:rFonts w:hint="eastAsia"/>
          <w:highlight w:val="none"/>
          <w:lang w:eastAsia="zh-CN"/>
        </w:rPr>
      </w:pPr>
    </w:p>
    <w:p w14:paraId="5BB6609F">
      <w:pPr>
        <w:rPr>
          <w:rFonts w:hint="eastAsia"/>
          <w:lang w:eastAsia="zh-CN"/>
        </w:rPr>
      </w:pPr>
    </w:p>
    <w:p w14:paraId="5D0EACA0">
      <w:pPr>
        <w:pStyle w:val="2"/>
        <w:rPr>
          <w:rFonts w:hint="eastAsia"/>
          <w:lang w:eastAsia="zh-CN"/>
        </w:rPr>
      </w:pPr>
    </w:p>
    <w:p w14:paraId="06022A41">
      <w:pPr>
        <w:spacing w:line="360" w:lineRule="auto"/>
        <w:jc w:val="left"/>
        <w:outlineLvl w:val="2"/>
        <w:rPr>
          <w:rFonts w:hint="eastAsia" w:ascii="宋体" w:hAnsi="宋体"/>
          <w:b/>
          <w:bCs/>
          <w:color w:val="000000"/>
          <w:sz w:val="32"/>
          <w:szCs w:val="32"/>
          <w:highlight w:val="none"/>
          <w:lang w:val="en-US" w:eastAsia="zh-CN"/>
        </w:rPr>
      </w:pPr>
    </w:p>
    <w:p w14:paraId="7DC91AD6">
      <w:pPr>
        <w:spacing w:line="360" w:lineRule="auto"/>
        <w:jc w:val="left"/>
        <w:outlineLvl w:val="2"/>
        <w:rPr>
          <w:rFonts w:hint="eastAsia" w:ascii="宋体" w:hAnsi="宋体"/>
          <w:b/>
          <w:bCs/>
          <w:color w:val="000000"/>
          <w:sz w:val="32"/>
          <w:szCs w:val="32"/>
          <w:highlight w:val="none"/>
          <w:lang w:val="en-US" w:eastAsia="zh-CN"/>
        </w:rPr>
      </w:pPr>
    </w:p>
    <w:p w14:paraId="0FA7DC43">
      <w:pPr>
        <w:spacing w:line="360" w:lineRule="auto"/>
        <w:jc w:val="left"/>
        <w:outlineLvl w:val="2"/>
        <w:rPr>
          <w:rFonts w:hint="eastAsia" w:ascii="宋体" w:hAnsi="宋体"/>
          <w:b/>
          <w:bCs/>
          <w:color w:val="000000"/>
          <w:sz w:val="32"/>
          <w:szCs w:val="32"/>
          <w:highlight w:val="none"/>
          <w:lang w:val="en-US" w:eastAsia="zh-CN"/>
        </w:rPr>
      </w:pPr>
    </w:p>
    <w:p w14:paraId="48889865">
      <w:pPr>
        <w:spacing w:line="360" w:lineRule="auto"/>
        <w:jc w:val="left"/>
        <w:outlineLvl w:val="2"/>
        <w:rPr>
          <w:rFonts w:hint="eastAsia" w:ascii="宋体" w:hAnsi="宋体"/>
          <w:b/>
          <w:bCs/>
          <w:color w:val="000000"/>
          <w:sz w:val="32"/>
          <w:szCs w:val="32"/>
          <w:highlight w:val="none"/>
          <w:lang w:val="en-US" w:eastAsia="zh-CN"/>
        </w:rPr>
      </w:pPr>
    </w:p>
    <w:p w14:paraId="413D0C21">
      <w:pPr>
        <w:numPr>
          <w:ilvl w:val="-1"/>
          <w:numId w:val="0"/>
        </w:numPr>
        <w:adjustRightInd w:val="0"/>
        <w:snapToGrid w:val="0"/>
        <w:spacing w:line="360" w:lineRule="auto"/>
        <w:ind w:firstLine="562" w:firstLineChars="200"/>
        <w:jc w:val="cente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四、投标人资格要求</w:t>
      </w:r>
    </w:p>
    <w:p w14:paraId="080A4D67">
      <w:pPr>
        <w:adjustRightInd w:val="0"/>
        <w:snapToGrid w:val="0"/>
        <w:spacing w:line="360" w:lineRule="auto"/>
        <w:ind w:firstLine="560" w:firstLineChars="200"/>
        <w:rPr>
          <w:rFonts w:hint="eastAsia" w:ascii="宋体" w:hAnsi="宋体" w:cs="宋体"/>
          <w:b w:val="0"/>
          <w:bCs/>
          <w:color w:val="000000"/>
          <w:sz w:val="28"/>
          <w:szCs w:val="28"/>
          <w:highlight w:val="none"/>
          <w:lang w:eastAsia="zh-CN"/>
        </w:rPr>
      </w:pPr>
    </w:p>
    <w:p w14:paraId="039C2437">
      <w:pPr>
        <w:adjustRightInd w:val="0"/>
        <w:snapToGrid w:val="0"/>
        <w:spacing w:line="360" w:lineRule="auto"/>
        <w:ind w:firstLine="560" w:firstLineChars="200"/>
        <w:rPr>
          <w:rFonts w:hint="eastAsia" w:ascii="宋体" w:hAnsi="宋体" w:eastAsia="宋体" w:cs="宋体"/>
          <w:b w:val="0"/>
          <w:bCs/>
          <w:color w:val="000000"/>
          <w:sz w:val="28"/>
          <w:szCs w:val="28"/>
          <w:highlight w:val="none"/>
        </w:rPr>
      </w:pPr>
      <w:r>
        <w:rPr>
          <w:rFonts w:hint="eastAsia" w:ascii="宋体" w:hAnsi="宋体" w:cs="宋体"/>
          <w:b w:val="0"/>
          <w:bCs/>
          <w:color w:val="000000"/>
          <w:sz w:val="28"/>
          <w:szCs w:val="28"/>
          <w:highlight w:val="none"/>
          <w:lang w:eastAsia="zh-CN"/>
        </w:rPr>
        <w:t>（</w:t>
      </w:r>
      <w:r>
        <w:rPr>
          <w:rFonts w:hint="eastAsia" w:ascii="宋体" w:hAnsi="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rPr>
        <w:t>投标人的营业执照</w:t>
      </w:r>
      <w:r>
        <w:rPr>
          <w:rFonts w:hint="eastAsia" w:ascii="宋体" w:hAnsi="宋体" w:eastAsia="宋体" w:cs="宋体"/>
          <w:b w:val="0"/>
          <w:bCs/>
          <w:color w:val="000000"/>
          <w:sz w:val="28"/>
          <w:szCs w:val="28"/>
          <w:highlight w:val="none"/>
          <w:lang w:eastAsia="zh-CN"/>
        </w:rPr>
        <w:t>和</w:t>
      </w:r>
      <w:r>
        <w:rPr>
          <w:rFonts w:hint="eastAsia" w:ascii="宋体" w:hAnsi="宋体" w:eastAsia="宋体" w:cs="宋体"/>
          <w:b w:val="0"/>
          <w:bCs/>
          <w:snapToGrid w:val="0"/>
          <w:color w:val="000000"/>
          <w:kern w:val="28"/>
          <w:sz w:val="28"/>
          <w:szCs w:val="28"/>
          <w:highlight w:val="none"/>
        </w:rPr>
        <w:t>纳入监管评级银行的</w:t>
      </w:r>
      <w:r>
        <w:rPr>
          <w:rFonts w:hint="eastAsia" w:ascii="宋体" w:hAnsi="宋体" w:eastAsia="宋体" w:cs="宋体"/>
          <w:b w:val="0"/>
          <w:bCs/>
          <w:color w:val="000000"/>
          <w:sz w:val="28"/>
          <w:szCs w:val="28"/>
          <w:highlight w:val="none"/>
        </w:rPr>
        <w:t>人民银行上一评审年度评价文件复印件；</w:t>
      </w:r>
    </w:p>
    <w:p w14:paraId="43EA3FC0">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2ACC8AB7">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776A4611">
      <w:pPr>
        <w:pStyle w:val="2"/>
        <w:rPr>
          <w:rFonts w:hint="eastAsia" w:ascii="宋体" w:hAnsi="宋体" w:eastAsia="宋体" w:cs="宋体"/>
          <w:b w:val="0"/>
          <w:bCs/>
          <w:snapToGrid w:val="0"/>
          <w:color w:val="auto"/>
          <w:kern w:val="28"/>
          <w:sz w:val="28"/>
          <w:szCs w:val="28"/>
          <w:highlight w:val="none"/>
          <w:lang w:val="en-US" w:eastAsia="zh-CN"/>
        </w:rPr>
      </w:pPr>
    </w:p>
    <w:p w14:paraId="2B4CA1E4">
      <w:pPr>
        <w:rPr>
          <w:rFonts w:hint="default" w:ascii="Times New Roman" w:hAnsi="Times New Roman" w:eastAsia="宋体" w:cs="Times New Roman"/>
          <w:b w:val="0"/>
          <w:bCs w:val="0"/>
          <w:snapToGrid/>
          <w:color w:val="auto"/>
          <w:kern w:val="2"/>
          <w:sz w:val="28"/>
          <w:szCs w:val="20"/>
          <w:highlight w:val="none"/>
          <w:lang w:val="en-US" w:eastAsia="zh-CN"/>
        </w:rPr>
      </w:pPr>
    </w:p>
    <w:p w14:paraId="13A87828">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31296FF9">
      <w:pPr>
        <w:pStyle w:val="2"/>
        <w:rPr>
          <w:rFonts w:hint="eastAsia" w:ascii="宋体" w:hAnsi="宋体" w:eastAsia="宋体" w:cs="宋体"/>
          <w:b w:val="0"/>
          <w:bCs/>
          <w:snapToGrid w:val="0"/>
          <w:color w:val="auto"/>
          <w:kern w:val="28"/>
          <w:sz w:val="28"/>
          <w:szCs w:val="28"/>
          <w:highlight w:val="none"/>
          <w:lang w:val="en-US" w:eastAsia="zh-CN"/>
        </w:rPr>
      </w:pPr>
    </w:p>
    <w:p w14:paraId="1377CFA4">
      <w:pPr>
        <w:adjustRightInd w:val="0"/>
        <w:snapToGrid w:val="0"/>
        <w:spacing w:line="360" w:lineRule="auto"/>
        <w:ind w:firstLine="560" w:firstLineChars="200"/>
        <w:rPr>
          <w:rFonts w:hint="eastAsia" w:ascii="宋体" w:hAnsi="宋体" w:eastAsia="宋体" w:cs="宋体"/>
          <w:b w:val="0"/>
          <w:bCs/>
          <w:snapToGrid/>
          <w:color w:val="000000"/>
          <w:kern w:val="2"/>
          <w:sz w:val="28"/>
          <w:szCs w:val="28"/>
          <w:highlight w:val="none"/>
          <w:lang w:val="en-US" w:eastAsia="zh-CN"/>
        </w:rPr>
      </w:pPr>
    </w:p>
    <w:p w14:paraId="6FB465B3">
      <w:pPr>
        <w:numPr>
          <w:ilvl w:val="-1"/>
          <w:numId w:val="0"/>
        </w:numPr>
        <w:adjustRightInd w:val="0"/>
        <w:snapToGrid w:val="0"/>
        <w:spacing w:line="360" w:lineRule="auto"/>
        <w:ind w:firstLine="560" w:firstLineChars="200"/>
        <w:rPr>
          <w:rFonts w:hint="eastAsia" w:ascii="宋体" w:hAnsi="宋体" w:cs="宋体"/>
          <w:b w:val="0"/>
          <w:bCs/>
          <w:color w:val="000000"/>
          <w:sz w:val="28"/>
          <w:szCs w:val="28"/>
          <w:highlight w:val="none"/>
          <w:lang w:eastAsia="zh-CN"/>
        </w:rPr>
      </w:pPr>
      <w:r>
        <w:rPr>
          <w:rFonts w:hint="eastAsia" w:ascii="宋体" w:hAnsi="宋体" w:cs="宋体"/>
          <w:b w:val="0"/>
          <w:bCs/>
          <w:color w:val="000000"/>
          <w:sz w:val="28"/>
          <w:szCs w:val="28"/>
          <w:highlight w:val="none"/>
          <w:lang w:eastAsia="zh-CN"/>
        </w:rPr>
        <w:t>（</w:t>
      </w:r>
      <w:r>
        <w:rPr>
          <w:rFonts w:hint="eastAsia" w:ascii="宋体" w:hAnsi="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rPr>
        <w:t>投标人的营业执照</w:t>
      </w:r>
      <w:r>
        <w:rPr>
          <w:rFonts w:hint="eastAsia" w:ascii="宋体" w:hAnsi="宋体" w:eastAsia="宋体" w:cs="宋体"/>
          <w:b w:val="0"/>
          <w:bCs/>
          <w:color w:val="000000"/>
          <w:sz w:val="28"/>
          <w:szCs w:val="28"/>
          <w:highlight w:val="none"/>
          <w:lang w:eastAsia="zh-CN"/>
        </w:rPr>
        <w:t>和</w:t>
      </w:r>
      <w:r>
        <w:rPr>
          <w:rFonts w:hint="eastAsia" w:ascii="宋体" w:hAnsi="宋体" w:eastAsia="宋体" w:cs="宋体"/>
          <w:b w:val="0"/>
          <w:bCs/>
          <w:snapToGrid/>
          <w:color w:val="000000"/>
          <w:kern w:val="2"/>
          <w:sz w:val="28"/>
          <w:szCs w:val="28"/>
          <w:highlight w:val="none"/>
        </w:rPr>
        <w:t>纳入监管评级银行的</w:t>
      </w:r>
      <w:r>
        <w:rPr>
          <w:rFonts w:hint="eastAsia" w:ascii="宋体" w:hAnsi="宋体" w:eastAsia="宋体" w:cs="宋体"/>
          <w:b w:val="0"/>
          <w:bCs/>
          <w:color w:val="000000"/>
          <w:sz w:val="28"/>
          <w:szCs w:val="28"/>
          <w:highlight w:val="none"/>
        </w:rPr>
        <w:t>人民银行上一评审年度评价文件复印件；</w:t>
      </w:r>
      <w:r>
        <w:rPr>
          <w:rFonts w:hint="eastAsia" w:ascii="宋体" w:hAnsi="宋体" w:cs="宋体"/>
          <w:b w:val="0"/>
          <w:bCs/>
          <w:color w:val="000000"/>
          <w:sz w:val="28"/>
          <w:szCs w:val="28"/>
          <w:highlight w:val="none"/>
          <w:lang w:eastAsia="zh-CN"/>
        </w:rPr>
        <w:t>（如投标银行上一评审年度无评价文件的，可提供上一级主管部门的评价文件，评审时以财政提供数据为准）</w:t>
      </w:r>
    </w:p>
    <w:p w14:paraId="4C076B96">
      <w:pPr>
        <w:numPr>
          <w:ilvl w:val="-1"/>
          <w:numId w:val="0"/>
        </w:numPr>
        <w:adjustRightInd w:val="0"/>
        <w:snapToGrid w:val="0"/>
        <w:spacing w:line="360" w:lineRule="auto"/>
        <w:ind w:firstLine="560" w:firstLineChars="200"/>
        <w:rPr>
          <w:rFonts w:hint="eastAsia" w:ascii="宋体" w:hAnsi="宋体" w:eastAsia="宋体" w:cs="宋体"/>
          <w:b w:val="0"/>
          <w:bCs/>
          <w:color w:val="000000"/>
          <w:sz w:val="28"/>
          <w:szCs w:val="28"/>
          <w:highlight w:val="none"/>
        </w:rPr>
      </w:pPr>
      <w:r>
        <w:rPr>
          <w:rFonts w:hint="eastAsia" w:ascii="宋体" w:hAnsi="宋体" w:cs="宋体"/>
          <w:b w:val="0"/>
          <w:bCs/>
          <w:color w:val="000000"/>
          <w:sz w:val="28"/>
          <w:szCs w:val="28"/>
          <w:highlight w:val="none"/>
          <w:lang w:eastAsia="zh-CN"/>
        </w:rPr>
        <w:t>注：营业执照非余杭区，须提供在余杭设立分支机构（含网点）的名称和地址的证照证明材料并加盖公章。</w:t>
      </w:r>
    </w:p>
    <w:p w14:paraId="65D1DA2B">
      <w:pPr>
        <w:pStyle w:val="2"/>
        <w:rPr>
          <w:rFonts w:hint="default" w:ascii="Times New Roman" w:hAnsi="Times New Roman" w:eastAsia="宋体" w:cs="Times New Roman"/>
          <w:b w:val="0"/>
          <w:bCs w:val="0"/>
          <w:snapToGrid/>
          <w:color w:val="auto"/>
          <w:kern w:val="2"/>
          <w:sz w:val="28"/>
          <w:szCs w:val="20"/>
          <w:highlight w:val="none"/>
          <w:lang w:val="en-US" w:eastAsia="zh-CN"/>
        </w:rPr>
      </w:pPr>
    </w:p>
    <w:p w14:paraId="3684BFE0">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6E967864">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1BE82E02">
      <w:pPr>
        <w:widowControl/>
        <w:numPr>
          <w:ilvl w:val="0"/>
          <w:numId w:val="0"/>
        </w:numPr>
        <w:spacing w:line="360" w:lineRule="auto"/>
        <w:ind w:firstLine="560" w:firstLineChars="200"/>
        <w:jc w:val="left"/>
        <w:rPr>
          <w:rFonts w:hint="eastAsia" w:ascii="宋体" w:hAnsi="宋体" w:eastAsia="宋体" w:cs="宋体"/>
          <w:b w:val="0"/>
          <w:bCs/>
          <w:snapToGrid w:val="0"/>
          <w:color w:val="auto"/>
          <w:kern w:val="28"/>
          <w:sz w:val="28"/>
          <w:szCs w:val="28"/>
          <w:highlight w:val="none"/>
          <w:lang w:val="en-US" w:eastAsia="zh-CN"/>
        </w:rPr>
      </w:pPr>
    </w:p>
    <w:p w14:paraId="6888327B">
      <w:pPr>
        <w:pStyle w:val="2"/>
        <w:rPr>
          <w:rFonts w:hint="eastAsia" w:ascii="宋体" w:hAnsi="宋体" w:eastAsia="宋体" w:cs="宋体"/>
          <w:b w:val="0"/>
          <w:bCs/>
          <w:snapToGrid w:val="0"/>
          <w:color w:val="auto"/>
          <w:kern w:val="28"/>
          <w:sz w:val="28"/>
          <w:szCs w:val="28"/>
          <w:highlight w:val="none"/>
          <w:lang w:val="en-US" w:eastAsia="zh-CN"/>
        </w:rPr>
      </w:pPr>
    </w:p>
    <w:p w14:paraId="703322D9">
      <w:pPr>
        <w:rPr>
          <w:rFonts w:hint="eastAsia" w:ascii="宋体" w:hAnsi="宋体" w:eastAsia="宋体" w:cs="宋体"/>
          <w:b w:val="0"/>
          <w:bCs/>
          <w:snapToGrid w:val="0"/>
          <w:color w:val="auto"/>
          <w:kern w:val="28"/>
          <w:sz w:val="28"/>
          <w:szCs w:val="28"/>
          <w:highlight w:val="none"/>
          <w:lang w:val="en-US" w:eastAsia="zh-CN"/>
        </w:rPr>
      </w:pPr>
    </w:p>
    <w:p w14:paraId="2CEA3C3F">
      <w:pPr>
        <w:pStyle w:val="2"/>
        <w:rPr>
          <w:rFonts w:hint="eastAsia"/>
          <w:lang w:val="en-US" w:eastAsia="zh-CN"/>
        </w:rPr>
      </w:pPr>
    </w:p>
    <w:p w14:paraId="57070835">
      <w:pPr>
        <w:rPr>
          <w:rFonts w:hint="eastAsia"/>
          <w:lang w:val="en-US" w:eastAsia="zh-CN"/>
        </w:rPr>
      </w:pPr>
    </w:p>
    <w:p w14:paraId="36374E6F">
      <w:pPr>
        <w:widowControl/>
        <w:numPr>
          <w:ilvl w:val="-1"/>
          <w:numId w:val="0"/>
        </w:numPr>
        <w:spacing w:line="360" w:lineRule="auto"/>
        <w:ind w:firstLine="0" w:firstLineChars="0"/>
        <w:jc w:val="left"/>
        <w:rPr>
          <w:rFonts w:hint="eastAsia" w:ascii="宋体" w:hAnsi="宋体" w:cs="宋体"/>
          <w:b w:val="0"/>
          <w:bCs/>
          <w:snapToGrid w:val="0"/>
          <w:color w:val="auto"/>
          <w:kern w:val="28"/>
          <w:sz w:val="28"/>
          <w:szCs w:val="28"/>
          <w:highlight w:val="none"/>
          <w:lang w:val="en-US" w:eastAsia="zh-CN"/>
        </w:rPr>
      </w:pPr>
      <w:r>
        <w:rPr>
          <w:rFonts w:hint="eastAsia" w:ascii="宋体" w:hAnsi="宋体" w:cs="宋体"/>
          <w:b w:val="0"/>
          <w:bCs/>
          <w:snapToGrid w:val="0"/>
          <w:color w:val="auto"/>
          <w:kern w:val="28"/>
          <w:sz w:val="28"/>
          <w:szCs w:val="28"/>
          <w:highlight w:val="none"/>
          <w:lang w:val="en-US" w:eastAsia="zh-CN"/>
        </w:rPr>
        <w:t>（2）承诺书：投标银行</w:t>
      </w:r>
      <w:r>
        <w:rPr>
          <w:rFonts w:hint="eastAsia" w:ascii="宋体" w:hAnsi="宋体" w:eastAsia="宋体" w:cs="宋体"/>
          <w:b w:val="0"/>
          <w:bCs/>
          <w:snapToGrid w:val="0"/>
          <w:color w:val="auto"/>
          <w:kern w:val="28"/>
          <w:sz w:val="28"/>
          <w:szCs w:val="28"/>
          <w:highlight w:val="none"/>
          <w:lang w:val="en-US" w:eastAsia="zh-CN"/>
        </w:rPr>
        <w:t>依法开展经营活动，近3年内在经营活动中无重大违法违规记录；财务稳健，资金充足率、不良贷款率、拨备覆盖率、流动性覆盖率、流动性比例等指标达到监管标准；内部管理机制健全，具有较强的风险控制能力，近3年内未发生金融风险及重大违约事件</w:t>
      </w:r>
      <w:r>
        <w:rPr>
          <w:rFonts w:hint="eastAsia" w:ascii="宋体" w:hAnsi="宋体" w:cs="宋体"/>
          <w:b w:val="0"/>
          <w:bCs/>
          <w:snapToGrid w:val="0"/>
          <w:color w:val="auto"/>
          <w:kern w:val="28"/>
          <w:sz w:val="28"/>
          <w:szCs w:val="28"/>
          <w:highlight w:val="none"/>
          <w:lang w:val="en-US" w:eastAsia="zh-CN"/>
        </w:rPr>
        <w:t>。</w:t>
      </w:r>
    </w:p>
    <w:p w14:paraId="50F33EA8">
      <w:pPr>
        <w:widowControl/>
        <w:numPr>
          <w:ilvl w:val="0"/>
          <w:numId w:val="0"/>
        </w:numPr>
        <w:spacing w:line="360" w:lineRule="auto"/>
        <w:ind w:firstLine="560" w:firstLineChars="200"/>
        <w:jc w:val="left"/>
        <w:rPr>
          <w:rFonts w:hint="eastAsia" w:ascii="宋体" w:hAnsi="宋体" w:cs="宋体"/>
          <w:b w:val="0"/>
          <w:bCs/>
          <w:snapToGrid w:val="0"/>
          <w:color w:val="auto"/>
          <w:kern w:val="28"/>
          <w:sz w:val="28"/>
          <w:szCs w:val="28"/>
          <w:highlight w:val="none"/>
          <w:lang w:val="en-US" w:eastAsia="zh-CN"/>
        </w:rPr>
      </w:pPr>
    </w:p>
    <w:p w14:paraId="6775CA68">
      <w:pPr>
        <w:widowControl/>
        <w:numPr>
          <w:ilvl w:val="0"/>
          <w:numId w:val="0"/>
        </w:numPr>
        <w:spacing w:line="360" w:lineRule="auto"/>
        <w:ind w:firstLine="560" w:firstLineChars="200"/>
        <w:jc w:val="left"/>
        <w:rPr>
          <w:rFonts w:hint="eastAsia" w:ascii="宋体" w:hAnsi="宋体" w:cs="宋体"/>
          <w:b w:val="0"/>
          <w:bCs/>
          <w:snapToGrid w:val="0"/>
          <w:color w:val="auto"/>
          <w:kern w:val="28"/>
          <w:sz w:val="28"/>
          <w:szCs w:val="28"/>
          <w:highlight w:val="none"/>
          <w:lang w:val="en-US" w:eastAsia="zh-CN"/>
        </w:rPr>
      </w:pPr>
    </w:p>
    <w:p w14:paraId="04BF87EA">
      <w:pPr>
        <w:widowControl/>
        <w:numPr>
          <w:ilvl w:val="0"/>
          <w:numId w:val="0"/>
        </w:numPr>
        <w:spacing w:line="360" w:lineRule="auto"/>
        <w:ind w:firstLine="560" w:firstLineChars="200"/>
        <w:jc w:val="left"/>
        <w:rPr>
          <w:rFonts w:hint="default" w:ascii="宋体" w:hAnsi="宋体" w:cs="宋体"/>
          <w:b w:val="0"/>
          <w:bCs/>
          <w:snapToGrid w:val="0"/>
          <w:color w:val="auto"/>
          <w:kern w:val="28"/>
          <w:sz w:val="32"/>
          <w:szCs w:val="32"/>
          <w:highlight w:val="none"/>
          <w:lang w:val="en-US" w:eastAsia="zh-CN"/>
        </w:rPr>
      </w:pPr>
      <w:r>
        <w:rPr>
          <w:rFonts w:hint="eastAsia" w:ascii="宋体" w:hAnsi="宋体" w:cs="宋体"/>
          <w:b w:val="0"/>
          <w:bCs/>
          <w:snapToGrid w:val="0"/>
          <w:color w:val="auto"/>
          <w:kern w:val="28"/>
          <w:sz w:val="28"/>
          <w:szCs w:val="28"/>
          <w:highlight w:val="none"/>
          <w:lang w:val="en-US" w:eastAsia="zh-CN"/>
        </w:rPr>
        <w:t xml:space="preserve">              </w:t>
      </w:r>
      <w:r>
        <w:rPr>
          <w:rFonts w:hint="eastAsia" w:ascii="宋体" w:hAnsi="宋体" w:cs="宋体"/>
          <w:b w:val="0"/>
          <w:bCs/>
          <w:snapToGrid w:val="0"/>
          <w:color w:val="auto"/>
          <w:kern w:val="28"/>
          <w:sz w:val="32"/>
          <w:szCs w:val="32"/>
          <w:highlight w:val="none"/>
          <w:lang w:val="en-US" w:eastAsia="zh-CN"/>
        </w:rPr>
        <w:t xml:space="preserve">       承 诺 书</w:t>
      </w:r>
    </w:p>
    <w:p w14:paraId="4FC542CB">
      <w:pPr>
        <w:widowControl/>
        <w:numPr>
          <w:ilvl w:val="-1"/>
          <w:numId w:val="0"/>
        </w:numPr>
        <w:spacing w:line="360" w:lineRule="auto"/>
        <w:ind w:firstLine="560" w:firstLineChars="200"/>
        <w:jc w:val="left"/>
        <w:rPr>
          <w:rFonts w:hint="eastAsia" w:ascii="宋体" w:hAnsi="宋体" w:cs="宋体"/>
          <w:b w:val="0"/>
          <w:bCs/>
          <w:snapToGrid w:val="0"/>
          <w:color w:val="auto"/>
          <w:kern w:val="28"/>
          <w:sz w:val="28"/>
          <w:szCs w:val="28"/>
          <w:highlight w:val="none"/>
          <w:lang w:val="en-US" w:eastAsia="zh-CN"/>
        </w:rPr>
      </w:pPr>
    </w:p>
    <w:p w14:paraId="04753D0A">
      <w:pPr>
        <w:widowControl/>
        <w:numPr>
          <w:ilvl w:val="-1"/>
          <w:numId w:val="0"/>
        </w:numPr>
        <w:spacing w:line="360" w:lineRule="auto"/>
        <w:ind w:firstLine="560" w:firstLineChars="200"/>
        <w:jc w:val="left"/>
        <w:rPr>
          <w:rFonts w:hint="eastAsia" w:ascii="宋体" w:hAnsi="宋体" w:cs="宋体"/>
          <w:b w:val="0"/>
          <w:bCs/>
          <w:snapToGrid w:val="0"/>
          <w:color w:val="auto"/>
          <w:kern w:val="28"/>
          <w:sz w:val="28"/>
          <w:szCs w:val="28"/>
          <w:highlight w:val="none"/>
          <w:lang w:val="en-US" w:eastAsia="zh-CN"/>
        </w:rPr>
      </w:pPr>
      <w:r>
        <w:rPr>
          <w:rFonts w:hint="eastAsia" w:ascii="宋体" w:hAnsi="宋体" w:cs="宋体"/>
          <w:b w:val="0"/>
          <w:bCs/>
          <w:snapToGrid w:val="0"/>
          <w:color w:val="auto"/>
          <w:kern w:val="28"/>
          <w:sz w:val="28"/>
          <w:szCs w:val="28"/>
          <w:highlight w:val="none"/>
          <w:lang w:val="en-US" w:eastAsia="zh-CN"/>
        </w:rPr>
        <w:t>我单位承诺：</w:t>
      </w:r>
      <w:r>
        <w:rPr>
          <w:rFonts w:hint="eastAsia" w:ascii="宋体" w:hAnsi="宋体" w:eastAsia="宋体" w:cs="宋体"/>
          <w:b w:val="0"/>
          <w:bCs/>
          <w:snapToGrid w:val="0"/>
          <w:color w:val="auto"/>
          <w:kern w:val="28"/>
          <w:sz w:val="28"/>
          <w:szCs w:val="28"/>
          <w:highlight w:val="none"/>
          <w:lang w:val="en-US" w:eastAsia="zh-CN"/>
        </w:rPr>
        <w:t>依法开展经营活动，近3年内在经营活动中无重大违法违规记录；财务稳健，资金充足率、不良贷款率、拨备覆盖率、流动性覆盖率、流动性比例等指标达到监管标准；内部管理机制健全，具有较强的风险控制能力，近3年内未发生金融风险及重大违约事件</w:t>
      </w:r>
      <w:r>
        <w:rPr>
          <w:rFonts w:hint="eastAsia" w:ascii="宋体" w:hAnsi="宋体" w:cs="宋体"/>
          <w:b w:val="0"/>
          <w:bCs/>
          <w:snapToGrid w:val="0"/>
          <w:color w:val="auto"/>
          <w:kern w:val="28"/>
          <w:sz w:val="28"/>
          <w:szCs w:val="28"/>
          <w:highlight w:val="none"/>
          <w:lang w:val="en-US" w:eastAsia="zh-CN"/>
        </w:rPr>
        <w:t>。</w:t>
      </w:r>
    </w:p>
    <w:p w14:paraId="44469882">
      <w:pPr>
        <w:widowControl/>
        <w:numPr>
          <w:ilvl w:val="-1"/>
          <w:numId w:val="0"/>
        </w:numPr>
        <w:spacing w:line="360" w:lineRule="auto"/>
        <w:ind w:firstLine="560" w:firstLineChars="200"/>
        <w:jc w:val="left"/>
        <w:rPr>
          <w:rFonts w:hint="eastAsia" w:ascii="宋体" w:hAnsi="宋体" w:cs="宋体"/>
          <w:b w:val="0"/>
          <w:bCs/>
          <w:snapToGrid w:val="0"/>
          <w:color w:val="auto"/>
          <w:kern w:val="28"/>
          <w:sz w:val="28"/>
          <w:szCs w:val="28"/>
          <w:highlight w:val="none"/>
          <w:lang w:val="en-US" w:eastAsia="zh-CN"/>
        </w:rPr>
      </w:pPr>
    </w:p>
    <w:p w14:paraId="7989B3D0">
      <w:pPr>
        <w:spacing w:line="360" w:lineRule="auto"/>
        <w:jc w:val="left"/>
        <w:rPr>
          <w:rFonts w:hint="eastAsia" w:ascii="宋体" w:hAnsi="宋体" w:cs="Arial"/>
          <w:color w:val="000000"/>
          <w:sz w:val="28"/>
          <w:szCs w:val="28"/>
          <w:highlight w:val="none"/>
        </w:rPr>
      </w:pPr>
    </w:p>
    <w:p w14:paraId="4AF8759D">
      <w:pPr>
        <w:spacing w:line="360" w:lineRule="auto"/>
        <w:jc w:val="center"/>
        <w:rPr>
          <w:rFonts w:hint="eastAsia" w:ascii="宋体" w:hAnsi="宋体"/>
          <w:b/>
          <w:bCs/>
          <w:color w:val="000000"/>
          <w:sz w:val="32"/>
          <w:szCs w:val="32"/>
          <w:highlight w:val="none"/>
        </w:rPr>
      </w:pPr>
    </w:p>
    <w:p w14:paraId="5FF02882">
      <w:pPr>
        <w:adjustRightInd w:val="0"/>
        <w:snapToGrid w:val="0"/>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lang w:val="zh-CN"/>
        </w:rPr>
        <w:t xml:space="preserve">  投标人名称(公章)：</w:t>
      </w:r>
    </w:p>
    <w:p w14:paraId="09883B15">
      <w:pPr>
        <w:adjustRightInd w:val="0"/>
        <w:snapToGrid w:val="0"/>
        <w:spacing w:line="360" w:lineRule="auto"/>
        <w:ind w:firstLine="0" w:firstLineChars="0"/>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 xml:space="preserve">                              </w:t>
      </w:r>
      <w:r>
        <w:rPr>
          <w:rFonts w:hint="eastAsia" w:ascii="宋体" w:hAnsi="宋体"/>
          <w:color w:val="000000"/>
          <w:kern w:val="0"/>
          <w:sz w:val="24"/>
          <w:szCs w:val="24"/>
          <w:highlight w:val="none"/>
          <w:lang w:val="en-US" w:eastAsia="zh-CN"/>
        </w:rPr>
        <w:t xml:space="preserve">            </w:t>
      </w:r>
      <w:r>
        <w:rPr>
          <w:rFonts w:hint="eastAsia" w:ascii="宋体" w:hAnsi="宋体"/>
          <w:color w:val="000000"/>
          <w:kern w:val="0"/>
          <w:sz w:val="24"/>
          <w:szCs w:val="24"/>
          <w:highlight w:val="none"/>
          <w:lang w:val="zh-CN"/>
        </w:rPr>
        <w:t>日期</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年</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月</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日</w:t>
      </w:r>
    </w:p>
    <w:p w14:paraId="4014BD63">
      <w:pPr>
        <w:spacing w:line="360" w:lineRule="auto"/>
        <w:jc w:val="center"/>
        <w:rPr>
          <w:rFonts w:hint="eastAsia" w:ascii="宋体" w:hAnsi="宋体"/>
          <w:b/>
          <w:bCs/>
          <w:color w:val="000000"/>
          <w:sz w:val="32"/>
          <w:szCs w:val="32"/>
          <w:highlight w:val="none"/>
        </w:rPr>
      </w:pPr>
    </w:p>
    <w:p w14:paraId="4E4092D1">
      <w:pPr>
        <w:spacing w:line="360" w:lineRule="auto"/>
        <w:jc w:val="center"/>
        <w:rPr>
          <w:rFonts w:hint="eastAsia" w:ascii="宋体" w:hAnsi="宋体"/>
          <w:b/>
          <w:bCs/>
          <w:color w:val="000000"/>
          <w:sz w:val="32"/>
          <w:szCs w:val="32"/>
          <w:highlight w:val="none"/>
        </w:rPr>
      </w:pPr>
    </w:p>
    <w:p w14:paraId="488278B6">
      <w:pPr>
        <w:spacing w:line="360" w:lineRule="auto"/>
        <w:jc w:val="center"/>
        <w:rPr>
          <w:rFonts w:hint="eastAsia" w:ascii="宋体" w:hAnsi="宋体"/>
          <w:b/>
          <w:bCs/>
          <w:color w:val="000000"/>
          <w:sz w:val="32"/>
          <w:szCs w:val="32"/>
          <w:highlight w:val="none"/>
        </w:rPr>
      </w:pPr>
    </w:p>
    <w:p w14:paraId="1A3CE06A">
      <w:pPr>
        <w:spacing w:line="360" w:lineRule="auto"/>
        <w:jc w:val="center"/>
        <w:rPr>
          <w:rFonts w:hint="eastAsia" w:ascii="宋体" w:hAnsi="宋体"/>
          <w:b/>
          <w:bCs/>
          <w:color w:val="000000"/>
          <w:sz w:val="32"/>
          <w:szCs w:val="32"/>
          <w:highlight w:val="none"/>
        </w:rPr>
      </w:pPr>
    </w:p>
    <w:p w14:paraId="40D6D40D">
      <w:pPr>
        <w:spacing w:line="360" w:lineRule="auto"/>
        <w:jc w:val="center"/>
        <w:rPr>
          <w:rFonts w:hint="eastAsia" w:ascii="宋体" w:hAnsi="宋体"/>
          <w:b/>
          <w:bCs/>
          <w:color w:val="000000"/>
          <w:sz w:val="32"/>
          <w:szCs w:val="32"/>
          <w:highlight w:val="none"/>
        </w:rPr>
      </w:pPr>
    </w:p>
    <w:p w14:paraId="0175C8B5">
      <w:pPr>
        <w:spacing w:line="360" w:lineRule="auto"/>
        <w:jc w:val="center"/>
        <w:outlineLvl w:val="2"/>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五</w:t>
      </w:r>
      <w:r>
        <w:rPr>
          <w:rFonts w:hint="eastAsia" w:ascii="宋体" w:hAnsi="宋体"/>
          <w:b/>
          <w:bCs/>
          <w:color w:val="000000"/>
          <w:sz w:val="32"/>
          <w:szCs w:val="32"/>
          <w:highlight w:val="none"/>
        </w:rPr>
        <w:t>、声明书</w:t>
      </w:r>
    </w:p>
    <w:p w14:paraId="099D0BC7">
      <w:pPr>
        <w:spacing w:line="360" w:lineRule="auto"/>
        <w:rPr>
          <w:rFonts w:hint="eastAsia" w:ascii="宋体" w:hAnsi="宋体"/>
          <w:snapToGrid w:val="0"/>
          <w:color w:val="000000"/>
          <w:kern w:val="0"/>
          <w:sz w:val="24"/>
          <w:highlight w:val="none"/>
          <w:lang w:eastAsia="zh-CN"/>
        </w:rPr>
      </w:pPr>
    </w:p>
    <w:p w14:paraId="41DB030A">
      <w:pPr>
        <w:spacing w:line="360" w:lineRule="auto"/>
        <w:rPr>
          <w:rFonts w:hint="eastAsia" w:ascii="宋体" w:hAnsi="宋体"/>
          <w:color w:val="000000"/>
          <w:sz w:val="24"/>
          <w:szCs w:val="24"/>
          <w:highlight w:val="none"/>
        </w:rPr>
      </w:pPr>
      <w:r>
        <w:rPr>
          <w:rFonts w:hint="eastAsia" w:ascii="宋体" w:hAnsi="宋体"/>
          <w:snapToGrid w:val="0"/>
          <w:color w:val="000000"/>
          <w:kern w:val="0"/>
          <w:sz w:val="24"/>
          <w:highlight w:val="none"/>
          <w:lang w:eastAsia="zh-CN"/>
        </w:rPr>
        <w:t>杭州余杭城市发展投资集团有限公司</w:t>
      </w:r>
      <w:r>
        <w:rPr>
          <w:rFonts w:hint="eastAsia" w:ascii="宋体" w:hAnsi="宋体"/>
          <w:color w:val="000000"/>
          <w:kern w:val="0"/>
          <w:sz w:val="24"/>
          <w:szCs w:val="24"/>
          <w:highlight w:val="none"/>
          <w:lang w:val="zh-CN"/>
        </w:rPr>
        <w:t>：</w:t>
      </w:r>
    </w:p>
    <w:p w14:paraId="4899D8CB">
      <w:pPr>
        <w:widowControl/>
        <w:numPr>
          <w:ilvl w:val="0"/>
          <w:numId w:val="0"/>
        </w:numPr>
        <w:spacing w:before="0" w:after="0" w:line="360" w:lineRule="auto"/>
        <w:ind w:firstLine="480" w:firstLineChars="200"/>
        <w:jc w:val="left"/>
        <w:rPr>
          <w:rFonts w:hint="eastAsia" w:hAnsi="宋体"/>
          <w:color w:val="000000"/>
          <w:sz w:val="24"/>
          <w:szCs w:val="24"/>
          <w:highlight w:val="none"/>
        </w:rPr>
      </w:pPr>
      <w:r>
        <w:rPr>
          <w:rFonts w:hint="eastAsia" w:hAnsi="宋体"/>
          <w:color w:val="000000"/>
          <w:sz w:val="24"/>
          <w:szCs w:val="24"/>
          <w:highlight w:val="none"/>
        </w:rPr>
        <w:t>本单位自愿参加</w:t>
      </w:r>
      <w:r>
        <w:rPr>
          <w:rFonts w:hint="eastAsia" w:ascii="宋体" w:hAnsi="宋体" w:eastAsia="宋体" w:cs="宋体"/>
          <w:color w:val="auto"/>
          <w:kern w:val="0"/>
          <w:sz w:val="24"/>
          <w:szCs w:val="24"/>
          <w:highlight w:val="none"/>
          <w:lang w:eastAsia="zh-CN"/>
        </w:rPr>
        <w:t>城投集团财政拨款账户战略合作服务采购</w:t>
      </w:r>
      <w:r>
        <w:rPr>
          <w:rFonts w:hint="eastAsia" w:hAnsi="宋体"/>
          <w:color w:val="000000"/>
          <w:kern w:val="0"/>
          <w:sz w:val="24"/>
          <w:szCs w:val="24"/>
          <w:highlight w:val="none"/>
          <w:u w:val="single"/>
          <w:lang w:val="zh-CN"/>
        </w:rPr>
        <w:t>(招标编号：</w:t>
      </w:r>
      <w:r>
        <w:rPr>
          <w:rFonts w:hint="eastAsia" w:hAnsi="宋体"/>
          <w:color w:val="000000"/>
          <w:kern w:val="0"/>
          <w:sz w:val="24"/>
          <w:szCs w:val="24"/>
          <w:highlight w:val="none"/>
          <w:u w:val="single"/>
          <w:lang w:val="en-US" w:eastAsia="zh-CN"/>
        </w:rPr>
        <w:t xml:space="preserve">    </w:t>
      </w:r>
      <w:r>
        <w:rPr>
          <w:rFonts w:hint="eastAsia" w:hAnsi="宋体"/>
          <w:color w:val="000000"/>
          <w:kern w:val="0"/>
          <w:sz w:val="24"/>
          <w:szCs w:val="24"/>
          <w:highlight w:val="none"/>
          <w:u w:val="single"/>
          <w:lang w:val="zh-CN"/>
        </w:rPr>
        <w:t>)</w:t>
      </w:r>
      <w:r>
        <w:rPr>
          <w:rFonts w:hint="eastAsia" w:hAnsi="宋体"/>
          <w:color w:val="000000"/>
          <w:sz w:val="24"/>
          <w:szCs w:val="24"/>
          <w:highlight w:val="none"/>
        </w:rPr>
        <w:t>的投标，并保证投标文件中所列举的文件及相关资料和单位基本情况资料是真实的、合法的。</w:t>
      </w:r>
    </w:p>
    <w:p w14:paraId="58E612EC">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我单位已详细阅读全部“招标文件”，包括修改文件（如果有）以及全部招标资料和相关附件，并已了解我单位在招投标过程中的权利和义务。</w:t>
      </w:r>
    </w:p>
    <w:p w14:paraId="0D2B38CF">
      <w:pPr>
        <w:snapToGrid w:val="0"/>
        <w:spacing w:line="360" w:lineRule="auto"/>
        <w:ind w:firstLine="480"/>
        <w:rPr>
          <w:rFonts w:hint="eastAsia" w:ascii="宋体" w:hAnsi="宋体"/>
          <w:color w:val="000000"/>
          <w:sz w:val="24"/>
          <w:szCs w:val="24"/>
          <w:highlight w:val="none"/>
        </w:rPr>
      </w:pPr>
      <w:r>
        <w:rPr>
          <w:rFonts w:hint="eastAsia" w:ascii="宋体" w:hAnsi="宋体"/>
          <w:color w:val="000000"/>
          <w:sz w:val="24"/>
          <w:szCs w:val="24"/>
          <w:highlight w:val="none"/>
        </w:rPr>
        <w:t>我单位理解并接受招标文件的各项规定和要求，同意此次招标文件中的各项内容，并同意提供按照贵方可能要求的与投标有关的一切数据或资料等。</w:t>
      </w:r>
    </w:p>
    <w:p w14:paraId="17A33466">
      <w:pPr>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本单位如中标，保证按照投标文件的承诺与贵方签订协议，保证履行协议条款。</w:t>
      </w:r>
    </w:p>
    <w:p w14:paraId="3C182E53">
      <w:pPr>
        <w:adjustRightInd w:val="0"/>
        <w:snapToGrid w:val="0"/>
        <w:spacing w:line="360" w:lineRule="auto"/>
        <w:ind w:firstLine="480"/>
        <w:rPr>
          <w:rFonts w:hint="eastAsia" w:ascii="宋体" w:hAnsi="宋体"/>
          <w:color w:val="000000"/>
          <w:kern w:val="0"/>
          <w:sz w:val="24"/>
          <w:szCs w:val="24"/>
          <w:highlight w:val="none"/>
          <w:lang w:val="zh-CN"/>
        </w:rPr>
      </w:pPr>
    </w:p>
    <w:p w14:paraId="75A1432F">
      <w:pPr>
        <w:adjustRightInd w:val="0"/>
        <w:snapToGrid w:val="0"/>
        <w:spacing w:line="360" w:lineRule="auto"/>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 xml:space="preserve">                                          </w:t>
      </w:r>
    </w:p>
    <w:p w14:paraId="099C754C">
      <w:pPr>
        <w:adjustRightInd w:val="0"/>
        <w:snapToGrid w:val="0"/>
        <w:spacing w:line="360" w:lineRule="auto"/>
        <w:ind w:firstLine="5280" w:firstLineChars="2200"/>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投标人名称(公章)：</w:t>
      </w:r>
    </w:p>
    <w:p w14:paraId="1835A9DF">
      <w:pPr>
        <w:adjustRightInd w:val="0"/>
        <w:snapToGrid w:val="0"/>
        <w:spacing w:line="360" w:lineRule="auto"/>
        <w:rPr>
          <w:rFonts w:hint="eastAsia" w:ascii="宋体" w:hAnsi="宋体"/>
          <w:color w:val="000000"/>
          <w:kern w:val="0"/>
          <w:sz w:val="24"/>
          <w:szCs w:val="24"/>
          <w:highlight w:val="none"/>
        </w:rPr>
      </w:pPr>
      <w:r>
        <w:rPr>
          <w:rFonts w:hint="eastAsia" w:ascii="宋体" w:hAnsi="宋体"/>
          <w:color w:val="000000"/>
          <w:kern w:val="0"/>
          <w:sz w:val="24"/>
          <w:szCs w:val="24"/>
          <w:highlight w:val="none"/>
          <w:lang w:val="zh-CN"/>
        </w:rPr>
        <w:t xml:space="preserve">                              </w:t>
      </w:r>
    </w:p>
    <w:p w14:paraId="6513EE03">
      <w:pPr>
        <w:adjustRightInd w:val="0"/>
        <w:snapToGrid w:val="0"/>
        <w:spacing w:line="360" w:lineRule="auto"/>
        <w:ind w:firstLine="5160" w:firstLineChars="2150"/>
        <w:rPr>
          <w:rFonts w:hint="eastAsia" w:ascii="宋体" w:hAnsi="宋体"/>
          <w:color w:val="000000"/>
          <w:kern w:val="0"/>
          <w:sz w:val="24"/>
          <w:szCs w:val="24"/>
          <w:highlight w:val="none"/>
          <w:lang w:val="zh-CN"/>
        </w:rPr>
      </w:pPr>
      <w:r>
        <w:rPr>
          <w:rFonts w:hint="eastAsia" w:ascii="宋体" w:hAnsi="宋体"/>
          <w:color w:val="000000"/>
          <w:kern w:val="0"/>
          <w:sz w:val="24"/>
          <w:szCs w:val="24"/>
          <w:highlight w:val="none"/>
          <w:lang w:val="zh-CN"/>
        </w:rPr>
        <w:t>日期</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年</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月</w:t>
      </w:r>
      <w:r>
        <w:rPr>
          <w:rFonts w:hint="eastAsia" w:ascii="宋体" w:hAnsi="宋体"/>
          <w:color w:val="000000"/>
          <w:kern w:val="0"/>
          <w:sz w:val="24"/>
          <w:szCs w:val="24"/>
          <w:highlight w:val="none"/>
        </w:rPr>
        <w:t xml:space="preserve">   </w:t>
      </w:r>
      <w:r>
        <w:rPr>
          <w:rFonts w:hint="eastAsia" w:ascii="宋体" w:hAnsi="宋体"/>
          <w:color w:val="000000"/>
          <w:kern w:val="0"/>
          <w:sz w:val="24"/>
          <w:szCs w:val="24"/>
          <w:highlight w:val="none"/>
          <w:lang w:val="zh-CN"/>
        </w:rPr>
        <w:t>日</w:t>
      </w:r>
    </w:p>
    <w:p w14:paraId="7802C45C">
      <w:pPr>
        <w:adjustRightInd w:val="0"/>
        <w:snapToGrid w:val="0"/>
        <w:spacing w:line="360" w:lineRule="auto"/>
        <w:ind w:firstLine="5160" w:firstLineChars="2150"/>
        <w:rPr>
          <w:rFonts w:hint="eastAsia" w:ascii="宋体" w:hAnsi="宋体"/>
          <w:color w:val="000000"/>
          <w:kern w:val="0"/>
          <w:sz w:val="24"/>
          <w:szCs w:val="24"/>
          <w:highlight w:val="none"/>
          <w:lang w:val="zh-CN"/>
        </w:rPr>
      </w:pPr>
    </w:p>
    <w:p w14:paraId="7ECEF0D0">
      <w:pPr>
        <w:adjustRightInd w:val="0"/>
        <w:snapToGrid w:val="0"/>
        <w:spacing w:line="360" w:lineRule="auto"/>
        <w:ind w:firstLine="5160" w:firstLineChars="2150"/>
        <w:rPr>
          <w:rFonts w:hint="eastAsia" w:ascii="宋体" w:hAnsi="宋体"/>
          <w:color w:val="000000"/>
          <w:kern w:val="0"/>
          <w:sz w:val="24"/>
          <w:szCs w:val="24"/>
          <w:highlight w:val="none"/>
          <w:lang w:val="zh-CN"/>
        </w:rPr>
      </w:pPr>
    </w:p>
    <w:p w14:paraId="750FEEA9">
      <w:pPr>
        <w:spacing w:line="360" w:lineRule="auto"/>
        <w:jc w:val="center"/>
        <w:rPr>
          <w:rFonts w:hint="eastAsia" w:ascii="宋体" w:hAnsi="宋体"/>
          <w:b/>
          <w:bCs/>
          <w:color w:val="000000"/>
          <w:sz w:val="32"/>
          <w:szCs w:val="32"/>
          <w:highlight w:val="none"/>
        </w:rPr>
      </w:pPr>
    </w:p>
    <w:p w14:paraId="4164C7F9">
      <w:pPr>
        <w:spacing w:line="360" w:lineRule="auto"/>
        <w:jc w:val="center"/>
        <w:rPr>
          <w:rFonts w:hint="eastAsia" w:ascii="宋体" w:hAnsi="宋体"/>
          <w:b/>
          <w:bCs/>
          <w:color w:val="000000"/>
          <w:sz w:val="32"/>
          <w:szCs w:val="32"/>
          <w:highlight w:val="none"/>
        </w:rPr>
      </w:pPr>
    </w:p>
    <w:p w14:paraId="69D1C775">
      <w:pPr>
        <w:spacing w:line="360" w:lineRule="auto"/>
        <w:jc w:val="center"/>
        <w:rPr>
          <w:rFonts w:hint="eastAsia" w:ascii="宋体" w:hAnsi="宋体"/>
          <w:b/>
          <w:bCs/>
          <w:color w:val="000000"/>
          <w:sz w:val="32"/>
          <w:szCs w:val="32"/>
          <w:highlight w:val="none"/>
        </w:rPr>
      </w:pPr>
    </w:p>
    <w:p w14:paraId="4D07FBE6">
      <w:pPr>
        <w:spacing w:line="360" w:lineRule="auto"/>
        <w:jc w:val="center"/>
        <w:rPr>
          <w:rFonts w:hint="eastAsia" w:ascii="宋体" w:hAnsi="宋体"/>
          <w:b/>
          <w:bCs/>
          <w:color w:val="000000"/>
          <w:sz w:val="32"/>
          <w:szCs w:val="32"/>
          <w:highlight w:val="none"/>
        </w:rPr>
      </w:pPr>
    </w:p>
    <w:p w14:paraId="23FAE2A1">
      <w:pPr>
        <w:spacing w:line="360" w:lineRule="auto"/>
        <w:jc w:val="center"/>
        <w:rPr>
          <w:rFonts w:hint="eastAsia" w:ascii="宋体" w:hAnsi="宋体"/>
          <w:b/>
          <w:bCs/>
          <w:color w:val="000000"/>
          <w:sz w:val="32"/>
          <w:szCs w:val="32"/>
          <w:highlight w:val="none"/>
        </w:rPr>
      </w:pPr>
    </w:p>
    <w:p w14:paraId="09A292F6">
      <w:pPr>
        <w:spacing w:line="360" w:lineRule="auto"/>
        <w:jc w:val="center"/>
        <w:rPr>
          <w:rFonts w:hint="eastAsia" w:ascii="宋体" w:hAnsi="宋体"/>
          <w:b/>
          <w:bCs/>
          <w:color w:val="000000"/>
          <w:sz w:val="32"/>
          <w:szCs w:val="32"/>
          <w:highlight w:val="none"/>
        </w:rPr>
      </w:pPr>
    </w:p>
    <w:p w14:paraId="5DCBAEC4">
      <w:pPr>
        <w:spacing w:line="360" w:lineRule="auto"/>
        <w:jc w:val="center"/>
        <w:rPr>
          <w:rFonts w:hint="eastAsia" w:ascii="宋体" w:hAnsi="宋体"/>
          <w:b/>
          <w:bCs/>
          <w:color w:val="000000"/>
          <w:sz w:val="32"/>
          <w:szCs w:val="32"/>
          <w:highlight w:val="none"/>
        </w:rPr>
      </w:pPr>
    </w:p>
    <w:p w14:paraId="6A0763DA">
      <w:pPr>
        <w:spacing w:line="360" w:lineRule="auto"/>
        <w:jc w:val="center"/>
        <w:rPr>
          <w:rFonts w:hint="eastAsia" w:ascii="宋体" w:hAnsi="宋体"/>
          <w:b/>
          <w:bCs/>
          <w:color w:val="000000"/>
          <w:sz w:val="32"/>
          <w:szCs w:val="32"/>
          <w:highlight w:val="none"/>
        </w:rPr>
      </w:pPr>
    </w:p>
    <w:p w14:paraId="33E08AB6">
      <w:pP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br w:type="page"/>
      </w:r>
    </w:p>
    <w:p w14:paraId="4E24AD4B">
      <w:pPr>
        <w:spacing w:line="360" w:lineRule="auto"/>
        <w:jc w:val="center"/>
        <w:outlineLvl w:val="2"/>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六</w:t>
      </w:r>
      <w:r>
        <w:rPr>
          <w:rFonts w:hint="eastAsia" w:ascii="宋体" w:hAnsi="宋体"/>
          <w:b/>
          <w:bCs/>
          <w:color w:val="000000"/>
          <w:sz w:val="32"/>
          <w:szCs w:val="32"/>
          <w:highlight w:val="none"/>
        </w:rPr>
        <w:t>、廉政承诺书</w:t>
      </w:r>
    </w:p>
    <w:p w14:paraId="6D77BECD">
      <w:pPr>
        <w:autoSpaceDE w:val="0"/>
        <w:autoSpaceDN w:val="0"/>
        <w:adjustRightInd w:val="0"/>
        <w:spacing w:line="360" w:lineRule="auto"/>
        <w:ind w:left="2"/>
        <w:jc w:val="left"/>
        <w:rPr>
          <w:rFonts w:hint="eastAsia" w:ascii="宋体" w:hAnsi="宋体"/>
          <w:snapToGrid w:val="0"/>
          <w:color w:val="000000"/>
          <w:kern w:val="0"/>
          <w:sz w:val="24"/>
          <w:highlight w:val="none"/>
          <w:lang w:eastAsia="zh-CN"/>
        </w:rPr>
      </w:pPr>
    </w:p>
    <w:p w14:paraId="2D65C687">
      <w:pPr>
        <w:autoSpaceDE w:val="0"/>
        <w:autoSpaceDN w:val="0"/>
        <w:adjustRightInd w:val="0"/>
        <w:spacing w:line="360" w:lineRule="auto"/>
        <w:ind w:left="2"/>
        <w:jc w:val="left"/>
        <w:rPr>
          <w:rFonts w:hint="eastAsia" w:ascii="宋体" w:hAnsi="宋体" w:cs="宋体"/>
          <w:color w:val="000000"/>
          <w:kern w:val="0"/>
          <w:sz w:val="24"/>
          <w:highlight w:val="none"/>
          <w:lang w:val="zh-CN"/>
        </w:rPr>
      </w:pPr>
      <w:r>
        <w:rPr>
          <w:rFonts w:hint="eastAsia" w:ascii="宋体" w:hAnsi="宋体"/>
          <w:snapToGrid w:val="0"/>
          <w:color w:val="000000"/>
          <w:kern w:val="0"/>
          <w:sz w:val="24"/>
          <w:highlight w:val="none"/>
          <w:lang w:eastAsia="zh-CN"/>
        </w:rPr>
        <w:t>杭州余杭城市发展投资集团有限公司</w:t>
      </w:r>
      <w:r>
        <w:rPr>
          <w:rFonts w:hint="eastAsia" w:ascii="宋体" w:hAnsi="宋体" w:cs="宋体"/>
          <w:color w:val="000000"/>
          <w:kern w:val="0"/>
          <w:sz w:val="24"/>
          <w:highlight w:val="none"/>
          <w:lang w:val="zh-CN"/>
        </w:rPr>
        <w:t xml:space="preserve">：    </w:t>
      </w:r>
    </w:p>
    <w:p w14:paraId="6FA373A2">
      <w:pPr>
        <w:autoSpaceDE w:val="0"/>
        <w:autoSpaceDN w:val="0"/>
        <w:adjustRightInd w:val="0"/>
        <w:spacing w:line="360" w:lineRule="auto"/>
        <w:ind w:left="3" w:leftChars="1"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 xml:space="preserve">我单位响应贵单位项目招标要求参加投标。在这次投标过程中和中标后，我们将严格遵守国家法律法规要求，并郑重承诺：    </w:t>
      </w:r>
    </w:p>
    <w:p w14:paraId="24EB73B4">
      <w:pPr>
        <w:autoSpaceDE w:val="0"/>
        <w:autoSpaceDN w:val="0"/>
        <w:adjustRightInd w:val="0"/>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1、不向贵单位负责公款存放管理的领导及相关人员进行利益输送；</w:t>
      </w:r>
    </w:p>
    <w:p w14:paraId="62FA31AB">
      <w:pPr>
        <w:autoSpaceDE w:val="0"/>
        <w:autoSpaceDN w:val="0"/>
        <w:adjustRightInd w:val="0"/>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2、不将公款存放与贵单位负责公款存放管理的领导及相关人员在本行的配偶、子女及其配偶和其他直接利益相关人员的业绩收入、晋升等利益挂钩；</w:t>
      </w:r>
    </w:p>
    <w:p w14:paraId="7A807C40">
      <w:pPr>
        <w:autoSpaceDE w:val="0"/>
        <w:autoSpaceDN w:val="0"/>
        <w:adjustRightInd w:val="0"/>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3、严格执行利益回避制度，贵单位负责公款竞争性存放相关人员的配偶、子女及其配偶和其他直接利益相关人员为本行工作人员的，不参与公款竞争性存放工作；</w:t>
      </w:r>
    </w:p>
    <w:p w14:paraId="2D4D9259">
      <w:pPr>
        <w:autoSpaceDE w:val="0"/>
        <w:autoSpaceDN w:val="0"/>
        <w:adjustRightInd w:val="0"/>
        <w:spacing w:line="360" w:lineRule="auto"/>
        <w:ind w:firstLine="480" w:firstLineChars="200"/>
        <w:jc w:val="left"/>
        <w:rPr>
          <w:rFonts w:hint="eastAsia" w:ascii="宋体" w:hAnsi="宋体"/>
          <w:color w:val="000000"/>
          <w:sz w:val="24"/>
          <w:szCs w:val="24"/>
          <w:highlight w:val="none"/>
        </w:rPr>
      </w:pPr>
      <w:r>
        <w:rPr>
          <w:rFonts w:hint="eastAsia" w:ascii="宋体" w:hAnsi="宋体"/>
          <w:color w:val="000000"/>
          <w:sz w:val="24"/>
          <w:szCs w:val="24"/>
          <w:highlight w:val="none"/>
        </w:rPr>
        <w:t>4、不发生除上述行为之外的其他任何利益输送行为。</w:t>
      </w:r>
    </w:p>
    <w:p w14:paraId="6443ED4F">
      <w:pPr>
        <w:autoSpaceDE w:val="0"/>
        <w:autoSpaceDN w:val="0"/>
        <w:adjustRightInd w:val="0"/>
        <w:spacing w:line="360" w:lineRule="auto"/>
        <w:ind w:firstLine="360" w:firstLineChars="150"/>
        <w:jc w:val="left"/>
        <w:rPr>
          <w:rFonts w:hint="eastAsia" w:ascii="宋体" w:hAnsi="宋体"/>
          <w:color w:val="000000"/>
          <w:sz w:val="24"/>
          <w:szCs w:val="24"/>
          <w:highlight w:val="none"/>
        </w:rPr>
      </w:pPr>
      <w:r>
        <w:rPr>
          <w:rFonts w:hint="eastAsia" w:ascii="宋体" w:hAnsi="宋体"/>
          <w:color w:val="000000"/>
          <w:sz w:val="24"/>
          <w:szCs w:val="24"/>
          <w:highlight w:val="none"/>
        </w:rPr>
        <w:t>未遵守以上承诺的，本行自愿接受财政（国资）部门通报和处理，承担相应的一切后果。</w:t>
      </w:r>
    </w:p>
    <w:p w14:paraId="79563481">
      <w:pPr>
        <w:autoSpaceDE w:val="0"/>
        <w:autoSpaceDN w:val="0"/>
        <w:adjustRightInd w:val="0"/>
        <w:spacing w:line="360" w:lineRule="auto"/>
        <w:ind w:firstLine="5160" w:firstLineChars="2150"/>
        <w:rPr>
          <w:rFonts w:hint="eastAsia" w:ascii="宋体" w:hAnsi="宋体"/>
          <w:color w:val="000000"/>
          <w:sz w:val="24"/>
          <w:szCs w:val="24"/>
          <w:highlight w:val="none"/>
        </w:rPr>
      </w:pPr>
    </w:p>
    <w:p w14:paraId="62DD4289">
      <w:pPr>
        <w:autoSpaceDE w:val="0"/>
        <w:autoSpaceDN w:val="0"/>
        <w:adjustRightInd w:val="0"/>
        <w:spacing w:line="360" w:lineRule="auto"/>
        <w:ind w:firstLine="5160" w:firstLineChars="2150"/>
        <w:rPr>
          <w:rFonts w:hint="eastAsia" w:ascii="宋体" w:hAnsi="宋体"/>
          <w:color w:val="000000"/>
          <w:sz w:val="24"/>
          <w:szCs w:val="24"/>
          <w:highlight w:val="none"/>
        </w:rPr>
      </w:pPr>
    </w:p>
    <w:p w14:paraId="749D280E">
      <w:pPr>
        <w:autoSpaceDE w:val="0"/>
        <w:autoSpaceDN w:val="0"/>
        <w:adjustRightInd w:val="0"/>
        <w:spacing w:line="360" w:lineRule="auto"/>
        <w:ind w:firstLine="5160" w:firstLineChars="2150"/>
        <w:rPr>
          <w:rFonts w:hint="eastAsia" w:ascii="宋体" w:hAnsi="宋体"/>
          <w:color w:val="000000"/>
          <w:sz w:val="24"/>
          <w:szCs w:val="24"/>
          <w:highlight w:val="none"/>
        </w:rPr>
      </w:pPr>
    </w:p>
    <w:p w14:paraId="5AB822A9">
      <w:pPr>
        <w:autoSpaceDE w:val="0"/>
        <w:autoSpaceDN w:val="0"/>
        <w:adjustRightInd w:val="0"/>
        <w:spacing w:line="360" w:lineRule="auto"/>
        <w:ind w:firstLine="5160" w:firstLineChars="2150"/>
        <w:rPr>
          <w:rFonts w:hint="eastAsia" w:ascii="宋体" w:hAnsi="宋体"/>
          <w:color w:val="000000"/>
          <w:sz w:val="24"/>
          <w:szCs w:val="24"/>
          <w:highlight w:val="none"/>
        </w:rPr>
      </w:pPr>
      <w:r>
        <w:rPr>
          <w:rFonts w:hint="eastAsia" w:ascii="宋体" w:hAnsi="宋体"/>
          <w:color w:val="000000"/>
          <w:sz w:val="24"/>
          <w:szCs w:val="24"/>
          <w:highlight w:val="none"/>
        </w:rPr>
        <w:t>投标人名称（公章）：</w:t>
      </w:r>
    </w:p>
    <w:p w14:paraId="3DC87B27">
      <w:pPr>
        <w:spacing w:line="360" w:lineRule="auto"/>
        <w:rPr>
          <w:rFonts w:hint="eastAsia" w:ascii="宋体" w:hAnsi="宋体"/>
          <w:color w:val="000000"/>
          <w:sz w:val="24"/>
          <w:szCs w:val="24"/>
          <w:highlight w:val="none"/>
        </w:rPr>
      </w:pPr>
      <w:r>
        <w:rPr>
          <w:rFonts w:ascii="宋体" w:hAnsi="宋体"/>
          <w:color w:val="000000"/>
          <w:sz w:val="24"/>
          <w:szCs w:val="24"/>
          <w:highlight w:val="none"/>
        </w:rPr>
        <w:t xml:space="preserve">                                           </w:t>
      </w:r>
      <w:r>
        <w:rPr>
          <w:rFonts w:hint="eastAsia" w:ascii="宋体" w:hAnsi="宋体"/>
          <w:color w:val="000000"/>
          <w:sz w:val="24"/>
          <w:szCs w:val="24"/>
          <w:highlight w:val="none"/>
        </w:rPr>
        <w:t>日期：   年  月   日</w:t>
      </w:r>
    </w:p>
    <w:p w14:paraId="43BA5EE4">
      <w:pPr>
        <w:pStyle w:val="36"/>
        <w:spacing w:before="0"/>
        <w:ind w:firstLine="0" w:firstLineChars="0"/>
        <w:jc w:val="center"/>
        <w:rPr>
          <w:rFonts w:hint="eastAsia" w:ascii="宋体" w:hAnsi="宋体"/>
          <w:b/>
          <w:bCs/>
          <w:color w:val="000000"/>
          <w:sz w:val="32"/>
          <w:szCs w:val="32"/>
          <w:highlight w:val="none"/>
        </w:rPr>
      </w:pPr>
    </w:p>
    <w:p w14:paraId="393D2877">
      <w:pPr>
        <w:pStyle w:val="36"/>
        <w:spacing w:before="0"/>
        <w:ind w:firstLine="0" w:firstLineChars="0"/>
        <w:jc w:val="center"/>
        <w:rPr>
          <w:rFonts w:hint="eastAsia" w:ascii="宋体" w:hAnsi="宋体"/>
          <w:b/>
          <w:bCs/>
          <w:color w:val="000000"/>
          <w:sz w:val="32"/>
          <w:szCs w:val="32"/>
          <w:highlight w:val="none"/>
        </w:rPr>
      </w:pPr>
    </w:p>
    <w:p w14:paraId="7CBB02B4">
      <w:pPr>
        <w:pStyle w:val="36"/>
        <w:spacing w:before="0"/>
        <w:ind w:firstLine="0" w:firstLineChars="0"/>
        <w:jc w:val="center"/>
        <w:rPr>
          <w:rFonts w:hint="eastAsia" w:ascii="宋体" w:hAnsi="宋体"/>
          <w:b/>
          <w:bCs/>
          <w:color w:val="000000"/>
          <w:sz w:val="32"/>
          <w:szCs w:val="32"/>
          <w:highlight w:val="none"/>
        </w:rPr>
      </w:pPr>
    </w:p>
    <w:p w14:paraId="4DC9B5D7">
      <w:pPr>
        <w:pStyle w:val="36"/>
        <w:spacing w:before="0"/>
        <w:ind w:firstLine="0" w:firstLineChars="0"/>
        <w:jc w:val="center"/>
        <w:rPr>
          <w:rFonts w:hint="eastAsia" w:ascii="宋体" w:hAnsi="宋体"/>
          <w:b/>
          <w:bCs/>
          <w:color w:val="000000"/>
          <w:sz w:val="32"/>
          <w:szCs w:val="32"/>
          <w:highlight w:val="none"/>
        </w:rPr>
      </w:pPr>
    </w:p>
    <w:p w14:paraId="7F907630">
      <w:pPr>
        <w:pStyle w:val="36"/>
        <w:spacing w:before="0"/>
        <w:ind w:firstLine="0" w:firstLineChars="0"/>
        <w:jc w:val="center"/>
        <w:rPr>
          <w:rFonts w:hint="eastAsia" w:ascii="宋体" w:hAnsi="宋体"/>
          <w:b/>
          <w:bCs/>
          <w:color w:val="000000"/>
          <w:sz w:val="32"/>
          <w:szCs w:val="32"/>
          <w:highlight w:val="none"/>
        </w:rPr>
      </w:pPr>
    </w:p>
    <w:p w14:paraId="79FBA7F9">
      <w:pPr>
        <w:pStyle w:val="36"/>
        <w:spacing w:before="0"/>
        <w:ind w:firstLine="0" w:firstLineChars="0"/>
        <w:jc w:val="center"/>
        <w:rPr>
          <w:rFonts w:hint="eastAsia" w:ascii="宋体" w:hAnsi="宋体"/>
          <w:b/>
          <w:bCs/>
          <w:color w:val="000000"/>
          <w:sz w:val="32"/>
          <w:szCs w:val="32"/>
          <w:highlight w:val="none"/>
        </w:rPr>
      </w:pPr>
    </w:p>
    <w:p w14:paraId="019960E0">
      <w:pPr>
        <w:pStyle w:val="36"/>
        <w:spacing w:before="0"/>
        <w:ind w:firstLine="0" w:firstLineChars="0"/>
        <w:jc w:val="center"/>
        <w:rPr>
          <w:rFonts w:hint="eastAsia" w:ascii="宋体" w:hAnsi="宋体"/>
          <w:b/>
          <w:bCs/>
          <w:color w:val="000000"/>
          <w:sz w:val="32"/>
          <w:szCs w:val="32"/>
          <w:highlight w:val="none"/>
        </w:rPr>
      </w:pPr>
    </w:p>
    <w:p w14:paraId="786EC648">
      <w:pPr>
        <w:pStyle w:val="36"/>
        <w:spacing w:before="0"/>
        <w:ind w:firstLine="0" w:firstLineChars="0"/>
        <w:jc w:val="center"/>
        <w:rPr>
          <w:rFonts w:hint="eastAsia" w:ascii="宋体" w:hAnsi="宋体"/>
          <w:b/>
          <w:bCs/>
          <w:color w:val="000000"/>
          <w:sz w:val="32"/>
          <w:szCs w:val="32"/>
          <w:highlight w:val="none"/>
        </w:rPr>
      </w:pPr>
    </w:p>
    <w:p w14:paraId="55B26EAB">
      <w:pPr>
        <w:pStyle w:val="36"/>
        <w:spacing w:before="0"/>
        <w:ind w:firstLine="0" w:firstLineChars="0"/>
        <w:jc w:val="center"/>
        <w:rPr>
          <w:rFonts w:hint="eastAsia" w:ascii="宋体" w:hAnsi="宋体"/>
          <w:b/>
          <w:bCs/>
          <w:color w:val="000000"/>
          <w:sz w:val="32"/>
          <w:szCs w:val="32"/>
          <w:highlight w:val="none"/>
        </w:rPr>
      </w:pPr>
    </w:p>
    <w:p w14:paraId="052748C1">
      <w:pPr>
        <w:pStyle w:val="36"/>
        <w:spacing w:before="0"/>
        <w:ind w:firstLine="0" w:firstLineChars="0"/>
        <w:jc w:val="center"/>
        <w:rPr>
          <w:rFonts w:hint="default" w:ascii="宋体" w:hAnsi="宋体" w:eastAsia="宋体"/>
          <w:b/>
          <w:bCs/>
          <w:color w:val="000000"/>
          <w:sz w:val="32"/>
          <w:szCs w:val="32"/>
          <w:highlight w:val="none"/>
          <w:lang w:val="en-US" w:eastAsia="zh-CN"/>
        </w:rPr>
      </w:pPr>
      <w:r>
        <w:rPr>
          <w:rFonts w:hint="eastAsia" w:ascii="宋体" w:hAnsi="宋体"/>
          <w:b/>
          <w:bCs/>
          <w:color w:val="000000"/>
          <w:sz w:val="32"/>
          <w:szCs w:val="32"/>
          <w:highlight w:val="none"/>
          <w:lang w:val="en-US" w:eastAsia="zh-CN"/>
        </w:rPr>
        <w:t>七</w:t>
      </w:r>
      <w:r>
        <w:rPr>
          <w:rFonts w:hint="eastAsia" w:ascii="宋体" w:hAnsi="宋体"/>
          <w:b/>
          <w:bCs/>
          <w:color w:val="000000"/>
          <w:sz w:val="32"/>
          <w:szCs w:val="32"/>
          <w:highlight w:val="none"/>
        </w:rPr>
        <w:t>、</w:t>
      </w:r>
      <w:r>
        <w:rPr>
          <w:rFonts w:hint="eastAsia" w:ascii="宋体" w:hAnsi="宋体"/>
          <w:b/>
          <w:bCs/>
          <w:color w:val="000000"/>
          <w:sz w:val="32"/>
          <w:szCs w:val="32"/>
          <w:highlight w:val="none"/>
          <w:lang w:eastAsia="zh-CN"/>
        </w:rPr>
        <w:t>根据评审标准提供相关证明材料</w:t>
      </w:r>
      <w:r>
        <w:rPr>
          <w:rFonts w:hint="eastAsia" w:ascii="宋体" w:hAnsi="宋体"/>
          <w:b/>
          <w:bCs/>
          <w:color w:val="000000"/>
          <w:sz w:val="32"/>
          <w:szCs w:val="32"/>
          <w:highlight w:val="none"/>
          <w:lang w:val="en-US" w:eastAsia="zh-CN"/>
        </w:rPr>
        <w:t xml:space="preserve"> ；</w:t>
      </w:r>
    </w:p>
    <w:p w14:paraId="0071F375">
      <w:pPr>
        <w:pStyle w:val="36"/>
        <w:spacing w:before="0"/>
        <w:ind w:firstLine="0" w:firstLineChars="0"/>
        <w:jc w:val="center"/>
        <w:rPr>
          <w:rFonts w:hint="eastAsia" w:ascii="宋体" w:hAnsi="宋体"/>
          <w:b/>
          <w:bCs/>
          <w:color w:val="000000"/>
          <w:sz w:val="32"/>
          <w:szCs w:val="32"/>
          <w:highlight w:val="none"/>
        </w:rPr>
      </w:pPr>
    </w:p>
    <w:p w14:paraId="0E6A6F7A">
      <w:pPr>
        <w:pStyle w:val="36"/>
        <w:spacing w:before="0"/>
        <w:ind w:firstLine="0" w:firstLineChars="0"/>
        <w:jc w:val="center"/>
        <w:rPr>
          <w:rFonts w:hint="eastAsia" w:ascii="宋体" w:hAnsi="宋体"/>
          <w:b w:val="0"/>
          <w:bCs w:val="0"/>
          <w:color w:val="000000"/>
          <w:sz w:val="28"/>
          <w:szCs w:val="28"/>
          <w:highlight w:val="none"/>
          <w:lang w:eastAsia="zh-CN"/>
        </w:rPr>
      </w:pPr>
      <w:r>
        <w:rPr>
          <w:rFonts w:hint="eastAsia" w:ascii="宋体" w:hAnsi="宋体"/>
          <w:b w:val="0"/>
          <w:bCs w:val="0"/>
          <w:color w:val="000000"/>
          <w:sz w:val="28"/>
          <w:szCs w:val="28"/>
          <w:highlight w:val="none"/>
          <w:lang w:eastAsia="zh-CN"/>
        </w:rPr>
        <w:t>根据招标要求和评审细则自行编制提供。</w:t>
      </w:r>
    </w:p>
    <w:p w14:paraId="075877A5">
      <w:pPr>
        <w:pStyle w:val="36"/>
        <w:spacing w:before="0"/>
        <w:ind w:firstLine="0" w:firstLineChars="0"/>
        <w:jc w:val="center"/>
        <w:rPr>
          <w:rFonts w:hint="eastAsia" w:ascii="宋体" w:hAnsi="宋体" w:eastAsia="宋体"/>
          <w:b w:val="0"/>
          <w:bCs w:val="0"/>
          <w:color w:val="000000"/>
          <w:sz w:val="28"/>
          <w:szCs w:val="28"/>
          <w:highlight w:val="none"/>
          <w:lang w:val="en-US" w:eastAsia="zh-CN"/>
        </w:rPr>
      </w:pPr>
      <w:r>
        <w:rPr>
          <w:rFonts w:hint="eastAsia" w:ascii="宋体" w:hAnsi="宋体"/>
          <w:b w:val="0"/>
          <w:bCs w:val="0"/>
          <w:color w:val="000000"/>
          <w:sz w:val="28"/>
          <w:szCs w:val="28"/>
          <w:highlight w:val="none"/>
          <w:lang w:eastAsia="zh-CN"/>
        </w:rPr>
        <w:t>部分数据需要投标银行提供，请查阅评分标准中的备注事项。</w:t>
      </w:r>
    </w:p>
    <w:p w14:paraId="1D9B6811">
      <w:pPr>
        <w:pStyle w:val="36"/>
        <w:spacing w:before="0"/>
        <w:ind w:firstLine="0" w:firstLineChars="0"/>
        <w:jc w:val="center"/>
        <w:rPr>
          <w:rFonts w:hint="eastAsia" w:ascii="仿宋_GB2312" w:hAnsi="仿宋" w:eastAsia="仿宋_GB2312" w:cs="仿宋_GB2312"/>
          <w:b/>
          <w:sz w:val="24"/>
          <w:highlight w:val="none"/>
        </w:rPr>
      </w:pPr>
    </w:p>
    <w:p w14:paraId="00090F60">
      <w:pPr>
        <w:pStyle w:val="36"/>
        <w:spacing w:before="0"/>
        <w:ind w:firstLine="0" w:firstLineChars="0"/>
        <w:jc w:val="center"/>
        <w:rPr>
          <w:rFonts w:hint="eastAsia" w:ascii="宋体" w:hAnsi="宋体"/>
          <w:b/>
          <w:bCs/>
          <w:color w:val="000000"/>
          <w:sz w:val="32"/>
          <w:szCs w:val="32"/>
          <w:highlight w:val="none"/>
        </w:rPr>
      </w:pPr>
    </w:p>
    <w:p w14:paraId="30553E6E">
      <w:pPr>
        <w:pStyle w:val="36"/>
        <w:spacing w:before="0"/>
        <w:ind w:firstLine="0" w:firstLineChars="0"/>
        <w:jc w:val="center"/>
        <w:rPr>
          <w:rFonts w:hint="eastAsia" w:ascii="宋体" w:hAnsi="宋体"/>
          <w:b/>
          <w:bCs/>
          <w:color w:val="000000"/>
          <w:sz w:val="32"/>
          <w:szCs w:val="32"/>
          <w:highlight w:val="none"/>
        </w:rPr>
      </w:pPr>
    </w:p>
    <w:p w14:paraId="151817E7">
      <w:pPr>
        <w:pStyle w:val="36"/>
        <w:spacing w:before="0"/>
        <w:ind w:firstLine="0" w:firstLineChars="0"/>
        <w:jc w:val="center"/>
        <w:rPr>
          <w:rFonts w:hint="eastAsia" w:ascii="宋体" w:hAnsi="宋体"/>
          <w:b/>
          <w:bCs/>
          <w:color w:val="000000"/>
          <w:sz w:val="32"/>
          <w:szCs w:val="32"/>
          <w:highlight w:val="none"/>
        </w:rPr>
      </w:pPr>
    </w:p>
    <w:p w14:paraId="52A5279E">
      <w:pPr>
        <w:pStyle w:val="36"/>
        <w:spacing w:before="0"/>
        <w:ind w:firstLine="0" w:firstLineChars="0"/>
        <w:jc w:val="center"/>
        <w:rPr>
          <w:rFonts w:hint="eastAsia" w:ascii="宋体" w:hAnsi="宋体" w:eastAsia="宋体" w:cs="Times New Roman"/>
          <w:b/>
          <w:bCs/>
          <w:color w:val="000000"/>
          <w:sz w:val="32"/>
          <w:szCs w:val="32"/>
          <w:highlight w:val="none"/>
          <w:lang w:eastAsia="zh-CN"/>
        </w:rPr>
      </w:pPr>
      <w:r>
        <w:rPr>
          <w:rFonts w:hint="eastAsia" w:ascii="宋体" w:hAnsi="宋体" w:eastAsia="宋体" w:cs="Times New Roman"/>
          <w:b/>
          <w:bCs/>
          <w:color w:val="000000"/>
          <w:sz w:val="32"/>
          <w:szCs w:val="32"/>
          <w:highlight w:val="none"/>
          <w:lang w:val="en-US" w:eastAsia="zh-CN"/>
        </w:rPr>
        <w:t>八</w:t>
      </w:r>
      <w:r>
        <w:rPr>
          <w:rFonts w:hint="eastAsia" w:ascii="宋体" w:hAnsi="宋体" w:eastAsia="宋体" w:cs="Times New Roman"/>
          <w:b/>
          <w:bCs/>
          <w:color w:val="000000"/>
          <w:sz w:val="32"/>
          <w:szCs w:val="32"/>
          <w:highlight w:val="none"/>
          <w:lang w:eastAsia="zh-CN"/>
        </w:rPr>
        <w:t>、对招标人提供的服务情况</w:t>
      </w:r>
    </w:p>
    <w:p w14:paraId="3C8D2298">
      <w:pPr>
        <w:pStyle w:val="36"/>
        <w:spacing w:before="0"/>
        <w:ind w:firstLine="0" w:firstLineChars="0"/>
        <w:jc w:val="center"/>
        <w:rPr>
          <w:rFonts w:hint="eastAsia" w:ascii="宋体" w:hAnsi="宋体"/>
          <w:b/>
          <w:bCs/>
          <w:color w:val="000000"/>
          <w:sz w:val="32"/>
          <w:szCs w:val="32"/>
          <w:highlight w:val="none"/>
        </w:rPr>
      </w:pPr>
    </w:p>
    <w:p w14:paraId="2FA85226">
      <w:pPr>
        <w:pStyle w:val="36"/>
        <w:spacing w:before="0"/>
        <w:ind w:firstLine="0" w:firstLineChars="0"/>
        <w:jc w:val="center"/>
        <w:rPr>
          <w:rFonts w:hint="eastAsia" w:ascii="宋体" w:hAnsi="宋体" w:eastAsia="宋体"/>
          <w:b w:val="0"/>
          <w:bCs w:val="0"/>
          <w:color w:val="000000"/>
          <w:sz w:val="28"/>
          <w:szCs w:val="28"/>
          <w:highlight w:val="none"/>
          <w:lang w:eastAsia="zh-CN"/>
        </w:rPr>
      </w:pPr>
      <w:r>
        <w:rPr>
          <w:rFonts w:hint="eastAsia" w:ascii="宋体" w:hAnsi="宋体"/>
          <w:b w:val="0"/>
          <w:bCs w:val="0"/>
          <w:color w:val="000000"/>
          <w:sz w:val="28"/>
          <w:szCs w:val="28"/>
          <w:highlight w:val="none"/>
          <w:lang w:eastAsia="zh-CN"/>
        </w:rPr>
        <w:t>根据招标要求和评审细则自行编制提供。</w:t>
      </w:r>
    </w:p>
    <w:p w14:paraId="734603B4">
      <w:pPr>
        <w:pStyle w:val="36"/>
        <w:spacing w:before="0"/>
        <w:ind w:firstLine="0" w:firstLineChars="0"/>
        <w:jc w:val="center"/>
        <w:rPr>
          <w:rFonts w:hint="eastAsia" w:ascii="宋体" w:hAnsi="宋体"/>
          <w:b/>
          <w:bCs/>
          <w:color w:val="000000"/>
          <w:sz w:val="32"/>
          <w:szCs w:val="32"/>
          <w:highlight w:val="none"/>
        </w:rPr>
      </w:pPr>
    </w:p>
    <w:p w14:paraId="7C031481">
      <w:pPr>
        <w:pStyle w:val="36"/>
        <w:spacing w:before="0"/>
        <w:ind w:firstLine="0" w:firstLineChars="0"/>
        <w:jc w:val="center"/>
        <w:rPr>
          <w:rFonts w:hint="eastAsia" w:ascii="宋体" w:hAnsi="宋体"/>
          <w:b/>
          <w:bCs/>
          <w:color w:val="000000"/>
          <w:sz w:val="32"/>
          <w:szCs w:val="32"/>
          <w:highlight w:val="none"/>
        </w:rPr>
      </w:pPr>
    </w:p>
    <w:p w14:paraId="094E3A2F">
      <w:pPr>
        <w:pStyle w:val="36"/>
        <w:spacing w:before="0"/>
        <w:ind w:firstLine="0" w:firstLineChars="0"/>
        <w:jc w:val="center"/>
        <w:rPr>
          <w:rFonts w:hint="eastAsia" w:ascii="宋体" w:hAnsi="宋体"/>
          <w:b/>
          <w:bCs/>
          <w:color w:val="000000"/>
          <w:sz w:val="32"/>
          <w:szCs w:val="32"/>
          <w:highlight w:val="none"/>
        </w:rPr>
      </w:pPr>
    </w:p>
    <w:p w14:paraId="341484A2">
      <w:pPr>
        <w:pStyle w:val="36"/>
        <w:spacing w:before="0"/>
        <w:ind w:firstLine="0" w:firstLineChars="0"/>
        <w:jc w:val="center"/>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九</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投标人认为需要的其他说明</w:t>
      </w:r>
      <w:bookmarkEnd w:id="101"/>
      <w:bookmarkStart w:id="104" w:name="_GoBack"/>
      <w:bookmarkEnd w:id="104"/>
    </w:p>
    <w:p w14:paraId="01538DD9">
      <w:pPr>
        <w:pStyle w:val="36"/>
        <w:widowControl w:val="0"/>
        <w:numPr>
          <w:ilvl w:val="0"/>
          <w:numId w:val="0"/>
        </w:numPr>
        <w:spacing w:before="0" w:line="360" w:lineRule="auto"/>
        <w:jc w:val="center"/>
        <w:rPr>
          <w:rFonts w:hint="eastAsia" w:ascii="宋体" w:hAnsi="宋体"/>
          <w:b/>
          <w:bCs/>
          <w:color w:val="000000"/>
          <w:sz w:val="32"/>
          <w:szCs w:val="32"/>
          <w:highlight w:val="none"/>
        </w:rPr>
      </w:pPr>
    </w:p>
    <w:p w14:paraId="01DC5A88">
      <w:pPr>
        <w:pStyle w:val="36"/>
        <w:spacing w:before="0"/>
        <w:ind w:firstLine="0" w:firstLineChars="0"/>
        <w:jc w:val="center"/>
        <w:rPr>
          <w:rFonts w:hint="eastAsia" w:ascii="宋体" w:hAnsi="宋体" w:eastAsia="宋体"/>
          <w:b w:val="0"/>
          <w:bCs w:val="0"/>
          <w:color w:val="000000"/>
          <w:sz w:val="28"/>
          <w:szCs w:val="28"/>
          <w:highlight w:val="none"/>
          <w:lang w:eastAsia="zh-CN"/>
        </w:rPr>
      </w:pPr>
      <w:r>
        <w:rPr>
          <w:rFonts w:hint="eastAsia" w:ascii="宋体" w:hAnsi="宋体"/>
          <w:b w:val="0"/>
          <w:bCs w:val="0"/>
          <w:color w:val="000000"/>
          <w:sz w:val="28"/>
          <w:szCs w:val="28"/>
          <w:highlight w:val="none"/>
          <w:lang w:eastAsia="zh-CN"/>
        </w:rPr>
        <w:t>根据招标要求和评审细则自行编制提供。</w:t>
      </w:r>
    </w:p>
    <w:p w14:paraId="3D73449B">
      <w:pPr>
        <w:pStyle w:val="36"/>
        <w:spacing w:before="0"/>
        <w:ind w:firstLine="0" w:firstLineChars="0"/>
        <w:jc w:val="center"/>
        <w:rPr>
          <w:rFonts w:hint="eastAsia" w:ascii="宋体" w:hAnsi="宋体"/>
          <w:b/>
          <w:bCs/>
          <w:color w:val="000000"/>
          <w:sz w:val="32"/>
          <w:szCs w:val="32"/>
          <w:highlight w:val="none"/>
        </w:rPr>
      </w:pPr>
    </w:p>
    <w:p w14:paraId="6ED266C1">
      <w:pPr>
        <w:pStyle w:val="36"/>
        <w:widowControl w:val="0"/>
        <w:numPr>
          <w:ilvl w:val="0"/>
          <w:numId w:val="0"/>
        </w:numPr>
        <w:spacing w:before="0" w:line="360" w:lineRule="auto"/>
        <w:jc w:val="center"/>
        <w:rPr>
          <w:rFonts w:hint="eastAsia" w:ascii="宋体" w:hAnsi="宋体"/>
          <w:b/>
          <w:bCs/>
          <w:color w:val="000000"/>
          <w:sz w:val="32"/>
          <w:szCs w:val="32"/>
          <w:highlight w:val="none"/>
        </w:rPr>
      </w:pPr>
    </w:p>
    <w:p w14:paraId="4E5C7EE0">
      <w:pPr>
        <w:pStyle w:val="28"/>
        <w:spacing w:line="360" w:lineRule="auto"/>
        <w:rPr>
          <w:rFonts w:hint="eastAsia" w:ascii="宋体" w:hAnsi="宋体" w:eastAsia="宋体" w:cs="宋体"/>
          <w:color w:val="auto"/>
          <w:highlight w:val="none"/>
        </w:rPr>
      </w:pPr>
    </w:p>
    <w:p w14:paraId="6E758657">
      <w:pPr>
        <w:pStyle w:val="28"/>
        <w:spacing w:line="360" w:lineRule="auto"/>
        <w:rPr>
          <w:rFonts w:hint="eastAsia" w:ascii="宋体" w:hAnsi="宋体" w:eastAsia="宋体" w:cs="宋体"/>
          <w:color w:val="auto"/>
          <w:highlight w:val="none"/>
        </w:rPr>
      </w:pPr>
    </w:p>
    <w:p w14:paraId="513D983A">
      <w:pPr>
        <w:pStyle w:val="28"/>
        <w:spacing w:line="360" w:lineRule="auto"/>
        <w:rPr>
          <w:rFonts w:hint="default" w:cs="宋体"/>
          <w:color w:val="auto"/>
          <w:highlight w:val="none"/>
          <w:lang w:val="en-US" w:eastAsia="zh-C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74" w:right="1304" w:bottom="147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CFB4">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6FD7">
    <w:pPr>
      <w:pStyle w:val="9"/>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1821BCB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F1E4">
    <w:pPr>
      <w:pStyle w:val="9"/>
      <w:jc w:val="center"/>
      <w:rPr>
        <w:rFonts w:hint="eastAsia" w:ascii="宋体" w:hAnsi="宋体" w:eastAsia="方正仿宋简体"/>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739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D09CB">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5D09CB">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B22EB">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88F6">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1FF0E86">
      <w:pPr>
        <w:tabs>
          <w:tab w:val="left" w:pos="854"/>
        </w:tabs>
        <w:rPr>
          <w:rFonts w:hint="eastAsia" w:eastAsia="宋体"/>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8AF8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F3D78">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0A285">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F7E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432F9"/>
    <w:multiLevelType w:val="singleLevel"/>
    <w:tmpl w:val="9F3432F9"/>
    <w:lvl w:ilvl="0" w:tentative="0">
      <w:start w:val="2"/>
      <w:numFmt w:val="decimal"/>
      <w:suff w:val="nothing"/>
      <w:lvlText w:val="（%1）"/>
      <w:lvlJc w:val="left"/>
    </w:lvl>
  </w:abstractNum>
  <w:abstractNum w:abstractNumId="1">
    <w:nsid w:val="AF2A9129"/>
    <w:multiLevelType w:val="singleLevel"/>
    <w:tmpl w:val="AF2A9129"/>
    <w:lvl w:ilvl="0" w:tentative="0">
      <w:start w:val="1"/>
      <w:numFmt w:val="chineseCounting"/>
      <w:suff w:val="nothing"/>
      <w:lvlText w:val="%1、"/>
      <w:lvlJc w:val="left"/>
      <w:rPr>
        <w:rFonts w:hint="eastAsia"/>
      </w:rPr>
    </w:lvl>
  </w:abstractNum>
  <w:abstractNum w:abstractNumId="2">
    <w:nsid w:val="00000006"/>
    <w:multiLevelType w:val="singleLevel"/>
    <w:tmpl w:val="00000006"/>
    <w:lvl w:ilvl="0" w:tentative="0">
      <w:start w:val="4"/>
      <w:numFmt w:val="decimal"/>
      <w:suff w:val="nothing"/>
      <w:lvlText w:val="%1、"/>
      <w:lvlJc w:val="left"/>
    </w:lvl>
  </w:abstractNum>
  <w:abstractNum w:abstractNumId="3">
    <w:nsid w:val="00000009"/>
    <w:multiLevelType w:val="multilevel"/>
    <w:tmpl w:val="00000009"/>
    <w:lvl w:ilvl="0" w:tentative="0">
      <w:start w:val="1"/>
      <w:numFmt w:val="chineseCountingThousand"/>
      <w:pStyle w:val="3"/>
      <w:lvlText w:val="%1、"/>
      <w:lvlJc w:val="left"/>
      <w:pPr>
        <w:tabs>
          <w:tab w:val="left" w:pos="1110"/>
        </w:tabs>
        <w:ind w:left="106" w:firstLine="454"/>
      </w:pPr>
      <w:rPr>
        <w:rFonts w:hint="eastAsia" w:ascii="黑体" w:hAnsi="宋体" w:eastAsia="黑体"/>
        <w:b/>
        <w:i w:val="0"/>
        <w:iCs w:val="0"/>
        <w:caps w:val="0"/>
        <w:vanish w:val="0"/>
        <w:spacing w:val="0"/>
        <w:position w:val="0"/>
        <w:sz w:val="21"/>
        <w:szCs w:val="21"/>
        <w:u w:val="none"/>
        <w:vertAlign w:val="baseli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rPr>
        <w:rFonts w:hint="eastAsia"/>
      </w:rPr>
    </w:lvl>
    <w:lvl w:ilvl="3" w:tentative="0">
      <w:start w:val="1"/>
      <w:numFmt w:val="japaneseCounting"/>
      <w:lvlText w:val="（%4）"/>
      <w:lvlJc w:val="left"/>
      <w:pPr>
        <w:tabs>
          <w:tab w:val="left" w:pos="2289"/>
        </w:tabs>
        <w:ind w:left="2289" w:hanging="720"/>
      </w:pPr>
      <w:rPr>
        <w:rFonts w:hint="eastAsia"/>
      </w:rPr>
    </w:lvl>
    <w:lvl w:ilvl="4" w:tentative="0">
      <w:start w:val="3"/>
      <w:numFmt w:val="japaneseCounting"/>
      <w:lvlText w:val="%5、"/>
      <w:lvlJc w:val="left"/>
      <w:pPr>
        <w:tabs>
          <w:tab w:val="left" w:pos="2409"/>
        </w:tabs>
        <w:ind w:left="2409" w:hanging="420"/>
      </w:pPr>
      <w:rPr>
        <w:rFonts w:hint="eastAsia"/>
      </w:rPr>
    </w:lvl>
    <w:lvl w:ilvl="5" w:tentative="0">
      <w:start w:val="1"/>
      <w:numFmt w:val="decimal"/>
      <w:lvlText w:val="%6、"/>
      <w:lvlJc w:val="left"/>
      <w:pPr>
        <w:tabs>
          <w:tab w:val="left" w:pos="3144"/>
        </w:tabs>
        <w:ind w:left="3144" w:hanging="735"/>
      </w:pPr>
      <w:rPr>
        <w:rFonts w:hint="eastAsia"/>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4">
    <w:nsid w:val="4CA0DAEE"/>
    <w:multiLevelType w:val="singleLevel"/>
    <w:tmpl w:val="4CA0DAEE"/>
    <w:lvl w:ilvl="0" w:tentative="0">
      <w:start w:val="1"/>
      <w:numFmt w:val="decimal"/>
      <w:suff w:val="nothing"/>
      <w:lvlText w:val="（%1）"/>
      <w:lvlJc w:val="left"/>
    </w:lvl>
  </w:abstractNum>
  <w:abstractNum w:abstractNumId="5">
    <w:nsid w:val="5D8DAF47"/>
    <w:multiLevelType w:val="singleLevel"/>
    <w:tmpl w:val="5D8DAF47"/>
    <w:lvl w:ilvl="0" w:tentative="0">
      <w:start w:val="23"/>
      <w:numFmt w:val="decimal"/>
      <w:suff w:val="nothing"/>
      <w:lvlText w:val="%1、"/>
      <w:lvlJc w:val="left"/>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YmYzNjU3MzhhODU4Mjg5OWZkZWJiMWNiMGExNmUifQ=="/>
  </w:docVars>
  <w:rsids>
    <w:rsidRoot w:val="68F41AD2"/>
    <w:rsid w:val="01233C84"/>
    <w:rsid w:val="0147778C"/>
    <w:rsid w:val="01875DDB"/>
    <w:rsid w:val="01F65182"/>
    <w:rsid w:val="021B6523"/>
    <w:rsid w:val="027022B0"/>
    <w:rsid w:val="02D62ECF"/>
    <w:rsid w:val="03837B9C"/>
    <w:rsid w:val="039B7C74"/>
    <w:rsid w:val="03A165CC"/>
    <w:rsid w:val="04B824BD"/>
    <w:rsid w:val="04FE73E6"/>
    <w:rsid w:val="0506170D"/>
    <w:rsid w:val="055649B0"/>
    <w:rsid w:val="07750484"/>
    <w:rsid w:val="077961C6"/>
    <w:rsid w:val="079E7D4C"/>
    <w:rsid w:val="07FC2953"/>
    <w:rsid w:val="0877319E"/>
    <w:rsid w:val="08805EF1"/>
    <w:rsid w:val="0A685C4B"/>
    <w:rsid w:val="0AAF4840"/>
    <w:rsid w:val="0B82118F"/>
    <w:rsid w:val="0C801B65"/>
    <w:rsid w:val="0C8405B4"/>
    <w:rsid w:val="0CD31EFF"/>
    <w:rsid w:val="0D224CDA"/>
    <w:rsid w:val="0D263DA5"/>
    <w:rsid w:val="0D2F6633"/>
    <w:rsid w:val="0D8E229F"/>
    <w:rsid w:val="0DA26608"/>
    <w:rsid w:val="0E325320"/>
    <w:rsid w:val="0E722879"/>
    <w:rsid w:val="0F4A0E9F"/>
    <w:rsid w:val="0F4F04B2"/>
    <w:rsid w:val="10076C69"/>
    <w:rsid w:val="10617D8A"/>
    <w:rsid w:val="108300B5"/>
    <w:rsid w:val="10F75A99"/>
    <w:rsid w:val="11282984"/>
    <w:rsid w:val="11D027DF"/>
    <w:rsid w:val="127263BE"/>
    <w:rsid w:val="12F73E3F"/>
    <w:rsid w:val="131C4B95"/>
    <w:rsid w:val="13E56991"/>
    <w:rsid w:val="13E94246"/>
    <w:rsid w:val="13EA5A86"/>
    <w:rsid w:val="142E4281"/>
    <w:rsid w:val="145B5C34"/>
    <w:rsid w:val="149704F9"/>
    <w:rsid w:val="1534197E"/>
    <w:rsid w:val="1534372C"/>
    <w:rsid w:val="159F04BE"/>
    <w:rsid w:val="16D40DE1"/>
    <w:rsid w:val="17100737"/>
    <w:rsid w:val="171B4807"/>
    <w:rsid w:val="18153CE9"/>
    <w:rsid w:val="18286B19"/>
    <w:rsid w:val="18B708FC"/>
    <w:rsid w:val="18F03239"/>
    <w:rsid w:val="19054300"/>
    <w:rsid w:val="19BE2F1D"/>
    <w:rsid w:val="1AEC3EB0"/>
    <w:rsid w:val="1B1F3971"/>
    <w:rsid w:val="1B27429D"/>
    <w:rsid w:val="1B94330E"/>
    <w:rsid w:val="1CBD7013"/>
    <w:rsid w:val="1CFB42C4"/>
    <w:rsid w:val="1D0676CD"/>
    <w:rsid w:val="1D362CB4"/>
    <w:rsid w:val="1D594041"/>
    <w:rsid w:val="1D59782D"/>
    <w:rsid w:val="1D792624"/>
    <w:rsid w:val="1D8E7B90"/>
    <w:rsid w:val="1E0047F4"/>
    <w:rsid w:val="1EBA2C0B"/>
    <w:rsid w:val="1EBE1C6A"/>
    <w:rsid w:val="1EC35178"/>
    <w:rsid w:val="1F3A6211"/>
    <w:rsid w:val="1FDB6992"/>
    <w:rsid w:val="203F77E5"/>
    <w:rsid w:val="20536F6B"/>
    <w:rsid w:val="20691C12"/>
    <w:rsid w:val="20D35E4B"/>
    <w:rsid w:val="213F3B84"/>
    <w:rsid w:val="21830FD4"/>
    <w:rsid w:val="21EA1D42"/>
    <w:rsid w:val="21FB2C43"/>
    <w:rsid w:val="22756E77"/>
    <w:rsid w:val="23C91E2B"/>
    <w:rsid w:val="23CB16FF"/>
    <w:rsid w:val="246F652F"/>
    <w:rsid w:val="251D242F"/>
    <w:rsid w:val="268A4A3E"/>
    <w:rsid w:val="26E01966"/>
    <w:rsid w:val="27733778"/>
    <w:rsid w:val="27A34C33"/>
    <w:rsid w:val="27BB0F1D"/>
    <w:rsid w:val="27D351B4"/>
    <w:rsid w:val="285C2A45"/>
    <w:rsid w:val="28D15A0A"/>
    <w:rsid w:val="2A4F0E2B"/>
    <w:rsid w:val="2A9022DD"/>
    <w:rsid w:val="2AAF7A65"/>
    <w:rsid w:val="2AFD3626"/>
    <w:rsid w:val="2B726976"/>
    <w:rsid w:val="2B88437A"/>
    <w:rsid w:val="2BEF11CB"/>
    <w:rsid w:val="2CAD6556"/>
    <w:rsid w:val="2CCE2260"/>
    <w:rsid w:val="2CF304FB"/>
    <w:rsid w:val="2D005407"/>
    <w:rsid w:val="2D4E5A49"/>
    <w:rsid w:val="2D7626DC"/>
    <w:rsid w:val="2D94676E"/>
    <w:rsid w:val="2DCF0F92"/>
    <w:rsid w:val="2EC57F3E"/>
    <w:rsid w:val="2F3A3680"/>
    <w:rsid w:val="2FD61B58"/>
    <w:rsid w:val="30232712"/>
    <w:rsid w:val="317C506D"/>
    <w:rsid w:val="32E225C2"/>
    <w:rsid w:val="339440C7"/>
    <w:rsid w:val="33C57F19"/>
    <w:rsid w:val="34E05CC9"/>
    <w:rsid w:val="35040F15"/>
    <w:rsid w:val="35480FDC"/>
    <w:rsid w:val="356C0FF5"/>
    <w:rsid w:val="36203B2D"/>
    <w:rsid w:val="364C28BA"/>
    <w:rsid w:val="379C3687"/>
    <w:rsid w:val="385B1DC1"/>
    <w:rsid w:val="3894435E"/>
    <w:rsid w:val="38A35123"/>
    <w:rsid w:val="38E33B11"/>
    <w:rsid w:val="39023C69"/>
    <w:rsid w:val="39774929"/>
    <w:rsid w:val="3A052C20"/>
    <w:rsid w:val="3A34311E"/>
    <w:rsid w:val="3AA342BD"/>
    <w:rsid w:val="3B573914"/>
    <w:rsid w:val="3BA50753"/>
    <w:rsid w:val="3BDB5D0D"/>
    <w:rsid w:val="3BEA5195"/>
    <w:rsid w:val="3C692520"/>
    <w:rsid w:val="3CC17FEA"/>
    <w:rsid w:val="3CEB6517"/>
    <w:rsid w:val="3D074E5A"/>
    <w:rsid w:val="3D4A148F"/>
    <w:rsid w:val="3D6E33D0"/>
    <w:rsid w:val="3E1B6CB2"/>
    <w:rsid w:val="3ECD05CA"/>
    <w:rsid w:val="3EE35DA5"/>
    <w:rsid w:val="3F243648"/>
    <w:rsid w:val="3F374008"/>
    <w:rsid w:val="3F8606C5"/>
    <w:rsid w:val="3FE45BCB"/>
    <w:rsid w:val="3FFF0C57"/>
    <w:rsid w:val="403B1563"/>
    <w:rsid w:val="40D0399A"/>
    <w:rsid w:val="41175B2C"/>
    <w:rsid w:val="41764F49"/>
    <w:rsid w:val="4179509A"/>
    <w:rsid w:val="41FA386E"/>
    <w:rsid w:val="420A7788"/>
    <w:rsid w:val="422914B7"/>
    <w:rsid w:val="42A87384"/>
    <w:rsid w:val="42D54207"/>
    <w:rsid w:val="4312510A"/>
    <w:rsid w:val="44E436F0"/>
    <w:rsid w:val="456B387C"/>
    <w:rsid w:val="4593265C"/>
    <w:rsid w:val="46801046"/>
    <w:rsid w:val="46B856BC"/>
    <w:rsid w:val="46FF153C"/>
    <w:rsid w:val="47CE5D50"/>
    <w:rsid w:val="48282715"/>
    <w:rsid w:val="485E0B80"/>
    <w:rsid w:val="48906C7D"/>
    <w:rsid w:val="48F73E92"/>
    <w:rsid w:val="49B44860"/>
    <w:rsid w:val="4A29330C"/>
    <w:rsid w:val="4AB368C6"/>
    <w:rsid w:val="4B3F0159"/>
    <w:rsid w:val="4B4C1804"/>
    <w:rsid w:val="4B53536E"/>
    <w:rsid w:val="4BC247C7"/>
    <w:rsid w:val="4BC46083"/>
    <w:rsid w:val="4BEB02E1"/>
    <w:rsid w:val="4C441F40"/>
    <w:rsid w:val="4C5639AD"/>
    <w:rsid w:val="4CD80866"/>
    <w:rsid w:val="4D170B7B"/>
    <w:rsid w:val="4DD9734F"/>
    <w:rsid w:val="4E5D78F4"/>
    <w:rsid w:val="4EAC3C20"/>
    <w:rsid w:val="4F0A4D0B"/>
    <w:rsid w:val="4F0B59D9"/>
    <w:rsid w:val="4F9A1DAF"/>
    <w:rsid w:val="50593A6B"/>
    <w:rsid w:val="50A71688"/>
    <w:rsid w:val="51050223"/>
    <w:rsid w:val="51067449"/>
    <w:rsid w:val="515B2056"/>
    <w:rsid w:val="52497B10"/>
    <w:rsid w:val="529B6970"/>
    <w:rsid w:val="53652EA2"/>
    <w:rsid w:val="536F668E"/>
    <w:rsid w:val="538434F5"/>
    <w:rsid w:val="539354E6"/>
    <w:rsid w:val="53C94968"/>
    <w:rsid w:val="54790B80"/>
    <w:rsid w:val="54E27C8B"/>
    <w:rsid w:val="55E120A3"/>
    <w:rsid w:val="56AB6FEB"/>
    <w:rsid w:val="571C314C"/>
    <w:rsid w:val="5766328D"/>
    <w:rsid w:val="57C46EFC"/>
    <w:rsid w:val="581B3CFC"/>
    <w:rsid w:val="590668D5"/>
    <w:rsid w:val="59E44DD4"/>
    <w:rsid w:val="5AF26EC7"/>
    <w:rsid w:val="5BD466FE"/>
    <w:rsid w:val="5C4B1054"/>
    <w:rsid w:val="5D2B2C34"/>
    <w:rsid w:val="5D655998"/>
    <w:rsid w:val="5D8A156B"/>
    <w:rsid w:val="5D9A6865"/>
    <w:rsid w:val="5DA56542"/>
    <w:rsid w:val="5DE519AE"/>
    <w:rsid w:val="5E433C9D"/>
    <w:rsid w:val="5ECB7098"/>
    <w:rsid w:val="5F434264"/>
    <w:rsid w:val="5FF349C8"/>
    <w:rsid w:val="60415384"/>
    <w:rsid w:val="610F26CE"/>
    <w:rsid w:val="61342A6D"/>
    <w:rsid w:val="617A7CE6"/>
    <w:rsid w:val="619531C0"/>
    <w:rsid w:val="61AA5595"/>
    <w:rsid w:val="61B83A28"/>
    <w:rsid w:val="62287742"/>
    <w:rsid w:val="62A72D5C"/>
    <w:rsid w:val="62A8056A"/>
    <w:rsid w:val="63370788"/>
    <w:rsid w:val="639840F5"/>
    <w:rsid w:val="639E654B"/>
    <w:rsid w:val="63C55C5A"/>
    <w:rsid w:val="64070298"/>
    <w:rsid w:val="64122457"/>
    <w:rsid w:val="643B2956"/>
    <w:rsid w:val="646952DA"/>
    <w:rsid w:val="64850647"/>
    <w:rsid w:val="64B05353"/>
    <w:rsid w:val="64C51278"/>
    <w:rsid w:val="661D759C"/>
    <w:rsid w:val="663F7130"/>
    <w:rsid w:val="66546D57"/>
    <w:rsid w:val="670353B0"/>
    <w:rsid w:val="679A4B37"/>
    <w:rsid w:val="67EE31DB"/>
    <w:rsid w:val="67F85E08"/>
    <w:rsid w:val="683706DE"/>
    <w:rsid w:val="68EB00B3"/>
    <w:rsid w:val="68F41AD2"/>
    <w:rsid w:val="69011A1A"/>
    <w:rsid w:val="69042F55"/>
    <w:rsid w:val="695157D0"/>
    <w:rsid w:val="6A070584"/>
    <w:rsid w:val="6A2E2CA3"/>
    <w:rsid w:val="6A8A2D76"/>
    <w:rsid w:val="6AF52FEF"/>
    <w:rsid w:val="6AFC5458"/>
    <w:rsid w:val="6BA51E03"/>
    <w:rsid w:val="6C354FE2"/>
    <w:rsid w:val="6CAD2DA1"/>
    <w:rsid w:val="6CB80216"/>
    <w:rsid w:val="6D9E4AD9"/>
    <w:rsid w:val="6DBF397A"/>
    <w:rsid w:val="6E755ABD"/>
    <w:rsid w:val="6ED22F0F"/>
    <w:rsid w:val="6EDB2EF4"/>
    <w:rsid w:val="6EED05D6"/>
    <w:rsid w:val="6F7D3D86"/>
    <w:rsid w:val="6FA32AFD"/>
    <w:rsid w:val="6FB2064E"/>
    <w:rsid w:val="6FC34F10"/>
    <w:rsid w:val="6FC76F30"/>
    <w:rsid w:val="701B2694"/>
    <w:rsid w:val="705D0EFE"/>
    <w:rsid w:val="70BD1AC9"/>
    <w:rsid w:val="714C013C"/>
    <w:rsid w:val="71614A1E"/>
    <w:rsid w:val="71F34CA9"/>
    <w:rsid w:val="72135D18"/>
    <w:rsid w:val="72495376"/>
    <w:rsid w:val="72EA739A"/>
    <w:rsid w:val="73164D27"/>
    <w:rsid w:val="73C9202D"/>
    <w:rsid w:val="74714581"/>
    <w:rsid w:val="76165DD7"/>
    <w:rsid w:val="76684541"/>
    <w:rsid w:val="771147F0"/>
    <w:rsid w:val="77C62225"/>
    <w:rsid w:val="780D1BD2"/>
    <w:rsid w:val="78932B00"/>
    <w:rsid w:val="78DC790C"/>
    <w:rsid w:val="7A8C2B0C"/>
    <w:rsid w:val="7AC8166A"/>
    <w:rsid w:val="7AEB7DFA"/>
    <w:rsid w:val="7B803D1C"/>
    <w:rsid w:val="7BC61222"/>
    <w:rsid w:val="7C157838"/>
    <w:rsid w:val="7C515402"/>
    <w:rsid w:val="7CCC3693"/>
    <w:rsid w:val="7CD06C4E"/>
    <w:rsid w:val="7D24527D"/>
    <w:rsid w:val="7E0E5C19"/>
    <w:rsid w:val="7EA321D2"/>
    <w:rsid w:val="7EBA38DF"/>
    <w:rsid w:val="7F234111"/>
    <w:rsid w:val="7FCC39AA"/>
    <w:rsid w:val="7FFC5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numPr>
        <w:ilvl w:val="0"/>
        <w:numId w:val="1"/>
      </w:numPr>
      <w:tabs>
        <w:tab w:val="left" w:pos="706"/>
        <w:tab w:val="clear" w:pos="1110"/>
      </w:tabs>
      <w:ind w:left="108"/>
      <w:outlineLvl w:val="1"/>
    </w:pPr>
    <w:rPr>
      <w:rFonts w:ascii="Arial" w:hAnsi="Arial" w:eastAsia="黑体"/>
      <w:b/>
      <w:bCs/>
      <w:sz w:val="21"/>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szCs w:val="20"/>
    </w:rPr>
  </w:style>
  <w:style w:type="paragraph" w:styleId="4">
    <w:name w:val="annotation text"/>
    <w:basedOn w:val="1"/>
    <w:unhideWhenUsed/>
    <w:qFormat/>
    <w:uiPriority w:val="99"/>
    <w:pPr>
      <w:jc w:val="left"/>
    </w:pPr>
  </w:style>
  <w:style w:type="paragraph" w:styleId="5">
    <w:name w:val="Body Text"/>
    <w:basedOn w:val="1"/>
    <w:next w:val="1"/>
    <w:qFormat/>
    <w:uiPriority w:val="0"/>
    <w:rPr>
      <w:sz w:val="24"/>
    </w:rPr>
  </w:style>
  <w:style w:type="paragraph" w:styleId="6">
    <w:name w:val="Body Text Indent"/>
    <w:basedOn w:val="1"/>
    <w:qFormat/>
    <w:uiPriority w:val="0"/>
    <w:pPr>
      <w:spacing w:line="480" w:lineRule="atLeast"/>
      <w:ind w:firstLine="570"/>
    </w:pPr>
    <w:rPr>
      <w:rFonts w:ascii="黑体" w:eastAsia="黑体"/>
    </w:rPr>
  </w:style>
  <w:style w:type="paragraph" w:styleId="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8">
    <w:name w:val="Plain Text"/>
    <w:basedOn w:val="1"/>
    <w:qFormat/>
    <w:uiPriority w:val="0"/>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460"/>
      </w:tabs>
      <w:spacing w:before="120" w:after="120" w:line="360" w:lineRule="auto"/>
      <w:jc w:val="left"/>
    </w:pPr>
    <w:rPr>
      <w:rFonts w:ascii="Calibri" w:hAnsi="Calibri"/>
      <w:b/>
      <w:bCs/>
      <w:caps/>
      <w:sz w:val="20"/>
    </w:rPr>
  </w:style>
  <w:style w:type="paragraph" w:styleId="12">
    <w:name w:val="toc 6"/>
    <w:basedOn w:val="1"/>
    <w:next w:val="1"/>
    <w:qFormat/>
    <w:uiPriority w:val="0"/>
    <w:pPr>
      <w:ind w:left="2100" w:leftChars="1000"/>
    </w:pPr>
  </w:style>
  <w:style w:type="paragraph" w:styleId="13">
    <w:name w:val="toc 2"/>
    <w:basedOn w:val="1"/>
    <w:next w:val="1"/>
    <w:qFormat/>
    <w:uiPriority w:val="39"/>
    <w:pPr>
      <w:tabs>
        <w:tab w:val="right" w:leader="dot" w:pos="8505"/>
      </w:tabs>
      <w:ind w:left="560" w:leftChars="200"/>
    </w:pPr>
  </w:style>
  <w:style w:type="paragraph" w:styleId="1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15">
    <w:name w:val="Body Text First Indent"/>
    <w:basedOn w:val="5"/>
    <w:next w:val="1"/>
    <w:qFormat/>
    <w:uiPriority w:val="0"/>
    <w:pPr>
      <w:ind w:firstLine="420"/>
    </w:pPr>
    <w:rPr>
      <w:rFonts w:hAnsi="Calibri" w:cs="Times New Roman"/>
      <w:szCs w:val="20"/>
    </w:rPr>
  </w:style>
  <w:style w:type="paragraph" w:styleId="16">
    <w:name w:val="Body Text First Indent 2"/>
    <w:basedOn w:val="6"/>
    <w:next w:val="1"/>
    <w:qFormat/>
    <w:uiPriority w:val="0"/>
    <w:pPr>
      <w:adjustRightInd/>
      <w:spacing w:after="120" w:line="240" w:lineRule="auto"/>
      <w:ind w:left="420" w:leftChars="200" w:firstLine="21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styleId="25">
    <w:name w:val="footnote reference"/>
    <w:basedOn w:val="19"/>
    <w:qFormat/>
    <w:uiPriority w:val="0"/>
    <w:rPr>
      <w:vertAlign w:val="superscript"/>
    </w:rPr>
  </w:style>
  <w:style w:type="paragraph" w:customStyle="1" w:styleId="26">
    <w:name w:val="章正文"/>
    <w:basedOn w:val="1"/>
    <w:qFormat/>
    <w:uiPriority w:val="0"/>
    <w:pPr>
      <w:spacing w:beforeLines="50" w:line="300" w:lineRule="auto"/>
      <w:ind w:firstLine="480"/>
    </w:pPr>
    <w:rPr>
      <w:rFonts w:ascii="Helvetica" w:hAnsi="Helvetica" w:cs="Helvetica"/>
      <w:sz w:val="24"/>
    </w:rPr>
  </w:style>
  <w:style w:type="paragraph" w:customStyle="1" w:styleId="27">
    <w:name w:val="正文文本首行缩进 2"/>
    <w:basedOn w:val="6"/>
    <w:qFormat/>
    <w:uiPriority w:val="99"/>
    <w:pPr>
      <w:tabs>
        <w:tab w:val="right" w:leader="dot" w:pos="8268"/>
      </w:tabs>
      <w:spacing w:line="200" w:lineRule="atLeast"/>
      <w:ind w:firstLine="420"/>
    </w:pPr>
    <w:rPr>
      <w:rFonts w:ascii="宋体"/>
      <w:spacing w:val="-4"/>
      <w:sz w:val="18"/>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正文缩进1"/>
    <w:basedOn w:val="30"/>
    <w:next w:val="27"/>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30">
    <w:name w:val="正文1"/>
    <w:basedOn w:val="7"/>
    <w:next w:val="31"/>
    <w:qFormat/>
    <w:uiPriority w:val="0"/>
    <w:pPr>
      <w:ind w:left="0" w:leftChars="0" w:firstLine="480" w:firstLineChars="200"/>
    </w:pPr>
    <w:rPr>
      <w:rFonts w:ascii="仿宋_GB2312" w:hAnsi="Courier New" w:eastAsia="仿宋_GB2312"/>
      <w:kern w:val="28"/>
      <w:sz w:val="24"/>
    </w:rPr>
  </w:style>
  <w:style w:type="paragraph" w:customStyle="1" w:styleId="31">
    <w:name w:val="标题 21"/>
    <w:basedOn w:val="30"/>
    <w:next w:val="30"/>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32">
    <w:name w:val="正文文本首行缩进 21"/>
    <w:basedOn w:val="29"/>
    <w:qFormat/>
    <w:uiPriority w:val="99"/>
    <w:pPr>
      <w:spacing w:line="200" w:lineRule="atLeast"/>
      <w:ind w:firstLine="420"/>
    </w:pPr>
    <w:rPr>
      <w:rFonts w:ascii="宋体"/>
      <w:spacing w:val="-4"/>
      <w:sz w:val="18"/>
    </w:rPr>
  </w:style>
  <w:style w:type="paragraph" w:customStyle="1" w:styleId="33">
    <w:name w:val="DAS正文"/>
    <w:basedOn w:val="1"/>
    <w:qFormat/>
    <w:uiPriority w:val="0"/>
    <w:pPr>
      <w:spacing w:line="360" w:lineRule="auto"/>
      <w:ind w:right="181" w:firstLine="480" w:firstLineChars="200"/>
    </w:pPr>
    <w:rPr>
      <w:rFonts w:ascii="Verdana" w:hAnsi="Verdana"/>
      <w:sz w:val="24"/>
    </w:rPr>
  </w:style>
  <w:style w:type="paragraph" w:customStyle="1" w:styleId="34">
    <w:name w:val="首行缩进:  2 字符"/>
    <w:basedOn w:val="1"/>
    <w:qFormat/>
    <w:uiPriority w:val="0"/>
    <w:pPr>
      <w:kinsoku w:val="0"/>
      <w:overflowPunct w:val="0"/>
      <w:snapToGrid w:val="0"/>
      <w:spacing w:line="312" w:lineRule="auto"/>
      <w:ind w:firstLine="200" w:firstLineChars="200"/>
      <w:jc w:val="left"/>
    </w:pPr>
    <w:rPr>
      <w:rFonts w:cs="宋体"/>
      <w:kern w:val="0"/>
      <w:sz w:val="21"/>
      <w:szCs w:val="21"/>
    </w:rPr>
  </w:style>
  <w:style w:type="paragraph" w:customStyle="1" w:styleId="35">
    <w:name w:val="靠右正文"/>
    <w:basedOn w:val="1"/>
    <w:qFormat/>
    <w:uiPriority w:val="0"/>
    <w:pPr>
      <w:kinsoku w:val="0"/>
      <w:overflowPunct w:val="0"/>
      <w:adjustRightInd w:val="0"/>
      <w:snapToGrid w:val="0"/>
      <w:spacing w:line="312" w:lineRule="auto"/>
      <w:jc w:val="right"/>
    </w:pPr>
    <w:rPr>
      <w:kern w:val="0"/>
      <w:sz w:val="21"/>
      <w:szCs w:val="21"/>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9">
    <w:name w:val="p15"/>
    <w:basedOn w:val="1"/>
    <w:unhideWhenUsed/>
    <w:qFormat/>
    <w:uiPriority w:val="99"/>
    <w:pPr>
      <w:widowControl/>
    </w:pPr>
    <w:rPr>
      <w:rFonts w:hint="eastAsia" w:ascii="宋体" w:hAnsi="宋体"/>
      <w:b/>
    </w:rPr>
  </w:style>
  <w:style w:type="paragraph" w:customStyle="1" w:styleId="40">
    <w:name w:val="正文段"/>
    <w:basedOn w:val="1"/>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41">
    <w:name w:val="表格文字"/>
    <w:basedOn w:val="1"/>
    <w:next w:val="5"/>
    <w:qFormat/>
    <w:uiPriority w:val="0"/>
    <w:pPr>
      <w:adjustRightInd/>
      <w:ind w:firstLine="200" w:firstLineChars="200"/>
    </w:pPr>
    <w:rPr>
      <w:rFonts w:ascii="Arial" w:hAnsi="Arial"/>
      <w:spacing w:val="-5"/>
      <w:kern w:val="0"/>
      <w:sz w:val="24"/>
      <w:szCs w:val="20"/>
    </w:rPr>
  </w:style>
  <w:style w:type="character" w:customStyle="1" w:styleId="42">
    <w:name w:val="large1"/>
    <w:qFormat/>
    <w:uiPriority w:val="0"/>
    <w:rPr>
      <w:rFonts w:hint="eastAsia" w:ascii="宋体" w:hAnsi="宋体" w:eastAsia="宋体"/>
      <w:sz w:val="21"/>
      <w:szCs w:val="21"/>
    </w:rPr>
  </w:style>
  <w:style w:type="character" w:customStyle="1" w:styleId="43">
    <w:name w:val="font21"/>
    <w:basedOn w:val="19"/>
    <w:qFormat/>
    <w:uiPriority w:val="0"/>
    <w:rPr>
      <w:rFonts w:hint="eastAsia" w:ascii="宋体" w:hAnsi="宋体" w:eastAsia="宋体" w:cs="宋体"/>
      <w:color w:val="000000"/>
      <w:sz w:val="21"/>
      <w:szCs w:val="21"/>
      <w:u w:val="none"/>
    </w:rPr>
  </w:style>
  <w:style w:type="character" w:customStyle="1" w:styleId="44">
    <w:name w:val="font01"/>
    <w:basedOn w:val="19"/>
    <w:qFormat/>
    <w:uiPriority w:val="0"/>
    <w:rPr>
      <w:rFonts w:hint="eastAsia" w:ascii="宋体" w:hAnsi="宋体" w:eastAsia="宋体" w:cs="宋体"/>
      <w:b/>
      <w:color w:val="000000"/>
      <w:sz w:val="21"/>
      <w:szCs w:val="21"/>
      <w:u w:val="none"/>
    </w:rPr>
  </w:style>
  <w:style w:type="character" w:customStyle="1" w:styleId="45">
    <w:name w:val="font11"/>
    <w:basedOn w:val="19"/>
    <w:qFormat/>
    <w:uiPriority w:val="0"/>
    <w:rPr>
      <w:rFonts w:hint="default" w:ascii="Times New Roman" w:hAnsi="Times New Roman" w:cs="Times New Roman"/>
      <w:color w:val="000000"/>
      <w:sz w:val="21"/>
      <w:szCs w:val="21"/>
      <w:u w:val="none"/>
    </w:rPr>
  </w:style>
  <w:style w:type="paragraph" w:customStyle="1" w:styleId="46">
    <w:name w:val="正文首行缩进 21"/>
    <w:basedOn w:val="47"/>
    <w:next w:val="1"/>
    <w:qFormat/>
    <w:uiPriority w:val="0"/>
    <w:pPr>
      <w:widowControl/>
      <w:spacing w:after="120" w:afterLines="0" w:afterAutospacing="0"/>
      <w:ind w:firstLine="210"/>
    </w:pPr>
    <w:rPr>
      <w:color w:val="000000"/>
      <w:sz w:val="21"/>
    </w:rPr>
  </w:style>
  <w:style w:type="paragraph" w:customStyle="1" w:styleId="47">
    <w:name w:val="正文文本缩进1"/>
    <w:basedOn w:val="1"/>
    <w:next w:val="1"/>
    <w:qFormat/>
    <w:uiPriority w:val="0"/>
    <w:pPr>
      <w:widowControl/>
      <w:spacing w:after="120" w:afterLines="0" w:afterAutospacing="0"/>
      <w:ind w:left="420"/>
    </w:pPr>
    <w:rPr>
      <w:color w:val="000000"/>
      <w:sz w:val="21"/>
    </w:rPr>
  </w:style>
  <w:style w:type="paragraph" w:customStyle="1" w:styleId="48">
    <w:name w:val="正文3"/>
    <w:basedOn w:val="1"/>
    <w:qFormat/>
    <w:uiPriority w:val="0"/>
    <w:pPr>
      <w:adjustRightInd w:val="0"/>
      <w:spacing w:line="318" w:lineRule="atLeast"/>
      <w:ind w:left="369" w:firstLine="369"/>
      <w:textAlignment w:val="baseline"/>
    </w:pPr>
    <w:rPr>
      <w:rFonts w:ascii="宋体"/>
      <w:sz w:val="21"/>
    </w:rPr>
  </w:style>
  <w:style w:type="character" w:customStyle="1" w:styleId="49">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18505</Words>
  <Characters>19123</Characters>
  <Lines>0</Lines>
  <Paragraphs>0</Paragraphs>
  <TotalTime>2</TotalTime>
  <ScaleCrop>false</ScaleCrop>
  <LinksUpToDate>false</LinksUpToDate>
  <CharactersWithSpaces>20628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2023-07-31T08:54:00Z</dcterms:created>
  <dc:creator>成燕</dc:creator>
  <cp:lastModifiedBy>辉儿</cp:lastModifiedBy>
  <cp:lastPrinted>2024-08-14T02:02:00Z</cp:lastPrinted>
  <dcterms:modified xsi:type="dcterms:W3CDTF">2024-09-26T08:51:09Z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5D7E8A99C53A49A994586C0A8AE7F6DD_13</vt:lpwstr>
  </property>
</Properties>
</file>